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p>
      <w:pPr>
        <w:spacing w:line="1135" w:lineRule="exact"/>
        <w:ind w:left="304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
          <w:sz w:val="20"/>
          <w:szCs w:val="20"/>
        </w:rPr>
        <w:drawing>
          <wp:inline distT="0" distB="0" distL="0" distR="0">
            <wp:extent cx="2448104" cy="720851"/>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2448104" cy="720851"/>
                    </a:xfrm>
                    <a:prstGeom prst="rect">
                      <a:avLst/>
                    </a:prstGeom>
                  </pic:spPr>
                </pic:pic>
              </a:graphicData>
            </a:graphic>
          </wp:inline>
        </w:drawing>
      </w:r>
      <w:r>
        <w:rPr>
          <w:rFonts w:ascii="Times New Roman" w:hAnsi="Times New Roman" w:cs="Times New Roman" w:eastAsia="Times New Roman" w:hint="default"/>
          <w:position w:val="-22"/>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6"/>
          <w:szCs w:val="26"/>
        </w:rPr>
      </w:pPr>
    </w:p>
    <w:p>
      <w:pPr>
        <w:spacing w:line="460" w:lineRule="exact" w:before="0"/>
        <w:ind w:left="611" w:right="1588" w:firstLine="0"/>
        <w:jc w:val="center"/>
        <w:rPr>
          <w:rFonts w:ascii="宋体" w:hAnsi="宋体" w:cs="宋体" w:eastAsia="宋体" w:hint="default"/>
          <w:sz w:val="36"/>
          <w:szCs w:val="36"/>
        </w:rPr>
      </w:pPr>
      <w:r>
        <w:rPr>
          <w:rFonts w:ascii="宋体" w:hAnsi="宋体" w:cs="宋体" w:eastAsia="宋体" w:hint="default"/>
          <w:b/>
          <w:bCs/>
          <w:sz w:val="36"/>
          <w:szCs w:val="36"/>
        </w:rPr>
        <w:t>京蓝科技股份有限公司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611" w:right="159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611" w:right="1587"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spacing w:before="1"/>
        <w:ind w:left="2805" w:right="0" w:firstLine="0"/>
        <w:jc w:val="left"/>
        <w:rPr>
          <w:rFonts w:ascii="宋体" w:hAnsi="宋体" w:cs="宋体" w:eastAsia="宋体" w:hint="default"/>
          <w:sz w:val="32"/>
          <w:szCs w:val="32"/>
        </w:rPr>
      </w:pPr>
      <w:bookmarkStart w:name="第一节 重要提示、目录和释义" w:id="1"/>
      <w:bookmarkEnd w:id="1"/>
      <w:r>
        <w:rPr/>
      </w:r>
      <w:bookmarkStart w:name="_bookmark0" w:id="2"/>
      <w:bookmarkEnd w:id="2"/>
      <w:r>
        <w:rPr/>
      </w:r>
      <w:r>
        <w:rPr>
          <w:rFonts w:ascii="宋体" w:hAnsi="宋体" w:cs="宋体" w:eastAsia="宋体" w:hint="default"/>
          <w:b/>
          <w:bCs/>
          <w:sz w:val="32"/>
          <w:szCs w:val="32"/>
        </w:rPr>
        <w:t>第一节</w:t>
      </w:r>
      <w:r>
        <w:rPr>
          <w:rFonts w:ascii="宋体" w:hAnsi="宋体" w:cs="宋体" w:eastAsia="宋体" w:hint="default"/>
          <w:b/>
          <w:bCs/>
          <w:spacing w:val="-11"/>
          <w:sz w:val="32"/>
          <w:szCs w:val="32"/>
        </w:rPr>
        <w:t> </w:t>
      </w:r>
      <w:r>
        <w:rPr>
          <w:rFonts w:ascii="宋体" w:hAnsi="宋体" w:cs="宋体" w:eastAsia="宋体" w:hint="default"/>
          <w:b/>
          <w:bCs/>
          <w:sz w:val="32"/>
          <w:szCs w:val="32"/>
        </w:rPr>
        <w:t>重要提示、目录和释义</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公司负责人杨仁贵、主管会计工作负责人郭源源及会计机构负责人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郭源源声明：保证年度报告中财务报告的真实、准确、完整。</w:t>
      </w:r>
      <w:r>
        <w:rPr>
          <w:rFonts w:ascii="宋体" w:hAnsi="宋体" w:cs="宋体" w:eastAsia="宋体" w:hint="default"/>
          <w:sz w:val="28"/>
          <w:szCs w:val="28"/>
        </w:rPr>
      </w:r>
    </w:p>
    <w:p>
      <w:pPr>
        <w:spacing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405" w:lineRule="auto" w:before="0"/>
        <w:ind w:left="154" w:right="0" w:firstLine="562"/>
        <w:jc w:val="left"/>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1</w:t>
      </w:r>
      <w:r>
        <w:rPr>
          <w:rFonts w:ascii="宋体" w:hAnsi="宋体" w:cs="宋体" w:eastAsia="宋体" w:hint="default"/>
          <w:b/>
          <w:bCs/>
          <w:spacing w:val="2"/>
          <w:sz w:val="28"/>
          <w:szCs w:val="28"/>
        </w:rPr>
        <w:t>、竞争风险：</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生态环境</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大数据、移动互联、云计算</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概念逐渐被市场认</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可，未来将会出现大量的企业加入该业务领域。随着行业内企业数量不断增加，</w:t>
      </w:r>
      <w:r>
        <w:rPr>
          <w:rFonts w:ascii="宋体" w:hAnsi="宋体" w:cs="宋体" w:eastAsia="宋体" w:hint="default"/>
          <w:b/>
          <w:bCs/>
          <w:spacing w:val="65"/>
          <w:w w:val="95"/>
          <w:sz w:val="28"/>
          <w:szCs w:val="28"/>
        </w:rPr>
        <w:t> </w:t>
      </w:r>
      <w:r>
        <w:rPr>
          <w:rFonts w:ascii="宋体" w:hAnsi="宋体" w:cs="宋体" w:eastAsia="宋体" w:hint="default"/>
          <w:b/>
          <w:bCs/>
          <w:spacing w:val="65"/>
          <w:w w:val="95"/>
          <w:sz w:val="28"/>
          <w:szCs w:val="28"/>
        </w:rPr>
      </w:r>
      <w:r>
        <w:rPr>
          <w:rFonts w:ascii="宋体" w:hAnsi="宋体" w:cs="宋体" w:eastAsia="宋体" w:hint="default"/>
          <w:b/>
          <w:bCs/>
          <w:spacing w:val="3"/>
          <w:sz w:val="28"/>
          <w:szCs w:val="28"/>
        </w:rPr>
        <w:t>行业竞争将不断加剧。为应对上述风险，公司将不断完善产业链，整合多种资</w:t>
      </w:r>
      <w:r>
        <w:rPr>
          <w:rFonts w:ascii="宋体" w:hAnsi="宋体" w:cs="宋体" w:eastAsia="宋体" w:hint="default"/>
          <w:b/>
          <w:bCs/>
          <w:w w:val="99"/>
          <w:sz w:val="28"/>
          <w:szCs w:val="28"/>
        </w:rPr>
        <w:t> </w:t>
      </w:r>
      <w:r>
        <w:rPr>
          <w:rFonts w:ascii="宋体" w:hAnsi="宋体" w:cs="宋体" w:eastAsia="宋体" w:hint="default"/>
          <w:b/>
          <w:bCs/>
          <w:spacing w:val="3"/>
          <w:sz w:val="28"/>
          <w:szCs w:val="28"/>
        </w:rPr>
        <w:t>源，提供全方位的综合解决方案和优质服务，在符合公司发展战略的项目上加</w:t>
      </w:r>
      <w:r>
        <w:rPr>
          <w:rFonts w:ascii="宋体" w:hAnsi="宋体" w:cs="宋体" w:eastAsia="宋体" w:hint="default"/>
          <w:b/>
          <w:bCs/>
          <w:w w:val="99"/>
          <w:sz w:val="28"/>
          <w:szCs w:val="28"/>
        </w:rPr>
        <w:t> </w:t>
      </w:r>
      <w:r>
        <w:rPr>
          <w:rFonts w:ascii="宋体" w:hAnsi="宋体" w:cs="宋体" w:eastAsia="宋体" w:hint="default"/>
          <w:b/>
          <w:bCs/>
          <w:spacing w:val="3"/>
          <w:sz w:val="28"/>
          <w:szCs w:val="28"/>
        </w:rPr>
        <w:t>速发展抢先占领市场，提高市场竞争力。此外，公司将利用资本市场寻求外延</w:t>
      </w:r>
      <w:r>
        <w:rPr>
          <w:rFonts w:ascii="宋体" w:hAnsi="宋体" w:cs="宋体" w:eastAsia="宋体" w:hint="default"/>
          <w:b/>
          <w:bCs/>
          <w:w w:val="99"/>
          <w:sz w:val="28"/>
          <w:szCs w:val="28"/>
        </w:rPr>
        <w:t> </w:t>
      </w:r>
      <w:r>
        <w:rPr>
          <w:rFonts w:ascii="宋体" w:hAnsi="宋体" w:cs="宋体" w:eastAsia="宋体" w:hint="default"/>
          <w:b/>
          <w:bCs/>
          <w:sz w:val="28"/>
          <w:szCs w:val="28"/>
        </w:rPr>
        <w:t>式增长的机会，扩大公司市场份额。</w:t>
      </w:r>
      <w:r>
        <w:rPr>
          <w:rFonts w:ascii="宋体" w:hAnsi="宋体" w:cs="宋体" w:eastAsia="宋体" w:hint="default"/>
          <w:sz w:val="28"/>
          <w:szCs w:val="28"/>
        </w:rPr>
      </w:r>
    </w:p>
    <w:p>
      <w:pPr>
        <w:spacing w:line="400" w:lineRule="auto" w:before="164"/>
        <w:ind w:left="154" w:right="1140"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w w:val="95"/>
          <w:sz w:val="28"/>
          <w:szCs w:val="28"/>
        </w:rPr>
        <w:t>2</w:t>
      </w:r>
      <w:r>
        <w:rPr>
          <w:rFonts w:ascii="宋体" w:hAnsi="宋体" w:cs="宋体" w:eastAsia="宋体" w:hint="default"/>
          <w:b/>
          <w:bCs/>
          <w:spacing w:val="-2"/>
          <w:w w:val="95"/>
          <w:sz w:val="28"/>
          <w:szCs w:val="28"/>
        </w:rPr>
        <w:t>、资金风险：生态环境产业为资金密集型产业，运作周期较长，资金需求</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量巨大。公司将通过发行公司债券以及联合其他相关方设立产业基金等多元化</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融资方式，提高公司的融资能力，并在业务运营、资金使用及安全性等方面加</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强管理，降低经营及资金风险。</w:t>
      </w:r>
      <w:r>
        <w:rPr>
          <w:rFonts w:ascii="宋体" w:hAnsi="宋体" w:cs="宋体" w:eastAsia="宋体" w:hint="default"/>
          <w:sz w:val="28"/>
          <w:szCs w:val="28"/>
        </w:rPr>
      </w:r>
    </w:p>
    <w:p>
      <w:pPr>
        <w:spacing w:line="398" w:lineRule="auto" w:before="168"/>
        <w:ind w:left="154" w:right="1141"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w w:val="95"/>
          <w:sz w:val="28"/>
          <w:szCs w:val="28"/>
        </w:rPr>
        <w:t>3</w:t>
      </w:r>
      <w:r>
        <w:rPr>
          <w:rFonts w:ascii="宋体" w:hAnsi="宋体" w:cs="宋体" w:eastAsia="宋体" w:hint="default"/>
          <w:b/>
          <w:bCs/>
          <w:spacing w:val="-2"/>
          <w:w w:val="95"/>
          <w:sz w:val="28"/>
          <w:szCs w:val="28"/>
        </w:rPr>
        <w:t>、核心人才培育风险：随着公司业务发展，公司对复合背景的人才的需求</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急剧上升。未来公司将制定更为详细的人力资源制度、优化人员结构，加快人</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才集聚，完善考核激励机制。敬请广大投资者注意投资风险，谨慎投资！</w:t>
      </w:r>
      <w:r>
        <w:rPr>
          <w:rFonts w:ascii="宋体" w:hAnsi="宋体" w:cs="宋体" w:eastAsia="宋体" w:hint="default"/>
          <w:sz w:val="28"/>
          <w:szCs w:val="28"/>
        </w:rPr>
      </w:r>
    </w:p>
    <w:p>
      <w:pPr>
        <w:spacing w:after="0" w:line="398" w:lineRule="auto"/>
        <w:jc w:val="both"/>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spacing w:before="13"/>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611" w:right="1587"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2"/>
            <w:tabs>
              <w:tab w:pos="9782"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bookmark0">
            <w:r>
              <w:rPr>
                <w:b w:val="0"/>
                <w:bCs w:val="0"/>
                <w:i w:val="0"/>
                <w:sz w:val="18"/>
                <w:szCs w:val="18"/>
              </w:rPr>
              <w:t>\l - _Toc300000084</w:t>
            </w:r>
          </w:hyperlink>
          <w:r>
            <w:rPr>
              <w:b w:val="0"/>
              <w:bCs w:val="0"/>
              <w:i w:val="0"/>
              <w:sz w:val="18"/>
              <w:szCs w:val="18"/>
            </w:rPr>
            <w:t> </w:t>
          </w:r>
          <w:hyperlink w:history="true" w:anchor="_bookmark0">
            <w:r>
              <w:rPr>
                <w:rFonts w:ascii="宋体" w:hAnsi="宋体" w:cs="宋体" w:eastAsia="宋体" w:hint="default"/>
                <w:i w:val="0"/>
                <w:sz w:val="24"/>
                <w:szCs w:val="24"/>
              </w:rPr>
              <w:t>第一节</w:t>
            </w:r>
            <w:r>
              <w:rPr>
                <w:rFonts w:ascii="宋体" w:hAnsi="宋体" w:cs="宋体" w:eastAsia="宋体" w:hint="default"/>
                <w:i w:val="0"/>
                <w:spacing w:val="-21"/>
                <w:sz w:val="24"/>
                <w:szCs w:val="24"/>
              </w:rPr>
              <w:t> </w:t>
            </w:r>
            <w:r>
              <w:rPr>
                <w:rFonts w:ascii="宋体" w:hAnsi="宋体" w:cs="宋体" w:eastAsia="宋体" w:hint="default"/>
                <w:i w:val="0"/>
                <w:sz w:val="24"/>
                <w:szCs w:val="24"/>
              </w:rPr>
              <w:t>重要提示、目录和释义</w:t>
            </w:r>
            <w:r>
              <w:rPr>
                <w:rFonts w:ascii="Times New Roman" w:hAnsi="Times New Roman" w:cs="Times New Roman" w:eastAsia="Times New Roman" w:hint="default"/>
                <w:i w:val="0"/>
                <w:sz w:val="24"/>
                <w:szCs w:val="24"/>
              </w:rPr>
              <w:tab/>
              <w:t>7</w:t>
            </w:r>
            <w:r>
              <w:rPr>
                <w:rFonts w:ascii="Times New Roman" w:hAnsi="Times New Roman" w:cs="Times New Roman" w:eastAsia="Times New Roman" w:hint="default"/>
                <w:b w:val="0"/>
                <w:bCs w:val="0"/>
                <w:i w:val="0"/>
                <w:sz w:val="24"/>
                <w:szCs w:val="24"/>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经营情况讨论与分析</w:t>
            </w:r>
            <w:r>
              <w:rPr>
                <w:rFonts w:ascii="Times New Roman" w:hAnsi="Times New Roman" w:cs="Times New Roman" w:eastAsia="Times New Roman" w:hint="default"/>
              </w:rPr>
              <w:tab/>
              <w:t>38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86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公司债券相关情况</w:t>
            </w:r>
            <w:r>
              <w:rPr>
                <w:rFonts w:ascii="Times New Roman" w:hAnsi="Times New Roman" w:cs="Times New Roman" w:eastAsia="Times New Roman" w:hint="default"/>
              </w:rPr>
              <w:tab/>
              <w:t>92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9"/>
              </w:rPr>
              <w:t> </w:t>
            </w:r>
            <w:r>
              <w:rPr/>
              <w:t>财务报告</w:t>
            </w:r>
            <w:r>
              <w:rPr>
                <w:rFonts w:ascii="Times New Roman" w:hAnsi="Times New Roman" w:cs="Times New Roman" w:eastAsia="Times New Roman" w:hint="default"/>
              </w:rPr>
              <w:tab/>
              <w:t>93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0"/>
              </w:rPr>
              <w:t> </w:t>
            </w:r>
            <w:r>
              <w:rPr/>
              <w:t>备查文件目录</w:t>
            </w:r>
            <w:r>
              <w:rPr>
                <w:rFonts w:ascii="Times New Roman" w:hAnsi="Times New Roman" w:cs="Times New Roman" w:eastAsia="Times New Roman" w:hint="default"/>
              </w:rPr>
              <w:tab/>
              <w:t>247</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611" w:right="1587"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京蓝科技、公司、本公司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大股东、控股股东、杨树蓝天</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北京杨树蓝天投资中心（有限合伙）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京蓝控股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融通资本</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融通资本（固安）投资管理有限公司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科桥嘉永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北京科桥嘉永创业投资中心（有限合伙）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杨树嘉业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北京杨树嘉业投资中心（有限合伙）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朗森汽车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朗森汽车产业园开发有限公司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京蓝智享</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张家港保税区京蓝智享资产管理合伙企业（有限合伙）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京蓝云智、京蓝物联网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京蓝云智物联网技术有限公司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京蓝有道</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京蓝有道创业投资有限公司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京蓝能科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京蓝能科技术有限公司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京蓝生态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京蓝生态科技有限公司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京蓝科技集团有限公司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固安云科技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固安京蓝云科技有限公司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京蓝沐禾、沐禾节水</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京蓝沐禾节水装备有限公司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京蓝园林、北方园林</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2"/>
              <w:jc w:val="left"/>
              <w:rPr>
                <w:rFonts w:ascii="宋体" w:hAnsi="宋体" w:cs="宋体" w:eastAsia="宋体" w:hint="default"/>
                <w:sz w:val="18"/>
                <w:szCs w:val="18"/>
              </w:rPr>
            </w:pPr>
            <w:r>
              <w:rPr>
                <w:rFonts w:ascii="宋体" w:hAnsi="宋体" w:cs="宋体" w:eastAsia="宋体" w:hint="default"/>
                <w:spacing w:val="-2"/>
                <w:sz w:val="18"/>
                <w:szCs w:val="18"/>
              </w:rPr>
              <w:t>京蓝北方园林（天津）有限公司（曾用名：天津市北方创业园林股份</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有限公司）</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中科鼎实</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中科鼎实环境工程股份有限公司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京蓝时代</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京蓝时代科技有限公司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京蓝天拓</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京蓝天拓航空应用技术（北京）有限公司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京蓝若水</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京蓝若水产业投资有限公司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京蓝资源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京蓝资源科技有限公司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金丰春</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沈阳金丰春航空科技有限公司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京蓝泰瑞</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京蓝泰瑞生态环境治理有限公司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京蓝环境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京蓝环境科技有限公司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衡水沐禾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衡水沐禾节水科技有限公司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巴林右旗生态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巴林右旗京蓝沐禾生态环境治理有限公司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p>
      <w:pPr>
        <w:spacing w:before="0"/>
        <w:ind w:left="0" w:right="1140" w:firstLine="0"/>
        <w:jc w:val="right"/>
        <w:rPr>
          <w:rFonts w:ascii="宋体" w:hAnsi="宋体" w:cs="宋体" w:eastAsia="宋体" w:hint="default"/>
          <w:sz w:val="18"/>
          <w:szCs w:val="18"/>
        </w:rPr>
      </w:pPr>
      <w:r>
        <w:rPr/>
        <w:pict>
          <v:shape style="position:absolute;margin-left:56.459999pt;margin-top:-43.248306pt;width:479.25pt;height:299.6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固安益昌</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固安县益昌电子科技有限公司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半丁资产管理、半丁资管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半丁（厦门）资产管理合伙企业（有限合伙）</w:t>
                        </w:r>
                      </w:p>
                    </w:tc>
                  </w:tr>
                  <w:tr>
                    <w:trPr>
                      <w:trHeight w:val="165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殷晓东等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名交易对方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
                          <w:jc w:val="left"/>
                          <w:rPr>
                            <w:rFonts w:ascii="宋体" w:hAnsi="宋体" w:cs="宋体" w:eastAsia="宋体" w:hint="default"/>
                            <w:sz w:val="18"/>
                            <w:szCs w:val="18"/>
                          </w:rPr>
                        </w:pPr>
                        <w:r>
                          <w:rPr>
                            <w:rFonts w:ascii="宋体" w:hAnsi="宋体" w:cs="宋体" w:eastAsia="宋体" w:hint="default"/>
                            <w:spacing w:val="-5"/>
                            <w:sz w:val="18"/>
                            <w:szCs w:val="18"/>
                          </w:rPr>
                          <w:t>殷晓东、王海东、赵铎、金增伟、李万斌、杨勇、陈恺、王宁、宁翔</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张景鑫、刘爽、屈智慧、田耿、桑志伟、赵建军、杨柳青、陈伯华、 </w:t>
                        </w:r>
                        <w:r>
                          <w:rPr>
                            <w:rFonts w:ascii="宋体" w:hAnsi="宋体" w:cs="宋体" w:eastAsia="宋体" w:hint="default"/>
                            <w:spacing w:val="-5"/>
                            <w:sz w:val="18"/>
                            <w:szCs w:val="18"/>
                          </w:rPr>
                          <w:t>李庆武、田子毅、蔡文博、姜伟、王晨阳、张淑敏、李忠博、宋慧敏</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5"/>
                            <w:sz w:val="18"/>
                            <w:szCs w:val="18"/>
                          </w:rPr>
                          <w:t>王世君、方忠新、刘燕臣、姚元义、邱二营、张蒋维、张文、马宁翠</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牛静、杨志浩、刘金伟、樊利民</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中科鼎实核心团队</w:t>
                        </w:r>
                        <w:r>
                          <w:rPr>
                            <w:rFonts w:ascii="Times New Roman" w:hAnsi="Times New Roman" w:cs="Times New Roman" w:eastAsia="Times New Roman" w:hint="default"/>
                            <w:sz w:val="18"/>
                            <w:szCs w:val="18"/>
                          </w:rPr>
                          <w:t>/</w:t>
                        </w:r>
                        <w:r>
                          <w:rPr>
                            <w:rFonts w:ascii="宋体" w:hAnsi="宋体" w:cs="宋体" w:eastAsia="宋体" w:hint="default"/>
                            <w:sz w:val="18"/>
                            <w:szCs w:val="18"/>
                          </w:rPr>
                          <w:t>核心团队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pacing w:val="-5"/>
                            <w:sz w:val="18"/>
                            <w:szCs w:val="18"/>
                          </w:rPr>
                          <w:t>殷晓东、王海东、赵铎、宁翔、张景鑫、刘爽、杨勇、屈智慧、田耿</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陈恺、李庆武、姜伟、王世君、方忠新、刘燕臣</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京蓝科技股份有限公司章程</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京蓝科技股份有限公司董事会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京蓝科技股份有限公司监事会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京蓝科技股份有限公司股东大会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华泰联合证券、独立财务顾问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0"/>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172.339996pt;margin-top:272.779968pt;width:361.5pt;height:19.6pt;mso-position-horizontal-relative:page;mso-position-vertical-relative:page;z-index:-1541512"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第二节 公司简介和主要财务指标"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京蓝科技</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000711</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京蓝科技股份有限公司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京蓝科技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Kingland Technology</w:t>
            </w:r>
            <w:r>
              <w:rPr>
                <w:rFonts w:ascii="Times New Roman"/>
                <w:spacing w:val="-22"/>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Kingland</w:t>
            </w:r>
            <w:r>
              <w:rPr>
                <w:rFonts w:ascii="Times New Roman"/>
                <w:spacing w:val="-21"/>
                <w:sz w:val="18"/>
              </w:rPr>
              <w:t> </w:t>
            </w:r>
            <w:r>
              <w:rPr>
                <w:rFonts w:ascii="Times New Roman"/>
                <w:sz w:val="18"/>
              </w:rPr>
              <w:t>Technology</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杨仁贵</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黑龙江省哈尔滨市南岗区经济技术开发区</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150090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北京市朝阳区望京中环南路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100102</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http://www.kinglandgroup.com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securities@kinglandgroup.com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8"/>
          <w:szCs w:val="28"/>
        </w:rPr>
      </w:pPr>
    </w:p>
    <w:p>
      <w:pPr>
        <w:spacing w:before="44"/>
        <w:ind w:left="0" w:right="1140" w:firstLine="0"/>
        <w:jc w:val="right"/>
        <w:rPr>
          <w:rFonts w:ascii="宋体" w:hAnsi="宋体" w:cs="宋体" w:eastAsia="宋体" w:hint="default"/>
          <w:sz w:val="18"/>
          <w:szCs w:val="18"/>
        </w:rPr>
      </w:pPr>
      <w:r>
        <w:rPr/>
        <w:pict>
          <v:shape style="position:absolute;margin-left:57.029999pt;margin-top:-41.048298pt;width:478.65pt;height:121.1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46"/>
                    <w:gridCol w:w="3840"/>
                    <w:gridCol w:w="3473"/>
                  </w:tblGrid>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8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刘欣</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吴丹</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8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北京市朝阳区望京中环南路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北京市朝阳区望京中环南路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23"/>
                            <w:sz w:val="18"/>
                            <w:szCs w:val="18"/>
                          </w:rPr>
                          <w:t>栋（</w:t>
                        </w:r>
                        <w:r>
                          <w:rPr>
                            <w:rFonts w:ascii="Times New Roman" w:hAnsi="Times New Roman" w:cs="Times New Roman" w:eastAsia="Times New Roman" w:hint="default"/>
                            <w:spacing w:val="-23"/>
                            <w:sz w:val="18"/>
                            <w:szCs w:val="18"/>
                          </w:rPr>
                          <w:t>E  </w:t>
                        </w:r>
                        <w:r>
                          <w:rPr>
                            <w:rFonts w:ascii="宋体" w:hAnsi="宋体" w:cs="宋体" w:eastAsia="宋体" w:hint="default"/>
                            <w:sz w:val="18"/>
                            <w:szCs w:val="18"/>
                          </w:rPr>
                          <w:t>楼</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8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010-64740711</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010-64740711</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8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010-64740711-8062</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010-64740711-8062</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8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securities@kinglandgroup.com</w:t>
                          </w:r>
                        </w:hyperlink>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securities@kinglandgroup.com</w:t>
                          </w:r>
                        </w:hyperlink>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Heading2"/>
        <w:spacing w:line="240" w:lineRule="auto" w:before="26"/>
        <w:ind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7"/>
      <w:bookmarkEnd w:id="7"/>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91230000126976973E</w:t>
            </w:r>
          </w:p>
        </w:tc>
      </w:tr>
      <w:tr>
        <w:trPr>
          <w:trHeight w:val="289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19"/>
              <w:jc w:val="both"/>
              <w:rPr>
                <w:rFonts w:ascii="宋体" w:hAnsi="宋体" w:cs="宋体" w:eastAsia="宋体" w:hint="default"/>
                <w:sz w:val="18"/>
                <w:szCs w:val="18"/>
              </w:rPr>
            </w:pPr>
            <w:r>
              <w:rPr>
                <w:rFonts w:ascii="宋体" w:hAnsi="宋体" w:cs="宋体" w:eastAsia="宋体" w:hint="default"/>
                <w:sz w:val="18"/>
                <w:szCs w:val="18"/>
              </w:rPr>
              <w:t>公司上市之初，主营高科技铜铁双金属制品、松花江索道、二龙山滑雪场和二龙 山滑道以及配套服务设施等项目。</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年，主营业务调整为网络与电子信息技术 开发应用、软件开发和高新技术投资等。</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年，主营业务调整为房地产开发与 经营。</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年，公司尝试产业战略转型，兼顾房地产经营管理的同时，涉足矿业 领域。</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年，主营业务调整为信息系统集成服务，信息技术咨询服务，电子产 品研发制造销售维护，网络及电子信息技术开发应用，软件开发，对高新技术投 资、旅游基础设施投资、投资管理。</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年，主营业务调整为包括生态 节水运营服务、园林环境科技服务等在内的生态环保业务。</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年，公司主营业 务拓展至土壤修复业务领域。</w:t>
            </w:r>
          </w:p>
        </w:tc>
      </w:tr>
      <w:tr>
        <w:trPr>
          <w:trHeight w:val="165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月，公司第一大股东黑龙江省建设开发实业总公司与南都集团控股有限 公司签订股权转让协议，南都集团成为公司实际控制人。</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月，天伦控股 有限公司成为公司第一大股东。</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月，京蓝控股有限公司成为公司第一大 股东。</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年杨树蓝天成为公司的第一大股东，本报告期末，杨树蓝天持有公司 </w:t>
            </w:r>
            <w:r>
              <w:rPr>
                <w:rFonts w:ascii="Times New Roman" w:hAnsi="Times New Roman" w:cs="Times New Roman" w:eastAsia="Times New Roman" w:hint="default"/>
                <w:sz w:val="18"/>
                <w:szCs w:val="18"/>
              </w:rPr>
              <w:t>170,763,781 </w:t>
            </w:r>
            <w:r>
              <w:rPr>
                <w:rFonts w:ascii="宋体" w:hAnsi="宋体" w:cs="宋体" w:eastAsia="宋体" w:hint="default"/>
                <w:sz w:val="18"/>
                <w:szCs w:val="18"/>
              </w:rPr>
              <w:t>股股份，占总股本的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19.48%</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五、其他有关资料" w:id="8"/>
      <w:bookmarkEnd w:id="8"/>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北京市西城区阜成门外大街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号万通大厦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王凤岐、张猛勇</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3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北京市西城区丰盛胡同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丰铭国际大厦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座六层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孔祥熙、田琦艺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北京市西城区丰盛胡同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丰铭国际大厦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座六层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孔祥熙、田琦艺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45" w:right="0"/>
              <w:jc w:val="left"/>
              <w:rPr>
                <w:rFonts w:ascii="Times New Roman" w:hAnsi="Times New Roman" w:cs="Times New Roman" w:eastAsia="Times New Roman" w:hint="default"/>
                <w:sz w:val="18"/>
                <w:szCs w:val="18"/>
              </w:rPr>
            </w:pPr>
            <w:r>
              <w:rPr>
                <w:rFonts w:ascii="Times New Roman"/>
                <w:sz w:val="18"/>
              </w:rPr>
              <w:t>2,490,857,777.77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1,807,935,669.42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49" w:right="0"/>
              <w:jc w:val="left"/>
              <w:rPr>
                <w:rFonts w:ascii="Times New Roman" w:hAnsi="Times New Roman" w:cs="Times New Roman" w:eastAsia="Times New Roman" w:hint="default"/>
                <w:sz w:val="18"/>
                <w:szCs w:val="18"/>
              </w:rPr>
            </w:pPr>
            <w:r>
              <w:rPr>
                <w:rFonts w:ascii="Times New Roman"/>
                <w:sz w:val="18"/>
              </w:rPr>
              <w:t>37.77%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8" w:right="0"/>
              <w:jc w:val="left"/>
              <w:rPr>
                <w:rFonts w:ascii="Times New Roman" w:hAnsi="Times New Roman" w:cs="Times New Roman" w:eastAsia="Times New Roman" w:hint="default"/>
                <w:sz w:val="18"/>
                <w:szCs w:val="18"/>
              </w:rPr>
            </w:pPr>
            <w:r>
              <w:rPr>
                <w:rFonts w:ascii="Times New Roman"/>
                <w:sz w:val="18"/>
              </w:rPr>
              <w:t>460,813,601.86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102,535,975.63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289,292,396.12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11,988,930.50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74,465,558.59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277,215,694.41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-73.14%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8,522,410.14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-843,379,277.69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-395,078,369.21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-113.47%</w:t>
            </w:r>
            <w:r>
              <w:rPr>
                <w:rFonts w:ascii="Times New Roman"/>
                <w:spacing w:val="-1"/>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-257,493,507.60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10,994,938,944.75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8,712,634,430.87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4,085,528,467.88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4,343,418,610.61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4,241,687,304.86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2,970,044,318.77</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256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26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116,455,399.96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1,007,638,299.63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546,817,582.59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819,946,495.59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-80,235,497.17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188,337,127.78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44,546,928.80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-50,112,583.78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-80,951,596.79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186,980,354.02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37,548,586.31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-69,111,784.95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-346,480,656.13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-248,253,472.54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-25,633,596.83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-223,011,552.19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14,984,143.92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-72,911.02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454,122.57</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长期股权投资及固定 资产出售、报废损失</w:t>
            </w: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6,120,463.44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15,280,911.21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276,103.77</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15,087,337.48</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-1,958,642.37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-809,624.41</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-1,223,651.03</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捐赠支出等</w:t>
            </w:r>
          </w:p>
        </w:tc>
      </w:tr>
      <w:tr>
        <w:trPr>
          <w:trHeight w:val="161"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1" w:right="0"/>
              <w:jc w:val="left"/>
              <w:rPr>
                <w:rFonts w:ascii="Times New Roman" w:hAnsi="Times New Roman" w:cs="Times New Roman" w:eastAsia="Times New Roman" w:hint="default"/>
                <w:sz w:val="18"/>
                <w:szCs w:val="18"/>
              </w:rPr>
            </w:pPr>
            <w:r>
              <w:rPr>
                <w:rFonts w:ascii="Times New Roman"/>
                <w:sz w:val="18"/>
              </w:rPr>
              <w:t>65,469.52</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3" w:right="0"/>
              <w:jc w:val="left"/>
              <w:rPr>
                <w:rFonts w:ascii="Times New Roman" w:hAnsi="Times New Roman" w:cs="Times New Roman" w:eastAsia="Times New Roman" w:hint="default"/>
                <w:sz w:val="18"/>
                <w:szCs w:val="18"/>
              </w:rPr>
            </w:pPr>
            <w:r>
              <w:rPr>
                <w:rFonts w:ascii="Times New Roman"/>
                <w:sz w:val="18"/>
              </w:rPr>
              <w:t>1,041,268.84</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3,304,332.28</w:t>
            </w:r>
          </w:p>
        </w:tc>
        <w:tc>
          <w:tcPr>
            <w:tcW w:w="1710"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代扣代缴个人所得税 手续费返还</w:t>
            </w:r>
          </w:p>
        </w:tc>
      </w:tr>
      <w:tr>
        <w:trPr>
          <w:trHeight w:val="392"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161"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4,970,883.34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3,066,195.93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-182,841.08</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1,257,471.61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296,746.98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-472,771.69</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28,070,417.04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12,076,701.71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3,466,520.36</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2"/>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265"/>
        <w:gridCol w:w="2126"/>
        <w:gridCol w:w="5178"/>
      </w:tblGrid>
      <w:tr>
        <w:trPr>
          <w:trHeight w:val="402"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7"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其他符合非经常性损益定义 的损益项目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72" w:right="0"/>
              <w:jc w:val="left"/>
              <w:rPr>
                <w:rFonts w:ascii="Times New Roman" w:hAnsi="Times New Roman" w:cs="Times New Roman" w:eastAsia="Times New Roman" w:hint="default"/>
                <w:sz w:val="18"/>
                <w:szCs w:val="18"/>
              </w:rPr>
            </w:pPr>
            <w:r>
              <w:rPr>
                <w:rFonts w:ascii="Times New Roman"/>
                <w:sz w:val="18"/>
              </w:rPr>
              <w:t>65,469.52</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代扣代缴个人所得税手续费返还</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5"/>
      <w:bookmarkEnd w:id="15"/>
      <w:r>
        <w:rPr>
          <w:b w:val="0"/>
          <w:bCs w:val="0"/>
        </w:rPr>
      </w:r>
      <w:bookmarkStart w:name="_bookmark1"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40" w:lineRule="auto" w:before="80"/>
        <w:ind w:left="574" w:right="0"/>
        <w:jc w:val="left"/>
      </w:pPr>
      <w:r>
        <w:rPr/>
        <w:t>（一）报告期内公司从事的主要业务</w:t>
      </w:r>
    </w:p>
    <w:p>
      <w:pPr>
        <w:pStyle w:val="BodyText"/>
        <w:spacing w:line="273" w:lineRule="auto" w:before="157"/>
        <w:ind w:right="1131" w:firstLine="420"/>
        <w:jc w:val="both"/>
      </w:pPr>
      <w:r>
        <w:rPr>
          <w:spacing w:val="-1"/>
        </w:rPr>
        <w:t>公司积极推进对中科鼎实部分股权的收购事项，使公司业务不断向土壤修复领域拓展，进一步完善公</w:t>
      </w:r>
      <w:r>
        <w:rPr/>
        <w:t> </w:t>
      </w:r>
      <w:r>
        <w:rPr>
          <w:spacing w:val="-1"/>
        </w:rPr>
        <w:t>司产业链布局。报告期内，公司各业务板块相互扶持，形成良性补充，使公司稳步发展。本年度实现营业</w:t>
      </w:r>
      <w:r>
        <w:rPr>
          <w:spacing w:val="-83"/>
        </w:rPr>
        <w:t> </w:t>
      </w:r>
      <w:r>
        <w:rPr>
          <w:spacing w:val="-83"/>
        </w:rPr>
      </w:r>
      <w:r>
        <w:rPr/>
        <w:t>收入</w:t>
      </w:r>
      <w:r>
        <w:rPr>
          <w:rFonts w:ascii="Times New Roman" w:hAnsi="Times New Roman" w:cs="Times New Roman" w:eastAsia="Times New Roman" w:hint="default"/>
        </w:rPr>
        <w:t>249,085.78</w:t>
      </w:r>
      <w:r>
        <w:rPr/>
        <w:t>万元，主要来源于智慧生态节水运营服务和环境园林科技服务两大业务板块。</w:t>
      </w:r>
    </w:p>
    <w:p>
      <w:pPr>
        <w:pStyle w:val="BodyText"/>
        <w:spacing w:line="266" w:lineRule="auto" w:before="108"/>
        <w:ind w:right="1131" w:firstLine="420"/>
        <w:jc w:val="both"/>
      </w:pPr>
      <w:r>
        <w:rPr>
          <w:rFonts w:ascii="Times New Roman" w:hAnsi="Times New Roman" w:cs="Times New Roman" w:eastAsia="Times New Roman" w:hint="default"/>
        </w:rPr>
        <w:t>1</w:t>
      </w:r>
      <w:r>
        <w:rPr/>
        <w:t>、在智慧生态节水运营服务板块，主要由公司子公司京蓝生态、沐禾节水承接相关业务。沐禾节水 </w:t>
      </w:r>
      <w:r>
        <w:rPr>
          <w:spacing w:val="-1"/>
        </w:rPr>
        <w:t>是中国领先的微灌和灌溉智能化方案提供商，独立承接节水灌溉施工项目，主要是微灌工程，提供从节水</w:t>
      </w:r>
      <w:r>
        <w:rPr>
          <w:spacing w:val="-83"/>
        </w:rPr>
        <w:t> </w:t>
      </w:r>
      <w:r>
        <w:rPr>
          <w:spacing w:val="-83"/>
        </w:rPr>
      </w:r>
      <w:r>
        <w:rPr>
          <w:spacing w:val="-1"/>
        </w:rPr>
        <w:t>灌溉材料设备制造到工程设计、预算编制、施工安装、调试、售后服务的整体解决方案。其主要产品涵盖</w:t>
      </w:r>
      <w:r>
        <w:rPr>
          <w:spacing w:val="-83"/>
        </w:rPr>
        <w:t> </w:t>
      </w:r>
      <w:r>
        <w:rPr>
          <w:spacing w:val="-83"/>
        </w:rPr>
      </w:r>
      <w:r>
        <w:rPr>
          <w:spacing w:val="-1"/>
        </w:rPr>
        <w:t>滴灌系统全部组成部件，包括三大类：第一类为首部枢纽系统，主要包括过滤器、施肥器、首部控制系统</w:t>
      </w:r>
      <w:r>
        <w:rPr>
          <w:spacing w:val="-83"/>
        </w:rPr>
        <w:t> </w:t>
      </w:r>
      <w:r>
        <w:rPr>
          <w:spacing w:val="-83"/>
        </w:rPr>
      </w:r>
      <w:r>
        <w:rPr>
          <w:spacing w:val="-2"/>
        </w:rPr>
        <w:t>等；第二类为输水管材，主要包括</w:t>
      </w:r>
      <w:r>
        <w:rPr>
          <w:rFonts w:ascii="Times New Roman" w:hAnsi="Times New Roman" w:cs="Times New Roman" w:eastAsia="Times New Roman" w:hint="default"/>
          <w:spacing w:val="-2"/>
        </w:rPr>
        <w:t>PVC</w:t>
      </w:r>
      <w:r>
        <w:rPr>
          <w:spacing w:val="-2"/>
        </w:rPr>
        <w:t>管材、</w:t>
      </w:r>
      <w:r>
        <w:rPr>
          <w:rFonts w:ascii="Times New Roman" w:hAnsi="Times New Roman" w:cs="Times New Roman" w:eastAsia="Times New Roman" w:hint="default"/>
          <w:spacing w:val="-2"/>
        </w:rPr>
        <w:t>PE</w:t>
      </w:r>
      <w:r>
        <w:rPr>
          <w:spacing w:val="-2"/>
        </w:rPr>
        <w:t>管材等；第三类为滴灌带，主要包括内镶贴片式滴灌带和</w:t>
      </w:r>
      <w:r>
        <w:rPr>
          <w:spacing w:val="-60"/>
        </w:rPr>
        <w:t> </w:t>
      </w:r>
      <w:r>
        <w:rPr>
          <w:spacing w:val="-60"/>
        </w:rPr>
      </w:r>
      <w:r>
        <w:rPr/>
        <w:t>单翼迷宫式滴灌带。</w:t>
      </w:r>
    </w:p>
    <w:p>
      <w:pPr>
        <w:pStyle w:val="BodyText"/>
        <w:spacing w:line="256" w:lineRule="auto" w:before="134"/>
        <w:ind w:right="0" w:firstLine="420"/>
        <w:jc w:val="left"/>
      </w:pPr>
      <w:r>
        <w:rPr/>
        <w:t>沐禾节水主要通过为客户提供</w:t>
      </w:r>
      <w:r>
        <w:rPr>
          <w:rFonts w:ascii="Times New Roman" w:hAnsi="Times New Roman" w:cs="Times New Roman" w:eastAsia="Times New Roman" w:hint="default"/>
        </w:rPr>
        <w:t>“</w:t>
      </w:r>
      <w:r>
        <w:rPr/>
        <w:t>智能、高效、节约化的整体解决方案</w:t>
      </w:r>
      <w:r>
        <w:rPr>
          <w:rFonts w:ascii="Times New Roman" w:hAnsi="Times New Roman" w:cs="Times New Roman" w:eastAsia="Times New Roman" w:hint="default"/>
        </w:rPr>
        <w:t>+</w:t>
      </w:r>
      <w:r>
        <w:rPr/>
        <w:t>工程施工</w:t>
      </w:r>
      <w:r>
        <w:rPr>
          <w:rFonts w:ascii="Times New Roman" w:hAnsi="Times New Roman" w:cs="Times New Roman" w:eastAsia="Times New Roman" w:hint="default"/>
        </w:rPr>
        <w:t>+</w:t>
      </w:r>
      <w:r>
        <w:rPr/>
        <w:t>工程所需设备、材料 </w:t>
      </w:r>
      <w:r>
        <w:rPr>
          <w:spacing w:val="-1"/>
        </w:rPr>
        <w:t>销售</w:t>
      </w:r>
      <w:r>
        <w:rPr>
          <w:rFonts w:ascii="Times New Roman" w:hAnsi="Times New Roman" w:cs="Times New Roman" w:eastAsia="Times New Roman" w:hint="default"/>
          <w:spacing w:val="-1"/>
        </w:rPr>
        <w:t>+</w:t>
      </w:r>
      <w:r>
        <w:rPr>
          <w:spacing w:val="-1"/>
        </w:rPr>
        <w:t>综合服务</w:t>
      </w:r>
      <w:r>
        <w:rPr>
          <w:rFonts w:ascii="Times New Roman" w:hAnsi="Times New Roman" w:cs="Times New Roman" w:eastAsia="Times New Roman" w:hint="default"/>
          <w:spacing w:val="-1"/>
        </w:rPr>
        <w:t>”</w:t>
      </w:r>
      <w:r>
        <w:rPr>
          <w:spacing w:val="-1"/>
        </w:rPr>
        <w:t>的业务模式来实现盈利。报告期内，公司生态节水运营服务业务实现收入</w:t>
      </w:r>
      <w:r>
        <w:rPr>
          <w:rFonts w:ascii="Times New Roman" w:hAnsi="Times New Roman" w:cs="Times New Roman" w:eastAsia="Times New Roman" w:hint="default"/>
          <w:spacing w:val="-1"/>
        </w:rPr>
        <w:t>157,594.59</w:t>
      </w:r>
      <w:r>
        <w:rPr>
          <w:spacing w:val="-1"/>
        </w:rPr>
        <w:t>万元，</w:t>
      </w:r>
      <w:r>
        <w:rPr>
          <w:spacing w:val="-78"/>
        </w:rPr>
        <w:t> </w:t>
      </w:r>
      <w:r>
        <w:rPr/>
        <w:t>占公司</w:t>
      </w:r>
      <w:r>
        <w:rPr>
          <w:rFonts w:ascii="Times New Roman" w:hAnsi="Times New Roman" w:cs="Times New Roman" w:eastAsia="Times New Roman" w:hint="default"/>
        </w:rPr>
        <w:t>2018</w:t>
      </w:r>
      <w:r>
        <w:rPr/>
        <w:t>年度营业收入总额的</w:t>
      </w:r>
      <w:r>
        <w:rPr>
          <w:rFonts w:ascii="Times New Roman" w:hAnsi="Times New Roman" w:cs="Times New Roman" w:eastAsia="Times New Roman" w:hint="default"/>
        </w:rPr>
        <w:t>63.27%</w:t>
      </w:r>
      <w:r>
        <w:rPr/>
        <w:t>。</w:t>
      </w:r>
    </w:p>
    <w:p>
      <w:pPr>
        <w:pStyle w:val="BodyText"/>
        <w:spacing w:line="266" w:lineRule="auto" w:before="125"/>
        <w:ind w:right="1110" w:firstLine="420"/>
        <w:jc w:val="both"/>
      </w:pPr>
      <w:r>
        <w:rPr>
          <w:rFonts w:ascii="Times New Roman" w:hAnsi="Times New Roman" w:cs="Times New Roman" w:eastAsia="Times New Roman" w:hint="default"/>
        </w:rPr>
        <w:t>2</w:t>
      </w:r>
      <w:r>
        <w:rPr/>
        <w:t>、在环境园林科技服务板块，主要由公司子公司北方园林承接相关业务。北方园林以为人类创造美 好环境为使命，为国内产业链最为完整的城市景观环境运营商之一。主要从事工程施工及园林景观设计， </w:t>
      </w:r>
      <w:r>
        <w:rPr>
          <w:spacing w:val="-1"/>
        </w:rPr>
        <w:t>为各类市政公共园林工程、地产景观园林工程、休闲度假园林工程及生态湿地工程等项目提供园林景观设</w:t>
      </w:r>
      <w:r>
        <w:rPr>
          <w:spacing w:val="-81"/>
        </w:rPr>
        <w:t> </w:t>
      </w:r>
      <w:r>
        <w:rPr>
          <w:spacing w:val="-81"/>
        </w:rPr>
      </w:r>
      <w:r>
        <w:rPr/>
        <w:t>计、工程施工及苗木养护管理。</w:t>
      </w:r>
    </w:p>
    <w:p>
      <w:pPr>
        <w:pStyle w:val="BodyText"/>
        <w:spacing w:line="264" w:lineRule="auto" w:before="134"/>
        <w:ind w:right="1131" w:firstLine="420"/>
        <w:jc w:val="both"/>
      </w:pPr>
      <w:r>
        <w:rPr>
          <w:spacing w:val="-1"/>
        </w:rPr>
        <w:t>北方园林的业务范围涵盖园林绿化全产业链，提供园林工程施工、园林景观设计、绿化养护及苗木种</w:t>
      </w:r>
      <w:r>
        <w:rPr/>
        <w:t> </w:t>
      </w:r>
      <w:r>
        <w:rPr>
          <w:spacing w:val="-1"/>
        </w:rPr>
        <w:t>植与销售等产品和服务，从而获得收入、利润。报告期内，公司园林环境科技服务业务实现收入</w:t>
      </w:r>
      <w:r>
        <w:rPr>
          <w:rFonts w:ascii="Times New Roman" w:hAnsi="Times New Roman" w:cs="Times New Roman" w:eastAsia="Times New Roman" w:hint="default"/>
          <w:spacing w:val="-1"/>
        </w:rPr>
        <w:t>87,250.22</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t>万元，占公司</w:t>
      </w:r>
      <w:r>
        <w:rPr>
          <w:rFonts w:ascii="Times New Roman" w:hAnsi="Times New Roman" w:cs="Times New Roman" w:eastAsia="Times New Roman" w:hint="default"/>
        </w:rPr>
        <w:t>2018</w:t>
      </w:r>
      <w:r>
        <w:rPr/>
        <w:t>年度营业收入总额的</w:t>
      </w:r>
      <w:r>
        <w:rPr>
          <w:rFonts w:ascii="Times New Roman" w:hAnsi="Times New Roman" w:cs="Times New Roman" w:eastAsia="Times New Roman" w:hint="default"/>
        </w:rPr>
        <w:t>35.03%</w:t>
      </w:r>
      <w:r>
        <w:rPr/>
        <w:t>。</w:t>
      </w:r>
    </w:p>
    <w:p>
      <w:pPr>
        <w:pStyle w:val="BodyText"/>
        <w:spacing w:line="264" w:lineRule="auto" w:before="118"/>
        <w:ind w:right="1026" w:firstLine="420"/>
        <w:jc w:val="both"/>
      </w:pPr>
      <w:r>
        <w:rPr>
          <w:rFonts w:ascii="Times New Roman" w:hAnsi="Times New Roman" w:cs="Times New Roman" w:eastAsia="Times New Roman" w:hint="default"/>
        </w:rPr>
        <w:t>3</w:t>
      </w:r>
      <w:r>
        <w:rPr/>
        <w:t>、公司经营模式的介绍：公司节水灌溉工程、园林绿化项目主要分为施工总承包、</w:t>
      </w:r>
      <w:r>
        <w:rPr>
          <w:rFonts w:ascii="Times New Roman" w:hAnsi="Times New Roman" w:cs="Times New Roman" w:eastAsia="Times New Roman" w:hint="default"/>
        </w:rPr>
        <w:t>EPC</w:t>
      </w:r>
      <w:r>
        <w:rPr/>
        <w:t>项目和</w:t>
      </w:r>
      <w:r>
        <w:rPr>
          <w:rFonts w:ascii="Times New Roman" w:hAnsi="Times New Roman" w:cs="Times New Roman" w:eastAsia="Times New Roman" w:hint="default"/>
        </w:rPr>
        <w:t>PPP</w:t>
      </w:r>
      <w:r>
        <w:rPr/>
        <w:t>项 目。①施工总承包项目与</w:t>
      </w:r>
      <w:r>
        <w:rPr>
          <w:rFonts w:ascii="Times New Roman" w:hAnsi="Times New Roman" w:cs="Times New Roman" w:eastAsia="Times New Roman" w:hint="default"/>
        </w:rPr>
        <w:t>EPC</w:t>
      </w:r>
      <w:r>
        <w:rPr/>
        <w:t>项目业务模式：工程价款结算主要根据合同中约定的方法和时间向发包方提</w:t>
      </w:r>
      <w:r>
        <w:rPr>
          <w:spacing w:val="-97"/>
        </w:rPr>
        <w:t> </w:t>
      </w:r>
      <w:r>
        <w:rPr>
          <w:spacing w:val="-97"/>
        </w:rPr>
      </w:r>
      <w:r>
        <w:rPr/>
        <w:t>交工程量计算报告，在通过监理工程师及发包方审核，形成工程进度款并结算，在工程完工后，根据工程</w:t>
      </w:r>
      <w:r>
        <w:rPr/>
        <w:t> 完工结算书交付发包方，在项目竣工验收、审计结束后，发包方按照审定金额向公司支付余款，并保留工 程造价的一定比例作为质量保证金，在质保期结束后支付。②</w:t>
      </w:r>
      <w:r>
        <w:rPr>
          <w:rFonts w:ascii="Times New Roman" w:hAnsi="Times New Roman" w:cs="Times New Roman" w:eastAsia="Times New Roman" w:hint="default"/>
        </w:rPr>
        <w:t>PPP</w:t>
      </w:r>
      <w:r>
        <w:rPr/>
        <w:t>项目业务模式：该类项目需要先履行招</w:t>
      </w:r>
      <w:r>
        <w:rPr>
          <w:spacing w:val="-65"/>
        </w:rPr>
        <w:t> </w:t>
      </w:r>
      <w:r>
        <w:rPr>
          <w:spacing w:val="-65"/>
        </w:rPr>
      </w:r>
      <w:r>
        <w:rPr/>
        <w:t>投标程序或竞争性磋商程序获取，获取后由公司牵头成立项目公司，各方根据协议约定缴纳注册资本金， </w:t>
      </w:r>
      <w:r>
        <w:rPr>
          <w:spacing w:val="-3"/>
        </w:rPr>
        <w:t>后续由</w:t>
      </w:r>
      <w:r>
        <w:rPr>
          <w:rFonts w:ascii="Times New Roman" w:hAnsi="Times New Roman" w:cs="Times New Roman" w:eastAsia="Times New Roman" w:hint="default"/>
          <w:spacing w:val="-3"/>
        </w:rPr>
        <w:t>SPV</w:t>
      </w:r>
      <w:r>
        <w:rPr>
          <w:spacing w:val="-3"/>
        </w:rPr>
        <w:t>进行项目投融资、建设及运营，运营期</w:t>
      </w:r>
      <w:r>
        <w:rPr>
          <w:rFonts w:ascii="Times New Roman" w:hAnsi="Times New Roman" w:cs="Times New Roman" w:eastAsia="Times New Roman" w:hint="default"/>
          <w:spacing w:val="-3"/>
        </w:rPr>
        <w:t>8~20</w:t>
      </w:r>
      <w:r>
        <w:rPr>
          <w:spacing w:val="-3"/>
        </w:rPr>
        <w:t>年不等。待运营期结束收回投资后，进行产权移交。</w:t>
      </w:r>
    </w:p>
    <w:p>
      <w:pPr>
        <w:pStyle w:val="BodyText"/>
        <w:spacing w:line="256" w:lineRule="auto" w:before="118"/>
        <w:ind w:right="1141" w:firstLine="420"/>
        <w:jc w:val="both"/>
      </w:pPr>
      <w:r>
        <w:rPr>
          <w:rFonts w:ascii="Times New Roman" w:hAnsi="Times New Roman" w:cs="Times New Roman" w:eastAsia="Times New Roman" w:hint="default"/>
        </w:rPr>
        <w:t>4</w:t>
      </w:r>
      <w:r>
        <w:rPr/>
        <w:t>、公司净利润主要来自于第二和第四季度，因本报告期大多数项目都分布在北方地区，具有明显的 季节性，一季度各项目多处于准备期，未开启建设。</w:t>
      </w:r>
    </w:p>
    <w:p>
      <w:pPr>
        <w:pStyle w:val="BodyText"/>
        <w:spacing w:line="256" w:lineRule="auto" w:before="142"/>
        <w:ind w:right="1130" w:firstLine="420"/>
        <w:jc w:val="both"/>
      </w:pPr>
      <w:r>
        <w:rPr/>
        <w:t>（二）公司所属行业的发展阶段、公司所处的行业地位等，详见</w:t>
      </w:r>
      <w:r>
        <w:rPr>
          <w:rFonts w:ascii="Times New Roman" w:hAnsi="Times New Roman" w:cs="Times New Roman" w:eastAsia="Times New Roman" w:hint="default"/>
        </w:rPr>
        <w:t>“</w:t>
      </w:r>
      <w:r>
        <w:rPr/>
        <w:t>第四节</w:t>
      </w:r>
      <w:r>
        <w:rPr>
          <w:spacing w:val="-65"/>
        </w:rPr>
        <w:t> </w:t>
      </w:r>
      <w:r>
        <w:rPr/>
        <w:t>经营情况讨论与分析</w:t>
      </w:r>
      <w:r>
        <w:rPr>
          <w:rFonts w:ascii="Times New Roman" w:hAnsi="Times New Roman" w:cs="Times New Roman" w:eastAsia="Times New Roman" w:hint="default"/>
        </w:rPr>
        <w:t>/</w:t>
      </w:r>
      <w:r>
        <w:rPr/>
        <w:t>九、公 司未来发展的展望</w:t>
      </w:r>
      <w:r>
        <w:rPr>
          <w:rFonts w:ascii="Times New Roman" w:hAnsi="Times New Roman" w:cs="Times New Roman" w:eastAsia="Times New Roman" w:hint="default"/>
        </w:rPr>
        <w:t>”</w:t>
      </w:r>
      <w:r>
        <w:rPr/>
        <w:t>章节。</w:t>
      </w:r>
    </w:p>
    <w:p>
      <w:pPr>
        <w:spacing w:after="0" w:line="256"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41"/>
        <w:gridCol w:w="6517"/>
      </w:tblGrid>
      <w:tr>
        <w:trPr>
          <w:trHeight w:val="186"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本报告期处置权益法核算的长期股权投资导致股权资产减少</w:t>
            </w: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1"/>
              <w:jc w:val="left"/>
              <w:rPr>
                <w:rFonts w:ascii="宋体" w:hAnsi="宋体" w:cs="宋体" w:eastAsia="宋体" w:hint="default"/>
                <w:sz w:val="18"/>
                <w:szCs w:val="18"/>
              </w:rPr>
            </w:pPr>
            <w:r>
              <w:rPr>
                <w:rFonts w:ascii="宋体" w:hAnsi="宋体" w:cs="宋体" w:eastAsia="宋体" w:hint="default"/>
                <w:spacing w:val="-1"/>
                <w:sz w:val="18"/>
                <w:szCs w:val="18"/>
              </w:rPr>
              <w:t>本报告期高效节水配套新材料研发、中试生产项目结项转为固定资产，导致固定资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产增加</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本报告期京蓝智慧生态云平台项目结项转为无形资产，导致无形资产增加</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本报告期在建工程转为固定资产，导致在建工程减少</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本报告期在施项目增加，导致存货增加</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本报告期以现金对价收购中科鼎实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宋体" w:hAnsi="宋体" w:cs="宋体" w:eastAsia="宋体" w:hint="default"/>
                <w:sz w:val="18"/>
                <w:szCs w:val="18"/>
              </w:rPr>
              <w:t>股权，导致其他非流动资产增加</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64" w:lineRule="auto" w:before="80"/>
        <w:ind w:right="1133" w:firstLine="420"/>
        <w:jc w:val="both"/>
      </w:pPr>
      <w:r>
        <w:rPr>
          <w:rFonts w:ascii="Times New Roman" w:hAnsi="Times New Roman" w:cs="Times New Roman" w:eastAsia="Times New Roman" w:hint="default"/>
        </w:rPr>
        <w:t>1</w:t>
      </w:r>
      <w:r>
        <w:rPr/>
        <w:t>、追求长远发展的企业使命：青山绿水蓝天情，基业长青中国梦。公司通过资本运作，积极开展融 </w:t>
      </w:r>
      <w:r>
        <w:rPr>
          <w:spacing w:val="-1"/>
        </w:rPr>
        <w:t>资并购事宜，完善公司产业链；同时公司依靠自身资源整合能力进行战略性产业布局，夯实业务基础，集</w:t>
      </w:r>
      <w:r>
        <w:rPr>
          <w:spacing w:val="-85"/>
        </w:rPr>
        <w:t> </w:t>
      </w:r>
      <w:r>
        <w:rPr>
          <w:spacing w:val="-85"/>
        </w:rPr>
      </w:r>
      <w:r>
        <w:rPr/>
        <w:t>中加速推进业务转型，为社会、为股东创造价值。</w:t>
      </w:r>
    </w:p>
    <w:p>
      <w:pPr>
        <w:pStyle w:val="BodyText"/>
        <w:spacing w:line="256" w:lineRule="auto" w:before="136"/>
        <w:ind w:right="1134" w:firstLine="420"/>
        <w:jc w:val="both"/>
      </w:pPr>
      <w:r>
        <w:rPr>
          <w:rFonts w:ascii="Times New Roman" w:hAnsi="Times New Roman" w:cs="Times New Roman" w:eastAsia="Times New Roman" w:hint="default"/>
        </w:rPr>
        <w:t>2</w:t>
      </w:r>
      <w:r>
        <w:rPr/>
        <w:t>、积极向上的核心价值观：上善若水，弘毅怀德。追求做人应如水，水滋润万物，但从不与万物争 高下的高尚品格与境界。</w:t>
      </w:r>
    </w:p>
    <w:p>
      <w:pPr>
        <w:pStyle w:val="BodyText"/>
        <w:spacing w:line="264" w:lineRule="auto" w:before="142"/>
        <w:ind w:right="1096" w:firstLine="420"/>
        <w:jc w:val="both"/>
      </w:pPr>
      <w:r>
        <w:rPr>
          <w:rFonts w:ascii="Times New Roman" w:hAnsi="Times New Roman" w:cs="Times New Roman" w:eastAsia="Times New Roman" w:hint="default"/>
        </w:rPr>
        <w:t>3</w:t>
      </w:r>
      <w:r>
        <w:rPr/>
        <w:t>、清晰的发展战略：公司践行生态环境</w:t>
      </w:r>
      <w:r>
        <w:rPr>
          <w:rFonts w:ascii="Times New Roman" w:hAnsi="Times New Roman" w:cs="Times New Roman" w:eastAsia="Times New Roman" w:hint="default"/>
        </w:rPr>
        <w:t>+</w:t>
      </w:r>
      <w:r>
        <w:rPr/>
        <w:t>大数据、移动互联、云计算的发展战略，以水生态为纽带， 生态环境治理和修复为基础，物联网云科技为引擎，生态文明与可持续发展国家战略为己任，立志成为国 际领先的</w:t>
      </w:r>
      <w:r>
        <w:rPr>
          <w:rFonts w:ascii="Times New Roman" w:hAnsi="Times New Roman" w:cs="Times New Roman" w:eastAsia="Times New Roman" w:hint="default"/>
        </w:rPr>
        <w:t>“</w:t>
      </w:r>
      <w:r>
        <w:rPr/>
        <w:t>生态环境领域解决方案供应商和投资运营商</w:t>
      </w:r>
      <w:r>
        <w:rPr>
          <w:rFonts w:ascii="Times New Roman" w:hAnsi="Times New Roman" w:cs="Times New Roman" w:eastAsia="Times New Roman" w:hint="default"/>
        </w:rPr>
        <w:t>”</w:t>
      </w:r>
      <w:r>
        <w:rPr/>
        <w:t>。</w:t>
      </w:r>
    </w:p>
    <w:p>
      <w:pPr>
        <w:pStyle w:val="BodyText"/>
        <w:spacing w:line="256" w:lineRule="auto" w:before="118"/>
        <w:ind w:right="1141" w:firstLine="420"/>
        <w:jc w:val="both"/>
      </w:pPr>
      <w:r>
        <w:rPr>
          <w:rFonts w:ascii="Times New Roman" w:hAnsi="Times New Roman" w:cs="Times New Roman" w:eastAsia="Times New Roman" w:hint="default"/>
        </w:rPr>
        <w:t>4</w:t>
      </w:r>
      <w:r>
        <w:rPr/>
        <w:t>、不断完善的公司治理能力及内部管控能力。通过对高级管理人员的调整，使公司治理能力得到进 一步加强，内部控制体系进一步完善。</w:t>
      </w:r>
    </w:p>
    <w:p>
      <w:pPr>
        <w:pStyle w:val="BodyText"/>
        <w:spacing w:line="264" w:lineRule="auto" w:before="142"/>
        <w:ind w:right="1023" w:firstLine="420"/>
        <w:jc w:val="left"/>
      </w:pPr>
      <w:r>
        <w:rPr>
          <w:rFonts w:ascii="Times New Roman" w:hAnsi="Times New Roman" w:cs="Times New Roman" w:eastAsia="Times New Roman" w:hint="default"/>
        </w:rPr>
        <w:t>5</w:t>
      </w:r>
      <w:r>
        <w:rPr/>
        <w:t>、优秀的金融与产业融合能力。公司通过并购重组，不断完善智慧生态产业链，实现资源整合，发 </w:t>
      </w:r>
      <w:r>
        <w:rPr>
          <w:spacing w:val="-3"/>
        </w:rPr>
        <w:t>挥规模经济效应，有效进行成本控制、增强企业整体的抗风险能力，同时使内部资源合理流动和有效组合，</w:t>
      </w:r>
      <w:r>
        <w:rPr>
          <w:spacing w:val="-90"/>
        </w:rPr>
        <w:t> </w:t>
      </w:r>
      <w:r>
        <w:rPr>
          <w:spacing w:val="-90"/>
        </w:rPr>
      </w:r>
      <w:r>
        <w:rPr/>
        <w:t>以提高资产利用率，加速资产周转、减少资金占用，提升公司营运效率，增强上市公司盈利能力。</w:t>
      </w:r>
    </w:p>
    <w:p>
      <w:pPr>
        <w:pStyle w:val="BodyText"/>
        <w:spacing w:line="256" w:lineRule="auto" w:before="136"/>
        <w:ind w:right="1131" w:firstLine="420"/>
        <w:jc w:val="both"/>
      </w:pPr>
      <w:r>
        <w:rPr>
          <w:rFonts w:ascii="Times New Roman" w:hAnsi="Times New Roman" w:cs="Times New Roman" w:eastAsia="Times New Roman" w:hint="default"/>
        </w:rPr>
        <w:t>6</w:t>
      </w:r>
      <w:r>
        <w:rPr/>
        <w:t>、优秀的管理团队和行业资源整合能力。当前公司绝大多数管理层及中层干部在生态及信息化领域 </w:t>
      </w:r>
      <w:r>
        <w:rPr>
          <w:spacing w:val="-1"/>
        </w:rPr>
        <w:t>均具备</w:t>
      </w:r>
      <w:r>
        <w:rPr>
          <w:rFonts w:ascii="Times New Roman" w:hAnsi="Times New Roman" w:cs="Times New Roman" w:eastAsia="Times New Roman" w:hint="default"/>
          <w:spacing w:val="-1"/>
        </w:rPr>
        <w:t>10</w:t>
      </w:r>
      <w:r>
        <w:rPr>
          <w:spacing w:val="-1"/>
        </w:rPr>
        <w:t>年以上的从业经验，构建了一支高质量的管理团队，同时公司积极与生态及信息化行业内的多加</w:t>
      </w:r>
      <w:r>
        <w:rPr>
          <w:spacing w:val="-82"/>
        </w:rPr>
        <w:t> </w:t>
      </w:r>
      <w:r>
        <w:rPr>
          <w:spacing w:val="-82"/>
        </w:rPr>
      </w:r>
      <w:r>
        <w:rPr/>
        <w:t>优质公司达成合作意向，共同拓展市场。</w:t>
      </w:r>
    </w:p>
    <w:p>
      <w:pPr>
        <w:pStyle w:val="BodyText"/>
        <w:spacing w:line="240" w:lineRule="auto" w:before="142"/>
        <w:ind w:left="574" w:right="0"/>
        <w:jc w:val="left"/>
      </w:pPr>
      <w:r>
        <w:rPr>
          <w:rFonts w:ascii="Times New Roman" w:hAnsi="Times New Roman" w:cs="Times New Roman" w:eastAsia="Times New Roman" w:hint="default"/>
        </w:rPr>
        <w:t>7</w:t>
      </w:r>
      <w:r>
        <w:rPr/>
        <w:t>、较强的研发和自主创新能力。公司通过成立院士工作站、企业研究院，并与中国工程院、上海化</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1" w:lineRule="auto" w:before="35"/>
        <w:ind w:right="1027"/>
        <w:jc w:val="left"/>
      </w:pPr>
      <w:r>
        <w:rPr/>
        <w:t>工研究院、北京化工大学等科研院所合作，拥有土壤修复、水体治理、农业三废循环利用等核心技术。子 公司京蓝沐禾主要核心技术有地埋式滴灌技术、灌溉系统自动控制及信息化技术、硬聚氯乙烯（</w:t>
      </w:r>
      <w:r>
        <w:rPr>
          <w:rFonts w:ascii="Times New Roman" w:hAnsi="Times New Roman" w:cs="Times New Roman" w:eastAsia="Times New Roman" w:hint="default"/>
        </w:rPr>
        <w:t>PVC-U</w:t>
      </w:r>
      <w:r>
        <w:rPr/>
        <w:t>） 给水管材新型加工工艺技术等，技术水平在节水灌溉领域内处于领先地位。截至目前，京蓝沐禾拥有多项 </w:t>
      </w:r>
      <w:r>
        <w:rPr>
          <w:spacing w:val="-3"/>
        </w:rPr>
        <w:t>实用新型和发明专利，拥有灌溉企业等级证书（甲贰级）、水利水电工程施工总承包资质（贰级）等资质。</w:t>
      </w:r>
      <w:r>
        <w:rPr>
          <w:spacing w:val="-95"/>
        </w:rPr>
        <w:t> </w:t>
      </w:r>
      <w:r>
        <w:rPr>
          <w:spacing w:val="-95"/>
        </w:rPr>
      </w:r>
      <w:r>
        <w:rPr>
          <w:spacing w:val="-3"/>
        </w:rPr>
        <w:t>北方园林核心技术主要有滨海吹填土原位改良利用技术、农业废弃物资源化利用技术、水生态修复技术等。</w:t>
      </w:r>
      <w:r>
        <w:rPr>
          <w:spacing w:val="-92"/>
        </w:rPr>
        <w:t> </w:t>
      </w:r>
      <w:r>
        <w:rPr>
          <w:spacing w:val="-92"/>
        </w:rPr>
      </w:r>
      <w:r>
        <w:rPr/>
        <w:t>同时，北方园林拥有多项发明专利、实用新型专利及外观设计专利，并且具有风景园林工程设计甲级资质</w:t>
      </w:r>
      <w:r>
        <w:rPr/>
        <w:t> 以及城乡规划编制乙级资质，可以承揽各种类型和规模的风景园林工程专项设计和园林绿化工程。</w:t>
      </w:r>
    </w:p>
    <w:p>
      <w:pPr>
        <w:spacing w:after="0" w:line="271"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第四节 经营情况讨论与分析" w:id="22"/>
      <w:bookmarkEnd w:id="22"/>
      <w:r>
        <w:rPr>
          <w:b w:val="0"/>
          <w:bCs w:val="0"/>
        </w:rPr>
      </w:r>
      <w:bookmarkStart w:name="_bookmark2"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4"/>
      <w:bookmarkEnd w:id="24"/>
      <w:r>
        <w:rPr>
          <w:b w:val="0"/>
          <w:bCs w:val="0"/>
        </w:rPr>
      </w:r>
      <w:r>
        <w:rPr/>
        <w:t>一、概述</w:t>
      </w:r>
      <w:r>
        <w:rPr>
          <w:b w:val="0"/>
          <w:bCs w:val="0"/>
        </w:rPr>
      </w:r>
    </w:p>
    <w:p>
      <w:pPr>
        <w:spacing w:line="240" w:lineRule="auto" w:before="8"/>
        <w:rPr>
          <w:rFonts w:ascii="宋体" w:hAnsi="宋体" w:cs="宋体" w:eastAsia="宋体" w:hint="default"/>
          <w:b/>
          <w:bCs/>
          <w:sz w:val="24"/>
          <w:szCs w:val="24"/>
        </w:rPr>
      </w:pPr>
    </w:p>
    <w:p>
      <w:pPr>
        <w:pStyle w:val="BodyText"/>
        <w:spacing w:line="261" w:lineRule="auto"/>
        <w:ind w:right="1127" w:firstLine="420"/>
        <w:jc w:val="both"/>
      </w:pPr>
      <w:r>
        <w:rPr>
          <w:rFonts w:ascii="Times New Roman" w:hAnsi="Times New Roman" w:cs="Times New Roman" w:eastAsia="Times New Roman" w:hint="default"/>
          <w:spacing w:val="-1"/>
        </w:rPr>
        <w:t>2018</w:t>
      </w:r>
      <w:r>
        <w:rPr>
          <w:spacing w:val="-1"/>
        </w:rPr>
        <w:t>年，公司坚持多元化发展战略，在公司董事会的正确决策下，公司管理层利用上市公司在资本市</w:t>
      </w:r>
      <w:r>
        <w:rPr/>
        <w:t> </w:t>
      </w:r>
      <w:r>
        <w:rPr>
          <w:spacing w:val="-1"/>
        </w:rPr>
        <w:t>场的优势，以及自身丰富的资本运作经验，继续采用内生式增长与外延式扩展相结合的模式不断进行资源</w:t>
      </w:r>
      <w:r>
        <w:rPr>
          <w:spacing w:val="-81"/>
        </w:rPr>
        <w:t> </w:t>
      </w:r>
      <w:r>
        <w:rPr>
          <w:spacing w:val="-81"/>
        </w:rPr>
      </w:r>
      <w:r>
        <w:rPr/>
        <w:t>整合，完善公司产业架构，促进公司战略全面升级，形成了</w:t>
      </w:r>
      <w:r>
        <w:rPr>
          <w:rFonts w:ascii="Times New Roman" w:hAnsi="Times New Roman" w:cs="Times New Roman" w:eastAsia="Times New Roman" w:hint="default"/>
        </w:rPr>
        <w:t>“</w:t>
      </w:r>
      <w:r>
        <w:rPr/>
        <w:t>生态环境</w:t>
      </w:r>
      <w:r>
        <w:rPr>
          <w:rFonts w:ascii="Times New Roman" w:hAnsi="Times New Roman" w:cs="Times New Roman" w:eastAsia="Times New Roman" w:hint="default"/>
        </w:rPr>
        <w:t>+</w:t>
      </w:r>
      <w:r>
        <w:rPr/>
        <w:t>大数据、移动互联、云计算</w:t>
      </w:r>
      <w:r>
        <w:rPr>
          <w:rFonts w:ascii="Times New Roman" w:hAnsi="Times New Roman" w:cs="Times New Roman" w:eastAsia="Times New Roman" w:hint="default"/>
        </w:rPr>
        <w:t>”</w:t>
      </w:r>
      <w:r>
        <w:rPr/>
        <w:t>一体</w:t>
      </w:r>
      <w:r>
        <w:rPr>
          <w:spacing w:val="-16"/>
        </w:rPr>
        <w:t> </w:t>
      </w:r>
      <w:r>
        <w:rPr/>
        <w:t>化的商业模式，打造了</w:t>
      </w:r>
      <w:r>
        <w:rPr>
          <w:rFonts w:ascii="Times New Roman" w:hAnsi="Times New Roman" w:cs="Times New Roman" w:eastAsia="Times New Roman" w:hint="default"/>
        </w:rPr>
        <w:t>“</w:t>
      </w:r>
      <w:r>
        <w:rPr/>
        <w:t>京蓝生态水利、京蓝环境园林、京蓝土壤修复、京蓝清洁能源、京蓝物联网云科</w:t>
      </w:r>
      <w:r>
        <w:rPr>
          <w:spacing w:val="-22"/>
        </w:rPr>
        <w:t> </w:t>
      </w:r>
      <w:r>
        <w:rPr>
          <w:spacing w:val="-22"/>
        </w:rPr>
      </w:r>
      <w:r>
        <w:rPr/>
        <w:t>技、京蓝国际工程、京蓝技术研究院、京蓝企业级创新孵化器</w:t>
      </w:r>
      <w:r>
        <w:rPr>
          <w:rFonts w:ascii="Times New Roman" w:hAnsi="Times New Roman" w:cs="Times New Roman" w:eastAsia="Times New Roman" w:hint="default"/>
        </w:rPr>
        <w:t>”</w:t>
      </w:r>
      <w:r>
        <w:rPr/>
        <w:t>为一体的多业务战略板块，致力于成为国</w:t>
      </w:r>
      <w:r>
        <w:rPr>
          <w:spacing w:val="-17"/>
        </w:rPr>
        <w:t> </w:t>
      </w:r>
      <w:r>
        <w:rPr>
          <w:spacing w:val="-17"/>
        </w:rPr>
      </w:r>
      <w:r>
        <w:rPr/>
        <w:t>际领先的</w:t>
      </w:r>
      <w:r>
        <w:rPr>
          <w:rFonts w:ascii="Times New Roman" w:hAnsi="Times New Roman" w:cs="Times New Roman" w:eastAsia="Times New Roman" w:hint="default"/>
        </w:rPr>
        <w:t>“</w:t>
      </w:r>
      <w:r>
        <w:rPr/>
        <w:t>生态环境领域解决方案供应商和投资运营商</w:t>
      </w:r>
      <w:r>
        <w:rPr>
          <w:rFonts w:ascii="Times New Roman" w:hAnsi="Times New Roman" w:cs="Times New Roman" w:eastAsia="Times New Roman" w:hint="default"/>
        </w:rPr>
        <w:t>”</w:t>
      </w:r>
      <w:r>
        <w:rPr/>
        <w:t>。</w:t>
      </w:r>
    </w:p>
    <w:p>
      <w:pPr>
        <w:pStyle w:val="BodyText"/>
        <w:spacing w:line="432" w:lineRule="exact" w:before="20"/>
        <w:ind w:left="574" w:right="0"/>
        <w:jc w:val="left"/>
      </w:pPr>
      <w:r>
        <w:rPr/>
        <w:t>（一）发行股份购买中科鼎实部分股权，同时募集配套资金。 为进一步完善公司产业链，</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月公司启动以发行股份的方式收购中科鼎实部分股权，同时募集</w:t>
      </w:r>
    </w:p>
    <w:p>
      <w:pPr>
        <w:pStyle w:val="BodyText"/>
        <w:spacing w:line="255" w:lineRule="exact"/>
        <w:ind w:right="0"/>
        <w:jc w:val="both"/>
      </w:pPr>
      <w:r>
        <w:rPr/>
        <w:t>配套资金的重大项目。中科鼎实主要从事土壤修复、地下水修复等业务。为锁定本次交易标的，结合公司</w:t>
      </w:r>
    </w:p>
    <w:p>
      <w:pPr>
        <w:pStyle w:val="BodyText"/>
        <w:spacing w:line="256" w:lineRule="auto" w:before="37"/>
        <w:ind w:right="1131"/>
        <w:jc w:val="both"/>
      </w:pPr>
      <w:r>
        <w:rPr>
          <w:spacing w:val="-1"/>
        </w:rPr>
        <w:t>实际情况，公司先行以现金收购中科鼎实</w:t>
      </w:r>
      <w:r>
        <w:rPr>
          <w:rFonts w:ascii="Times New Roman" w:hAnsi="Times New Roman" w:cs="Times New Roman" w:eastAsia="Times New Roman" w:hint="default"/>
          <w:spacing w:val="-1"/>
        </w:rPr>
        <w:t>21%</w:t>
      </w:r>
      <w:r>
        <w:rPr>
          <w:spacing w:val="-1"/>
        </w:rPr>
        <w:t>的股权，同时公司积极推进发行股份收购中科鼎实</w:t>
      </w:r>
      <w:r>
        <w:rPr>
          <w:rFonts w:ascii="Times New Roman" w:hAnsi="Times New Roman" w:cs="Times New Roman" w:eastAsia="Times New Roman" w:hint="default"/>
          <w:spacing w:val="-1"/>
        </w:rPr>
        <w:t>56.7152%</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t>的股权。截至本报告期末，公司已完成上述中科鼎实</w:t>
      </w:r>
      <w:r>
        <w:rPr>
          <w:rFonts w:ascii="Times New Roman" w:hAnsi="Times New Roman" w:cs="Times New Roman" w:eastAsia="Times New Roman" w:hint="default"/>
        </w:rPr>
        <w:t>21%</w:t>
      </w:r>
      <w:r>
        <w:rPr/>
        <w:t>股权的过户事宜，发行股份购买资产事项在顺利</w:t>
      </w:r>
      <w:r>
        <w:rPr>
          <w:spacing w:val="-97"/>
        </w:rPr>
        <w:t> </w:t>
      </w:r>
      <w:r>
        <w:rPr>
          <w:spacing w:val="-97"/>
        </w:rPr>
      </w:r>
      <w:r>
        <w:rPr/>
        <w:t>推进中。若本次交易顺利完成，将进一步完善公司生态环境产业布局，为公司开辟新的利润增长点。</w:t>
      </w:r>
    </w:p>
    <w:p>
      <w:pPr>
        <w:pStyle w:val="BodyText"/>
        <w:spacing w:line="264" w:lineRule="auto" w:before="142"/>
        <w:ind w:right="1132" w:firstLine="420"/>
        <w:jc w:val="both"/>
      </w:pPr>
      <w:r>
        <w:rPr/>
        <w:t>通过收购中科鼎实股权，使上市公司具备</w:t>
      </w:r>
      <w:r>
        <w:rPr>
          <w:rFonts w:ascii="Times New Roman" w:hAnsi="Times New Roman" w:cs="Times New Roman" w:eastAsia="Times New Roman" w:hint="default"/>
        </w:rPr>
        <w:t>“</w:t>
      </w:r>
      <w:r>
        <w:rPr/>
        <w:t>水土共治</w:t>
      </w:r>
      <w:r>
        <w:rPr>
          <w:rFonts w:ascii="Times New Roman" w:hAnsi="Times New Roman" w:cs="Times New Roman" w:eastAsia="Times New Roman" w:hint="default"/>
        </w:rPr>
        <w:t>”</w:t>
      </w:r>
      <w:r>
        <w:rPr/>
        <w:t>一站式环境修复解决方案能力：一方面，通过将 </w:t>
      </w:r>
      <w:r>
        <w:rPr>
          <w:spacing w:val="-1"/>
        </w:rPr>
        <w:t>城市场地修复和园林绿化板块相结合，使上市公司拥有污染土壤的调查监测、风险评估、治理修复、绿色</w:t>
      </w:r>
      <w:r>
        <w:rPr>
          <w:spacing w:val="-86"/>
        </w:rPr>
        <w:t> </w:t>
      </w:r>
      <w:r>
        <w:rPr>
          <w:spacing w:val="-86"/>
        </w:rPr>
      </w:r>
      <w:r>
        <w:rPr>
          <w:spacing w:val="-1"/>
        </w:rPr>
        <w:t>利用再开发、生态园林体系重建和运营维护能力，形成产业链竞争优势。另一方面，使公司成为国内同时</w:t>
      </w:r>
      <w:r>
        <w:rPr>
          <w:spacing w:val="-84"/>
        </w:rPr>
        <w:t> </w:t>
      </w:r>
      <w:r>
        <w:rPr>
          <w:spacing w:val="-84"/>
        </w:rPr>
      </w:r>
      <w:r>
        <w:rPr/>
        <w:t>具备污染耕地修复和高标准农田建设的企业，有望解决</w:t>
      </w:r>
      <w:r>
        <w:rPr>
          <w:rFonts w:ascii="Times New Roman" w:hAnsi="Times New Roman" w:cs="Times New Roman" w:eastAsia="Times New Roman" w:hint="default"/>
        </w:rPr>
        <w:t>“</w:t>
      </w:r>
      <w:r>
        <w:rPr/>
        <w:t>红水浇地</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过量施肥</w:t>
      </w:r>
      <w:r>
        <w:rPr>
          <w:rFonts w:ascii="Times New Roman" w:hAnsi="Times New Roman" w:cs="Times New Roman" w:eastAsia="Times New Roman" w:hint="default"/>
        </w:rPr>
        <w:t>”</w:t>
      </w:r>
      <w:r>
        <w:rPr/>
        <w:t>等行业问题，实现对水资</w:t>
      </w:r>
      <w:r>
        <w:rPr>
          <w:spacing w:val="-85"/>
        </w:rPr>
        <w:t> </w:t>
      </w:r>
      <w:r>
        <w:rPr>
          <w:spacing w:val="-85"/>
        </w:rPr>
      </w:r>
      <w:r>
        <w:rPr/>
        <w:t>源滥用和耕地污染的有效管控。</w:t>
      </w:r>
    </w:p>
    <w:p>
      <w:pPr>
        <w:pStyle w:val="BodyText"/>
        <w:spacing w:line="240" w:lineRule="auto" w:before="136"/>
        <w:ind w:left="574" w:right="0"/>
        <w:jc w:val="left"/>
      </w:pPr>
      <w:r>
        <w:rPr/>
        <w:t>（二）公司多项业务板块齐头并进，全面发展。</w:t>
      </w:r>
    </w:p>
    <w:p>
      <w:pPr>
        <w:pStyle w:val="BodyText"/>
        <w:spacing w:line="357" w:lineRule="auto" w:before="157"/>
        <w:ind w:left="574" w:right="3192"/>
        <w:jc w:val="left"/>
      </w:pPr>
      <w:r>
        <w:rPr>
          <w:rFonts w:ascii="Times New Roman" w:hAnsi="Times New Roman" w:cs="Times New Roman" w:eastAsia="Times New Roman" w:hint="default"/>
        </w:rPr>
        <w:t>1</w:t>
      </w:r>
      <w:r>
        <w:rPr/>
        <w:t>、京蓝生态水利 生态水利业务是公司发展战略中至关重要的一环，是公司主要收入来源之一。</w:t>
      </w:r>
    </w:p>
    <w:p>
      <w:pPr>
        <w:pStyle w:val="BodyText"/>
        <w:spacing w:line="273" w:lineRule="auto" w:before="54"/>
        <w:ind w:right="1131" w:firstLine="420"/>
        <w:jc w:val="both"/>
      </w:pPr>
      <w:r>
        <w:rPr>
          <w:spacing w:val="-1"/>
        </w:rPr>
        <w:t>智慧高效节水灌溉平台包括水资源管理系统、新农艺系统、地上灌溉系统、输水管网系统、智慧农业</w:t>
      </w:r>
      <w:r>
        <w:rPr/>
        <w:t> </w:t>
      </w:r>
      <w:r>
        <w:rPr>
          <w:spacing w:val="-1"/>
        </w:rPr>
        <w:t>云系统、测土配肥系统、自动控制系统及水权交易系统，可通过智能高效节水灌溉系统制定最佳的灌溉施</w:t>
      </w:r>
      <w:r>
        <w:rPr>
          <w:spacing w:val="-83"/>
        </w:rPr>
        <w:t> </w:t>
      </w:r>
      <w:r>
        <w:rPr>
          <w:spacing w:val="-83"/>
        </w:rPr>
      </w:r>
      <w:r>
        <w:rPr>
          <w:spacing w:val="-1"/>
        </w:rPr>
        <w:t>肥方案，为客户提供优质高效省心的服务。公司子公司京蓝沐禾进一步深化了发展方向，以农业管家、生</w:t>
      </w:r>
      <w:r>
        <w:rPr>
          <w:spacing w:val="-85"/>
        </w:rPr>
        <w:t> </w:t>
      </w:r>
      <w:r>
        <w:rPr>
          <w:spacing w:val="-85"/>
        </w:rPr>
      </w:r>
      <w:r>
        <w:rPr>
          <w:spacing w:val="-1"/>
        </w:rPr>
        <w:t>态专家作为企业定位；业务以水为主线，紧紧围绕高效节水、水源地建设、安全饮水、农业产业园开发等</w:t>
      </w:r>
      <w:r>
        <w:rPr>
          <w:spacing w:val="-83"/>
        </w:rPr>
        <w:t> </w:t>
      </w:r>
      <w:r>
        <w:rPr>
          <w:spacing w:val="-83"/>
        </w:rPr>
      </w:r>
      <w:r>
        <w:rPr>
          <w:spacing w:val="-1"/>
        </w:rPr>
        <w:t>具体项目，充分利用蜂巢约束系统、水环境修复及土壤修复技术，提供水生态系统整体解决方案，努力打</w:t>
      </w:r>
      <w:r>
        <w:rPr>
          <w:spacing w:val="-86"/>
        </w:rPr>
        <w:t> </w:t>
      </w:r>
      <w:r>
        <w:rPr>
          <w:spacing w:val="-86"/>
        </w:rPr>
      </w:r>
      <w:r>
        <w:rPr/>
        <w:t>造投资、设计、建设、运营一体化综合服务。致力于为节水和生态事业探索提供京蓝方案。</w:t>
      </w:r>
    </w:p>
    <w:p>
      <w:pPr>
        <w:pStyle w:val="BodyText"/>
        <w:spacing w:line="266" w:lineRule="auto" w:before="127"/>
        <w:ind w:right="1131" w:firstLine="420"/>
        <w:jc w:val="both"/>
      </w:pPr>
      <w:r>
        <w:rPr>
          <w:spacing w:val="-1"/>
        </w:rPr>
        <w:t>报告期内，公司智慧高效节水灌溉业务发展态势良好。京蓝沐禾中标阿鲁科尔沁旗补充耕地储备库项</w:t>
      </w:r>
      <w:r>
        <w:rPr/>
        <w:t> 目与</w:t>
      </w:r>
      <w:r>
        <w:rPr>
          <w:rFonts w:ascii="Times New Roman" w:hAnsi="Times New Roman" w:cs="Times New Roman" w:eastAsia="Times New Roman" w:hint="default"/>
        </w:rPr>
        <w:t>2018</w:t>
      </w:r>
      <w:r>
        <w:rPr/>
        <w:t>年天山城区道路、</w:t>
      </w:r>
      <w:r>
        <w:rPr>
          <w:rFonts w:ascii="Times New Roman" w:hAnsi="Times New Roman" w:cs="Times New Roman" w:eastAsia="Times New Roman" w:hint="default"/>
        </w:rPr>
        <w:t>“</w:t>
      </w:r>
      <w:r>
        <w:rPr/>
        <w:t>雪亮</w:t>
      </w:r>
      <w:r>
        <w:rPr>
          <w:rFonts w:ascii="Times New Roman" w:hAnsi="Times New Roman" w:cs="Times New Roman" w:eastAsia="Times New Roman" w:hint="default"/>
        </w:rPr>
        <w:t>”</w:t>
      </w:r>
      <w:r>
        <w:rPr/>
        <w:t>工程及沿河景观带项目工程总承包、东阿县绿色食品原料标准化生产水 </w:t>
      </w:r>
      <w:r>
        <w:rPr>
          <w:spacing w:val="-1"/>
        </w:rPr>
        <w:t>肥一体化建设、贺兰县现代化生态灌区（投建管服一体化）等项目，部分项目已落地实施，充足的订单量</w:t>
      </w:r>
      <w:r>
        <w:rPr>
          <w:spacing w:val="-83"/>
        </w:rPr>
        <w:t> </w:t>
      </w:r>
      <w:r>
        <w:rPr>
          <w:spacing w:val="-83"/>
        </w:rPr>
      </w:r>
      <w:r>
        <w:rPr/>
        <w:t>为公司持续稳定健康的发展提供了良好保障。</w:t>
      </w:r>
    </w:p>
    <w:p>
      <w:pPr>
        <w:pStyle w:val="BodyText"/>
        <w:spacing w:line="357" w:lineRule="auto" w:before="133"/>
        <w:ind w:left="574" w:right="0"/>
        <w:jc w:val="left"/>
      </w:pPr>
      <w:r>
        <w:rPr>
          <w:rFonts w:ascii="Times New Roman" w:hAnsi="Times New Roman" w:cs="Times New Roman" w:eastAsia="Times New Roman" w:hint="default"/>
        </w:rPr>
        <w:t>2</w:t>
      </w:r>
      <w:r>
        <w:rPr/>
        <w:t>、京蓝环境园林 </w:t>
      </w:r>
      <w:r>
        <w:rPr>
          <w:spacing w:val="-1"/>
        </w:rPr>
        <w:t>公司子公司北方园林以为人类创造美好环境为使命，为国内产业链最为完整的城市景观环境运营商之</w:t>
      </w:r>
    </w:p>
    <w:p>
      <w:pPr>
        <w:pStyle w:val="BodyText"/>
        <w:spacing w:line="209" w:lineRule="exact"/>
        <w:ind w:right="0"/>
        <w:jc w:val="both"/>
      </w:pPr>
      <w:r>
        <w:rPr/>
        <w:t>一，业务范围涵盖各类园林景观工程的规划设计，可承揽各类大型广场综合绿地、园区厂矿企业配套绿化</w:t>
      </w:r>
    </w:p>
    <w:p>
      <w:pPr>
        <w:pStyle w:val="BodyText"/>
        <w:spacing w:line="240" w:lineRule="auto" w:before="37"/>
        <w:ind w:right="0"/>
        <w:jc w:val="both"/>
      </w:pPr>
      <w:r>
        <w:rPr/>
        <w:t>及基础设施、土壤改良与修复、河道治理、城市综合体景观等一系列的景观综合性工程。目前公司围绕绿</w:t>
      </w:r>
    </w:p>
    <w:p>
      <w:pPr>
        <w:spacing w:after="0" w:line="24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3"/>
        <w:jc w:val="both"/>
      </w:pPr>
      <w:r>
        <w:rPr>
          <w:spacing w:val="-1"/>
        </w:rPr>
        <w:t>化、土壤修复，植物新品种培育拥有专利技术百余项，并将这些技术应用到施工实践中，拓宽了企业的经</w:t>
      </w:r>
      <w:r>
        <w:rPr>
          <w:spacing w:val="-86"/>
        </w:rPr>
        <w:t> </w:t>
      </w:r>
      <w:r>
        <w:rPr>
          <w:spacing w:val="-86"/>
        </w:rPr>
      </w:r>
      <w:r>
        <w:rPr/>
        <w:t>营领域。</w:t>
      </w:r>
    </w:p>
    <w:p>
      <w:pPr>
        <w:pStyle w:val="BodyText"/>
        <w:spacing w:line="256" w:lineRule="auto" w:before="127"/>
        <w:ind w:right="1131" w:firstLine="420"/>
        <w:jc w:val="both"/>
      </w:pPr>
      <w:r>
        <w:rPr/>
        <w:t>报告期内，京蓝园林相继中标</w:t>
      </w:r>
      <w:r>
        <w:rPr>
          <w:rFonts w:ascii="Times New Roman" w:hAnsi="Times New Roman" w:cs="Times New Roman" w:eastAsia="Times New Roman" w:hint="default"/>
        </w:rPr>
        <w:t>2018</w:t>
      </w:r>
      <w:r>
        <w:rPr/>
        <w:t>年滨海新区绿化专项</w:t>
      </w:r>
      <w:r>
        <w:rPr>
          <w:rFonts w:ascii="Times New Roman" w:hAnsi="Times New Roman" w:cs="Times New Roman" w:eastAsia="Times New Roman" w:hint="default"/>
        </w:rPr>
        <w:t>-</w:t>
      </w:r>
      <w:r>
        <w:rPr/>
        <w:t>闲置建设用地绿化项目（第</w:t>
      </w:r>
      <w:r>
        <w:rPr>
          <w:rFonts w:ascii="Times New Roman" w:hAnsi="Times New Roman" w:cs="Times New Roman" w:eastAsia="Times New Roman" w:hint="default"/>
        </w:rPr>
        <w:t>2</w:t>
      </w:r>
      <w:r>
        <w:rPr/>
        <w:t>包）、天津北辰 </w:t>
      </w:r>
      <w:r>
        <w:rPr>
          <w:spacing w:val="-2"/>
        </w:rPr>
        <w:t>科技园区总公司</w:t>
      </w:r>
      <w:r>
        <w:rPr>
          <w:rFonts w:ascii="Times New Roman" w:hAnsi="Times New Roman" w:cs="Times New Roman" w:eastAsia="Times New Roman" w:hint="default"/>
          <w:spacing w:val="-2"/>
        </w:rPr>
        <w:t>2018-2020</w:t>
      </w:r>
      <w:r>
        <w:rPr>
          <w:spacing w:val="-2"/>
        </w:rPr>
        <w:t>年园内绿化养护工程、汤阴县汤河河道治理与生态修复工程项目等多个项目，部</w:t>
      </w:r>
      <w:r>
        <w:rPr>
          <w:spacing w:val="-97"/>
        </w:rPr>
        <w:t> </w:t>
      </w:r>
      <w:r>
        <w:rPr>
          <w:spacing w:val="-97"/>
        </w:rPr>
      </w:r>
      <w:r>
        <w:rPr/>
        <w:t>分项目已落地实施，进一步扩大了公司的市场份额，提高了公司的综合竞争力。</w:t>
      </w:r>
    </w:p>
    <w:p>
      <w:pPr>
        <w:pStyle w:val="BodyText"/>
        <w:spacing w:line="357" w:lineRule="auto" w:before="142"/>
        <w:ind w:left="574" w:right="1017"/>
        <w:jc w:val="left"/>
      </w:pPr>
      <w:r>
        <w:rPr>
          <w:rFonts w:ascii="Times New Roman" w:hAnsi="Times New Roman" w:cs="Times New Roman" w:eastAsia="Times New Roman" w:hint="default"/>
        </w:rPr>
        <w:t>3</w:t>
      </w:r>
      <w:r>
        <w:rPr/>
        <w:t>、其他业务板块 </w:t>
      </w:r>
      <w:r>
        <w:rPr>
          <w:spacing w:val="-3"/>
        </w:rPr>
        <w:t>为顺应云计算和大数据发展的趋势，公司努力打造京蓝物联网云平台，该平台以生态环境资源为核心，</w:t>
      </w:r>
    </w:p>
    <w:p>
      <w:pPr>
        <w:pStyle w:val="BodyText"/>
        <w:spacing w:line="209" w:lineRule="exact"/>
        <w:ind w:right="0"/>
        <w:jc w:val="both"/>
      </w:pPr>
      <w:r>
        <w:rPr/>
        <w:t>通过物联网技术，采集、监控、管理水源的水质信息，园林环境用水信息，农业生产用水信息等，同时通</w:t>
      </w:r>
    </w:p>
    <w:p>
      <w:pPr>
        <w:pStyle w:val="BodyText"/>
        <w:spacing w:line="268" w:lineRule="auto" w:before="37"/>
        <w:ind w:right="1110"/>
        <w:jc w:val="both"/>
      </w:pPr>
      <w:r>
        <w:rPr>
          <w:spacing w:val="-1"/>
        </w:rPr>
        <w:t>过大数据技术、土壤等环境数据，形成一个覆盖前期预测、中间控制、后期处理的综合一体的生态环境决</w:t>
      </w:r>
      <w:r>
        <w:rPr>
          <w:spacing w:val="-85"/>
        </w:rPr>
        <w:t> </w:t>
      </w:r>
      <w:r>
        <w:rPr>
          <w:spacing w:val="-85"/>
        </w:rPr>
      </w:r>
      <w:r>
        <w:rPr>
          <w:spacing w:val="-1"/>
        </w:rPr>
        <w:t>策系统，该板块主要由京蓝云智承接。为不断完善公司以水体为中心的大生态产业链布局，公司加大对土</w:t>
      </w:r>
      <w:r>
        <w:rPr>
          <w:spacing w:val="-83"/>
        </w:rPr>
        <w:t> </w:t>
      </w:r>
      <w:r>
        <w:rPr>
          <w:spacing w:val="-83"/>
        </w:rPr>
      </w:r>
      <w:r>
        <w:rPr/>
        <w:t>壤修复等方面核心技术的开发，京蓝环境与多地研究院及高级院校建立了</w:t>
      </w:r>
      <w:r>
        <w:rPr>
          <w:rFonts w:ascii="Times New Roman" w:hAnsi="Times New Roman" w:cs="Times New Roman" w:eastAsia="Times New Roman" w:hint="default"/>
        </w:rPr>
        <w:t>“</w:t>
      </w:r>
      <w:r>
        <w:rPr/>
        <w:t>产、学、研</w:t>
      </w:r>
      <w:r>
        <w:rPr>
          <w:rFonts w:ascii="Times New Roman" w:hAnsi="Times New Roman" w:cs="Times New Roman" w:eastAsia="Times New Roman" w:hint="default"/>
        </w:rPr>
        <w:t>”</w:t>
      </w:r>
      <w:r>
        <w:rPr/>
        <w:t>合作模式，联合研 发了土壤改良调理剂、配肥核心科技包等技术和产品，有效解决了土壤盐碱化、生态护坡等问题。同时， 通过公司收购中科鼎实，可以利用其在土壤修复及改良的核心技术，与上市公司现有业务形成良性协同， 共享研发成果，做大做强生态环境主业。</w:t>
      </w:r>
    </w:p>
    <w:p>
      <w:pPr>
        <w:pStyle w:val="BodyText"/>
        <w:spacing w:line="240" w:lineRule="auto" w:before="132"/>
        <w:ind w:left="574" w:right="0"/>
        <w:jc w:val="left"/>
      </w:pPr>
      <w:r>
        <w:rPr/>
        <w:t>公司还重点规划了企业级创新孵化器，为公司其他业务板块的发展提供强力的技术支撑和资金保障。</w:t>
      </w:r>
    </w:p>
    <w:p>
      <w:pPr>
        <w:pStyle w:val="BodyText"/>
        <w:spacing w:line="432" w:lineRule="exact" w:before="57"/>
        <w:ind w:left="574" w:right="0"/>
        <w:jc w:val="left"/>
      </w:pPr>
      <w:r>
        <w:rPr/>
        <w:t>（三）本报告期经营成果和资产状况 公司</w:t>
      </w:r>
      <w:r>
        <w:rPr>
          <w:rFonts w:ascii="Times New Roman" w:hAnsi="Times New Roman" w:cs="Times New Roman" w:eastAsia="Times New Roman" w:hint="default"/>
        </w:rPr>
        <w:t>2018</w:t>
      </w:r>
      <w:r>
        <w:rPr/>
        <w:t>年度营业收入为</w:t>
      </w:r>
      <w:r>
        <w:rPr>
          <w:rFonts w:ascii="Times New Roman" w:hAnsi="Times New Roman" w:cs="Times New Roman" w:eastAsia="Times New Roman" w:hint="default"/>
        </w:rPr>
        <w:t>249,085.78</w:t>
      </w:r>
      <w:r>
        <w:rPr/>
        <w:t>万元，较上年同期增长</w:t>
      </w:r>
      <w:r>
        <w:rPr>
          <w:rFonts w:ascii="Times New Roman" w:hAnsi="Times New Roman" w:cs="Times New Roman" w:eastAsia="Times New Roman" w:hint="default"/>
        </w:rPr>
        <w:t>37.77%</w:t>
      </w:r>
      <w:r>
        <w:rPr/>
        <w:t>。主要变动原因为报告期内公司积</w:t>
      </w:r>
    </w:p>
    <w:p>
      <w:pPr>
        <w:pStyle w:val="BodyText"/>
        <w:spacing w:line="271" w:lineRule="exact"/>
        <w:ind w:right="0"/>
        <w:jc w:val="both"/>
      </w:pPr>
      <w:r>
        <w:rPr/>
        <w:t>极拓展主要业务板块，不断提高实施能力，保障了项目进度，促使营业收入有较大幅度增长。公司</w:t>
      </w:r>
      <w:r>
        <w:rPr>
          <w:rFonts w:ascii="Times New Roman" w:hAnsi="Times New Roman" w:cs="Times New Roman" w:eastAsia="Times New Roman" w:hint="default"/>
        </w:rPr>
        <w:t>2018</w:t>
      </w:r>
      <w:r>
        <w:rPr/>
        <w:t>年</w:t>
      </w:r>
    </w:p>
    <w:p>
      <w:pPr>
        <w:pStyle w:val="BodyText"/>
        <w:spacing w:line="266" w:lineRule="auto" w:before="21"/>
        <w:ind w:right="1132"/>
        <w:jc w:val="both"/>
      </w:pPr>
      <w:r>
        <w:rPr>
          <w:spacing w:val="-1"/>
        </w:rPr>
        <w:t>度净利润为</w:t>
      </w:r>
      <w:r>
        <w:rPr>
          <w:rFonts w:ascii="Times New Roman" w:hAnsi="Times New Roman" w:cs="Times New Roman" w:eastAsia="Times New Roman" w:hint="default"/>
          <w:spacing w:val="-1"/>
        </w:rPr>
        <w:t>10,609.11</w:t>
      </w:r>
      <w:r>
        <w:rPr>
          <w:spacing w:val="-1"/>
        </w:rPr>
        <w:t>万元，较上年同期下降</w:t>
      </w:r>
      <w:r>
        <w:rPr>
          <w:rFonts w:ascii="Times New Roman" w:hAnsi="Times New Roman" w:cs="Times New Roman" w:eastAsia="Times New Roman" w:hint="default"/>
          <w:spacing w:val="-1"/>
        </w:rPr>
        <w:t>64.70%</w:t>
      </w:r>
      <w:r>
        <w:rPr>
          <w:spacing w:val="-1"/>
        </w:rPr>
        <w:t>。主要变动原因为一方面受国内经济形势影响，采购及</w:t>
      </w:r>
      <w:r>
        <w:rPr>
          <w:spacing w:val="-95"/>
        </w:rPr>
        <w:t> </w:t>
      </w:r>
      <w:r>
        <w:rPr>
          <w:spacing w:val="-95"/>
        </w:rPr>
      </w:r>
      <w:r>
        <w:rPr>
          <w:spacing w:val="-1"/>
        </w:rPr>
        <w:t>人工成本增加；另一方面，为加快市场拓展步伐，顺应市场变化，公司采取积极拓展销售业务团队同时改</w:t>
      </w:r>
      <w:r>
        <w:rPr>
          <w:spacing w:val="-86"/>
        </w:rPr>
        <w:t> </w:t>
      </w:r>
      <w:r>
        <w:rPr>
          <w:spacing w:val="-86"/>
        </w:rPr>
      </w:r>
      <w:r>
        <w:rPr/>
        <w:t>善办公环境等措施，使本年度各项期间费用有较大幅度的增加，导致净利润下降。</w:t>
      </w:r>
    </w:p>
    <w:p>
      <w:pPr>
        <w:pStyle w:val="BodyText"/>
        <w:spacing w:line="261" w:lineRule="auto" w:before="134"/>
        <w:ind w:right="1023" w:firstLine="420"/>
        <w:jc w:val="left"/>
      </w:pPr>
      <w:r>
        <w:rPr>
          <w:spacing w:val="-2"/>
        </w:rPr>
        <w:t>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日总资产为</w:t>
      </w:r>
      <w:r>
        <w:rPr>
          <w:rFonts w:ascii="Times New Roman" w:hAnsi="Times New Roman" w:cs="Times New Roman" w:eastAsia="Times New Roman" w:hint="default"/>
          <w:spacing w:val="-2"/>
        </w:rPr>
        <w:t>1,099,493.89</w:t>
      </w:r>
      <w:r>
        <w:rPr>
          <w:spacing w:val="-2"/>
        </w:rPr>
        <w:t>万元，较上年同期增长</w:t>
      </w:r>
      <w:r>
        <w:rPr>
          <w:rFonts w:ascii="Times New Roman" w:hAnsi="Times New Roman" w:cs="Times New Roman" w:eastAsia="Times New Roman" w:hint="default"/>
          <w:spacing w:val="-2"/>
        </w:rPr>
        <w:t>26.20%</w:t>
      </w:r>
      <w:r>
        <w:rPr>
          <w:spacing w:val="-2"/>
        </w:rPr>
        <w:t>。主要为建造合同形成的未到</w:t>
      </w:r>
      <w:r>
        <w:rPr/>
        <w:t> </w:t>
      </w:r>
      <w:r>
        <w:rPr>
          <w:spacing w:val="-1"/>
        </w:rPr>
        <w:t>结算期的已完工未结算资产增加导致。</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日总负债为</w:t>
      </w:r>
      <w:r>
        <w:rPr>
          <w:rFonts w:ascii="Times New Roman" w:hAnsi="Times New Roman" w:cs="Times New Roman" w:eastAsia="Times New Roman" w:hint="default"/>
          <w:spacing w:val="-1"/>
        </w:rPr>
        <w:t>650,581.64</w:t>
      </w:r>
      <w:r>
        <w:rPr>
          <w:spacing w:val="-1"/>
        </w:rPr>
        <w:t>万元，较上年同期增长</w:t>
      </w:r>
      <w:r>
        <w:rPr>
          <w:rFonts w:ascii="Times New Roman" w:hAnsi="Times New Roman" w:cs="Times New Roman" w:eastAsia="Times New Roman" w:hint="default"/>
          <w:spacing w:val="-1"/>
        </w:rPr>
        <w:t>49.22%</w:t>
      </w:r>
      <w:r>
        <w:rPr>
          <w:spacing w:val="-1"/>
        </w:rPr>
        <w:t>。</w:t>
      </w:r>
      <w:r>
        <w:rPr>
          <w:spacing w:val="-93"/>
        </w:rPr>
        <w:t> </w:t>
      </w:r>
      <w:r>
        <w:rPr>
          <w:spacing w:val="3"/>
        </w:rPr>
        <w:t>主要为公司为扩大业务范围的资金需求增加，导致对外融资增加及公司发行可持续发展资产支持债券导</w:t>
      </w:r>
      <w:r>
        <w:rPr>
          <w:spacing w:val="-82"/>
        </w:rPr>
        <w:t> </w:t>
      </w:r>
      <w:r>
        <w:rPr>
          <w:spacing w:val="-82"/>
        </w:rPr>
      </w:r>
      <w:r>
        <w:rPr/>
        <w:t>致。</w:t>
      </w:r>
    </w:p>
    <w:p>
      <w:pPr>
        <w:spacing w:line="240" w:lineRule="auto" w:before="9"/>
        <w:rPr>
          <w:rFonts w:ascii="宋体" w:hAnsi="宋体" w:cs="宋体" w:eastAsia="宋体" w:hint="default"/>
          <w:sz w:val="22"/>
          <w:szCs w:val="22"/>
        </w:rPr>
      </w:pPr>
    </w:p>
    <w:p>
      <w:pPr>
        <w:pStyle w:val="Heading2"/>
        <w:spacing w:line="240" w:lineRule="auto"/>
        <w:ind w:right="0"/>
        <w:jc w:val="both"/>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6472"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0"/>
        <w:jc w:val="both"/>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5"/>
        <w:gridCol w:w="1606"/>
        <w:gridCol w:w="1583"/>
        <w:gridCol w:w="1606"/>
        <w:gridCol w:w="1571"/>
        <w:gridCol w:w="1606"/>
      </w:tblGrid>
      <w:tr>
        <w:trPr>
          <w:trHeight w:val="205"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3188" w:type="dxa"/>
            <w:gridSpan w:val="2"/>
            <w:vMerge/>
            <w:tcBorders>
              <w:left w:val="single" w:sz="4" w:space="0" w:color="000000"/>
              <w:bottom w:val="single" w:sz="4" w:space="0" w:color="000000"/>
              <w:right w:val="single" w:sz="4" w:space="0" w:color="000000"/>
            </w:tcBorders>
            <w:shd w:val="clear" w:color="auto" w:fill="D2D2D2"/>
          </w:tcPr>
          <w:p>
            <w:pPr/>
          </w:p>
        </w:tc>
        <w:tc>
          <w:tcPr>
            <w:tcW w:w="3177" w:type="dxa"/>
            <w:gridSpan w:val="2"/>
            <w:vMerge/>
            <w:tcBorders>
              <w:left w:val="single" w:sz="4" w:space="0" w:color="000000"/>
              <w:bottom w:val="single" w:sz="4" w:space="0" w:color="000000"/>
              <w:right w:val="single" w:sz="4" w:space="0" w:color="000000"/>
            </w:tcBorders>
            <w:shd w:val="clear" w:color="auto" w:fill="D2D2D2"/>
          </w:tcPr>
          <w:p>
            <w:pPr/>
          </w:p>
        </w:tc>
        <w:tc>
          <w:tcPr>
            <w:tcW w:w="16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8"/>
              <w:jc w:val="center"/>
              <w:rPr>
                <w:rFonts w:ascii="宋体" w:hAnsi="宋体" w:cs="宋体" w:eastAsia="宋体" w:hint="default"/>
                <w:sz w:val="18"/>
                <w:szCs w:val="18"/>
              </w:rPr>
            </w:pPr>
            <w:r>
              <w:rPr>
                <w:rFonts w:ascii="宋体" w:hAnsi="宋体" w:cs="宋体" w:eastAsia="宋体" w:hint="default"/>
                <w:sz w:val="18"/>
                <w:szCs w:val="18"/>
              </w:rPr>
              <w:t>金额</w:t>
            </w:r>
          </w:p>
        </w:tc>
        <w:tc>
          <w:tcPr>
            <w:tcW w:w="15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c>
          <w:tcPr>
            <w:tcW w:w="1571" w:type="dxa"/>
            <w:vMerge/>
            <w:tcBorders>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6"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left="289" w:right="0"/>
              <w:jc w:val="left"/>
              <w:rPr>
                <w:rFonts w:ascii="Times New Roman" w:hAnsi="Times New Roman" w:cs="Times New Roman" w:eastAsia="Times New Roman" w:hint="default"/>
                <w:sz w:val="18"/>
                <w:szCs w:val="18"/>
              </w:rPr>
            </w:pPr>
            <w:r>
              <w:rPr>
                <w:rFonts w:ascii="Times New Roman"/>
                <w:sz w:val="18"/>
              </w:rPr>
              <w:t>2,490,857,777.77</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6"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left="289" w:right="0"/>
              <w:jc w:val="left"/>
              <w:rPr>
                <w:rFonts w:ascii="Times New Roman" w:hAnsi="Times New Roman" w:cs="Times New Roman" w:eastAsia="Times New Roman" w:hint="default"/>
                <w:sz w:val="18"/>
                <w:szCs w:val="18"/>
              </w:rPr>
            </w:pPr>
            <w:r>
              <w:rPr>
                <w:rFonts w:ascii="Times New Roman"/>
                <w:sz w:val="18"/>
              </w:rPr>
              <w:t>1,807,935,669.42</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37.77%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生态节水运营服务 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1,575,945,879.00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1,250,054,356.59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26.07%</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园林环境科技服务 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872,502,214.59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539,699,899.54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61.66%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42,409,684.18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18,181,413.29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133.26%</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建造合同</w:t>
            </w:r>
            <w:r>
              <w:rPr>
                <w:rFonts w:ascii="Times New Roman" w:hAnsi="Times New Roman" w:cs="Times New Roman" w:eastAsia="Times New Roman" w:hint="default"/>
                <w:sz w:val="18"/>
                <w:szCs w:val="18"/>
              </w:rPr>
              <w:t>-</w:t>
            </w:r>
            <w:r>
              <w:rPr>
                <w:rFonts w:ascii="宋体" w:hAnsi="宋体" w:cs="宋体" w:eastAsia="宋体" w:hint="default"/>
                <w:sz w:val="18"/>
                <w:szCs w:val="18"/>
              </w:rPr>
              <w:t>节水灌溉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1,538,245,595.33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667,803,931.00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130.34%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建造合同</w:t>
            </w:r>
            <w:r>
              <w:rPr>
                <w:rFonts w:ascii="Times New Roman" w:hAnsi="Times New Roman" w:cs="Times New Roman" w:eastAsia="Times New Roman" w:hint="default"/>
                <w:sz w:val="18"/>
                <w:szCs w:val="18"/>
              </w:rPr>
              <w:t>-</w:t>
            </w:r>
            <w:r>
              <w:rPr>
                <w:rFonts w:ascii="宋体" w:hAnsi="宋体" w:cs="宋体" w:eastAsia="宋体" w:hint="default"/>
                <w:sz w:val="18"/>
                <w:szCs w:val="18"/>
              </w:rPr>
              <w:t>园林环境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841,068,159.42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897,581,158.47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建造合同</w:t>
            </w:r>
            <w:r>
              <w:rPr>
                <w:rFonts w:ascii="Times New Roman" w:hAnsi="Times New Roman" w:cs="Times New Roman" w:eastAsia="Times New Roman" w:hint="default"/>
                <w:sz w:val="18"/>
                <w:szCs w:val="18"/>
              </w:rPr>
              <w:t>-</w:t>
            </w:r>
            <w:r>
              <w:rPr>
                <w:rFonts w:ascii="宋体" w:hAnsi="宋体" w:cs="宋体" w:eastAsia="宋体" w:hint="default"/>
                <w:sz w:val="18"/>
                <w:szCs w:val="18"/>
              </w:rPr>
              <w:t>其他行业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12,005,154.40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16,438,239.43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19,101,864.44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147,601,346.65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-87.06%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28,207,731.87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15,904,777.13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77.35%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740,624.27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52,229,272.31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61,865,592.47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-15.58%</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235,528,988.18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557,881,312.83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1,370,658,088.79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1,250,054,356.59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117,203,072.08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235,648,793.06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8,067,005.90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523,055,630.53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696,199.23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48" w:lineRule="auto"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215" w:space="57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生态节水运营服 务业务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1,575,945,879.00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1,108,278,957.32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31.60%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园林环境科技服 务业务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872,502,214.59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631,425,854.44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64.96%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建造合同</w:t>
            </w:r>
            <w:r>
              <w:rPr>
                <w:rFonts w:ascii="Times New Roman" w:hAnsi="Times New Roman" w:cs="Times New Roman" w:eastAsia="Times New Roman" w:hint="default"/>
                <w:sz w:val="18"/>
                <w:szCs w:val="18"/>
              </w:rPr>
              <w:t>-</w:t>
            </w:r>
            <w:r>
              <w:rPr>
                <w:rFonts w:ascii="宋体" w:hAnsi="宋体" w:cs="宋体" w:eastAsia="宋体" w:hint="default"/>
                <w:sz w:val="18"/>
                <w:szCs w:val="18"/>
              </w:rPr>
              <w:t>节水 灌溉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1,538,245,595.33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1,105,019,585.78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118.89%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建造合同</w:t>
            </w:r>
            <w:r>
              <w:rPr>
                <w:rFonts w:ascii="Times New Roman" w:hAnsi="Times New Roman" w:cs="Times New Roman" w:eastAsia="Times New Roman" w:hint="default"/>
                <w:sz w:val="18"/>
                <w:szCs w:val="18"/>
              </w:rPr>
              <w:t>-</w:t>
            </w:r>
            <w:r>
              <w:rPr>
                <w:rFonts w:ascii="宋体" w:hAnsi="宋体" w:cs="宋体" w:eastAsia="宋体" w:hint="default"/>
                <w:sz w:val="18"/>
                <w:szCs w:val="18"/>
              </w:rPr>
              <w:t>园林 环境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841,068,159.42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601,637,586.42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-3.03%</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1,370,658,088.79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998,858,678.10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523,055,630.53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366,739,292.49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spacing w:line="348"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公司是否需要遵守特殊行业的披露要求 否</w:t>
      </w:r>
    </w:p>
    <w:p>
      <w:pPr>
        <w:spacing w:line="240" w:lineRule="auto" w:before="13"/>
        <w:rPr>
          <w:rFonts w:ascii="宋体" w:hAnsi="宋体" w:cs="宋体" w:eastAsia="宋体" w:hint="default"/>
          <w:sz w:val="7"/>
          <w:szCs w:val="7"/>
        </w:rPr>
      </w:pPr>
    </w:p>
    <w:p>
      <w:pPr>
        <w:spacing w:line="1395" w:lineRule="exact"/>
        <w:ind w:left="660" w:right="0" w:firstLine="0"/>
        <w:rPr>
          <w:rFonts w:ascii="宋体" w:hAnsi="宋体" w:cs="宋体" w:eastAsia="宋体" w:hint="default"/>
          <w:sz w:val="20"/>
          <w:szCs w:val="20"/>
        </w:rPr>
      </w:pPr>
      <w:r>
        <w:rPr>
          <w:rFonts w:ascii="宋体" w:hAnsi="宋体" w:cs="宋体" w:eastAsia="宋体" w:hint="default"/>
          <w:position w:val="-27"/>
          <w:sz w:val="20"/>
          <w:szCs w:val="20"/>
        </w:rPr>
        <w:drawing>
          <wp:inline distT="0" distB="0" distL="0" distR="0">
            <wp:extent cx="5473586" cy="88582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5473586" cy="885825"/>
                    </a:xfrm>
                    <a:prstGeom prst="rect">
                      <a:avLst/>
                    </a:prstGeom>
                  </pic:spPr>
                </pic:pic>
              </a:graphicData>
            </a:graphic>
          </wp:inline>
        </w:drawing>
      </w:r>
      <w:r>
        <w:rPr>
          <w:rFonts w:ascii="宋体" w:hAnsi="宋体" w:cs="宋体" w:eastAsia="宋体" w:hint="default"/>
          <w:position w:val="-27"/>
          <w:sz w:val="20"/>
          <w:szCs w:val="20"/>
        </w:rPr>
      </w:r>
    </w:p>
    <w:p>
      <w:pPr>
        <w:spacing w:line="240" w:lineRule="auto" w:before="0"/>
        <w:rPr>
          <w:rFonts w:ascii="宋体" w:hAnsi="宋体" w:cs="宋体" w:eastAsia="宋体" w:hint="default"/>
          <w:sz w:val="18"/>
          <w:szCs w:val="18"/>
        </w:rPr>
      </w:pPr>
    </w:p>
    <w:p>
      <w:pPr>
        <w:pStyle w:val="Heading4"/>
        <w:spacing w:line="240" w:lineRule="auto" w:before="135"/>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生态节水运营服 务业务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1,108,278,957.32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842,127,709.60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31.60%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园林环境科技服 务业务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631,425,854.44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382,771,365.23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64.96%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20,390,700.97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10,987,208.93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85.59%</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建造合同</w:t>
            </w:r>
            <w:r>
              <w:rPr>
                <w:rFonts w:ascii="Times New Roman" w:hAnsi="Times New Roman" w:cs="Times New Roman" w:eastAsia="Times New Roman" w:hint="default"/>
                <w:sz w:val="18"/>
                <w:szCs w:val="18"/>
              </w:rPr>
              <w:t>-</w:t>
            </w:r>
            <w:r>
              <w:rPr>
                <w:rFonts w:ascii="宋体" w:hAnsi="宋体" w:cs="宋体" w:eastAsia="宋体" w:hint="default"/>
                <w:sz w:val="18"/>
                <w:szCs w:val="18"/>
              </w:rPr>
              <w:t>节水 灌溉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1,105,019,585.78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504,832,127.73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118.89%</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建造合同</w:t>
            </w:r>
            <w:r>
              <w:rPr>
                <w:rFonts w:ascii="Times New Roman" w:hAnsi="Times New Roman" w:cs="Times New Roman" w:eastAsia="Times New Roman" w:hint="default"/>
                <w:sz w:val="18"/>
                <w:szCs w:val="18"/>
              </w:rPr>
              <w:t>-</w:t>
            </w:r>
            <w:r>
              <w:rPr>
                <w:rFonts w:ascii="宋体" w:hAnsi="宋体" w:cs="宋体" w:eastAsia="宋体" w:hint="default"/>
                <w:sz w:val="18"/>
                <w:szCs w:val="18"/>
              </w:rPr>
              <w:t>园林 环境</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601,637,586.42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614,814,627.11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-2.14%</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建造合同</w:t>
            </w:r>
            <w:r>
              <w:rPr>
                <w:rFonts w:ascii="Times New Roman" w:hAnsi="Times New Roman" w:cs="Times New Roman" w:eastAsia="Times New Roman" w:hint="default"/>
                <w:sz w:val="18"/>
                <w:szCs w:val="18"/>
              </w:rPr>
              <w:t>-</w:t>
            </w:r>
            <w:r>
              <w:rPr>
                <w:rFonts w:ascii="宋体" w:hAnsi="宋体" w:cs="宋体" w:eastAsia="宋体" w:hint="default"/>
                <w:sz w:val="18"/>
                <w:szCs w:val="18"/>
              </w:rPr>
              <w:t>其他 行业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7,293,211.23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10,435,943.80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-30.11%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16,653,452.96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96,785,146.38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-82.79%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15,725,483.60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5,510,968.27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185.35%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530,527.61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13,766,192.74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2,976,942.86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362.43%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14"/>
          <w:szCs w:val="14"/>
        </w:rPr>
      </w:pPr>
    </w:p>
    <w:p>
      <w:pPr>
        <w:pStyle w:val="BodyText"/>
        <w:spacing w:line="386" w:lineRule="auto"/>
        <w:ind w:left="574" w:right="2562"/>
        <w:jc w:val="left"/>
      </w:pPr>
      <w:r>
        <w:rPr/>
        <w:t>本公司</w:t>
      </w:r>
      <w:r>
        <w:rPr>
          <w:rFonts w:ascii="Times New Roman" w:hAnsi="Times New Roman" w:cs="Times New Roman" w:eastAsia="Times New Roman" w:hint="default"/>
        </w:rPr>
        <w:t>2018</w:t>
      </w:r>
      <w:r>
        <w:rPr/>
        <w:t>年纳入合并范围的子公司共</w:t>
      </w:r>
      <w:r>
        <w:rPr>
          <w:rFonts w:ascii="Times New Roman" w:hAnsi="Times New Roman" w:cs="Times New Roman" w:eastAsia="Times New Roman" w:hint="default"/>
        </w:rPr>
        <w:t>48</w:t>
      </w:r>
      <w:r>
        <w:rPr/>
        <w:t>户，较上期增加</w:t>
      </w:r>
      <w:r>
        <w:rPr>
          <w:rFonts w:ascii="Times New Roman" w:hAnsi="Times New Roman" w:cs="Times New Roman" w:eastAsia="Times New Roman" w:hint="default"/>
        </w:rPr>
        <w:t>12</w:t>
      </w:r>
      <w:r>
        <w:rPr/>
        <w:t>户，减少</w:t>
      </w:r>
      <w:r>
        <w:rPr>
          <w:rFonts w:ascii="Times New Roman" w:hAnsi="Times New Roman" w:cs="Times New Roman" w:eastAsia="Times New Roman" w:hint="default"/>
        </w:rPr>
        <w:t>3</w:t>
      </w:r>
      <w:r>
        <w:rPr/>
        <w:t>户。 </w:t>
      </w:r>
      <w:r>
        <w:rPr>
          <w:rFonts w:ascii="Times New Roman" w:hAnsi="Times New Roman" w:cs="Times New Roman" w:eastAsia="Times New Roman" w:hint="default"/>
        </w:rPr>
        <w:t>1</w:t>
      </w:r>
      <w:r>
        <w:rPr/>
        <w:t>、非同一控制下企业合并 本期非同一控制下企业合并子公司共计</w:t>
      </w:r>
      <w:r>
        <w:rPr>
          <w:rFonts w:ascii="Times New Roman" w:hAnsi="Times New Roman" w:cs="Times New Roman" w:eastAsia="Times New Roman" w:hint="default"/>
        </w:rPr>
        <w:t>1</w:t>
      </w:r>
      <w:r>
        <w:rPr/>
        <w:t>家，为京蓝环境建设（北京）有限公司。 </w:t>
      </w:r>
      <w:r>
        <w:rPr>
          <w:rFonts w:ascii="Times New Roman" w:hAnsi="Times New Roman" w:cs="Times New Roman" w:eastAsia="Times New Roman" w:hint="default"/>
        </w:rPr>
        <w:t>2</w:t>
      </w:r>
      <w:r>
        <w:rPr/>
        <w:t>、其他原因的合并范围变动</w:t>
      </w:r>
    </w:p>
    <w:p>
      <w:pPr>
        <w:pStyle w:val="BodyText"/>
        <w:spacing w:line="268" w:lineRule="auto" w:before="35"/>
        <w:ind w:right="1131" w:firstLine="420"/>
        <w:jc w:val="both"/>
      </w:pPr>
      <w:r>
        <w:rPr>
          <w:spacing w:val="-1"/>
        </w:rPr>
        <w:t>本期新纳入合并范围内的新设子公司共计</w:t>
      </w:r>
      <w:r>
        <w:rPr>
          <w:rFonts w:ascii="Times New Roman" w:hAnsi="Times New Roman" w:cs="Times New Roman" w:eastAsia="Times New Roman" w:hint="default"/>
          <w:spacing w:val="-1"/>
        </w:rPr>
        <w:t>11</w:t>
      </w:r>
      <w:r>
        <w:rPr>
          <w:spacing w:val="-1"/>
        </w:rPr>
        <w:t>家，分别为：京蓝科技研究有限公司、京蓝国际工程有限</w:t>
      </w:r>
      <w:r>
        <w:rPr/>
        <w:t> </w:t>
      </w:r>
      <w:r>
        <w:rPr>
          <w:spacing w:val="-1"/>
        </w:rPr>
        <w:t>公司、京蓝沐禾巨鹿田田通农业供水有限公司、京蓝沐禾（中卫）灌溉服务有限公司、京蓝沐禾（赤峰市</w:t>
      </w:r>
      <w:r>
        <w:rPr>
          <w:spacing w:val="-83"/>
        </w:rPr>
        <w:t> </w:t>
      </w:r>
      <w:r>
        <w:rPr>
          <w:spacing w:val="-83"/>
        </w:rPr>
      </w:r>
      <w:r>
        <w:rPr>
          <w:spacing w:val="-1"/>
        </w:rPr>
        <w:t>松山区）农业供水有限公司、京蓝沐禾（东阿县）节水灌溉科技有限公司、京蓝沐禾（贺兰县）灌溉服务</w:t>
      </w:r>
      <w:r>
        <w:rPr>
          <w:spacing w:val="-85"/>
        </w:rPr>
        <w:t> </w:t>
      </w:r>
      <w:r>
        <w:rPr>
          <w:spacing w:val="-85"/>
        </w:rPr>
      </w:r>
      <w:r>
        <w:rPr>
          <w:spacing w:val="-1"/>
        </w:rPr>
        <w:t>有限公司、京蓝沐禾（丘北）节水灌溉有限责任公司、京蓝沐禾（宁城县）农业供水有限公司、汤阴京蓝</w:t>
      </w:r>
      <w:r>
        <w:rPr>
          <w:spacing w:val="-85"/>
        </w:rPr>
        <w:t> </w:t>
      </w:r>
      <w:r>
        <w:rPr>
          <w:spacing w:val="-85"/>
        </w:rPr>
      </w:r>
      <w:r>
        <w:rPr/>
        <w:t>建设有限公司和驻马店市京蓝北方建设工程有限公司。</w:t>
      </w:r>
    </w:p>
    <w:p>
      <w:pPr>
        <w:pStyle w:val="BodyText"/>
        <w:spacing w:line="256" w:lineRule="auto" w:before="168"/>
        <w:ind w:right="1215" w:firstLine="420"/>
        <w:jc w:val="both"/>
      </w:pPr>
      <w:r>
        <w:rPr/>
        <w:t>本期注销的子公司共计</w:t>
      </w:r>
      <w:r>
        <w:rPr>
          <w:rFonts w:ascii="Times New Roman" w:hAnsi="Times New Roman" w:cs="Times New Roman" w:eastAsia="Times New Roman" w:hint="default"/>
        </w:rPr>
        <w:t>2</w:t>
      </w:r>
      <w:r>
        <w:rPr/>
        <w:t>家，分别为：甘肃京蓝生态科技有限公司、内蒙古润禾节水工程设备有限公 司。</w:t>
      </w:r>
    </w:p>
    <w:p>
      <w:pPr>
        <w:pStyle w:val="BodyText"/>
        <w:spacing w:line="240" w:lineRule="auto" w:before="178"/>
        <w:ind w:left="574" w:right="0"/>
        <w:jc w:val="left"/>
      </w:pPr>
      <w:r>
        <w:rPr/>
        <w:t>本期对外出售的子公司共计</w:t>
      </w:r>
      <w:r>
        <w:rPr>
          <w:rFonts w:ascii="Times New Roman" w:hAnsi="Times New Roman" w:cs="Times New Roman" w:eastAsia="Times New Roman" w:hint="default"/>
        </w:rPr>
        <w:t>1</w:t>
      </w:r>
      <w:r>
        <w:rPr/>
        <w:t>家，为林州京蓝能科余热发电有限公司。</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1,140,462,855.02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45.79%</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38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21;top:14;width:2;height:353" coordorigin="21,14" coordsize="2,353">
              <v:shape style="position:absolute;left:21;top:14;width:2;height:353" coordorigin="21,14" coordsize="0,353" path="m21,14l21,367e" filled="false" stroked="true" strokeweight="1.140pt" strokecolor="#d2d2d2">
                <v:path arrowok="t"/>
              </v:shape>
            </v:group>
            <v:group style="position:absolute;left:4246;top:14;width:2;height:353" coordorigin="4246,14" coordsize="2,353">
              <v:shape style="position:absolute;left:4246;top:14;width:2;height:353" coordorigin="4246,14" coordsize="0,353" path="m4246,14l4246,367e" filled="false" stroked="true" strokeweight="1.140pt" strokecolor="#d2d2d2">
                <v:path arrowok="t"/>
              </v:shape>
            </v:group>
            <v:group style="position:absolute;left:32;top:14;width:4202;height:353" coordorigin="32,14" coordsize="4202,353">
              <v:shape style="position:absolute;left:32;top:14;width:4202;height:353" coordorigin="32,14" coordsize="4202,353" path="m32,367l4234,367,4234,14,32,14,32,367xe" filled="true" fillcolor="#d2d2d2" stroked="false">
                <v:path arrowok="t"/>
                <v:fill type="solid"/>
              </v:shape>
            </v:group>
            <v:group style="position:absolute;left:10;top:10;width:4249;height:2" coordorigin="10,10" coordsize="4249,2">
              <v:shape style="position:absolute;left:10;top:10;width:4249;height:2" coordorigin="10,10" coordsize="4249,0" path="m10,10l4258,10e" filled="false" stroked="true" strokeweight=".48pt" strokecolor="#000000">
                <v:path arrowok="t"/>
              </v:shape>
            </v:group>
            <v:group style="position:absolute;left:4268;top:10;width:5301;height:2" coordorigin="4268,10" coordsize="5301,2">
              <v:shape style="position:absolute;left:4268;top:10;width:5301;height:2" coordorigin="4268,10" coordsize="5301,0" path="m4268,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4249;height:2" coordorigin="10,372" coordsize="4249,2">
              <v:shape style="position:absolute;left:10;top:372;width:4249;height:2" coordorigin="10,372" coordsize="4249,0" path="m10,372l4258,372e" filled="false" stroked="true" strokeweight=".48pt" strokecolor="#000000">
                <v:path arrowok="t"/>
              </v:shape>
            </v:group>
            <v:group style="position:absolute;left:4263;top:5;width:2;height:372" coordorigin="4263,5" coordsize="2,372">
              <v:shape style="position:absolute;left:4263;top:5;width:2;height:372" coordorigin="4263,5" coordsize="0,372" path="m4263,5l4263,377e" filled="false" stroked="true" strokeweight=".47998pt" strokecolor="#000000">
                <v:path arrowok="t"/>
              </v:shape>
            </v:group>
            <v:group style="position:absolute;left:4268;top:372;width:5301;height:2" coordorigin="4268,372" coordsize="5301,2">
              <v:shape style="position:absolute;left:4268;top:372;width:5301;height:2" coordorigin="4268,372" coordsize="5301,0" path="m4268,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004pt" strokecolor="#000000">
                <v:path arrowok="t"/>
              </v:shape>
              <v:shape style="position:absolute;left:32;top:8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例</w:t>
                      </w:r>
                    </w:p>
                  </w:txbxContent>
                </v:textbox>
                <w10:wrap type="none"/>
              </v:shape>
            </v:group>
          </v:group>
        </w:pict>
      </w:r>
      <w:r>
        <w:rPr>
          <w:rFonts w:ascii="宋体" w:hAnsi="宋体" w:cs="宋体" w:eastAsia="宋体" w:hint="default"/>
          <w:position w:val="-7"/>
          <w:sz w:val="20"/>
          <w:szCs w:val="20"/>
        </w:rPr>
      </w:r>
    </w:p>
    <w:p>
      <w:pPr>
        <w:spacing w:before="47"/>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第一客户</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388,124,033.02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第二客户</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252,727,272.73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第三客户</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175,175,581.02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第四客户</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170,740,603.20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第五客户</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153,695,365.05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1,140,462,855.02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7"/>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325,151,167.26</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17.94%</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第一供应商</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136,717,727.00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第二供应商</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62,049,582.43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第三供应商</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54,259,155.85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第四供应商</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38,949,457.99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第五供应商</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33,175,243.99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325,151,167.26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17.94%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63,933,046.98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48,274,731.91</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32.44%</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公司推进市场拓展，组建销售业务团</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队，导致销售费用增加。</w:t>
            </w:r>
          </w:p>
        </w:tc>
      </w:tr>
      <w:tr>
        <w:trPr>
          <w:trHeight w:val="392"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3"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234,661,882.53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145,051,265.16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61.78%</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3"/>
              <w:jc w:val="both"/>
              <w:rPr>
                <w:rFonts w:ascii="宋体" w:hAnsi="宋体" w:cs="宋体" w:eastAsia="宋体" w:hint="default"/>
                <w:sz w:val="18"/>
                <w:szCs w:val="18"/>
              </w:rPr>
            </w:pPr>
            <w:r>
              <w:rPr>
                <w:rFonts w:ascii="宋体" w:hAnsi="宋体" w:cs="宋体" w:eastAsia="宋体" w:hint="default"/>
                <w:sz w:val="18"/>
                <w:szCs w:val="18"/>
              </w:rPr>
              <w:t>公司针对内部管理进行改善和提升， 优化办公环境，持续引进中高端人才 并提高薪酬竞争力，导致管理费用增 加。</w:t>
            </w:r>
          </w:p>
        </w:tc>
      </w:tr>
      <w:tr>
        <w:trPr>
          <w:trHeight w:val="392"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223,330,080.04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77,252,405.42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189.09%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公司顺应业务发展，资金需求加大， 融资成本提高，导致财务费用增加。</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21,215,497.33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6,715,474.87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215.92%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公司加大研发投入，导致研发费用增</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4"/>
          <w:szCs w:val="14"/>
        </w:rPr>
      </w:pPr>
    </w:p>
    <w:p>
      <w:pPr>
        <w:pStyle w:val="BodyText"/>
        <w:spacing w:line="256" w:lineRule="auto"/>
        <w:ind w:right="1118" w:firstLine="420"/>
        <w:jc w:val="left"/>
      </w:pPr>
      <w:r>
        <w:rPr>
          <w:rFonts w:ascii="Times New Roman" w:hAnsi="Times New Roman" w:cs="Times New Roman" w:eastAsia="Times New Roman" w:hint="default"/>
          <w:spacing w:val="-2"/>
        </w:rPr>
        <w:t>2016</w:t>
      </w:r>
      <w:r>
        <w:rPr>
          <w:spacing w:val="-2"/>
        </w:rPr>
        <w:t>年公司完成了收购京蓝沐禾</w:t>
      </w:r>
      <w:r>
        <w:rPr>
          <w:rFonts w:ascii="Times New Roman" w:hAnsi="Times New Roman" w:cs="Times New Roman" w:eastAsia="Times New Roman" w:hint="default"/>
          <w:spacing w:val="-2"/>
        </w:rPr>
        <w:t>100%</w:t>
      </w:r>
      <w:r>
        <w:rPr>
          <w:spacing w:val="-2"/>
        </w:rPr>
        <w:t>股权同时募集配套资金的重大资产重组项目。为进一步深化上市</w:t>
      </w:r>
      <w:r>
        <w:rPr/>
        <w:t> 公司节水生态环境产业链布局，增强公司项目实施能力，公司将本次募集资金用于募投项目之一</w:t>
      </w:r>
      <w:r>
        <w:rPr>
          <w:rFonts w:ascii="Times New Roman" w:hAnsi="Times New Roman" w:cs="Times New Roman" w:eastAsia="Times New Roman" w:hint="default"/>
        </w:rPr>
        <w:t>“</w:t>
      </w:r>
      <w:r>
        <w:rPr/>
        <w:t>京蓝智 慧生态云平台项目</w:t>
      </w:r>
      <w:r>
        <w:rPr>
          <w:rFonts w:ascii="Times New Roman" w:hAnsi="Times New Roman" w:cs="Times New Roman" w:eastAsia="Times New Roman" w:hint="default"/>
        </w:rPr>
        <w:t>”</w:t>
      </w:r>
      <w:r>
        <w:rPr/>
        <w:t>。本项目分为</w:t>
      </w:r>
      <w:r>
        <w:rPr>
          <w:rFonts w:ascii="Times New Roman" w:hAnsi="Times New Roman" w:cs="Times New Roman" w:eastAsia="Times New Roman" w:hint="default"/>
        </w:rPr>
        <w:t>“</w:t>
      </w:r>
      <w:r>
        <w:rPr/>
        <w:t>数据中心及展示中心建设</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智慧生态云平台研发</w:t>
      </w:r>
      <w:r>
        <w:rPr>
          <w:rFonts w:ascii="Times New Roman" w:hAnsi="Times New Roman" w:cs="Times New Roman" w:eastAsia="Times New Roman" w:hint="default"/>
        </w:rPr>
        <w:t>”</w:t>
      </w:r>
      <w:r>
        <w:rPr/>
        <w:t>两个建设内容。</w:t>
      </w:r>
    </w:p>
    <w:p>
      <w:pPr>
        <w:pStyle w:val="BodyText"/>
        <w:spacing w:line="266" w:lineRule="auto" w:before="161"/>
        <w:ind w:right="1023" w:firstLine="420"/>
        <w:jc w:val="left"/>
      </w:pPr>
      <w:r>
        <w:rPr/>
        <w:t>京蓝智慧生态云平台项目在实施过程中，随着公有云技术的发展及公有云运营商对数据安全及服务质 量的保障承诺提升，公司把握科技发展带来的机遇，在保障本项目能够顺利实施的前提下，积极在公有云 进行部署。公司通过与阿里云合作，将项目中</w:t>
      </w:r>
      <w:r>
        <w:rPr>
          <w:rFonts w:ascii="Times New Roman" w:hAnsi="Times New Roman" w:cs="Times New Roman" w:eastAsia="Times New Roman" w:hint="default"/>
        </w:rPr>
        <w:t>“</w:t>
      </w:r>
      <w:r>
        <w:rPr/>
        <w:t>数据中心及展示中心建设</w:t>
      </w:r>
      <w:r>
        <w:rPr>
          <w:rFonts w:ascii="Times New Roman" w:hAnsi="Times New Roman" w:cs="Times New Roman" w:eastAsia="Times New Roman" w:hint="default"/>
        </w:rPr>
        <w:t>”</w:t>
      </w:r>
      <w:r>
        <w:rPr/>
        <w:t>部分在阿里云上构建两个云计算 </w:t>
      </w:r>
      <w:r>
        <w:rPr>
          <w:spacing w:val="-3"/>
        </w:rPr>
        <w:t>资源中心和大数据展示系统，满足了项目所需的云计算能力和展示能力，进一步加快了本项目的研发速度，</w:t>
      </w:r>
      <w:r>
        <w:rPr>
          <w:spacing w:val="-92"/>
        </w:rPr>
        <w:t> </w:t>
      </w:r>
      <w:r>
        <w:rPr>
          <w:spacing w:val="-92"/>
        </w:rPr>
      </w:r>
      <w:r>
        <w:rPr>
          <w:spacing w:val="-2"/>
        </w:rPr>
        <w:t>缩短研发周期，大幅降低了成本费用，使得智慧生态云平台完成</w:t>
      </w:r>
      <w:r>
        <w:rPr>
          <w:rFonts w:ascii="Times New Roman" w:hAnsi="Times New Roman" w:cs="Times New Roman" w:eastAsia="Times New Roman" w:hint="default"/>
          <w:spacing w:val="-2"/>
        </w:rPr>
        <w:t>1.0</w:t>
      </w:r>
      <w:r>
        <w:rPr>
          <w:spacing w:val="-2"/>
        </w:rPr>
        <w:t>版本的研发并投入使用，已达到募投项</w:t>
      </w:r>
      <w:r>
        <w:rPr>
          <w:spacing w:val="-89"/>
        </w:rPr>
        <w:t> </w:t>
      </w:r>
      <w:r>
        <w:rPr>
          <w:spacing w:val="-89"/>
        </w:rPr>
      </w:r>
      <w:r>
        <w:rPr/>
        <w:t>目预期实施效果，公司对此项目予以结项。</w:t>
      </w:r>
    </w:p>
    <w:p>
      <w:pPr>
        <w:pStyle w:val="BodyText"/>
        <w:spacing w:line="273" w:lineRule="auto" w:before="170"/>
        <w:ind w:right="0" w:firstLine="420"/>
        <w:jc w:val="left"/>
      </w:pPr>
      <w:r>
        <w:rPr>
          <w:spacing w:val="-1"/>
        </w:rPr>
        <w:t>本项目的建设，未来将进一步增强京蓝科技在生态环境领域的技术创新实力，推动相关技术研发与积</w:t>
      </w:r>
      <w:r>
        <w:rPr/>
        <w:t> 累，提高公司专业化整体解决方案的服务能力，从而为公司未来业绩增长提供有力保证。</w:t>
      </w:r>
    </w:p>
    <w:p>
      <w:pPr>
        <w:spacing w:line="240" w:lineRule="auto" w:before="7"/>
        <w:rPr>
          <w:rFonts w:ascii="宋体" w:hAnsi="宋体" w:cs="宋体" w:eastAsia="宋体" w:hint="default"/>
          <w:sz w:val="14"/>
          <w:szCs w:val="14"/>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62,928,729.61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17,980,231.13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249.99%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41,713,232.28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11,264,756.26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270.30%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7"/>
        <w:gridCol w:w="2387"/>
        <w:gridCol w:w="2392"/>
        <w:gridCol w:w="2392"/>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82" w:right="0"/>
              <w:jc w:val="left"/>
              <w:rPr>
                <w:rFonts w:ascii="Times New Roman" w:hAnsi="Times New Roman" w:cs="Times New Roman" w:eastAsia="Times New Roman" w:hint="default"/>
                <w:sz w:val="18"/>
                <w:szCs w:val="18"/>
              </w:rPr>
            </w:pPr>
            <w:r>
              <w:rPr>
                <w:rFonts w:ascii="Times New Roman"/>
                <w:sz w:val="18"/>
              </w:rPr>
              <w:t>1,523,407,129.04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9" w:right="0"/>
              <w:jc w:val="left"/>
              <w:rPr>
                <w:rFonts w:ascii="Times New Roman" w:hAnsi="Times New Roman" w:cs="Times New Roman" w:eastAsia="Times New Roman" w:hint="default"/>
                <w:sz w:val="18"/>
                <w:szCs w:val="18"/>
              </w:rPr>
            </w:pPr>
            <w:r>
              <w:rPr>
                <w:rFonts w:ascii="Times New Roman"/>
                <w:sz w:val="18"/>
              </w:rPr>
              <w:t>1,485,933,241.26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10"/>
        <w:gridCol w:w="2375"/>
        <w:gridCol w:w="2392"/>
        <w:gridCol w:w="2392"/>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2,366,786,406.73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1,881,011,610.47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25.83%</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-843,379,277.69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-395,078,369.21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-113.47%</w:t>
            </w:r>
            <w:r>
              <w:rPr>
                <w:rFonts w:ascii="Times New Roman"/>
                <w:spacing w:val="-1"/>
                <w:sz w:val="18"/>
              </w:rPr>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133,163,548.04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647,893,208.68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-79.45%</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621,391,744.94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2,408,374,243.97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-74.20%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-488,228,196.90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-1,760,481,035.29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72.27%</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3,348,931,121.38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3,101,074,497.35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7.99%</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2,641,303,993.97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960,489,947.14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175.00%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707,627,127.41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2,140,584,550.21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-66.94%</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-623,980,347.18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-14,974,854.29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-4,066.85%</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319" w:lineRule="auto" w:before="117"/>
        <w:ind w:left="154"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、公司经营活动产生的现金流量净额较上年同期减少</w:t>
      </w:r>
      <w:r>
        <w:rPr>
          <w:rFonts w:ascii="Times New Roman" w:hAnsi="Times New Roman" w:cs="Times New Roman" w:eastAsia="Times New Roman" w:hint="default"/>
          <w:sz w:val="18"/>
          <w:szCs w:val="18"/>
        </w:rPr>
        <w:t>44,830.09</w:t>
      </w:r>
      <w:r>
        <w:rPr>
          <w:rFonts w:ascii="宋体" w:hAnsi="宋体" w:cs="宋体" w:eastAsia="宋体" w:hint="default"/>
          <w:sz w:val="18"/>
          <w:szCs w:val="18"/>
        </w:rPr>
        <w:t>万元，主要是项目工程发包方的结算及付款进度通常滞后于 公司的完工进度，工程回款滞后于公司的工程投入所致。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、公司投资活动产生的现金流量净额较上年同期增加</w:t>
      </w:r>
      <w:r>
        <w:rPr>
          <w:rFonts w:ascii="Times New Roman" w:hAnsi="Times New Roman" w:cs="Times New Roman" w:eastAsia="Times New Roman" w:hint="default"/>
          <w:sz w:val="18"/>
          <w:szCs w:val="18"/>
        </w:rPr>
        <w:t>127,225.28</w:t>
      </w:r>
      <w:r>
        <w:rPr>
          <w:rFonts w:ascii="宋体" w:hAnsi="宋体" w:cs="宋体" w:eastAsia="宋体" w:hint="default"/>
          <w:sz w:val="18"/>
          <w:szCs w:val="18"/>
        </w:rPr>
        <w:t>万元，主要是公司支付并购款和对外注资款减少所致。</w:t>
      </w:r>
    </w:p>
    <w:p>
      <w:pPr>
        <w:spacing w:line="300" w:lineRule="auto"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、公司筹资活动产生的现金流量净额较上年同期减少</w:t>
      </w:r>
      <w:r>
        <w:rPr>
          <w:rFonts w:ascii="Times New Roman" w:hAnsi="Times New Roman" w:cs="Times New Roman" w:eastAsia="Times New Roman" w:hint="default"/>
          <w:spacing w:val="-2"/>
          <w:sz w:val="18"/>
          <w:szCs w:val="18"/>
        </w:rPr>
        <w:t>143,295.74</w:t>
      </w:r>
      <w:r>
        <w:rPr>
          <w:rFonts w:ascii="宋体" w:hAnsi="宋体" w:cs="宋体" w:eastAsia="宋体" w:hint="default"/>
          <w:spacing w:val="-2"/>
          <w:sz w:val="18"/>
          <w:szCs w:val="18"/>
        </w:rPr>
        <w:t>万元，主要是公司偿还去年筹资增量款的增加导致本报告期</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筹资活动现金流量净额明显降低。</w:t>
      </w:r>
    </w:p>
    <w:p>
      <w:pPr>
        <w:spacing w:line="240" w:lineRule="auto" w:before="0"/>
        <w:rPr>
          <w:rFonts w:ascii="宋体" w:hAnsi="宋体" w:cs="宋体" w:eastAsia="宋体" w:hint="default"/>
          <w:sz w:val="18"/>
          <w:szCs w:val="18"/>
        </w:rPr>
      </w:pPr>
    </w:p>
    <w:p>
      <w:pPr>
        <w:spacing w:before="148"/>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739"/>
        <w:gridCol w:w="1701"/>
        <w:gridCol w:w="2693"/>
        <w:gridCol w:w="1913"/>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4"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7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29,874,271.08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投资分红及股权转让收益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17,846,100.73</w:t>
            </w:r>
          </w:p>
        </w:tc>
        <w:tc>
          <w:tcPr>
            <w:tcW w:w="170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9.44%</w:t>
            </w:r>
          </w:p>
        </w:tc>
        <w:tc>
          <w:tcPr>
            <w:tcW w:w="2693"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主要是根据账龄分析法对 期末应 收款项计提坏账准备</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739" w:type="dxa"/>
            <w:vMerge/>
            <w:tcBorders>
              <w:left w:val="single" w:sz="9" w:space="0" w:color="D2D2D2"/>
              <w:right w:val="single" w:sz="4" w:space="0" w:color="000000"/>
            </w:tcBorders>
          </w:tcPr>
          <w:p>
            <w:pPr/>
          </w:p>
        </w:tc>
        <w:tc>
          <w:tcPr>
            <w:tcW w:w="1701" w:type="dxa"/>
            <w:vMerge/>
            <w:tcBorders>
              <w:left w:val="single" w:sz="4" w:space="0" w:color="000000"/>
              <w:right w:val="single" w:sz="4" w:space="0" w:color="000000"/>
            </w:tcBorders>
          </w:tcPr>
          <w:p>
            <w:pPr/>
          </w:p>
        </w:tc>
        <w:tc>
          <w:tcPr>
            <w:tcW w:w="2693"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r>
      <w:tr>
        <w:trPr>
          <w:trHeight w:val="161"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9" w:type="dxa"/>
            <w:vMerge/>
            <w:tcBorders>
              <w:left w:val="single" w:sz="9" w:space="0" w:color="D2D2D2"/>
              <w:bottom w:val="single" w:sz="4" w:space="0" w:color="000000"/>
              <w:right w:val="single" w:sz="4" w:space="0" w:color="000000"/>
            </w:tcBorders>
          </w:tcPr>
          <w:p>
            <w:pPr/>
          </w:p>
        </w:tc>
        <w:tc>
          <w:tcPr>
            <w:tcW w:w="1701" w:type="dxa"/>
            <w:vMerge/>
            <w:tcBorders>
              <w:left w:val="single" w:sz="4" w:space="0" w:color="000000"/>
              <w:bottom w:val="single" w:sz="4" w:space="0" w:color="000000"/>
              <w:right w:val="single" w:sz="4" w:space="0" w:color="000000"/>
            </w:tcBorders>
          </w:tcPr>
          <w:p>
            <w:pPr/>
          </w:p>
        </w:tc>
        <w:tc>
          <w:tcPr>
            <w:tcW w:w="2693"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2,576,023.58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主要是政府补助及债务重组利得</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7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3,654,665.95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主要是房租合同提前解约补偿款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590,334,702.9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1,047,670,400.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公司报告期提高资金使用效率，以降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低融资成本为目标，加大自有资金的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投入所致。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548,742,296.0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616,507,263.54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公司报告期内加大对应收账款的催 收力度，导致应收账款余额减少。</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4,568,934,899.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2,553,768,441.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公司报告期内工程建设项目增加，建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造合同形成的已完工未结算工程量 增加所致。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27,863,036.72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33,081,996.09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5,146,346.12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28,034,199.99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公司报告期内处置一项长期股权投 资所致。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372,293,197.9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320,358,432.22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both"/>
              <w:rPr>
                <w:rFonts w:ascii="宋体" w:hAnsi="宋体" w:cs="宋体" w:eastAsia="宋体" w:hint="default"/>
                <w:sz w:val="18"/>
                <w:szCs w:val="18"/>
              </w:rPr>
            </w:pPr>
            <w:r>
              <w:rPr>
                <w:rFonts w:ascii="宋体" w:hAnsi="宋体" w:cs="宋体" w:eastAsia="宋体" w:hint="default"/>
                <w:sz w:val="18"/>
                <w:szCs w:val="18"/>
              </w:rPr>
              <w:t>公司报告期内在建项目部分结项转 为固定资产，导致固定资产余额增 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93,304,264.43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143,188,521.59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公司报告期内在建项目部分转为固 定资产所致。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2,454,275,043.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1,897,180,000.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21.78%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公司报告期内业务规模扩张，对资金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需求增加所致。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305,678,814.9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129,196,000.00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主要是匹配长周期项目的借款增加。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截止报告期末公司主要资产不存在被查封、扣押、冻结的情况，公司资产抵押、质押的详细情况七、</w:t>
      </w:r>
      <w:r>
        <w:rPr>
          <w:rFonts w:ascii="Times New Roman" w:hAnsi="Times New Roman" w:cs="Times New Roman" w:eastAsia="Times New Roman" w:hint="default"/>
          <w:sz w:val="18"/>
          <w:szCs w:val="18"/>
        </w:rPr>
        <w:t>70</w:t>
      </w:r>
      <w:r>
        <w:rPr>
          <w:rFonts w:ascii="宋体" w:hAnsi="宋体" w:cs="宋体" w:eastAsia="宋体" w:hint="default"/>
          <w:sz w:val="18"/>
          <w:szCs w:val="18"/>
        </w:rPr>
        <w:t>。</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五、投资状况" w:id="44"/>
      <w:bookmarkEnd w:id="44"/>
      <w:r>
        <w:rPr>
          <w:b w:val="0"/>
          <w:bCs w:val="0"/>
        </w:rPr>
      </w:r>
      <w:r>
        <w:rPr/>
        <w:t>五、投资状况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5" w:right="0"/>
              <w:jc w:val="left"/>
              <w:rPr>
                <w:rFonts w:ascii="Times New Roman" w:hAnsi="Times New Roman" w:cs="Times New Roman" w:eastAsia="Times New Roman" w:hint="default"/>
                <w:sz w:val="18"/>
                <w:szCs w:val="18"/>
              </w:rPr>
            </w:pPr>
            <w:r>
              <w:rPr>
                <w:rFonts w:ascii="Times New Roman"/>
                <w:sz w:val="18"/>
              </w:rPr>
              <w:t>3,603,155,716.00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7" w:right="0"/>
              <w:jc w:val="left"/>
              <w:rPr>
                <w:rFonts w:ascii="Times New Roman" w:hAnsi="Times New Roman" w:cs="Times New Roman" w:eastAsia="Times New Roman" w:hint="default"/>
                <w:sz w:val="18"/>
                <w:szCs w:val="18"/>
              </w:rPr>
            </w:pPr>
            <w:r>
              <w:rPr>
                <w:rFonts w:ascii="Times New Roman"/>
                <w:sz w:val="18"/>
              </w:rPr>
              <w:t>2,171,338,500.00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65.94%</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35"/>
        <w:gridCol w:w="636"/>
        <w:gridCol w:w="640"/>
        <w:gridCol w:w="636"/>
        <w:gridCol w:w="640"/>
        <w:gridCol w:w="639"/>
        <w:gridCol w:w="637"/>
        <w:gridCol w:w="641"/>
        <w:gridCol w:w="637"/>
        <w:gridCol w:w="641"/>
        <w:gridCol w:w="638"/>
        <w:gridCol w:w="638"/>
        <w:gridCol w:w="640"/>
        <w:gridCol w:w="638"/>
        <w:gridCol w:w="638"/>
      </w:tblGrid>
      <w:tr>
        <w:trPr>
          <w:trHeight w:val="1650"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41" w:right="4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1" w:right="42"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4" w:right="4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1" w:right="42"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4" w:right="43"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3" w:right="4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5" w:right="4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3" w:right="4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5" w:right="43"/>
              <w:jc w:val="center"/>
              <w:rPr>
                <w:rFonts w:ascii="宋体" w:hAnsi="宋体" w:cs="宋体" w:eastAsia="宋体" w:hint="default"/>
                <w:sz w:val="18"/>
                <w:szCs w:val="18"/>
              </w:rPr>
            </w:pPr>
            <w:r>
              <w:rPr>
                <w:rFonts w:ascii="宋体" w:hAnsi="宋体" w:cs="宋体" w:eastAsia="宋体" w:hint="default"/>
                <w:sz w:val="18"/>
                <w:szCs w:val="18"/>
              </w:rPr>
              <w:t>截至资 产负债 表日的 进展情 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3" w:right="42"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44" w:right="42"/>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4" w:right="43"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44" w:right="42"/>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43" w:right="43"/>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4770"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1"/>
              <w:ind w:left="22" w:right="60"/>
              <w:jc w:val="both"/>
              <w:rPr>
                <w:rFonts w:ascii="宋体" w:hAnsi="宋体" w:cs="宋体" w:eastAsia="宋体" w:hint="default"/>
                <w:sz w:val="18"/>
                <w:szCs w:val="18"/>
              </w:rPr>
            </w:pPr>
            <w:r>
              <w:rPr>
                <w:rFonts w:ascii="宋体" w:hAnsi="宋体" w:cs="宋体" w:eastAsia="宋体" w:hint="default"/>
                <w:sz w:val="18"/>
                <w:szCs w:val="18"/>
              </w:rPr>
              <w:t>京蓝国 际工程 有限公 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工程和 技术研 究与试 验发 展；农 业科学 研究与 试验发 展；技 术开 发、技 术推 广、技 术服 务。</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6"/>
              <w:ind w:left="107" w:right="0"/>
              <w:jc w:val="left"/>
              <w:rPr>
                <w:rFonts w:ascii="Times New Roman" w:hAnsi="Times New Roman" w:cs="Times New Roman" w:eastAsia="Times New Roman" w:hint="default"/>
                <w:sz w:val="18"/>
                <w:szCs w:val="18"/>
              </w:rPr>
            </w:pPr>
            <w:r>
              <w:rPr>
                <w:rFonts w:ascii="Times New Roman"/>
                <w:sz w:val="18"/>
              </w:rPr>
              <w:t>000.00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9" w:lineRule="auto"/>
              <w:ind w:left="22" w:right="6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9" w:lineRule="auto"/>
              <w:ind w:left="23" w:right="65"/>
              <w:jc w:val="left"/>
              <w:rPr>
                <w:rFonts w:ascii="宋体" w:hAnsi="宋体" w:cs="宋体" w:eastAsia="宋体" w:hint="default"/>
                <w:sz w:val="18"/>
                <w:szCs w:val="18"/>
              </w:rPr>
            </w:pPr>
            <w:r>
              <w:rPr>
                <w:rFonts w:ascii="宋体" w:hAnsi="宋体" w:cs="宋体" w:eastAsia="宋体" w:hint="default"/>
                <w:sz w:val="18"/>
                <w:szCs w:val="18"/>
              </w:rPr>
              <w:t>完成设 立</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38" w:lineRule="auto" w:before="102"/>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ninfo.c om.cn</w:t>
            </w:r>
            <w:r>
              <w:rPr>
                <w:rFonts w:ascii="宋体" w:hAnsi="宋体" w:cs="宋体" w:eastAsia="宋体" w:hint="default"/>
                <w:sz w:val="18"/>
                <w:szCs w:val="18"/>
              </w:rPr>
              <w:t>）</w:t>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公告编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36</w:t>
            </w:r>
          </w:p>
        </w:tc>
      </w:tr>
      <w:tr>
        <w:trPr>
          <w:trHeight w:val="4770"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2"/>
              <w:ind w:left="22" w:right="60"/>
              <w:jc w:val="both"/>
              <w:rPr>
                <w:rFonts w:ascii="宋体" w:hAnsi="宋体" w:cs="宋体" w:eastAsia="宋体" w:hint="default"/>
                <w:sz w:val="18"/>
                <w:szCs w:val="18"/>
              </w:rPr>
            </w:pPr>
            <w:r>
              <w:rPr>
                <w:rFonts w:ascii="宋体" w:hAnsi="宋体" w:cs="宋体" w:eastAsia="宋体" w:hint="default"/>
                <w:sz w:val="18"/>
                <w:szCs w:val="18"/>
              </w:rPr>
              <w:t>京蓝科 技研究 有限公 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施工总 承包； 建设工 程项目 管理； 技术进 出口、 贸易进 出口； 水利水 电工程 的技术 咨询； 工程设 计。</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9" w:lineRule="auto"/>
              <w:ind w:left="22" w:right="6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9" w:lineRule="auto"/>
              <w:ind w:left="23" w:right="65"/>
              <w:jc w:val="left"/>
              <w:rPr>
                <w:rFonts w:ascii="宋体" w:hAnsi="宋体" w:cs="宋体" w:eastAsia="宋体" w:hint="default"/>
                <w:sz w:val="18"/>
                <w:szCs w:val="18"/>
              </w:rPr>
            </w:pPr>
            <w:r>
              <w:rPr>
                <w:rFonts w:ascii="宋体" w:hAnsi="宋体" w:cs="宋体" w:eastAsia="宋体" w:hint="default"/>
                <w:sz w:val="18"/>
                <w:szCs w:val="18"/>
              </w:rPr>
              <w:t>完成设 立</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38" w:lineRule="auto" w:before="102"/>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ninfo.c om.cn</w:t>
            </w:r>
            <w:r>
              <w:rPr>
                <w:rFonts w:ascii="宋体" w:hAnsi="宋体" w:cs="宋体" w:eastAsia="宋体" w:hint="default"/>
                <w:sz w:val="18"/>
                <w:szCs w:val="18"/>
              </w:rPr>
              <w:t>）</w:t>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公告编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37</w:t>
            </w:r>
          </w:p>
        </w:tc>
      </w:tr>
      <w:tr>
        <w:trPr>
          <w:trHeight w:val="2547"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0"/>
              <w:ind w:left="22" w:right="60"/>
              <w:jc w:val="left"/>
              <w:rPr>
                <w:rFonts w:ascii="宋体" w:hAnsi="宋体" w:cs="宋体" w:eastAsia="宋体" w:hint="default"/>
                <w:sz w:val="18"/>
                <w:szCs w:val="18"/>
              </w:rPr>
            </w:pPr>
            <w:r>
              <w:rPr>
                <w:rFonts w:ascii="宋体" w:hAnsi="宋体" w:cs="宋体" w:eastAsia="宋体" w:hint="default"/>
                <w:sz w:val="18"/>
                <w:szCs w:val="18"/>
              </w:rPr>
              <w:t>中科鼎 实</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9" w:lineRule="auto"/>
              <w:ind w:left="22" w:right="61"/>
              <w:jc w:val="both"/>
              <w:rPr>
                <w:rFonts w:ascii="宋体" w:hAnsi="宋体" w:cs="宋体" w:eastAsia="宋体" w:hint="default"/>
                <w:sz w:val="18"/>
                <w:szCs w:val="18"/>
              </w:rPr>
            </w:pPr>
            <w:r>
              <w:rPr>
                <w:rFonts w:ascii="宋体" w:hAnsi="宋体" w:cs="宋体" w:eastAsia="宋体" w:hint="default"/>
                <w:sz w:val="18"/>
                <w:szCs w:val="18"/>
              </w:rPr>
              <w:t>土壤修 复、地 下水修 复等</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1,179,5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94,580.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52" w:right="0"/>
              <w:jc w:val="left"/>
              <w:rPr>
                <w:rFonts w:ascii="Times New Roman" w:hAnsi="Times New Roman" w:cs="Times New Roman" w:eastAsia="Times New Roman" w:hint="default"/>
                <w:sz w:val="18"/>
                <w:szCs w:val="18"/>
              </w:rPr>
            </w:pPr>
            <w:r>
              <w:rPr>
                <w:rFonts w:ascii="Times New Roman"/>
                <w:sz w:val="18"/>
              </w:rPr>
              <w:t>77.72%</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09" w:lineRule="auto"/>
              <w:ind w:left="22" w:right="64"/>
              <w:jc w:val="left"/>
              <w:rPr>
                <w:rFonts w:ascii="宋体" w:hAnsi="宋体" w:cs="宋体" w:eastAsia="宋体" w:hint="default"/>
                <w:sz w:val="18"/>
                <w:szCs w:val="18"/>
              </w:rPr>
            </w:pPr>
            <w:r>
              <w:rPr>
                <w:rFonts w:ascii="宋体" w:hAnsi="宋体" w:cs="宋体" w:eastAsia="宋体" w:hint="default"/>
                <w:sz w:val="18"/>
                <w:szCs w:val="18"/>
              </w:rPr>
              <w:t>自有资 金</w:t>
            </w:r>
            <w:r>
              <w:rPr>
                <w:rFonts w:ascii="Times New Roman" w:hAnsi="Times New Roman" w:cs="Times New Roman" w:eastAsia="Times New Roman" w:hint="default"/>
                <w:sz w:val="18"/>
                <w:szCs w:val="18"/>
              </w:rPr>
              <w:t>+</w:t>
            </w:r>
            <w:r>
              <w:rPr>
                <w:rFonts w:ascii="宋体" w:hAnsi="宋体" w:cs="宋体" w:eastAsia="宋体" w:hint="default"/>
                <w:sz w:val="18"/>
                <w:szCs w:val="18"/>
              </w:rPr>
              <w:t>发 行股份</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0"/>
              <w:ind w:left="23" w:right="65"/>
              <w:jc w:val="left"/>
              <w:rPr>
                <w:rFonts w:ascii="宋体" w:hAnsi="宋体" w:cs="宋体" w:eastAsia="宋体" w:hint="default"/>
                <w:sz w:val="18"/>
                <w:szCs w:val="18"/>
              </w:rPr>
            </w:pPr>
            <w:r>
              <w:rPr>
                <w:rFonts w:ascii="宋体" w:hAnsi="宋体" w:cs="宋体" w:eastAsia="宋体" w:hint="default"/>
                <w:sz w:val="18"/>
                <w:szCs w:val="18"/>
              </w:rPr>
              <w:t>完成收 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38" w:lineRule="auto" w:before="102"/>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ninfo.c om.cn</w:t>
            </w:r>
            <w:r>
              <w:rPr>
                <w:rFonts w:ascii="宋体" w:hAnsi="宋体" w:cs="宋体" w:eastAsia="宋体" w:hint="default"/>
                <w:sz w:val="18"/>
                <w:szCs w:val="18"/>
              </w:rPr>
              <w:t>）</w:t>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公告编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号：</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35"/>
        <w:gridCol w:w="636"/>
        <w:gridCol w:w="640"/>
        <w:gridCol w:w="636"/>
        <w:gridCol w:w="640"/>
        <w:gridCol w:w="639"/>
        <w:gridCol w:w="637"/>
        <w:gridCol w:w="641"/>
        <w:gridCol w:w="637"/>
        <w:gridCol w:w="641"/>
        <w:gridCol w:w="638"/>
        <w:gridCol w:w="638"/>
        <w:gridCol w:w="640"/>
        <w:gridCol w:w="638"/>
        <w:gridCol w:w="638"/>
      </w:tblGrid>
      <w:tr>
        <w:trPr>
          <w:trHeight w:val="674" w:hRule="exact"/>
        </w:trPr>
        <w:tc>
          <w:tcPr>
            <w:tcW w:w="63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63</w:t>
            </w:r>
          </w:p>
        </w:tc>
      </w:tr>
      <w:tr>
        <w:trPr>
          <w:trHeight w:val="3210"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京蓝生 态</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生态环 境治 理；水 污染治 理等</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2" w:right="6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完成增 资</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38" w:lineRule="auto" w:before="102"/>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ninfo.c om.cn</w:t>
            </w:r>
            <w:r>
              <w:rPr>
                <w:rFonts w:ascii="宋体" w:hAnsi="宋体" w:cs="宋体" w:eastAsia="宋体" w:hint="default"/>
                <w:sz w:val="18"/>
                <w:szCs w:val="18"/>
              </w:rPr>
              <w:t>）</w:t>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公告编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96</w:t>
            </w:r>
          </w:p>
        </w:tc>
      </w:tr>
      <w:tr>
        <w:trPr>
          <w:trHeight w:val="3210"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京蓝沐 禾</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节水灌 溉等</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6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3" w:right="65"/>
              <w:jc w:val="both"/>
              <w:rPr>
                <w:rFonts w:ascii="宋体" w:hAnsi="宋体" w:cs="宋体" w:eastAsia="宋体" w:hint="default"/>
                <w:sz w:val="18"/>
                <w:szCs w:val="18"/>
              </w:rPr>
            </w:pPr>
            <w:r>
              <w:rPr>
                <w:rFonts w:ascii="宋体" w:hAnsi="宋体" w:cs="宋体" w:eastAsia="宋体" w:hint="default"/>
                <w:sz w:val="18"/>
                <w:szCs w:val="18"/>
              </w:rPr>
              <w:t>尚未完 成工商 变更</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38" w:lineRule="auto" w:before="102"/>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ninfo.c om.cn</w:t>
            </w:r>
            <w:r>
              <w:rPr>
                <w:rFonts w:ascii="宋体" w:hAnsi="宋体" w:cs="宋体" w:eastAsia="宋体" w:hint="default"/>
                <w:sz w:val="18"/>
                <w:szCs w:val="18"/>
              </w:rPr>
              <w:t>）</w:t>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公告编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97</w:t>
            </w:r>
          </w:p>
        </w:tc>
      </w:tr>
      <w:tr>
        <w:trPr>
          <w:trHeight w:val="3210"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京蓝园 林</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61"/>
              <w:jc w:val="both"/>
              <w:rPr>
                <w:rFonts w:ascii="宋体" w:hAnsi="宋体" w:cs="宋体" w:eastAsia="宋体" w:hint="default"/>
                <w:sz w:val="18"/>
                <w:szCs w:val="18"/>
              </w:rPr>
            </w:pPr>
            <w:r>
              <w:rPr>
                <w:rFonts w:ascii="宋体" w:hAnsi="宋体" w:cs="宋体" w:eastAsia="宋体" w:hint="default"/>
                <w:sz w:val="18"/>
                <w:szCs w:val="18"/>
              </w:rPr>
              <w:t>园林绿 化、景 观设计 等</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292,61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90.11%</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64"/>
              <w:jc w:val="left"/>
              <w:rPr>
                <w:rFonts w:ascii="宋体" w:hAnsi="宋体" w:cs="宋体" w:eastAsia="宋体" w:hint="default"/>
                <w:sz w:val="18"/>
                <w:szCs w:val="18"/>
              </w:rPr>
            </w:pPr>
            <w:r>
              <w:rPr>
                <w:rFonts w:ascii="宋体" w:hAnsi="宋体" w:cs="宋体" w:eastAsia="宋体" w:hint="default"/>
                <w:sz w:val="18"/>
                <w:szCs w:val="18"/>
              </w:rPr>
              <w:t>债权转 股权</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3" w:right="65"/>
              <w:jc w:val="both"/>
              <w:rPr>
                <w:rFonts w:ascii="宋体" w:hAnsi="宋体" w:cs="宋体" w:eastAsia="宋体" w:hint="default"/>
                <w:sz w:val="18"/>
                <w:szCs w:val="18"/>
              </w:rPr>
            </w:pPr>
            <w:r>
              <w:rPr>
                <w:rFonts w:ascii="宋体" w:hAnsi="宋体" w:cs="宋体" w:eastAsia="宋体" w:hint="default"/>
                <w:sz w:val="18"/>
                <w:szCs w:val="18"/>
              </w:rPr>
              <w:t>完成债 权转股 权</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38" w:lineRule="auto" w:before="102"/>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ninfo.c om.cn</w:t>
            </w:r>
            <w:r>
              <w:rPr>
                <w:rFonts w:ascii="宋体" w:hAnsi="宋体" w:cs="宋体" w:eastAsia="宋体" w:hint="default"/>
                <w:sz w:val="18"/>
                <w:szCs w:val="18"/>
              </w:rPr>
              <w:t>）</w:t>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公告编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98</w:t>
            </w:r>
          </w:p>
        </w:tc>
      </w:tr>
      <w:tr>
        <w:trPr>
          <w:trHeight w:val="3483"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60"/>
              <w:jc w:val="both"/>
              <w:rPr>
                <w:rFonts w:ascii="宋体" w:hAnsi="宋体" w:cs="宋体" w:eastAsia="宋体" w:hint="default"/>
                <w:sz w:val="18"/>
                <w:szCs w:val="18"/>
              </w:rPr>
            </w:pPr>
            <w:r>
              <w:rPr>
                <w:rFonts w:ascii="宋体" w:hAnsi="宋体" w:cs="宋体" w:eastAsia="宋体" w:hint="default"/>
                <w:sz w:val="18"/>
                <w:szCs w:val="18"/>
              </w:rPr>
              <w:t>天津中 安和泓 股权投 资基金 合伙企 业</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61"/>
              <w:jc w:val="left"/>
              <w:rPr>
                <w:rFonts w:ascii="宋体" w:hAnsi="宋体" w:cs="宋体" w:eastAsia="宋体" w:hint="default"/>
                <w:sz w:val="18"/>
                <w:szCs w:val="18"/>
              </w:rPr>
            </w:pPr>
            <w:r>
              <w:rPr>
                <w:rFonts w:ascii="宋体" w:hAnsi="宋体" w:cs="宋体" w:eastAsia="宋体" w:hint="default"/>
                <w:sz w:val="18"/>
                <w:szCs w:val="18"/>
              </w:rPr>
              <w:t>股权投 资等</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99,710,</w:t>
            </w:r>
          </w:p>
          <w:p>
            <w:pPr>
              <w:pStyle w:val="TableParagraph"/>
              <w:spacing w:line="240" w:lineRule="auto" w:before="106"/>
              <w:ind w:left="107" w:right="0"/>
              <w:jc w:val="left"/>
              <w:rPr>
                <w:rFonts w:ascii="Times New Roman" w:hAnsi="Times New Roman" w:cs="Times New Roman" w:eastAsia="Times New Roman" w:hint="default"/>
                <w:sz w:val="18"/>
                <w:szCs w:val="18"/>
              </w:rPr>
            </w:pPr>
            <w:r>
              <w:rPr>
                <w:rFonts w:ascii="Times New Roman"/>
                <w:sz w:val="18"/>
              </w:rPr>
              <w:t>000.00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6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京蓝控 股、安 信乾宏 投资有 限公 司、北 京中安 和润创 业投资 管理中 心（有</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62"/>
              <w:jc w:val="left"/>
              <w:rPr>
                <w:rFonts w:ascii="宋体" w:hAnsi="宋体" w:cs="宋体" w:eastAsia="宋体" w:hint="default"/>
                <w:sz w:val="18"/>
                <w:szCs w:val="18"/>
              </w:rPr>
            </w:pPr>
            <w:r>
              <w:rPr>
                <w:rFonts w:ascii="宋体" w:hAnsi="宋体" w:cs="宋体" w:eastAsia="宋体" w:hint="default"/>
                <w:sz w:val="18"/>
                <w:szCs w:val="18"/>
              </w:rPr>
              <w:t>合伙企 业份额</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3" w:right="65"/>
              <w:jc w:val="left"/>
              <w:rPr>
                <w:rFonts w:ascii="宋体" w:hAnsi="宋体" w:cs="宋体" w:eastAsia="宋体" w:hint="default"/>
                <w:sz w:val="18"/>
                <w:szCs w:val="18"/>
              </w:rPr>
            </w:pPr>
            <w:r>
              <w:rPr>
                <w:rFonts w:ascii="宋体" w:hAnsi="宋体" w:cs="宋体" w:eastAsia="宋体" w:hint="default"/>
                <w:sz w:val="18"/>
                <w:szCs w:val="18"/>
              </w:rPr>
              <w:t>完成设 立</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38" w:lineRule="auto" w:before="102"/>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ninfo.c om.cn</w:t>
            </w:r>
            <w:r>
              <w:rPr>
                <w:rFonts w:ascii="宋体" w:hAnsi="宋体" w:cs="宋体" w:eastAsia="宋体" w:hint="default"/>
                <w:sz w:val="18"/>
                <w:szCs w:val="18"/>
              </w:rPr>
              <w:t>）</w:t>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公告编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2018-1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35"/>
        <w:gridCol w:w="636"/>
        <w:gridCol w:w="640"/>
        <w:gridCol w:w="636"/>
        <w:gridCol w:w="640"/>
        <w:gridCol w:w="639"/>
        <w:gridCol w:w="637"/>
        <w:gridCol w:w="641"/>
        <w:gridCol w:w="637"/>
        <w:gridCol w:w="641"/>
        <w:gridCol w:w="638"/>
        <w:gridCol w:w="638"/>
        <w:gridCol w:w="640"/>
        <w:gridCol w:w="638"/>
        <w:gridCol w:w="638"/>
      </w:tblGrid>
      <w:tr>
        <w:trPr>
          <w:trHeight w:val="1611" w:hRule="exact"/>
        </w:trPr>
        <w:tc>
          <w:tcPr>
            <w:tcW w:w="63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限合 </w:t>
            </w:r>
            <w:r>
              <w:rPr>
                <w:rFonts w:ascii="宋体" w:hAnsi="宋体" w:cs="宋体" w:eastAsia="宋体" w:hint="default"/>
                <w:spacing w:val="-35"/>
                <w:sz w:val="18"/>
                <w:szCs w:val="18"/>
              </w:rPr>
              <w:t>伙）、建</w:t>
            </w:r>
            <w:r>
              <w:rPr>
                <w:rFonts w:ascii="宋体" w:hAnsi="宋体" w:cs="宋体" w:eastAsia="宋体" w:hint="default"/>
                <w:sz w:val="18"/>
                <w:szCs w:val="18"/>
              </w:rPr>
              <w:t> 信信托 有限责 任公司</w:t>
            </w:r>
          </w:p>
        </w:tc>
        <w:tc>
          <w:tcPr>
            <w:tcW w:w="641"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60"/>
              <w:jc w:val="both"/>
              <w:rPr>
                <w:rFonts w:ascii="宋体" w:hAnsi="宋体" w:cs="宋体" w:eastAsia="宋体" w:hint="default"/>
                <w:sz w:val="18"/>
                <w:szCs w:val="18"/>
              </w:rPr>
            </w:pPr>
            <w:r>
              <w:rPr>
                <w:rFonts w:ascii="宋体" w:hAnsi="宋体" w:cs="宋体" w:eastAsia="宋体" w:hint="default"/>
                <w:sz w:val="18"/>
                <w:szCs w:val="18"/>
              </w:rPr>
              <w:t>京蓝沐 禾（东 阿县） 节水灌 溉科技 有限公 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农田灌 溉服 务、土 壤监测 等</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76,000,</w:t>
            </w:r>
          </w:p>
          <w:p>
            <w:pPr>
              <w:pStyle w:val="TableParagraph"/>
              <w:spacing w:line="240" w:lineRule="auto" w:before="105"/>
              <w:ind w:left="107" w:right="0"/>
              <w:jc w:val="left"/>
              <w:rPr>
                <w:rFonts w:ascii="Times New Roman" w:hAnsi="Times New Roman" w:cs="Times New Roman" w:eastAsia="Times New Roman" w:hint="default"/>
                <w:sz w:val="18"/>
                <w:szCs w:val="18"/>
              </w:rPr>
            </w:pPr>
            <w:r>
              <w:rPr>
                <w:rFonts w:ascii="Times New Roman"/>
                <w:sz w:val="18"/>
              </w:rPr>
              <w:t>000.00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6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2"/>
              <w:jc w:val="both"/>
              <w:rPr>
                <w:rFonts w:ascii="宋体" w:hAnsi="宋体" w:cs="宋体" w:eastAsia="宋体" w:hint="default"/>
                <w:sz w:val="18"/>
                <w:szCs w:val="18"/>
              </w:rPr>
            </w:pPr>
            <w:r>
              <w:rPr>
                <w:rFonts w:ascii="宋体" w:hAnsi="宋体" w:cs="宋体" w:eastAsia="宋体" w:hint="default"/>
                <w:sz w:val="18"/>
                <w:szCs w:val="18"/>
              </w:rPr>
              <w:t>北京奥 特美克 科技股 份有限 公司、 东阿县 财金建 设发展 有限公 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完成设 立</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38" w:lineRule="auto" w:before="102"/>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ninfo.c om.cn</w:t>
            </w:r>
            <w:r>
              <w:rPr>
                <w:rFonts w:ascii="宋体" w:hAnsi="宋体" w:cs="宋体" w:eastAsia="宋体" w:hint="default"/>
                <w:sz w:val="18"/>
                <w:szCs w:val="18"/>
              </w:rPr>
              <w:t>）</w:t>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公告编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2018-1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33</w:t>
            </w:r>
          </w:p>
        </w:tc>
      </w:tr>
      <w:tr>
        <w:trPr>
          <w:trHeight w:val="3522"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60"/>
              <w:jc w:val="both"/>
              <w:rPr>
                <w:rFonts w:ascii="宋体" w:hAnsi="宋体" w:cs="宋体" w:eastAsia="宋体" w:hint="default"/>
                <w:sz w:val="18"/>
                <w:szCs w:val="18"/>
              </w:rPr>
            </w:pPr>
            <w:r>
              <w:rPr>
                <w:rFonts w:ascii="宋体" w:hAnsi="宋体" w:cs="宋体" w:eastAsia="宋体" w:hint="default"/>
                <w:sz w:val="18"/>
                <w:szCs w:val="18"/>
              </w:rPr>
              <w:t>汤阴京 蓝建设 有限公 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61"/>
              <w:jc w:val="both"/>
              <w:rPr>
                <w:rFonts w:ascii="宋体" w:hAnsi="宋体" w:cs="宋体" w:eastAsia="宋体" w:hint="default"/>
                <w:sz w:val="18"/>
                <w:szCs w:val="18"/>
              </w:rPr>
            </w:pPr>
            <w:r>
              <w:rPr>
                <w:rFonts w:ascii="宋体" w:hAnsi="宋体" w:cs="宋体" w:eastAsia="宋体" w:hint="default"/>
                <w:sz w:val="18"/>
                <w:szCs w:val="18"/>
              </w:rPr>
              <w:t>园林工 程、市 政道路 工程建 设及运 营维护 等</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6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汤阴汤 和国家 湿地公 园管理 委员 会、天 津北方 创业市 政工程 集团有 限公司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完成设 立</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38" w:lineRule="auto" w:before="102"/>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ninfo.c om.cn</w:t>
            </w:r>
            <w:r>
              <w:rPr>
                <w:rFonts w:ascii="宋体" w:hAnsi="宋体" w:cs="宋体" w:eastAsia="宋体" w:hint="default"/>
                <w:sz w:val="18"/>
                <w:szCs w:val="18"/>
              </w:rPr>
              <w:t>）</w:t>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公告编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2018-1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51</w:t>
            </w:r>
          </w:p>
        </w:tc>
      </w:tr>
      <w:tr>
        <w:trPr>
          <w:trHeight w:val="3210"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60"/>
              <w:jc w:val="both"/>
              <w:rPr>
                <w:rFonts w:ascii="宋体" w:hAnsi="宋体" w:cs="宋体" w:eastAsia="宋体" w:hint="default"/>
                <w:sz w:val="18"/>
                <w:szCs w:val="18"/>
              </w:rPr>
            </w:pPr>
            <w:r>
              <w:rPr>
                <w:rFonts w:ascii="宋体" w:hAnsi="宋体" w:cs="宋体" w:eastAsia="宋体" w:hint="default"/>
                <w:sz w:val="18"/>
                <w:szCs w:val="18"/>
              </w:rPr>
              <w:t>驻马店 市京蓝 北方建 设工程 有限公 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61"/>
              <w:jc w:val="both"/>
              <w:rPr>
                <w:rFonts w:ascii="宋体" w:hAnsi="宋体" w:cs="宋体" w:eastAsia="宋体" w:hint="default"/>
                <w:sz w:val="18"/>
                <w:szCs w:val="18"/>
              </w:rPr>
            </w:pPr>
            <w:r>
              <w:rPr>
                <w:rFonts w:ascii="宋体" w:hAnsi="宋体" w:cs="宋体" w:eastAsia="宋体" w:hint="default"/>
                <w:sz w:val="18"/>
                <w:szCs w:val="18"/>
              </w:rPr>
              <w:t>园林绿 化等工 程的建 设及运 营维护 等</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6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完成设 立</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38" w:lineRule="auto" w:before="102"/>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ninfo.c om.cn</w:t>
            </w:r>
            <w:r>
              <w:rPr>
                <w:rFonts w:ascii="宋体" w:hAnsi="宋体" w:cs="宋体" w:eastAsia="宋体" w:hint="default"/>
                <w:sz w:val="18"/>
                <w:szCs w:val="18"/>
              </w:rPr>
              <w:t>）</w:t>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公告编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2018-1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64</w:t>
            </w:r>
          </w:p>
        </w:tc>
      </w:tr>
      <w:tr>
        <w:trPr>
          <w:trHeight w:val="2235"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60"/>
              <w:jc w:val="both"/>
              <w:rPr>
                <w:rFonts w:ascii="宋体" w:hAnsi="宋体" w:cs="宋体" w:eastAsia="宋体" w:hint="default"/>
                <w:sz w:val="18"/>
                <w:szCs w:val="18"/>
              </w:rPr>
            </w:pPr>
            <w:r>
              <w:rPr>
                <w:rFonts w:ascii="宋体" w:hAnsi="宋体" w:cs="宋体" w:eastAsia="宋体" w:hint="default"/>
                <w:sz w:val="18"/>
                <w:szCs w:val="18"/>
              </w:rPr>
              <w:t>京蓝沐 禾贺兰 灌溉服 务有限 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61"/>
              <w:jc w:val="both"/>
              <w:rPr>
                <w:rFonts w:ascii="宋体" w:hAnsi="宋体" w:cs="宋体" w:eastAsia="宋体" w:hint="default"/>
                <w:sz w:val="18"/>
                <w:szCs w:val="18"/>
              </w:rPr>
            </w:pPr>
            <w:r>
              <w:rPr>
                <w:rFonts w:ascii="宋体" w:hAnsi="宋体" w:cs="宋体" w:eastAsia="宋体" w:hint="default"/>
                <w:sz w:val="18"/>
                <w:szCs w:val="18"/>
              </w:rPr>
              <w:t>农田灌 溉服务 等</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190,21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6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2"/>
              <w:jc w:val="both"/>
              <w:rPr>
                <w:rFonts w:ascii="宋体" w:hAnsi="宋体" w:cs="宋体" w:eastAsia="宋体" w:hint="default"/>
                <w:sz w:val="18"/>
                <w:szCs w:val="18"/>
              </w:rPr>
            </w:pPr>
            <w:r>
              <w:rPr>
                <w:rFonts w:ascii="宋体" w:hAnsi="宋体" w:cs="宋体" w:eastAsia="宋体" w:hint="default"/>
                <w:sz w:val="18"/>
                <w:szCs w:val="18"/>
              </w:rPr>
              <w:t>北京奥 特美克 科技股 份有限 公司、 贺兰县 融晟投</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3" w:right="65"/>
              <w:jc w:val="left"/>
              <w:rPr>
                <w:rFonts w:ascii="宋体" w:hAnsi="宋体" w:cs="宋体" w:eastAsia="宋体" w:hint="default"/>
                <w:sz w:val="18"/>
                <w:szCs w:val="18"/>
              </w:rPr>
            </w:pPr>
            <w:r>
              <w:rPr>
                <w:rFonts w:ascii="宋体" w:hAnsi="宋体" w:cs="宋体" w:eastAsia="宋体" w:hint="default"/>
                <w:sz w:val="18"/>
                <w:szCs w:val="18"/>
              </w:rPr>
              <w:t>完成设 立</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38" w:lineRule="auto" w:before="103"/>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ninfo.c om.cn</w:t>
            </w:r>
            <w:r>
              <w:rPr>
                <w:rFonts w:ascii="宋体" w:hAnsi="宋体" w:cs="宋体" w:eastAsia="宋体" w:hint="default"/>
                <w:sz w:val="18"/>
                <w:szCs w:val="18"/>
              </w:rPr>
              <w:t>）</w:t>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公告编</w:t>
            </w:r>
          </w:p>
        </w:tc>
      </w:tr>
    </w:tbl>
    <w:p>
      <w:pPr>
        <w:spacing w:after="0" w:line="217" w:lineRule="exact"/>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35"/>
        <w:gridCol w:w="636"/>
        <w:gridCol w:w="640"/>
        <w:gridCol w:w="636"/>
        <w:gridCol w:w="640"/>
        <w:gridCol w:w="639"/>
        <w:gridCol w:w="637"/>
        <w:gridCol w:w="641"/>
        <w:gridCol w:w="637"/>
        <w:gridCol w:w="641"/>
        <w:gridCol w:w="638"/>
        <w:gridCol w:w="638"/>
        <w:gridCol w:w="640"/>
        <w:gridCol w:w="638"/>
        <w:gridCol w:w="638"/>
      </w:tblGrid>
      <w:tr>
        <w:trPr>
          <w:trHeight w:val="986" w:hRule="exact"/>
        </w:trPr>
        <w:tc>
          <w:tcPr>
            <w:tcW w:w="63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2"/>
              <w:jc w:val="both"/>
              <w:rPr>
                <w:rFonts w:ascii="宋体" w:hAnsi="宋体" w:cs="宋体" w:eastAsia="宋体" w:hint="default"/>
                <w:sz w:val="18"/>
                <w:szCs w:val="18"/>
              </w:rPr>
            </w:pPr>
            <w:r>
              <w:rPr>
                <w:rFonts w:ascii="宋体" w:hAnsi="宋体" w:cs="宋体" w:eastAsia="宋体" w:hint="default"/>
                <w:sz w:val="18"/>
                <w:szCs w:val="18"/>
              </w:rPr>
              <w:t>资运营 有限公 司</w:t>
            </w:r>
          </w:p>
        </w:tc>
        <w:tc>
          <w:tcPr>
            <w:tcW w:w="641"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2018-1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65</w:t>
            </w:r>
          </w:p>
        </w:tc>
      </w:tr>
      <w:tr>
        <w:trPr>
          <w:trHeight w:val="3210"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京蓝环 境建设</w:t>
            </w:r>
          </w:p>
          <w:p>
            <w:pPr>
              <w:pStyle w:val="TableParagraph"/>
              <w:spacing w:line="319" w:lineRule="auto" w:before="19"/>
              <w:ind w:left="22" w:right="60"/>
              <w:jc w:val="left"/>
              <w:rPr>
                <w:rFonts w:ascii="宋体" w:hAnsi="宋体" w:cs="宋体" w:eastAsia="宋体" w:hint="default"/>
                <w:sz w:val="18"/>
                <w:szCs w:val="18"/>
              </w:rPr>
            </w:pPr>
            <w:r>
              <w:rPr>
                <w:rFonts w:ascii="宋体" w:hAnsi="宋体" w:cs="宋体" w:eastAsia="宋体" w:hint="default"/>
                <w:sz w:val="18"/>
                <w:szCs w:val="18"/>
              </w:rPr>
              <w:t>（北 京）有 限公司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61"/>
              <w:jc w:val="both"/>
              <w:rPr>
                <w:rFonts w:ascii="宋体" w:hAnsi="宋体" w:cs="宋体" w:eastAsia="宋体" w:hint="default"/>
                <w:sz w:val="18"/>
                <w:szCs w:val="18"/>
              </w:rPr>
            </w:pPr>
            <w:r>
              <w:rPr>
                <w:rFonts w:ascii="宋体" w:hAnsi="宋体" w:cs="宋体" w:eastAsia="宋体" w:hint="default"/>
                <w:sz w:val="18"/>
                <w:szCs w:val="18"/>
              </w:rPr>
              <w:t>施工总 承包、 园林绿 化等</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收购</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7" w:right="0"/>
              <w:jc w:val="left"/>
              <w:rPr>
                <w:rFonts w:ascii="Times New Roman" w:hAnsi="Times New Roman" w:cs="Times New Roman" w:eastAsia="Times New Roman" w:hint="default"/>
                <w:sz w:val="18"/>
                <w:szCs w:val="18"/>
              </w:rPr>
            </w:pPr>
            <w:r>
              <w:rPr>
                <w:rFonts w:ascii="Times New Roman"/>
                <w:sz w:val="18"/>
              </w:rPr>
              <w:t>1.00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2" w:right="6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242"/>
              <w:jc w:val="right"/>
              <w:rPr>
                <w:rFonts w:ascii="宋体" w:hAnsi="宋体" w:cs="宋体" w:eastAsia="宋体" w:hint="default"/>
                <w:sz w:val="18"/>
                <w:szCs w:val="18"/>
              </w:rPr>
            </w:pPr>
            <w:r>
              <w:rPr>
                <w:rFonts w:ascii="宋体" w:hAnsi="宋体" w:cs="宋体" w:eastAsia="宋体" w:hint="default"/>
                <w:sz w:val="18"/>
                <w:szCs w:val="18"/>
              </w:rPr>
              <w:t>股权</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完成设 立</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38" w:lineRule="auto" w:before="102"/>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ninfo.c om.cn</w:t>
            </w:r>
            <w:r>
              <w:rPr>
                <w:rFonts w:ascii="宋体" w:hAnsi="宋体" w:cs="宋体" w:eastAsia="宋体" w:hint="default"/>
                <w:sz w:val="18"/>
                <w:szCs w:val="18"/>
              </w:rPr>
              <w:t>）</w:t>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公告编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2018-1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66</w:t>
            </w:r>
          </w:p>
        </w:tc>
      </w:tr>
      <w:tr>
        <w:trPr>
          <w:trHeight w:val="3210"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60"/>
              <w:jc w:val="both"/>
              <w:rPr>
                <w:rFonts w:ascii="宋体" w:hAnsi="宋体" w:cs="宋体" w:eastAsia="宋体" w:hint="default"/>
                <w:sz w:val="18"/>
                <w:szCs w:val="18"/>
              </w:rPr>
            </w:pPr>
            <w:r>
              <w:rPr>
                <w:rFonts w:ascii="宋体" w:hAnsi="宋体" w:cs="宋体" w:eastAsia="宋体" w:hint="default"/>
                <w:sz w:val="18"/>
                <w:szCs w:val="18"/>
              </w:rPr>
              <w:t>京蓝沐 禾（宁 城县） 农业供 水有限 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61"/>
              <w:jc w:val="both"/>
              <w:rPr>
                <w:rFonts w:ascii="宋体" w:hAnsi="宋体" w:cs="宋体" w:eastAsia="宋体" w:hint="default"/>
                <w:sz w:val="18"/>
                <w:szCs w:val="18"/>
              </w:rPr>
            </w:pPr>
            <w:r>
              <w:rPr>
                <w:rFonts w:ascii="宋体" w:hAnsi="宋体" w:cs="宋体" w:eastAsia="宋体" w:hint="default"/>
                <w:sz w:val="18"/>
                <w:szCs w:val="18"/>
              </w:rPr>
              <w:t>农业供 水、灌 溉服务 等</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新设</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107" w:right="0"/>
              <w:jc w:val="left"/>
              <w:rPr>
                <w:rFonts w:ascii="Times New Roman" w:hAnsi="Times New Roman" w:cs="Times New Roman" w:eastAsia="Times New Roman" w:hint="default"/>
                <w:sz w:val="18"/>
                <w:szCs w:val="18"/>
              </w:rPr>
            </w:pPr>
            <w:r>
              <w:rPr>
                <w:rFonts w:ascii="Times New Roman"/>
                <w:sz w:val="18"/>
              </w:rPr>
              <w:t>000.00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99.00%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6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62"/>
              <w:jc w:val="both"/>
              <w:rPr>
                <w:rFonts w:ascii="宋体" w:hAnsi="宋体" w:cs="宋体" w:eastAsia="宋体" w:hint="default"/>
                <w:sz w:val="18"/>
                <w:szCs w:val="18"/>
              </w:rPr>
            </w:pPr>
            <w:r>
              <w:rPr>
                <w:rFonts w:ascii="宋体" w:hAnsi="宋体" w:cs="宋体" w:eastAsia="宋体" w:hint="default"/>
                <w:sz w:val="18"/>
                <w:szCs w:val="18"/>
              </w:rPr>
              <w:t>宁城县 基础产 业发展 有限公 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242"/>
              <w:jc w:val="right"/>
              <w:rPr>
                <w:rFonts w:ascii="宋体" w:hAnsi="宋体" w:cs="宋体" w:eastAsia="宋体" w:hint="default"/>
                <w:sz w:val="18"/>
                <w:szCs w:val="18"/>
              </w:rPr>
            </w:pPr>
            <w:r>
              <w:rPr>
                <w:rFonts w:ascii="宋体" w:hAnsi="宋体" w:cs="宋体" w:eastAsia="宋体" w:hint="default"/>
                <w:sz w:val="18"/>
                <w:szCs w:val="18"/>
              </w:rPr>
              <w:t>股权</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3" w:right="65"/>
              <w:jc w:val="left"/>
              <w:rPr>
                <w:rFonts w:ascii="宋体" w:hAnsi="宋体" w:cs="宋体" w:eastAsia="宋体" w:hint="default"/>
                <w:sz w:val="18"/>
                <w:szCs w:val="18"/>
              </w:rPr>
            </w:pPr>
            <w:r>
              <w:rPr>
                <w:rFonts w:ascii="宋体" w:hAnsi="宋体" w:cs="宋体" w:eastAsia="宋体" w:hint="default"/>
                <w:sz w:val="18"/>
                <w:szCs w:val="18"/>
              </w:rPr>
              <w:t>完成设 立</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38" w:lineRule="auto" w:before="102"/>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ninfo.c om.cn</w:t>
            </w:r>
            <w:r>
              <w:rPr>
                <w:rFonts w:ascii="宋体" w:hAnsi="宋体" w:cs="宋体" w:eastAsia="宋体" w:hint="default"/>
                <w:sz w:val="18"/>
                <w:szCs w:val="18"/>
              </w:rPr>
              <w:t>）</w:t>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公告编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2018-2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3"/>
              <w:jc w:val="right"/>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360315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5716.0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3"/>
              <w:jc w:val="right"/>
              <w:rPr>
                <w:rFonts w:ascii="Times New Roman" w:hAnsi="Times New Roman" w:cs="Times New Roman" w:eastAsia="Times New Roman" w:hint="default"/>
                <w:sz w:val="18"/>
                <w:szCs w:val="18"/>
              </w:rPr>
            </w:pPr>
            <w:r>
              <w:rPr>
                <w:rFonts w:ascii="Times New Roman"/>
                <w:sz w:val="18"/>
              </w:rPr>
              <w:t>--</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金融资产投资" w:id="48"/>
      <w:bookmarkEnd w:id="48"/>
      <w:r>
        <w:rPr>
          <w:b w:val="0"/>
          <w:bCs w:val="0"/>
        </w:rPr>
      </w:r>
      <w:r>
        <w:rPr>
          <w:rFonts w:ascii="Times New Roman" w:hAnsi="Times New Roman" w:cs="Times New Roman" w:eastAsia="Times New Roman" w:hint="default"/>
        </w:rPr>
        <w:t>4</w:t>
      </w:r>
      <w:r>
        <w:rPr/>
        <w:t>、金融资产投资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证券投资情况" w:id="49"/>
      <w:bookmarkEnd w:id="49"/>
      <w:r>
        <w:rPr>
          <w:b w:val="0"/>
          <w:bCs w:val="0"/>
        </w:rPr>
      </w:r>
      <w:r>
        <w:rPr/>
        <w:t>（</w:t>
      </w:r>
      <w:r>
        <w:rPr>
          <w:rFonts w:ascii="Times New Roman" w:hAnsi="Times New Roman" w:cs="Times New Roman" w:eastAsia="Times New Roman" w:hint="default"/>
        </w:rPr>
        <w:t>1</w:t>
      </w:r>
      <w:r>
        <w:rPr/>
        <w:t>）证券投资情况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公司报告期不存在证券投资。</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衍生品投资情况" w:id="50"/>
      <w:bookmarkEnd w:id="50"/>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2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公司报告期不存在衍生品投资。</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募集资金使用情况" w:id="51"/>
      <w:bookmarkEnd w:id="51"/>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1）募集资金总体使用情况" w:id="52"/>
      <w:bookmarkEnd w:id="52"/>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383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2" w:right="0"/>
              <w:jc w:val="left"/>
              <w:rPr>
                <w:rFonts w:ascii="Times New Roman" w:hAnsi="Times New Roman" w:cs="Times New Roman" w:eastAsia="Times New Roman" w:hint="default"/>
                <w:sz w:val="18"/>
                <w:szCs w:val="18"/>
              </w:rPr>
            </w:pPr>
            <w:r>
              <w:rPr>
                <w:rFonts w:ascii="Times New Roman"/>
                <w:sz w:val="18"/>
              </w:rPr>
              <w:t>2016</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157,000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93" w:right="0"/>
              <w:jc w:val="center"/>
              <w:rPr>
                <w:rFonts w:ascii="Times New Roman" w:hAnsi="Times New Roman" w:cs="Times New Roman" w:eastAsia="Times New Roman" w:hint="default"/>
                <w:sz w:val="18"/>
                <w:szCs w:val="18"/>
              </w:rPr>
            </w:pPr>
            <w:r>
              <w:rPr>
                <w:rFonts w:ascii="Times New Roman"/>
                <w:sz w:val="18"/>
              </w:rPr>
              <w:t>20,563.03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133,634.98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23,365.02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6" w:lineRule="auto" w:before="63"/>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日，结 项项目资 金使用完 </w:t>
            </w:r>
            <w:r>
              <w:rPr>
                <w:rFonts w:ascii="宋体" w:hAnsi="宋体" w:cs="宋体" w:eastAsia="宋体" w:hint="default"/>
                <w:spacing w:val="-18"/>
                <w:sz w:val="18"/>
                <w:szCs w:val="18"/>
              </w:rPr>
              <w:t>毕，永久补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流。尚未使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用的募集 资金均在 各募集资 金账户留 存。</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3"/>
              <w:jc w:val="right"/>
              <w:rPr>
                <w:rFonts w:ascii="Times New Roman" w:hAnsi="Times New Roman" w:cs="Times New Roman" w:eastAsia="Times New Roman" w:hint="default"/>
                <w:sz w:val="18"/>
                <w:szCs w:val="18"/>
              </w:rPr>
            </w:pPr>
            <w:r>
              <w:rPr>
                <w:rFonts w:ascii="Times New Roman"/>
                <w:sz w:val="18"/>
              </w:rPr>
              <w:t>0</w:t>
            </w:r>
          </w:p>
        </w:tc>
      </w:tr>
      <w:tr>
        <w:trPr>
          <w:trHeight w:val="2898"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2" w:right="0"/>
              <w:jc w:val="left"/>
              <w:rPr>
                <w:rFonts w:ascii="Times New Roman" w:hAnsi="Times New Roman" w:cs="Times New Roman" w:eastAsia="Times New Roman" w:hint="default"/>
                <w:sz w:val="18"/>
                <w:szCs w:val="18"/>
              </w:rPr>
            </w:pPr>
            <w:r>
              <w:rPr>
                <w:rFonts w:ascii="Times New Roman"/>
                <w:sz w:val="18"/>
              </w:rPr>
              <w:t>2017</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50,950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93" w:right="0"/>
              <w:jc w:val="center"/>
              <w:rPr>
                <w:rFonts w:ascii="Times New Roman" w:hAnsi="Times New Roman" w:cs="Times New Roman" w:eastAsia="Times New Roman" w:hint="default"/>
                <w:sz w:val="18"/>
                <w:szCs w:val="18"/>
              </w:rPr>
            </w:pPr>
            <w:r>
              <w:rPr>
                <w:rFonts w:ascii="Times New Roman"/>
                <w:sz w:val="18"/>
              </w:rPr>
              <w:t>10,277.58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30,509.34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20,440.66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319" w:lineRule="auto" w:before="63"/>
              <w:ind w:left="22" w:right="23"/>
              <w:jc w:val="left"/>
              <w:rPr>
                <w:rFonts w:ascii="宋体" w:hAnsi="宋体" w:cs="宋体" w:eastAsia="宋体" w:hint="default"/>
                <w:sz w:val="18"/>
                <w:szCs w:val="18"/>
              </w:rPr>
            </w:pPr>
            <w:r>
              <w:rPr>
                <w:rFonts w:ascii="宋体" w:hAnsi="宋体" w:cs="宋体" w:eastAsia="宋体" w:hint="default"/>
                <w:spacing w:val="-18"/>
                <w:sz w:val="18"/>
                <w:szCs w:val="18"/>
              </w:rPr>
              <w:t>日，尚未使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用的募集 资金均在 各募集资 金账户留 存。</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207,950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30,840.61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164,144.32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43,805.68</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274"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382" w:right="22"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月非公开募集资金情况 </w:t>
            </w:r>
            <w:r>
              <w:rPr>
                <w:rFonts w:ascii="宋体" w:hAnsi="宋体" w:cs="宋体" w:eastAsia="宋体" w:hint="default"/>
                <w:spacing w:val="-1"/>
                <w:sz w:val="18"/>
                <w:szCs w:val="18"/>
              </w:rPr>
              <w:t>经中国证券监督管理委员会《关于核准黑龙江京蓝科技股份有限公司向乌力吉等发行股份购买资产并募集配套资金的</w:t>
            </w:r>
          </w:p>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批复</w:t>
            </w:r>
            <w:r>
              <w:rPr>
                <w:rFonts w:ascii="宋体" w:hAnsi="宋体" w:cs="宋体" w:eastAsia="宋体" w:hint="default"/>
                <w:spacing w:val="-90"/>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2184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号）核准（注：黑龙江京蓝科技股份有限公司为公司曾用名，公司已于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完成工</w:t>
            </w:r>
            <w:r>
              <w:rPr>
                <w:rFonts w:ascii="宋体" w:hAnsi="宋体" w:cs="宋体" w:eastAsia="宋体" w:hint="default"/>
                <w:spacing w:val="1"/>
                <w:sz w:val="18"/>
                <w:szCs w:val="18"/>
              </w:rPr>
              <w:t>商</w:t>
            </w:r>
            <w:r>
              <w:rPr>
                <w:rFonts w:ascii="宋体" w:hAnsi="宋体" w:cs="宋体" w:eastAsia="宋体" w:hint="default"/>
                <w:spacing w:val="2"/>
                <w:sz w:val="18"/>
                <w:szCs w:val="18"/>
              </w:rPr>
              <w:t>变</w:t>
            </w:r>
            <w:r>
              <w:rPr>
                <w:rFonts w:ascii="宋体" w:hAnsi="宋体" w:cs="宋体" w:eastAsia="宋体" w:hint="default"/>
                <w:spacing w:val="1"/>
                <w:sz w:val="18"/>
                <w:szCs w:val="18"/>
              </w:rPr>
              <w:t>更</w:t>
            </w:r>
            <w:r>
              <w:rPr>
                <w:rFonts w:ascii="宋体" w:hAnsi="宋体" w:cs="宋体" w:eastAsia="宋体" w:hint="default"/>
                <w:spacing w:val="2"/>
                <w:sz w:val="18"/>
                <w:szCs w:val="18"/>
              </w:rPr>
              <w:t>登记手</w:t>
            </w:r>
            <w:r>
              <w:rPr>
                <w:rFonts w:ascii="宋体" w:hAnsi="宋体" w:cs="宋体" w:eastAsia="宋体" w:hint="default"/>
                <w:spacing w:val="1"/>
                <w:sz w:val="18"/>
                <w:szCs w:val="18"/>
              </w:rPr>
              <w:t>续</w:t>
            </w:r>
            <w:r>
              <w:rPr>
                <w:rFonts w:ascii="宋体" w:hAnsi="宋体" w:cs="宋体" w:eastAsia="宋体" w:hint="default"/>
                <w:spacing w:val="2"/>
                <w:sz w:val="18"/>
                <w:szCs w:val="18"/>
              </w:rPr>
              <w:t>，</w:t>
            </w:r>
            <w:r>
              <w:rPr>
                <w:rFonts w:ascii="宋体" w:hAnsi="宋体" w:cs="宋体" w:eastAsia="宋体" w:hint="default"/>
                <w:spacing w:val="1"/>
                <w:sz w:val="18"/>
                <w:szCs w:val="18"/>
              </w:rPr>
              <w:t>更</w:t>
            </w:r>
            <w:r>
              <w:rPr>
                <w:rFonts w:ascii="宋体" w:hAnsi="宋体" w:cs="宋体" w:eastAsia="宋体" w:hint="default"/>
                <w:spacing w:val="2"/>
                <w:sz w:val="18"/>
                <w:szCs w:val="18"/>
              </w:rPr>
              <w:t>名为京</w:t>
            </w:r>
            <w:r>
              <w:rPr>
                <w:rFonts w:ascii="宋体" w:hAnsi="宋体" w:cs="宋体" w:eastAsia="宋体" w:hint="default"/>
                <w:spacing w:val="1"/>
                <w:sz w:val="18"/>
                <w:szCs w:val="18"/>
              </w:rPr>
              <w:t>蓝</w:t>
            </w:r>
            <w:r>
              <w:rPr>
                <w:rFonts w:ascii="宋体" w:hAnsi="宋体" w:cs="宋体" w:eastAsia="宋体" w:hint="default"/>
                <w:spacing w:val="2"/>
                <w:sz w:val="18"/>
                <w:szCs w:val="18"/>
              </w:rPr>
              <w:t>科</w:t>
            </w:r>
            <w:r>
              <w:rPr>
                <w:rFonts w:ascii="宋体" w:hAnsi="宋体" w:cs="宋体" w:eastAsia="宋体" w:hint="default"/>
                <w:spacing w:val="1"/>
                <w:sz w:val="18"/>
                <w:szCs w:val="18"/>
              </w:rPr>
              <w:t>技</w:t>
            </w:r>
            <w:r>
              <w:rPr>
                <w:rFonts w:ascii="宋体" w:hAnsi="宋体" w:cs="宋体" w:eastAsia="宋体" w:hint="default"/>
                <w:spacing w:val="2"/>
                <w:sz w:val="18"/>
                <w:szCs w:val="18"/>
              </w:rPr>
              <w:t>股份有</w:t>
            </w:r>
            <w:r>
              <w:rPr>
                <w:rFonts w:ascii="宋体" w:hAnsi="宋体" w:cs="宋体" w:eastAsia="宋体" w:hint="default"/>
                <w:spacing w:val="1"/>
                <w:sz w:val="18"/>
                <w:szCs w:val="18"/>
              </w:rPr>
              <w:t>限</w:t>
            </w:r>
            <w:r>
              <w:rPr>
                <w:rFonts w:ascii="宋体" w:hAnsi="宋体" w:cs="宋体" w:eastAsia="宋体" w:hint="default"/>
                <w:spacing w:val="2"/>
                <w:sz w:val="18"/>
                <w:szCs w:val="18"/>
              </w:rPr>
              <w:t>公</w:t>
            </w:r>
            <w:r>
              <w:rPr>
                <w:rFonts w:ascii="宋体" w:hAnsi="宋体" w:cs="宋体" w:eastAsia="宋体" w:hint="default"/>
                <w:spacing w:val="1"/>
                <w:sz w:val="18"/>
                <w:szCs w:val="18"/>
              </w:rPr>
              <w:t>司</w:t>
            </w:r>
            <w:r>
              <w:rPr>
                <w:rFonts w:ascii="宋体" w:hAnsi="宋体" w:cs="宋体" w:eastAsia="宋体" w:hint="default"/>
                <w:spacing w:val="2"/>
                <w:sz w:val="18"/>
                <w:szCs w:val="18"/>
              </w:rPr>
              <w:t>，公告</w:t>
            </w:r>
            <w:r>
              <w:rPr>
                <w:rFonts w:ascii="宋体" w:hAnsi="宋体" w:cs="宋体" w:eastAsia="宋体" w:hint="default"/>
                <w:spacing w:val="1"/>
                <w:sz w:val="18"/>
                <w:szCs w:val="18"/>
              </w:rPr>
              <w:t>编</w:t>
            </w:r>
            <w:r>
              <w:rPr>
                <w:rFonts w:ascii="宋体" w:hAnsi="宋体" w:cs="宋体" w:eastAsia="宋体" w:hint="default"/>
                <w:spacing w:val="2"/>
                <w:sz w:val="18"/>
                <w:szCs w:val="18"/>
              </w:rPr>
              <w:t>号</w:t>
            </w:r>
            <w:r>
              <w:rPr>
                <w:rFonts w:ascii="宋体" w:hAnsi="宋体" w:cs="宋体" w:eastAsia="宋体" w:hint="default"/>
                <w:spacing w:val="9"/>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016-08</w:t>
            </w:r>
            <w:r>
              <w:rPr>
                <w:rFonts w:ascii="Times New Roman" w:hAnsi="Times New Roman" w:cs="Times New Roman" w:eastAsia="Times New Roman" w:hint="default"/>
                <w:spacing w:val="2"/>
                <w:sz w:val="18"/>
                <w:szCs w:val="18"/>
              </w:rPr>
              <w:t>6</w:t>
            </w:r>
            <w:r>
              <w:rPr>
                <w:rFonts w:ascii="宋体" w:hAnsi="宋体" w:cs="宋体" w:eastAsia="宋体" w:hint="default"/>
                <w:spacing w:val="-88"/>
                <w:sz w:val="18"/>
                <w:szCs w:val="18"/>
              </w:rPr>
              <w:t>）</w:t>
            </w:r>
            <w:r>
              <w:rPr>
                <w:rFonts w:ascii="宋体" w:hAnsi="宋体" w:cs="宋体" w:eastAsia="宋体" w:hint="default"/>
                <w:spacing w:val="1"/>
                <w:sz w:val="18"/>
                <w:szCs w:val="18"/>
              </w:rPr>
              <w:t>，同</w:t>
            </w:r>
            <w:r>
              <w:rPr>
                <w:rFonts w:ascii="宋体" w:hAnsi="宋体" w:cs="宋体" w:eastAsia="宋体" w:hint="default"/>
                <w:spacing w:val="2"/>
                <w:sz w:val="18"/>
                <w:szCs w:val="18"/>
              </w:rPr>
              <w:t>意公</w:t>
            </w:r>
            <w:r>
              <w:rPr>
                <w:rFonts w:ascii="宋体" w:hAnsi="宋体" w:cs="宋体" w:eastAsia="宋体" w:hint="default"/>
                <w:spacing w:val="1"/>
                <w:sz w:val="18"/>
                <w:szCs w:val="18"/>
              </w:rPr>
              <w:t>司</w:t>
            </w:r>
            <w:r>
              <w:rPr>
                <w:rFonts w:ascii="宋体" w:hAnsi="宋体" w:cs="宋体" w:eastAsia="宋体" w:hint="default"/>
                <w:spacing w:val="2"/>
                <w:sz w:val="18"/>
                <w:szCs w:val="18"/>
              </w:rPr>
              <w:t>非公</w:t>
            </w:r>
            <w:r>
              <w:rPr>
                <w:rFonts w:ascii="宋体" w:hAnsi="宋体" w:cs="宋体" w:eastAsia="宋体" w:hint="default"/>
                <w:spacing w:val="1"/>
                <w:sz w:val="18"/>
                <w:szCs w:val="18"/>
              </w:rPr>
              <w:t>开</w:t>
            </w:r>
            <w:r>
              <w:rPr>
                <w:rFonts w:ascii="宋体" w:hAnsi="宋体" w:cs="宋体" w:eastAsia="宋体" w:hint="default"/>
                <w:spacing w:val="2"/>
                <w:sz w:val="18"/>
                <w:szCs w:val="18"/>
              </w:rPr>
              <w:t>发行</w:t>
            </w:r>
            <w:r>
              <w:rPr>
                <w:rFonts w:ascii="宋体" w:hAnsi="宋体" w:cs="宋体" w:eastAsia="宋体" w:hint="default"/>
                <w:spacing w:val="1"/>
                <w:sz w:val="18"/>
                <w:szCs w:val="18"/>
              </w:rPr>
              <w:t>不</w:t>
            </w:r>
            <w:r>
              <w:rPr>
                <w:rFonts w:ascii="宋体" w:hAnsi="宋体" w:cs="宋体" w:eastAsia="宋体" w:hint="default"/>
                <w:spacing w:val="2"/>
                <w:sz w:val="18"/>
                <w:szCs w:val="18"/>
              </w:rPr>
              <w:t>超</w:t>
            </w:r>
            <w:r>
              <w:rPr>
                <w:rFonts w:ascii="宋体" w:hAnsi="宋体" w:cs="宋体" w:eastAsia="宋体" w:hint="default"/>
                <w:sz w:val="18"/>
                <w:szCs w:val="18"/>
              </w:rPr>
              <w:t>过</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94</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921,400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4"/>
                <w:sz w:val="18"/>
                <w:szCs w:val="18"/>
              </w:rPr>
              <w:t>股新股，发行价 </w:t>
            </w:r>
            <w:r>
              <w:rPr>
                <w:rFonts w:ascii="Times New Roman" w:hAnsi="Times New Roman" w:cs="Times New Roman" w:eastAsia="Times New Roman" w:hint="default"/>
                <w:sz w:val="18"/>
                <w:szCs w:val="18"/>
              </w:rPr>
              <w:t>16.54  </w:t>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股，募集配套资金总额不超过人民币 </w:t>
            </w:r>
            <w:r>
              <w:rPr>
                <w:rFonts w:ascii="Times New Roman" w:hAnsi="Times New Roman" w:cs="Times New Roman" w:eastAsia="Times New Roman" w:hint="default"/>
                <w:sz w:val="18"/>
                <w:szCs w:val="18"/>
              </w:rPr>
              <w:t>1,570,000,000.00 </w:t>
            </w:r>
            <w:r>
              <w:rPr>
                <w:rFonts w:ascii="Times New Roman" w:hAnsi="Times New Roman" w:cs="Times New Roman" w:eastAsia="Times New Roman" w:hint="default"/>
                <w:spacing w:val="27"/>
                <w:sz w:val="18"/>
                <w:szCs w:val="18"/>
              </w:rPr>
              <w:t> </w:t>
            </w:r>
            <w:r>
              <w:rPr>
                <w:rFonts w:ascii="宋体" w:hAnsi="宋体" w:cs="宋体" w:eastAsia="宋体" w:hint="default"/>
                <w:spacing w:val="4"/>
                <w:sz w:val="18"/>
                <w:szCs w:val="18"/>
              </w:rPr>
              <w:t>元。公司实际募集资金总额为人民币</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1,569,999,956.00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元，扣除发行费用人民币</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5,000,000.00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元，募集资金净额为人民币</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1,564,999,956.00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元。截至</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26  </w:t>
            </w:r>
            <w:r>
              <w:rPr>
                <w:rFonts w:ascii="宋体" w:hAnsi="宋体" w:cs="宋体" w:eastAsia="宋体" w:hint="default"/>
                <w:spacing w:val="6"/>
                <w:sz w:val="18"/>
                <w:szCs w:val="18"/>
              </w:rPr>
              <w:t>日，上述募集资金已全部到位，并由信永中和会计师事务所（特殊普通合伙）于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26  </w:t>
            </w:r>
            <w:r>
              <w:rPr>
                <w:rFonts w:ascii="Times New Roman" w:hAnsi="Times New Roman" w:cs="Times New Roman" w:eastAsia="Times New Roman" w:hint="default"/>
                <w:spacing w:val="41"/>
                <w:sz w:val="18"/>
                <w:szCs w:val="18"/>
              </w:rPr>
              <w:t> </w:t>
            </w:r>
            <w:r>
              <w:rPr>
                <w:rFonts w:ascii="宋体" w:hAnsi="宋体" w:cs="宋体" w:eastAsia="宋体" w:hint="default"/>
                <w:spacing w:val="4"/>
                <w:sz w:val="18"/>
                <w:szCs w:val="18"/>
              </w:rPr>
              <w:t>日出具的</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6"/>
          <w:szCs w:val="26"/>
        </w:rPr>
      </w:pPr>
    </w:p>
    <w:p>
      <w:pPr>
        <w:spacing w:before="44"/>
        <w:ind w:left="181" w:right="0" w:firstLine="0"/>
        <w:jc w:val="left"/>
        <w:rPr>
          <w:rFonts w:ascii="宋体" w:hAnsi="宋体" w:cs="宋体" w:eastAsia="宋体" w:hint="default"/>
          <w:sz w:val="18"/>
          <w:szCs w:val="18"/>
        </w:rPr>
      </w:pPr>
      <w:r>
        <w:rPr/>
        <w:pict>
          <v:group style="position:absolute;margin-left:56.459999pt;margin-top:.891726pt;width:478.75pt;height:499.55pt;mso-position-horizontal-relative:page;mso-position-vertical-relative:paragraph;z-index:-1541416" coordorigin="1129,18" coordsize="9575,9991">
            <v:group style="position:absolute;left:1139;top:27;width:9556;height:2" coordorigin="1139,27" coordsize="9556,2">
              <v:shape style="position:absolute;left:1139;top:27;width:9556;height:2" coordorigin="1139,27" coordsize="9556,0" path="m1139,27l10694,27e" filled="false" stroked="true" strokeweight=".48pt" strokecolor="#000000">
                <v:path arrowok="t"/>
              </v:shape>
            </v:group>
            <v:group style="position:absolute;left:1134;top:23;width:2;height:9982" coordorigin="1134,23" coordsize="2,9982">
              <v:shape style="position:absolute;left:1134;top:23;width:2;height:9982" coordorigin="1134,23" coordsize="0,9982" path="m1134,23l1134,10004e" filled="false" stroked="true" strokeweight=".48pt" strokecolor="#000000">
                <v:path arrowok="t"/>
              </v:shape>
            </v:group>
            <v:group style="position:absolute;left:1139;top:9999;width:9556;height:2" coordorigin="1139,9999" coordsize="9556,2">
              <v:shape style="position:absolute;left:1139;top:9999;width:9556;height:2" coordorigin="1139,9999" coordsize="9556,0" path="m1139,9999l10694,9999e" filled="false" stroked="true" strokeweight=".47998pt" strokecolor="#000000">
                <v:path arrowok="t"/>
              </v:shape>
            </v:group>
            <v:group style="position:absolute;left:10699;top:23;width:2;height:9982" coordorigin="10699,23" coordsize="2,9982">
              <v:shape style="position:absolute;left:10699;top:23;width:2;height:9982" coordorigin="10699,23" coordsize="0,9982" path="m10699,23l10699,10004e" filled="false" stroked="true" strokeweight=".48004pt" strokecolor="#000000">
                <v:path arrowok="t"/>
              </v:shape>
            </v:group>
            <w10:wrap type="none"/>
          </v:group>
        </w:pict>
      </w:r>
      <w:r>
        <w:rPr>
          <w:rFonts w:ascii="Times New Roman" w:hAnsi="Times New Roman" w:cs="Times New Roman" w:eastAsia="Times New Roman" w:hint="default"/>
          <w:sz w:val="18"/>
          <w:szCs w:val="18"/>
        </w:rPr>
        <w:t>XYZH/2016TJA10473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号《验资报告》审验确认。</w:t>
      </w:r>
    </w:p>
    <w:p>
      <w:pPr>
        <w:spacing w:before="102"/>
        <w:ind w:left="54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度实际使用募集资金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22,309.</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8 </w:t>
      </w:r>
      <w:r>
        <w:rPr>
          <w:rFonts w:ascii="宋体" w:hAnsi="宋体" w:cs="宋体" w:eastAsia="宋体" w:hint="default"/>
          <w:sz w:val="18"/>
          <w:szCs w:val="18"/>
        </w:rPr>
        <w:t>万元</w:t>
      </w:r>
      <w:r>
        <w:rPr>
          <w:rFonts w:ascii="宋体" w:hAnsi="宋体" w:cs="宋体" w:eastAsia="宋体" w:hint="default"/>
          <w:spacing w:val="-77"/>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度收到的银行存款利息扣除银行手续费等的净额为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286.85</w:t>
      </w:r>
    </w:p>
    <w:p>
      <w:pPr>
        <w:spacing w:before="64"/>
        <w:ind w:left="181" w:right="0" w:firstLine="0"/>
        <w:jc w:val="left"/>
        <w:rPr>
          <w:rFonts w:ascii="宋体" w:hAnsi="宋体" w:cs="宋体" w:eastAsia="宋体" w:hint="default"/>
          <w:sz w:val="18"/>
          <w:szCs w:val="18"/>
        </w:rPr>
      </w:pPr>
      <w:r>
        <w:rPr>
          <w:rFonts w:ascii="宋体" w:hAnsi="宋体" w:cs="宋体" w:eastAsia="宋体" w:hint="default"/>
          <w:sz w:val="18"/>
          <w:szCs w:val="18"/>
        </w:rPr>
        <w:t>万元。</w:t>
      </w:r>
    </w:p>
    <w:p>
      <w:pPr>
        <w:spacing w:before="116"/>
        <w:ind w:left="54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年度实际使用募集资明细如下：</w:t>
      </w:r>
    </w:p>
    <w:p>
      <w:pPr>
        <w:spacing w:before="101"/>
        <w:ind w:left="541" w:right="0" w:firstLine="0"/>
        <w:jc w:val="left"/>
        <w:rPr>
          <w:rFonts w:ascii="宋体" w:hAnsi="宋体" w:cs="宋体" w:eastAsia="宋体" w:hint="default"/>
          <w:sz w:val="18"/>
          <w:szCs w:val="18"/>
        </w:rPr>
      </w:pPr>
      <w:r>
        <w:rPr>
          <w:rFonts w:ascii="宋体" w:hAnsi="宋体" w:cs="宋体" w:eastAsia="宋体" w:hint="default"/>
          <w:sz w:val="18"/>
          <w:szCs w:val="18"/>
        </w:rPr>
        <w:t>①</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日，收到归还用于临时补充</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年度流动资金的募集资金人民币</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亿元；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年临时性补充流动</w:t>
      </w:r>
    </w:p>
    <w:p>
      <w:pPr>
        <w:spacing w:before="64"/>
        <w:ind w:left="181" w:right="0" w:firstLine="0"/>
        <w:jc w:val="left"/>
        <w:rPr>
          <w:rFonts w:ascii="宋体" w:hAnsi="宋体" w:cs="宋体" w:eastAsia="宋体" w:hint="default"/>
          <w:sz w:val="18"/>
          <w:szCs w:val="18"/>
        </w:rPr>
      </w:pPr>
      <w:r>
        <w:rPr>
          <w:rFonts w:ascii="宋体" w:hAnsi="宋体" w:cs="宋体" w:eastAsia="宋体" w:hint="default"/>
          <w:sz w:val="18"/>
          <w:szCs w:val="18"/>
        </w:rPr>
        <w:t>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亿元。</w:t>
      </w:r>
    </w:p>
    <w:p>
      <w:pPr>
        <w:spacing w:before="102"/>
        <w:ind w:left="54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②</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日临时性补充流动资金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日收到归还用于临时性补充流动资金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6,000.00</w:t>
      </w:r>
    </w:p>
    <w:p>
      <w:pPr>
        <w:spacing w:before="64"/>
        <w:ind w:left="181" w:right="0" w:firstLine="0"/>
        <w:jc w:val="left"/>
        <w:rPr>
          <w:rFonts w:ascii="宋体" w:hAnsi="宋体" w:cs="宋体" w:eastAsia="宋体" w:hint="default"/>
          <w:sz w:val="18"/>
          <w:szCs w:val="18"/>
        </w:rPr>
      </w:pPr>
      <w:r>
        <w:rPr>
          <w:rFonts w:ascii="宋体" w:hAnsi="宋体" w:cs="宋体" w:eastAsia="宋体" w:hint="default"/>
          <w:sz w:val="18"/>
          <w:szCs w:val="18"/>
        </w:rPr>
        <w:t>万元。</w:t>
      </w:r>
    </w:p>
    <w:p>
      <w:pPr>
        <w:spacing w:before="115"/>
        <w:ind w:left="541" w:right="0" w:firstLine="0"/>
        <w:jc w:val="left"/>
        <w:rPr>
          <w:rFonts w:ascii="宋体" w:hAnsi="宋体" w:cs="宋体" w:eastAsia="宋体" w:hint="default"/>
          <w:sz w:val="18"/>
          <w:szCs w:val="18"/>
        </w:rPr>
      </w:pPr>
      <w:r>
        <w:rPr>
          <w:rFonts w:ascii="宋体" w:hAnsi="宋体" w:cs="宋体" w:eastAsia="宋体" w:hint="default"/>
          <w:sz w:val="18"/>
          <w:szCs w:val="18"/>
        </w:rPr>
        <w:t>③高效节水配套新材料研发与中试生产项目、年产</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台大型智能化喷灌机生产项目及京蓝智慧生态云平台项目已于</w:t>
      </w:r>
    </w:p>
    <w:p>
      <w:pPr>
        <w:spacing w:before="63"/>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日结项</w:t>
      </w:r>
      <w:r>
        <w:rPr>
          <w:rFonts w:ascii="宋体" w:hAnsi="宋体" w:cs="宋体" w:eastAsia="宋体" w:hint="default"/>
          <w:spacing w:val="-85"/>
          <w:sz w:val="18"/>
          <w:szCs w:val="18"/>
        </w:rPr>
        <w:t>，</w:t>
      </w:r>
      <w:r>
        <w:rPr>
          <w:rFonts w:ascii="宋体" w:hAnsi="宋体" w:cs="宋体" w:eastAsia="宋体" w:hint="default"/>
          <w:sz w:val="18"/>
          <w:szCs w:val="18"/>
        </w:rPr>
        <w:t>上述三个项目在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6 </w:t>
      </w:r>
      <w:r>
        <w:rPr>
          <w:rFonts w:ascii="宋体" w:hAnsi="宋体" w:cs="宋体" w:eastAsia="宋体" w:hint="default"/>
          <w:sz w:val="18"/>
          <w:szCs w:val="18"/>
        </w:rPr>
        <w:t>日期间实际使用募集资金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5,653.89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85"/>
          <w:sz w:val="18"/>
          <w:szCs w:val="18"/>
        </w:rPr>
        <w:t>，</w:t>
      </w:r>
      <w:r>
        <w:rPr>
          <w:rFonts w:ascii="宋体" w:hAnsi="宋体" w:cs="宋体" w:eastAsia="宋体" w:hint="default"/>
          <w:sz w:val="18"/>
          <w:szCs w:val="18"/>
        </w:rPr>
        <w:t>其中：</w:t>
      </w:r>
    </w:p>
    <w:p>
      <w:pPr>
        <w:spacing w:before="63"/>
        <w:ind w:left="181" w:right="0" w:firstLine="0"/>
        <w:jc w:val="left"/>
        <w:rPr>
          <w:rFonts w:ascii="宋体" w:hAnsi="宋体" w:cs="宋体" w:eastAsia="宋体" w:hint="default"/>
          <w:sz w:val="18"/>
          <w:szCs w:val="18"/>
        </w:rPr>
      </w:pPr>
      <w:r>
        <w:rPr>
          <w:rFonts w:ascii="宋体" w:hAnsi="宋体" w:cs="宋体" w:eastAsia="宋体" w:hint="default"/>
          <w:sz w:val="18"/>
          <w:szCs w:val="18"/>
        </w:rPr>
        <w:t>京蓝智慧生态云平台项目已实际完成工作尚未支付款项为</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2,885.24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万元。上述三个项目截至</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日募集资金</w:t>
      </w:r>
    </w:p>
    <w:p>
      <w:pPr>
        <w:spacing w:line="302" w:lineRule="auto" w:before="63"/>
        <w:ind w:left="181" w:right="1217" w:firstLine="0"/>
        <w:jc w:val="left"/>
        <w:rPr>
          <w:rFonts w:ascii="宋体" w:hAnsi="宋体" w:cs="宋体" w:eastAsia="宋体" w:hint="default"/>
          <w:sz w:val="18"/>
          <w:szCs w:val="18"/>
        </w:rPr>
      </w:pPr>
      <w:r>
        <w:rPr>
          <w:rFonts w:ascii="宋体" w:hAnsi="宋体" w:cs="宋体" w:eastAsia="宋体" w:hint="default"/>
          <w:sz w:val="18"/>
          <w:szCs w:val="18"/>
        </w:rPr>
        <w:t>账户余额共计</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4,631.49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万元已陆续转入公司一般户。募集资金永久补流事项已经公司第八届董事会第六十四次会议、</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年第七次临时股东大会审议通过。</w:t>
      </w:r>
    </w:p>
    <w:p>
      <w:pPr>
        <w:spacing w:before="69"/>
        <w:ind w:left="541" w:right="0" w:firstLine="0"/>
        <w:jc w:val="left"/>
        <w:rPr>
          <w:rFonts w:ascii="宋体" w:hAnsi="宋体" w:cs="宋体" w:eastAsia="宋体" w:hint="default"/>
          <w:sz w:val="18"/>
          <w:szCs w:val="18"/>
        </w:rPr>
      </w:pPr>
      <w:r>
        <w:rPr>
          <w:rFonts w:ascii="宋体" w:hAnsi="宋体" w:cs="宋体" w:eastAsia="宋体" w:hint="default"/>
          <w:sz w:val="18"/>
          <w:szCs w:val="18"/>
        </w:rPr>
        <w:t>智能高效农业节水灌溉项目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年度实际使用募集资金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14,909.14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102"/>
        <w:ind w:left="541" w:right="0"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日，累计已使用募集资金</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155,381.22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万元，累计收到使用部分闲置募集资金购买理财产品收益</w:t>
      </w:r>
    </w:p>
    <w:p>
      <w:pPr>
        <w:spacing w:before="64"/>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61.44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万元，累计收到的银行存款利息扣除银行手续费等的净额为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1,130.74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spacing w:before="102"/>
        <w:ind w:left="541" w:right="0"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日，募集资金账户余额为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2,810.96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spacing w:line="338" w:lineRule="auto" w:before="0"/>
        <w:ind w:left="541" w:right="0"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月非公开募集资金情况 </w:t>
      </w:r>
      <w:r>
        <w:rPr>
          <w:rFonts w:ascii="宋体" w:hAnsi="宋体" w:cs="宋体" w:eastAsia="宋体" w:hint="default"/>
          <w:spacing w:val="-1"/>
          <w:sz w:val="18"/>
          <w:szCs w:val="18"/>
        </w:rPr>
        <w:t>经中国证券监督管理委员会《关于核准京蓝科技股份有限公司向天津北方市政工程集团有限公司等发行股份购买资产</w:t>
      </w:r>
    </w:p>
    <w:p>
      <w:pPr>
        <w:spacing w:before="2"/>
        <w:ind w:left="18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并配套募集资金的批复</w:t>
      </w:r>
      <w:r>
        <w:rPr>
          <w:rFonts w:ascii="宋体" w:hAnsi="宋体" w:cs="宋体" w:eastAsia="宋体" w:hint="default"/>
          <w:spacing w:val="-103"/>
          <w:sz w:val="18"/>
          <w:szCs w:val="18"/>
        </w:rPr>
        <w:t>》</w:t>
      </w:r>
      <w:r>
        <w:rPr>
          <w:rFonts w:ascii="宋体" w:hAnsi="宋体" w:cs="宋体" w:eastAsia="宋体" w:hint="default"/>
          <w:sz w:val="18"/>
          <w:szCs w:val="18"/>
        </w:rPr>
        <w:t>（证监许</w:t>
      </w:r>
      <w:r>
        <w:rPr>
          <w:rFonts w:ascii="宋体" w:hAnsi="宋体" w:cs="宋体" w:eastAsia="宋体" w:hint="default"/>
          <w:spacing w:val="-13"/>
          <w:sz w:val="18"/>
          <w:szCs w:val="18"/>
        </w:rPr>
        <w:t>可</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pacing w:val="-12"/>
          <w:sz w:val="18"/>
          <w:szCs w:val="18"/>
        </w:rPr>
        <w:t>】</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13"/>
          <w:sz w:val="18"/>
          <w:szCs w:val="18"/>
        </w:rPr>
        <w:t>）</w:t>
      </w:r>
      <w:r>
        <w:rPr>
          <w:rFonts w:ascii="宋体" w:hAnsi="宋体" w:cs="宋体" w:eastAsia="宋体" w:hint="default"/>
          <w:spacing w:val="1"/>
          <w:sz w:val="18"/>
          <w:szCs w:val="18"/>
        </w:rPr>
        <w:t>核</w:t>
      </w:r>
      <w:r>
        <w:rPr>
          <w:rFonts w:ascii="宋体" w:hAnsi="宋体" w:cs="宋体" w:eastAsia="宋体" w:hint="default"/>
          <w:sz w:val="18"/>
          <w:szCs w:val="18"/>
        </w:rPr>
        <w:t>准</w:t>
      </w:r>
      <w:r>
        <w:rPr>
          <w:rFonts w:ascii="宋体" w:hAnsi="宋体" w:cs="宋体" w:eastAsia="宋体" w:hint="default"/>
          <w:spacing w:val="-13"/>
          <w:sz w:val="18"/>
          <w:szCs w:val="18"/>
        </w:rPr>
        <w:t>，</w:t>
      </w:r>
      <w:r>
        <w:rPr>
          <w:rFonts w:ascii="宋体" w:hAnsi="宋体" w:cs="宋体" w:eastAsia="宋体" w:hint="default"/>
          <w:sz w:val="18"/>
          <w:szCs w:val="18"/>
        </w:rPr>
        <w:t>同意公司非公开发行不超过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39,238,7</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3 </w:t>
      </w:r>
      <w:r>
        <w:rPr>
          <w:rFonts w:ascii="宋体" w:hAnsi="宋体" w:cs="宋体" w:eastAsia="宋体" w:hint="default"/>
          <w:sz w:val="18"/>
          <w:szCs w:val="18"/>
        </w:rPr>
        <w:t>股新股</w:t>
      </w:r>
      <w:r>
        <w:rPr>
          <w:rFonts w:ascii="宋体" w:hAnsi="宋体" w:cs="宋体" w:eastAsia="宋体" w:hint="default"/>
          <w:spacing w:val="-13"/>
          <w:sz w:val="18"/>
          <w:szCs w:val="18"/>
        </w:rPr>
        <w:t>，</w:t>
      </w:r>
      <w:r>
        <w:rPr>
          <w:rFonts w:ascii="宋体" w:hAnsi="宋体" w:cs="宋体" w:eastAsia="宋体" w:hint="default"/>
          <w:sz w:val="18"/>
          <w:szCs w:val="18"/>
        </w:rPr>
        <w:t>发</w:t>
      </w:r>
      <w:r>
        <w:rPr>
          <w:rFonts w:ascii="宋体" w:hAnsi="宋体" w:cs="宋体" w:eastAsia="宋体" w:hint="default"/>
          <w:spacing w:val="1"/>
          <w:sz w:val="18"/>
          <w:szCs w:val="18"/>
        </w:rPr>
        <w:t>行</w:t>
      </w:r>
      <w:r>
        <w:rPr>
          <w:rFonts w:ascii="宋体" w:hAnsi="宋体" w:cs="宋体" w:eastAsia="宋体" w:hint="default"/>
          <w:sz w:val="18"/>
          <w:szCs w:val="18"/>
        </w:rPr>
        <w:t>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13.49</w:t>
      </w:r>
    </w:p>
    <w:p>
      <w:pPr>
        <w:spacing w:before="63"/>
        <w:ind w:left="181" w:right="0" w:firstLine="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股，募集配套资金总额不超过人民币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509,500,000.00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元。公司实际募集资金总额为人民币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509,499,997.00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元，扣除发行</w:t>
      </w:r>
    </w:p>
    <w:p>
      <w:pPr>
        <w:spacing w:before="63"/>
        <w:ind w:left="181" w:right="0" w:firstLine="0"/>
        <w:jc w:val="left"/>
        <w:rPr>
          <w:rFonts w:ascii="宋体" w:hAnsi="宋体" w:cs="宋体" w:eastAsia="宋体" w:hint="default"/>
          <w:sz w:val="18"/>
          <w:szCs w:val="18"/>
        </w:rPr>
      </w:pPr>
      <w:r>
        <w:rPr>
          <w:rFonts w:ascii="宋体" w:hAnsi="宋体" w:cs="宋体" w:eastAsia="宋体" w:hint="default"/>
          <w:sz w:val="18"/>
          <w:szCs w:val="18"/>
        </w:rPr>
        <w:t>费用人民币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2,000,000.00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元，募集资金净额为人民币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507,499,997.00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元。截至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日，上述募集资金已全部到</w:t>
      </w:r>
    </w:p>
    <w:p>
      <w:pPr>
        <w:spacing w:line="302" w:lineRule="auto" w:before="63"/>
        <w:ind w:left="181" w:right="1229" w:firstLine="0"/>
        <w:jc w:val="left"/>
        <w:rPr>
          <w:rFonts w:ascii="宋体" w:hAnsi="宋体" w:cs="宋体" w:eastAsia="宋体" w:hint="default"/>
          <w:sz w:val="18"/>
          <w:szCs w:val="18"/>
        </w:rPr>
      </w:pPr>
      <w:r>
        <w:rPr>
          <w:rFonts w:ascii="宋体" w:hAnsi="宋体" w:cs="宋体" w:eastAsia="宋体" w:hint="default"/>
          <w:sz w:val="18"/>
          <w:szCs w:val="18"/>
        </w:rPr>
        <w:t>位，并由信永中和会计师事务所（特殊普通合伙）于</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日出具的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XYZH/2017TJA20094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号《验资报告》审验</w:t>
      </w:r>
      <w:r>
        <w:rPr>
          <w:rFonts w:ascii="宋体" w:hAnsi="宋体" w:cs="宋体" w:eastAsia="宋体" w:hint="default"/>
          <w:w w:val="99"/>
          <w:sz w:val="18"/>
          <w:szCs w:val="18"/>
        </w:rPr>
        <w:t> </w:t>
      </w:r>
      <w:r>
        <w:rPr>
          <w:rFonts w:ascii="宋体" w:hAnsi="宋体" w:cs="宋体" w:eastAsia="宋体" w:hint="default"/>
          <w:sz w:val="18"/>
          <w:szCs w:val="18"/>
        </w:rPr>
        <w:t>确认。</w:t>
      </w:r>
    </w:p>
    <w:p>
      <w:pPr>
        <w:spacing w:before="68"/>
        <w:ind w:left="811" w:right="0" w:firstLine="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年度实际使用募集资金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30,277.58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万元，其中：</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万元用于补充</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年流动资金；</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w:t>
      </w:r>
    </w:p>
    <w:p>
      <w:pPr>
        <w:spacing w:before="64"/>
        <w:ind w:left="181" w:right="0" w:firstLine="0"/>
        <w:jc w:val="left"/>
        <w:rPr>
          <w:rFonts w:ascii="宋体" w:hAnsi="宋体" w:cs="宋体" w:eastAsia="宋体" w:hint="default"/>
          <w:sz w:val="18"/>
          <w:szCs w:val="18"/>
        </w:rPr>
      </w:pPr>
      <w:r>
        <w:rPr>
          <w:rFonts w:ascii="宋体" w:hAnsi="宋体" w:cs="宋体" w:eastAsia="宋体" w:hint="default"/>
          <w:sz w:val="18"/>
          <w:szCs w:val="18"/>
        </w:rPr>
        <w:t>收到的银行存款利息扣除银行手续费等的净额为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166.95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102"/>
        <w:ind w:left="721" w:right="0"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日，累计已使用募集资金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50,509.34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万元，累计收到的银行存款利息扣除银行手续费等的净额</w:t>
      </w:r>
    </w:p>
    <w:p>
      <w:pPr>
        <w:spacing w:before="64"/>
        <w:ind w:left="181" w:right="0" w:firstLine="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209.62 </w:t>
      </w:r>
      <w:r>
        <w:rPr>
          <w:rFonts w:ascii="宋体" w:hAnsi="宋体" w:cs="宋体" w:eastAsia="宋体" w:hint="default"/>
          <w:sz w:val="18"/>
          <w:szCs w:val="18"/>
        </w:rPr>
        <w:t>万元。</w:t>
      </w:r>
    </w:p>
    <w:p>
      <w:pPr>
        <w:spacing w:before="102"/>
        <w:ind w:left="721" w:right="0"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日，募集资金账户余额为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650.28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240" w:lineRule="auto" w:before="12"/>
        <w:rPr>
          <w:rFonts w:ascii="宋体" w:hAnsi="宋体" w:cs="宋体" w:eastAsia="宋体" w:hint="default"/>
          <w:sz w:val="26"/>
          <w:szCs w:val="26"/>
        </w:rPr>
      </w:pPr>
    </w:p>
    <w:p>
      <w:pPr>
        <w:pStyle w:val="Heading4"/>
        <w:spacing w:line="240" w:lineRule="auto" w:before="35"/>
        <w:ind w:right="0"/>
        <w:jc w:val="left"/>
        <w:rPr>
          <w:b w:val="0"/>
          <w:bCs w:val="0"/>
        </w:rPr>
      </w:pPr>
      <w:bookmarkStart w:name="（2）募集资金承诺项目情况" w:id="53"/>
      <w:bookmarkEnd w:id="53"/>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2"/>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3"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支付本次交易的现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2" w:right="0"/>
              <w:jc w:val="left"/>
              <w:rPr>
                <w:rFonts w:ascii="Times New Roman" w:hAnsi="Times New Roman" w:cs="Times New Roman" w:eastAsia="Times New Roman" w:hint="default"/>
                <w:sz w:val="18"/>
                <w:szCs w:val="18"/>
              </w:rPr>
            </w:pPr>
            <w:r>
              <w:rPr>
                <w:rFonts w:ascii="Times New Roman"/>
                <w:sz w:val="18"/>
              </w:rPr>
              <w:t>47,300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2" w:right="0"/>
              <w:jc w:val="left"/>
              <w:rPr>
                <w:rFonts w:ascii="Times New Roman" w:hAnsi="Times New Roman" w:cs="Times New Roman" w:eastAsia="Times New Roman" w:hint="default"/>
                <w:sz w:val="18"/>
                <w:szCs w:val="18"/>
              </w:rPr>
            </w:pPr>
            <w:r>
              <w:rPr>
                <w:rFonts w:ascii="Times New Roman"/>
                <w:sz w:val="18"/>
              </w:rPr>
              <w:t>47,300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3" w:right="0"/>
              <w:jc w:val="left"/>
              <w:rPr>
                <w:rFonts w:ascii="Times New Roman" w:hAnsi="Times New Roman" w:cs="Times New Roman" w:eastAsia="Times New Roman" w:hint="default"/>
                <w:sz w:val="18"/>
                <w:szCs w:val="18"/>
              </w:rPr>
            </w:pPr>
            <w:r>
              <w:rPr>
                <w:rFonts w:ascii="Times New Roman"/>
                <w:sz w:val="18"/>
              </w:rPr>
              <w:t>47,300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金对价</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支付本次交易的中 介费用</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99.30%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京蓝智慧生态云平 台项目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10,232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4,667.45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50.87%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年产</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台大型智能 喷灌机生产项目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5,920.71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5,920.71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986.44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5,864.65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99.05%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5"/>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高效节水配套新材 料研发与中试生产项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10,659.34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10,659.34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6,485.74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60.85%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智能高效农业节水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14,909.14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50,910.94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78.32%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36,280.08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补充沐禾流动资金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15,187.95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15,187.95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15,187.95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支付本次交易的现 金对价</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19,154.76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19,154.76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19,154.76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支付本次交易的中 介费用</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1"/>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昌吉州呼图壁县呼 图壁河核心区暨如意 园建设项目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29,261.24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29,261.24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8,820.58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8,820.58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30.14%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207,950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2" w:right="0"/>
              <w:jc w:val="left"/>
              <w:rPr>
                <w:rFonts w:ascii="Times New Roman" w:hAnsi="Times New Roman" w:cs="Times New Roman" w:eastAsia="Times New Roman" w:hint="default"/>
                <w:sz w:val="18"/>
                <w:szCs w:val="18"/>
              </w:rPr>
            </w:pPr>
            <w:r>
              <w:rPr>
                <w:rFonts w:ascii="Times New Roman"/>
                <w:sz w:val="18"/>
              </w:rPr>
              <w:t>207,950</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30,840.61</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164,144.3</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2</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38,340.68</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207,950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2" w:right="0"/>
              <w:jc w:val="left"/>
              <w:rPr>
                <w:rFonts w:ascii="Times New Roman" w:hAnsi="Times New Roman" w:cs="Times New Roman" w:eastAsia="Times New Roman" w:hint="default"/>
                <w:sz w:val="18"/>
                <w:szCs w:val="18"/>
              </w:rPr>
            </w:pPr>
            <w:r>
              <w:rPr>
                <w:rFonts w:ascii="Times New Roman"/>
                <w:sz w:val="18"/>
              </w:rPr>
              <w:t>207,950</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30,840.61</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164,144.3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38,340.68</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25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2pt;height:688.7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626"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2"/>
                            <w:sz w:val="18"/>
                            <w:szCs w:val="18"/>
                          </w:rPr>
                          <w:t> </w:t>
                        </w:r>
                        <w:r>
                          <w:rPr>
                            <w:rFonts w:ascii="宋体" w:hAnsi="宋体" w:cs="宋体" w:eastAsia="宋体" w:hint="default"/>
                            <w:spacing w:val="-2"/>
                            <w:sz w:val="18"/>
                            <w:szCs w:val="18"/>
                          </w:rPr>
                          <w:t>年项目：为提高募集资金使用的效率、缓解公司流动资金的压力、维护公司和全体股东的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9"/>
                            <w:sz w:val="18"/>
                            <w:szCs w:val="18"/>
                          </w:rPr>
                          <w:t>利益，截至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日本公司拟以募集资金置换预先已投入募投项目的自筹资金，置换金额</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为</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11,794.05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万元，并于</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日董事会八届第二十一次会议审议通过。截至</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日，已完成以募集资金置换预先已投入募投项目的自筹资金。</w:t>
                        </w:r>
                      </w:p>
                      <w:p>
                        <w:pPr>
                          <w:pStyle w:val="TableParagraph"/>
                          <w:spacing w:line="240" w:lineRule="auto" w:before="10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2"/>
                            <w:sz w:val="18"/>
                            <w:szCs w:val="18"/>
                          </w:rPr>
                          <w:t> </w:t>
                        </w:r>
                        <w:r>
                          <w:rPr>
                            <w:rFonts w:ascii="宋体" w:hAnsi="宋体" w:cs="宋体" w:eastAsia="宋体" w:hint="default"/>
                            <w:spacing w:val="-2"/>
                            <w:sz w:val="18"/>
                            <w:szCs w:val="18"/>
                          </w:rPr>
                          <w:t>年项目：为提高募集资金使用的效率、缓解公司流动资金的压力、维护公司和全体股东的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4"/>
                            <w:sz w:val="18"/>
                            <w:szCs w:val="18"/>
                          </w:rPr>
                          <w:t>利益，</w:t>
                        </w:r>
                        <w:r>
                          <w:rPr>
                            <w:rFonts w:ascii="Times New Roman" w:hAnsi="Times New Roman" w:cs="Times New Roman" w:eastAsia="Times New Roman" w:hint="default"/>
                            <w:spacing w:val="-4"/>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日董事会八届第四十一次会议审议通过，拟以募集资金置换预先已投入募投</w:t>
                        </w:r>
                      </w:p>
                      <w:p>
                        <w:pPr>
                          <w:pStyle w:val="TableParagraph"/>
                          <w:spacing w:line="302" w:lineRule="auto" w:before="63"/>
                          <w:ind w:left="22" w:right="19"/>
                          <w:jc w:val="left"/>
                          <w:rPr>
                            <w:rFonts w:ascii="宋体" w:hAnsi="宋体" w:cs="宋体" w:eastAsia="宋体" w:hint="default"/>
                            <w:sz w:val="18"/>
                            <w:szCs w:val="18"/>
                          </w:rPr>
                        </w:pPr>
                        <w:r>
                          <w:rPr>
                            <w:rFonts w:ascii="宋体" w:hAnsi="宋体" w:cs="宋体" w:eastAsia="宋体" w:hint="default"/>
                            <w:spacing w:val="-3"/>
                            <w:sz w:val="18"/>
                            <w:szCs w:val="18"/>
                          </w:rPr>
                          <w:t>项目的自筹资金，置换金额为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4,671.52</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万元。截至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日，已完成以募集资金置换预先 已投入募投项目的自筹资金。</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07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年项目：</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日，公司第八届董事会第二十二次会议、第八届监事会第十一次 </w:t>
                        </w:r>
                        <w:r>
                          <w:rPr>
                            <w:rFonts w:ascii="宋体" w:hAnsi="宋体" w:cs="宋体" w:eastAsia="宋体" w:hint="default"/>
                            <w:spacing w:val="-5"/>
                            <w:sz w:val="18"/>
                            <w:szCs w:val="18"/>
                          </w:rPr>
                          <w:t>会议，审议通过了《关于使用部分闲置募集资金暂时补充流动资金的议案》，批准公司使用不超过人</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亿元的闲置募集资金暂时补充流动资金，使用期限自董事会审议批准之日起不超过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302" w:lineRule="auto" w:before="5"/>
                          <w:ind w:left="22" w:right="21"/>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日，上述暂时补充流动资金的人民币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亿元闲置募集资金已全部归还至募集资 金专用账户。</w:t>
                        </w:r>
                      </w:p>
                      <w:p>
                        <w:pPr>
                          <w:pStyle w:val="TableParagraph"/>
                          <w:spacing w:line="240" w:lineRule="auto" w:before="68"/>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日，公司第八届董事会第四十四次会议、第八届监事会第二十一次会议，审议</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通过</w:t>
                        </w:r>
                        <w:r>
                          <w:rPr>
                            <w:rFonts w:ascii="宋体" w:hAnsi="宋体" w:cs="宋体" w:eastAsia="宋体" w:hint="default"/>
                            <w:spacing w:val="-45"/>
                            <w:sz w:val="18"/>
                            <w:szCs w:val="18"/>
                          </w:rPr>
                          <w:t>了</w:t>
                        </w:r>
                        <w:r>
                          <w:rPr>
                            <w:rFonts w:ascii="宋体" w:hAnsi="宋体" w:cs="宋体" w:eastAsia="宋体" w:hint="default"/>
                            <w:sz w:val="18"/>
                            <w:szCs w:val="18"/>
                          </w:rPr>
                          <w:t>《关于使用部分闲置募集资金暂时补充流动资金的议案</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批准公司使用不超过人民币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的闲置募集资金暂时补充流动资金，使用期限自董事会审议批准之日起不超过</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2"/>
                            <w:sz w:val="18"/>
                            <w:szCs w:val="18"/>
                          </w:rPr>
                          <w:t> </w:t>
                        </w:r>
                        <w:r>
                          <w:rPr>
                            <w:rFonts w:ascii="宋体" w:hAnsi="宋体" w:cs="宋体" w:eastAsia="宋体" w:hint="default"/>
                            <w:spacing w:val="-6"/>
                            <w:sz w:val="18"/>
                            <w:szCs w:val="18"/>
                          </w:rPr>
                          <w:t>个月。在上述额度</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内，公司实际使用了闲置募集资金人民币</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万元用于暂时补充流动资金。截至</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日，公司已将暂时补充流动资金的闲置募集资金全部归还至募集资金专用账户。</w:t>
                        </w:r>
                      </w:p>
                      <w:p>
                        <w:pPr>
                          <w:pStyle w:val="TableParagraph"/>
                          <w:spacing w:line="240" w:lineRule="auto" w:before="11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日，公司第八届董事会第四十六次会议及第八届监事会第二十二次会议分别审议通</w:t>
                        </w:r>
                      </w:p>
                      <w:p>
                        <w:pPr>
                          <w:pStyle w:val="TableParagraph"/>
                          <w:spacing w:line="309" w:lineRule="auto" w:before="63"/>
                          <w:ind w:left="22" w:right="21"/>
                          <w:jc w:val="both"/>
                          <w:rPr>
                            <w:rFonts w:ascii="宋体" w:hAnsi="宋体" w:cs="宋体" w:eastAsia="宋体" w:hint="default"/>
                            <w:sz w:val="18"/>
                            <w:szCs w:val="18"/>
                          </w:rPr>
                        </w:pPr>
                        <w:r>
                          <w:rPr>
                            <w:rFonts w:ascii="宋体" w:hAnsi="宋体" w:cs="宋体" w:eastAsia="宋体" w:hint="default"/>
                            <w:sz w:val="18"/>
                            <w:szCs w:val="18"/>
                          </w:rPr>
                          <w:t>过了《关于使用部分闲置募集资金暂时补充流动资金的议案》</w:t>
                        </w:r>
                        <w:r>
                          <w:rPr>
                            <w:rFonts w:ascii="Times New Roman" w:hAnsi="Times New Roman" w:cs="Times New Roman" w:eastAsia="Times New Roman" w:hint="default"/>
                            <w:sz w:val="18"/>
                            <w:szCs w:val="18"/>
                          </w:rPr>
                          <w:t>,</w:t>
                        </w:r>
                        <w:r>
                          <w:rPr>
                            <w:rFonts w:ascii="宋体" w:hAnsi="宋体" w:cs="宋体" w:eastAsia="宋体" w:hint="default"/>
                            <w:sz w:val="18"/>
                            <w:szCs w:val="18"/>
                          </w:rPr>
                          <w:t>同意公司使用不超过人民币</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40,000</w:t>
                        </w:r>
                        <w:r>
                          <w:rPr>
                            <w:rFonts w:ascii="Times New Roman" w:hAnsi="Times New Roman" w:cs="Times New Roman" w:eastAsia="Times New Roman" w:hint="default"/>
                            <w:spacing w:val="-32"/>
                            <w:sz w:val="18"/>
                            <w:szCs w:val="18"/>
                          </w:rPr>
                          <w:t> </w:t>
                        </w:r>
                        <w:r>
                          <w:rPr>
                            <w:rFonts w:ascii="Times New Roman" w:hAnsi="Times New Roman" w:cs="Times New Roman" w:eastAsia="Times New Roman" w:hint="default"/>
                            <w:spacing w:val="-32"/>
                            <w:sz w:val="18"/>
                            <w:szCs w:val="18"/>
                          </w:rPr>
                        </w:r>
                        <w:r>
                          <w:rPr>
                            <w:rFonts w:ascii="宋体" w:hAnsi="宋体" w:cs="宋体" w:eastAsia="宋体" w:hint="default"/>
                            <w:sz w:val="18"/>
                            <w:szCs w:val="18"/>
                          </w:rPr>
                          <w:t>万元的闲置募集资金暂时补充流动资金，使用期限自公司董事会审议批准之日起不超过十二个月， </w:t>
                        </w:r>
                        <w:r>
                          <w:rPr>
                            <w:rFonts w:ascii="宋体" w:hAnsi="宋体" w:cs="宋体" w:eastAsia="宋体" w:hint="default"/>
                            <w:spacing w:val="-3"/>
                            <w:sz w:val="18"/>
                            <w:szCs w:val="18"/>
                          </w:rPr>
                          <w:t>到期前归还至募集资金专用账户。本次使用的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40,000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万元的闲置募集资金，其中</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万元来自公</w:t>
                        </w:r>
                      </w:p>
                      <w:p>
                        <w:pPr>
                          <w:pStyle w:val="TableParagraph"/>
                          <w:spacing w:line="240" w:lineRule="auto" w:before="5"/>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司收购京蓝沐禾节水装备有限公司</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股权同时募集配套资金项目所募集的资金。截至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日，上述暂时补充流动资金的人民币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亿元闲置募集资金尚未到期。</w:t>
                        </w:r>
                      </w:p>
                      <w:p>
                        <w:pPr>
                          <w:pStyle w:val="TableParagraph"/>
                          <w:spacing w:line="300" w:lineRule="auto" w:before="101"/>
                          <w:ind w:left="22" w:right="2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年项目：</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日，公司第八届董事会第四十六次会议及第八届监事会第二十二 </w:t>
                        </w:r>
                        <w:r>
                          <w:rPr>
                            <w:rFonts w:ascii="宋体" w:hAnsi="宋体" w:cs="宋体" w:eastAsia="宋体" w:hint="default"/>
                            <w:spacing w:val="-1"/>
                            <w:sz w:val="18"/>
                            <w:szCs w:val="18"/>
                          </w:rPr>
                          <w:t>次会议分别审议通过了《关于使用部分闲置募集资金暂时补充流动资金的议案》</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同意公司使用不超</w:t>
                        </w:r>
                        <w:r>
                          <w:rPr>
                            <w:rFonts w:ascii="宋体" w:hAnsi="宋体" w:cs="宋体" w:eastAsia="宋体" w:hint="default"/>
                            <w:sz w:val="18"/>
                            <w:szCs w:val="18"/>
                          </w:rPr>
                          <w:t> 过人民币</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40,000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万元的闲置募集资金暂时补充流动资金，使用期限自公司董事会审议批准之日起不</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超过十二个月，到期前归还至募集资金专用账户。本次使用的 </w:t>
                        </w:r>
                        <w:r>
                          <w:rPr>
                            <w:rFonts w:ascii="Times New Roman" w:hAnsi="Times New Roman" w:cs="Times New Roman" w:eastAsia="Times New Roman" w:hint="default"/>
                            <w:sz w:val="18"/>
                            <w:szCs w:val="18"/>
                          </w:rPr>
                          <w:t>40,000 </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万元的闲置募集资金，其中</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20,000 </w:t>
                        </w:r>
                        <w:r>
                          <w:rPr>
                            <w:rFonts w:ascii="宋体" w:hAnsi="宋体" w:cs="宋体" w:eastAsia="宋体" w:hint="default"/>
                            <w:spacing w:val="-3"/>
                            <w:sz w:val="18"/>
                            <w:szCs w:val="18"/>
                          </w:rPr>
                          <w:t>万元来自公司收购京蓝北方园林（天津）有限公司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90.11%</w:t>
                        </w:r>
                        <w:r>
                          <w:rPr>
                            <w:rFonts w:ascii="宋体" w:hAnsi="宋体" w:cs="宋体" w:eastAsia="宋体" w:hint="default"/>
                            <w:sz w:val="18"/>
                            <w:szCs w:val="18"/>
                          </w:rPr>
                          <w:t>股权同时募集配套资金项目所募集</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的资金。截至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日，上述暂时补充流动资金的人民币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亿元闲置募集资金尚未到期</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5" w:firstLine="45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年项目：截止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日，高效节水配套新材料研发与中试生产项目、年产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台大型智能化喷灌机生产项目、京蓝智慧生态云平台项目均已实施完毕，合计产生的结余募集资金 总额为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9,650.18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316" w:lineRule="auto" w:before="43"/>
                          <w:ind w:left="22" w:right="25" w:firstLine="360"/>
                          <w:jc w:val="both"/>
                          <w:rPr>
                            <w:rFonts w:ascii="宋体" w:hAnsi="宋体" w:cs="宋体" w:eastAsia="宋体" w:hint="default"/>
                            <w:sz w:val="18"/>
                            <w:szCs w:val="18"/>
                          </w:rPr>
                        </w:pPr>
                        <w:r>
                          <w:rPr>
                            <w:rFonts w:ascii="宋体" w:hAnsi="宋体" w:cs="宋体" w:eastAsia="宋体" w:hint="default"/>
                            <w:sz w:val="18"/>
                            <w:szCs w:val="18"/>
                          </w:rPr>
                          <w:t>高效节水配套新材料研发与中试生产项目在项目建设过程中，厂房建设周期较长。为应对快速 增长的市场需求、及时应对市场变化对产品带来的影响，保证项目的顺利实施，公司通过对京蓝沐</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5"/>
          <w:szCs w:val="15"/>
        </w:rPr>
      </w:pPr>
    </w:p>
    <w:p>
      <w:pPr>
        <w:spacing w:before="0"/>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44"/>
        <w:ind w:left="0" w:right="1142"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spacing w:before="44"/>
        <w:ind w:left="0" w:right="1141" w:firstLine="0"/>
        <w:jc w:val="right"/>
        <w:rPr>
          <w:rFonts w:ascii="宋体" w:hAnsi="宋体" w:cs="宋体" w:eastAsia="宋体" w:hint="default"/>
          <w:sz w:val="18"/>
          <w:szCs w:val="18"/>
        </w:rPr>
      </w:pPr>
      <w:r>
        <w:rPr/>
        <w:pict>
          <v:shape style="position:absolute;margin-left:56.459999pt;margin-top:-63.26828pt;width:479.2pt;height:330.0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418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禾现有的乌丹厂区原有设备升级改造、购置部分新设备及新建部分附属设施，使乌丹工厂的生产能 力大幅提高，节水灌溉新产品得到升级换代。同时，乌丹厂区现已完全具备承接研发中心的全部中 试、生产能力，已达到本次募投项目预期的实施结果。基于此，公司对此项目予以结项。</w:t>
                        </w:r>
                      </w:p>
                      <w:p>
                        <w:pPr>
                          <w:pStyle w:val="TableParagraph"/>
                          <w:spacing w:line="312" w:lineRule="auto" w:before="56"/>
                          <w:ind w:left="22" w:right="25" w:firstLine="36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台大型智能化喷灌机生产项目实施过程中，公司严格按照募集资金使用的有关规定， </w:t>
                        </w:r>
                        <w:r>
                          <w:rPr>
                            <w:rFonts w:ascii="宋体" w:hAnsi="宋体" w:cs="宋体" w:eastAsia="宋体" w:hint="default"/>
                            <w:spacing w:val="-3"/>
                            <w:sz w:val="18"/>
                            <w:szCs w:val="18"/>
                          </w:rPr>
                          <w:t>本着专款专用、合理、有效、节约的原则，谨慎地使用募集资金，在保障质量和项目进度的前提下</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对基础研发投入和研发设备采购等环节合理调度和优化，合理地降低了项目实施费用，形成了资金 结余。</w:t>
                        </w:r>
                      </w:p>
                      <w:p>
                        <w:pPr>
                          <w:pStyle w:val="TableParagraph"/>
                          <w:spacing w:line="314" w:lineRule="auto" w:before="61"/>
                          <w:ind w:left="22" w:right="19" w:firstLine="360"/>
                          <w:jc w:val="both"/>
                          <w:rPr>
                            <w:rFonts w:ascii="宋体" w:hAnsi="宋体" w:cs="宋体" w:eastAsia="宋体" w:hint="default"/>
                            <w:sz w:val="18"/>
                            <w:szCs w:val="18"/>
                          </w:rPr>
                        </w:pPr>
                        <w:r>
                          <w:rPr>
                            <w:rFonts w:ascii="宋体" w:hAnsi="宋体" w:cs="宋体" w:eastAsia="宋体" w:hint="default"/>
                            <w:sz w:val="18"/>
                            <w:szCs w:val="18"/>
                          </w:rPr>
                          <w:t>京蓝智慧生态云平台项目在实施过程中，随着公有云技术的发展及公有云运营商对数据安全及 服务质量的保障承诺提升，公司把握科技发展带来的机遇，在保障本项目能够顺利实施的前提下， 积极在公有云进行部署。公司通过与阿里云合作，将项目中“数据中心及展示中心建设”部分在阿 里云上构建两个云计算资源中心和大数据展示系统，满足了项目所需的云计算能力和展示能力，进 </w:t>
                        </w:r>
                        <w:r>
                          <w:rPr>
                            <w:rFonts w:ascii="宋体" w:hAnsi="宋体" w:cs="宋体" w:eastAsia="宋体" w:hint="default"/>
                            <w:spacing w:val="-3"/>
                            <w:sz w:val="18"/>
                            <w:szCs w:val="18"/>
                          </w:rPr>
                          <w:t>一步加快了本项目的研发速度，缩短研发周期，大幅降低了成本费用，使得智慧生态云平台完成</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版本的研发并投入使用，已达到募投项目预期实施效果，公司对此项目予以结项。</w:t>
                        </w:r>
                      </w:p>
                    </w:tc>
                  </w:tr>
                  <w:tr>
                    <w:trPr>
                      <w:trHeight w:val="1379"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48"/>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年项目：截至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日，因募投项目结项产生的结余募集资金已永久补充流动 </w:t>
                        </w:r>
                        <w:r>
                          <w:rPr>
                            <w:rFonts w:ascii="宋体" w:hAnsi="宋体" w:cs="宋体" w:eastAsia="宋体" w:hint="default"/>
                            <w:spacing w:val="-2"/>
                            <w:sz w:val="18"/>
                            <w:szCs w:val="18"/>
                          </w:rPr>
                          <w:t>资金，本事项经公司第八届董事会第六十四次会议、</w:t>
                        </w:r>
                        <w:r>
                          <w:rPr>
                            <w:rFonts w:ascii="Times New Roman" w:hAnsi="Times New Roman" w:cs="Times New Roman" w:eastAsia="Times New Roman" w:hint="default"/>
                            <w:spacing w:val="-2"/>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pacing w:val="-1"/>
                            <w:sz w:val="18"/>
                            <w:szCs w:val="18"/>
                          </w:rPr>
                          <w:t>年第七次临时股东大会审议通过。其余尚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未使用的募集资金均在各募集资金账户留存。</w:t>
                        </w:r>
                      </w:p>
                      <w:p>
                        <w:pPr>
                          <w:pStyle w:val="TableParagraph"/>
                          <w:spacing w:line="240" w:lineRule="auto" w:before="7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年项目：截至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日，尚未使用的募集资金均在各募集资金账户留存。</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Heading4"/>
        <w:spacing w:line="240" w:lineRule="auto" w:before="35"/>
        <w:ind w:right="0"/>
        <w:jc w:val="left"/>
        <w:rPr>
          <w:b w:val="0"/>
          <w:bCs w:val="0"/>
        </w:rPr>
      </w:pPr>
      <w:bookmarkStart w:name="（3）募集资金变更项目情况" w:id="54"/>
      <w:bookmarkEnd w:id="54"/>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73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5"/>
      <w:bookmarkEnd w:id="55"/>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6"/>
      <w:bookmarkEnd w:id="56"/>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2、出售重大股权情况" w:id="57"/>
      <w:bookmarkEnd w:id="57"/>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8"/>
      <w:bookmarkEnd w:id="58"/>
      <w:r>
        <w:rPr>
          <w:b w:val="0"/>
          <w:bCs w:val="0"/>
        </w:rPr>
      </w:r>
      <w:r>
        <w:rPr/>
        <w:t>七、主要控股参股公司分析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2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49" w:space="4070"/>
            <w:col w:w="2011"/>
          </w:cols>
        </w:sectPr>
      </w:pPr>
    </w:p>
    <w:p>
      <w:pPr>
        <w:spacing w:line="240" w:lineRule="auto" w:before="0"/>
        <w:rPr>
          <w:rFonts w:ascii="Times New Roman" w:hAnsi="Times New Roman" w:cs="Times New Roman" w:eastAsia="Times New Roman" w:hint="default"/>
          <w:sz w:val="20"/>
          <w:szCs w:val="20"/>
        </w:rPr>
      </w:pPr>
      <w:r>
        <w:rPr/>
        <w:pict>
          <v:shape style="position:absolute;margin-left:215.539993pt;margin-top:92.579987pt;width:57.95pt;height:326.7pt;mso-position-horizontal-relative:page;mso-position-vertical-relative:page;z-index:-15413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197.537003pt;margin-top:438.819977pt;width:75.95pt;height:326.7pt;mso-position-horizontal-relative:page;mso-position-vertical-relative:page;z-index:-15413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6"/>
                      <w:szCs w:val="26"/>
                    </w:rPr>
                  </w:pPr>
                </w:p>
                <w:p>
                  <w:pPr>
                    <w:spacing w:before="0"/>
                    <w:ind w:left="0" w:right="0" w:firstLine="36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水利、</w:t>
                  </w:r>
                </w:p>
              </w:txbxContent>
            </v:textbox>
            <w10:wrap type="none"/>
          </v:shape>
        </w:pict>
      </w:r>
      <w:r>
        <w:rPr/>
        <w:pict>
          <v:group style="position:absolute;margin-left:221.720001pt;margin-top:92.579987pt;width:51.75pt;height:672.9pt;mso-position-horizontal-relative:page;mso-position-vertical-relative:page;z-index:-1541296" coordorigin="4434,1852" coordsize="1035,13458">
            <v:group style="position:absolute;left:4434;top:1852;width:1035;height:6534" coordorigin="4434,1852" coordsize="1035,6534">
              <v:shape style="position:absolute;left:4434;top:1852;width:1035;height:6534" coordorigin="4434,1852" coordsize="1035,6534" path="m4434,8385l5469,8385,5469,1852,4434,1852,4434,8385xe" filled="true" fillcolor="#ffffff" stroked="false">
                <v:path arrowok="t"/>
                <v:fill type="solid"/>
              </v:shape>
            </v:group>
            <v:group style="position:absolute;left:4446;top:8385;width:2;height:392" coordorigin="4446,8385" coordsize="2,392">
              <v:shape style="position:absolute;left:4446;top:8385;width:2;height:392" coordorigin="4446,8385" coordsize="0,392" path="m4446,8385l4446,8776e" filled="false" stroked="true" strokeweight="1.140pt" strokecolor="#ffffff">
                <v:path arrowok="t"/>
              </v:shape>
            </v:group>
            <v:group style="position:absolute;left:4434;top:8776;width:1035;height:6534" coordorigin="4434,8776" coordsize="1035,6534">
              <v:shape style="position:absolute;left:4434;top:8776;width:1035;height:6534" coordorigin="4434,8776" coordsize="1035,6534" path="m4434,15310l5469,15310,5469,8776,4434,8776,4434,15310xe" filled="true" fillcolor="#ffffff" stroked="false">
                <v:path arrowok="t"/>
                <v:fill type="solid"/>
              </v:shape>
            </v:group>
            <v:group style="position:absolute;left:4457;top:8385;width:990;height:392" coordorigin="4457,8385" coordsize="990,392">
              <v:shape style="position:absolute;left:4457;top:8385;width:990;height:392" coordorigin="4457,8385" coordsize="990,392" path="m4457,8776l5446,8776,5446,8385,4457,8385,4457,877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97"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47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京蓝沐禾节 水装备有限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6"/>
              <w:ind w:left="22"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灌溉、农村 饮水、建筑 用</w:t>
            </w:r>
            <w:r>
              <w:rPr>
                <w:rFonts w:ascii="宋体" w:hAnsi="宋体" w:cs="宋体" w:eastAsia="宋体" w:hint="default"/>
                <w:spacing w:val="-44"/>
                <w:sz w:val="18"/>
                <w:szCs w:val="18"/>
              </w:rPr>
              <w:t> </w:t>
            </w:r>
            <w:r>
              <w:rPr>
                <w:rFonts w:ascii="Times New Roman" w:hAnsi="Times New Roman" w:cs="Times New Roman" w:eastAsia="Times New Roman" w:hint="default"/>
                <w:spacing w:val="-12"/>
                <w:sz w:val="18"/>
                <w:szCs w:val="18"/>
              </w:rPr>
              <w:t>PVC</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PE</w:t>
            </w:r>
            <w:r>
              <w:rPr>
                <w:rFonts w:ascii="Times New Roman" w:hAnsi="Times New Roman" w:cs="Times New Roman" w:eastAsia="Times New Roman" w:hint="default"/>
                <w:sz w:val="18"/>
                <w:szCs w:val="18"/>
              </w:rPr>
            </w:r>
          </w:p>
          <w:p>
            <w:pPr>
              <w:pStyle w:val="TableParagraph"/>
              <w:spacing w:line="314" w:lineRule="auto"/>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PP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给排水管 材及管件制 造、销售； 卷盘式、平 移式、中心 支轴式喷灌 机等喷灌设 备和滴灌带</w:t>
            </w:r>
          </w:p>
          <w:p>
            <w:pPr>
              <w:pStyle w:val="TableParagraph"/>
              <w:spacing w:line="316" w:lineRule="auto" w:before="20"/>
              <w:ind w:left="22" w:right="-33"/>
              <w:jc w:val="left"/>
              <w:rPr>
                <w:rFonts w:ascii="宋体" w:hAnsi="宋体" w:cs="宋体" w:eastAsia="宋体" w:hint="default"/>
                <w:sz w:val="18"/>
                <w:szCs w:val="18"/>
              </w:rPr>
            </w:pPr>
            <w:r>
              <w:rPr>
                <w:rFonts w:ascii="宋体" w:hAnsi="宋体" w:cs="宋体" w:eastAsia="宋体" w:hint="default"/>
                <w:spacing w:val="-16"/>
                <w:sz w:val="18"/>
                <w:szCs w:val="18"/>
              </w:rPr>
              <w:t>（管）、输配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水软管、过 滤器、施肥 器等微滴灌 设备的生 产、销售及 安装；生态 环境治理工 程设计、建 设、维护及 </w:t>
            </w:r>
            <w:r>
              <w:rPr>
                <w:rFonts w:ascii="宋体" w:hAnsi="宋体" w:cs="宋体" w:eastAsia="宋体" w:hint="default"/>
                <w:spacing w:val="-6"/>
                <w:sz w:val="18"/>
                <w:szCs w:val="18"/>
              </w:rPr>
              <w:t>咨询；水利、</w:t>
            </w:r>
            <w:r>
              <w:rPr>
                <w:rFonts w:ascii="宋体" w:hAnsi="宋体" w:cs="宋体" w:eastAsia="宋体" w:hint="default"/>
                <w:spacing w:val="-34"/>
                <w:sz w:val="18"/>
                <w:szCs w:val="18"/>
              </w:rPr>
              <w:t> </w:t>
            </w:r>
            <w:r>
              <w:rPr>
                <w:rFonts w:ascii="宋体" w:hAnsi="宋体" w:cs="宋体" w:eastAsia="宋体" w:hint="default"/>
                <w:sz w:val="18"/>
                <w:szCs w:val="18"/>
              </w:rPr>
              <w:t>电力、农业</w:t>
            </w:r>
            <w:r>
              <w:rPr>
                <w:rFonts w:ascii="宋体" w:hAnsi="宋体" w:cs="宋体" w:eastAsia="宋体" w:hint="default"/>
                <w:sz w:val="18"/>
                <w:szCs w:val="18"/>
              </w:rPr>
              <w:t> 项目投资； 农业机械、 化肥、农膜 机电设备、 建筑材料销 售及进出口 业务； 水电工程设 计、施工； 市政公用工 程施工；园 林绿化工 程；农村灌 溉用水井凿 井作业；沙 地治理；种 树、种草； 水泥桩制 作、网围栏 刺线制作、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贰亿</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5,061,918,84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8.58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1,748,277,62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1,593,028,19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0.57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221,485,795.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182,372,797.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2547"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架设；林木 种子经营， 飞播造林； 文体用品、 日用品、电 力设备、电 线电缆、电 器购销。</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570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2" w:right="21"/>
              <w:jc w:val="left"/>
              <w:rPr>
                <w:rFonts w:ascii="宋体" w:hAnsi="宋体" w:cs="宋体" w:eastAsia="宋体" w:hint="default"/>
                <w:sz w:val="18"/>
                <w:szCs w:val="18"/>
              </w:rPr>
            </w:pPr>
            <w:r>
              <w:rPr>
                <w:rFonts w:ascii="宋体" w:hAnsi="宋体" w:cs="宋体" w:eastAsia="宋体" w:hint="default"/>
                <w:sz w:val="18"/>
                <w:szCs w:val="18"/>
              </w:rPr>
              <w:t>京蓝北方园 </w:t>
            </w:r>
            <w:r>
              <w:rPr>
                <w:rFonts w:ascii="宋体" w:hAnsi="宋体" w:cs="宋体" w:eastAsia="宋体" w:hint="default"/>
                <w:spacing w:val="-14"/>
                <w:sz w:val="18"/>
                <w:szCs w:val="18"/>
              </w:rPr>
              <w:t>林（天津）有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园林绿化工 程；土木工 程；苗木的 培育、栽植 和销售（种 </w:t>
            </w:r>
            <w:r>
              <w:rPr>
                <w:rFonts w:ascii="宋体" w:hAnsi="宋体" w:cs="宋体" w:eastAsia="宋体" w:hint="default"/>
                <w:spacing w:val="-16"/>
                <w:sz w:val="18"/>
                <w:szCs w:val="18"/>
              </w:rPr>
              <w:t>子除外）；保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洁环卫；绿 化养管及技 </w:t>
            </w:r>
            <w:r>
              <w:rPr>
                <w:rFonts w:ascii="宋体" w:hAnsi="宋体" w:cs="宋体" w:eastAsia="宋体" w:hint="default"/>
                <w:spacing w:val="-16"/>
                <w:sz w:val="18"/>
                <w:szCs w:val="18"/>
              </w:rPr>
              <w:t>术咨询。（以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上经营范围 涉及行业许 可的凭许可 证件，在有 效期限内经 营，国家有 专项专营规 定的按规定 办理）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壹亿零玖拾 万</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2,923,260,98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851,815,699.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872,502,214.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137,418,932.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115,599,946.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687"/>
        <w:gridCol w:w="2835"/>
        <w:gridCol w:w="3048"/>
      </w:tblGrid>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京蓝科技研究有限公司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未对生产经营和业绩产生较大影响</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京蓝国际工程有限公司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未对生产经营和业绩产生较大影响</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京蓝沐禾（赤峰市松山区）农业供水有限公司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未对生产经营和业绩产生较大影响</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京蓝沐禾巨鹿田田通农业供水有限公司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未对生产经营和业绩产生较大影响</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京蓝沐禾（中卫）灌溉服务有限公司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未对生产经营和业绩产生较大影响</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京蓝沐禾（东阿县）节水灌溉科技有限公司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未对生产经营和业绩产生较大影响</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京蓝沐禾（贺兰县）灌溉服务有限公司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未对生产经营和业绩产生较大影响</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京蓝沐禾（丘北）节水灌溉有限责任公司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未对生产经营和业绩产生较大影响</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京蓝沐禾（宁城县）农业供水有限公司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未对生产经营和业绩产生较大影响</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汤阴京蓝建设有限公司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未对生产经营和业绩产生较大影响</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驻马店市京蓝北方建设工程有限公司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未对生产经营和业绩产生较大影响</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687"/>
        <w:gridCol w:w="2835"/>
        <w:gridCol w:w="3048"/>
      </w:tblGrid>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京蓝环境建设（北京）有限公司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未对生产经营和业绩产生较大影响</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甘肃京蓝生态科技有限公司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未对生产经营和业绩产生较大影响</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内蒙古润禾节水工程设备有限公司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未对生产经营和业绩产生较大影响</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林州京蓝能科余热发电有限公司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未对生产经营和业绩产生较大影响</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八、公司控制的结构化主体情况" w:id="59"/>
      <w:bookmarkEnd w:id="59"/>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60"/>
      <w:bookmarkEnd w:id="60"/>
      <w:r>
        <w:rPr>
          <w:b w:val="0"/>
          <w:bCs w:val="0"/>
        </w:rPr>
      </w:r>
      <w:r>
        <w:rPr/>
        <w:t>九、公司未来发展的展望</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634" w:right="0"/>
        <w:jc w:val="left"/>
      </w:pPr>
      <w:r>
        <w:rPr/>
        <w:t>（一）宏观经济政策有利于行业发展</w:t>
      </w:r>
    </w:p>
    <w:p>
      <w:pPr>
        <w:pStyle w:val="BodyText"/>
        <w:spacing w:line="357" w:lineRule="auto" w:before="157"/>
        <w:ind w:left="634" w:right="1120"/>
        <w:jc w:val="left"/>
      </w:pPr>
      <w:r>
        <w:rPr>
          <w:rFonts w:ascii="Times New Roman" w:hAnsi="Times New Roman" w:cs="Times New Roman" w:eastAsia="Times New Roman" w:hint="default"/>
        </w:rPr>
        <w:t>1</w:t>
      </w:r>
      <w:r>
        <w:rPr/>
        <w:t>、政策有支持 </w:t>
      </w:r>
      <w:r>
        <w:rPr>
          <w:spacing w:val="-2"/>
        </w:rPr>
        <w:t>十八大以来，党中央、国务院把生态文明建设和环境保护摆上重要的战略位置，把生态文明建设作为</w:t>
      </w:r>
    </w:p>
    <w:p>
      <w:pPr>
        <w:pStyle w:val="BodyText"/>
        <w:spacing w:line="225" w:lineRule="exact"/>
        <w:ind w:right="0"/>
        <w:jc w:val="left"/>
      </w:pPr>
      <w:r>
        <w:rPr/>
        <w:t>统筹推进</w:t>
      </w:r>
      <w:r>
        <w:rPr>
          <w:rFonts w:ascii="Times New Roman" w:hAnsi="Times New Roman" w:cs="Times New Roman" w:eastAsia="Times New Roman" w:hint="default"/>
        </w:rPr>
        <w:t>“</w:t>
      </w:r>
      <w:r>
        <w:rPr/>
        <w:t>五位一体</w:t>
      </w:r>
      <w:r>
        <w:rPr>
          <w:rFonts w:ascii="Times New Roman" w:hAnsi="Times New Roman" w:cs="Times New Roman" w:eastAsia="Times New Roman" w:hint="default"/>
        </w:rPr>
        <w:t>”</w:t>
      </w:r>
      <w:r>
        <w:rPr/>
        <w:t>总体布局和协调推进</w:t>
      </w:r>
      <w:r>
        <w:rPr>
          <w:rFonts w:ascii="Times New Roman" w:hAnsi="Times New Roman" w:cs="Times New Roman" w:eastAsia="Times New Roman" w:hint="default"/>
        </w:rPr>
        <w:t>“</w:t>
      </w:r>
      <w:r>
        <w:rPr/>
        <w:t>四个全面</w:t>
      </w:r>
      <w:r>
        <w:rPr>
          <w:rFonts w:ascii="Times New Roman" w:hAnsi="Times New Roman" w:cs="Times New Roman" w:eastAsia="Times New Roman" w:hint="default"/>
        </w:rPr>
        <w:t>”</w:t>
      </w:r>
      <w:r>
        <w:rPr/>
        <w:t>战略布局的重要内容，谋划开展了一系列富有基础性、</w:t>
      </w:r>
    </w:p>
    <w:p>
      <w:pPr>
        <w:pStyle w:val="BodyText"/>
        <w:spacing w:line="240" w:lineRule="auto" w:before="21"/>
        <w:ind w:right="0"/>
        <w:jc w:val="left"/>
      </w:pPr>
      <w:r>
        <w:rPr/>
        <w:t>开创性和长远性的工作。</w:t>
      </w:r>
    </w:p>
    <w:p>
      <w:pPr>
        <w:pStyle w:val="BodyText"/>
        <w:spacing w:line="261" w:lineRule="auto" w:before="157"/>
        <w:ind w:right="1032" w:firstLine="480"/>
        <w:jc w:val="left"/>
      </w:pPr>
      <w:r>
        <w:rPr/>
        <w:t>十八大以来的五年，国家领导人习近平总书记提出了一系列重要论述和批示，形成了中国绿色发展、 </w:t>
      </w:r>
      <w:r>
        <w:rPr>
          <w:spacing w:val="-2"/>
        </w:rPr>
        <w:t>生态优先的思想指引，</w:t>
      </w:r>
      <w:r>
        <w:rPr>
          <w:rFonts w:ascii="Times New Roman" w:hAnsi="Times New Roman" w:cs="Times New Roman" w:eastAsia="Times New Roman" w:hint="default"/>
          <w:spacing w:val="-2"/>
        </w:rPr>
        <w:t>“</w:t>
      </w:r>
      <w:r>
        <w:rPr>
          <w:spacing w:val="-2"/>
        </w:rPr>
        <w:t>良好的生态环境是最公平的公共产品，是最普惠的民生福祉</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绿水青山就是金山</w:t>
      </w:r>
      <w:r>
        <w:rPr>
          <w:spacing w:val="-102"/>
        </w:rPr>
        <w:t> </w:t>
      </w:r>
      <w:r>
        <w:rPr/>
        <w:t>银山</w:t>
      </w:r>
      <w:r>
        <w:rPr>
          <w:rFonts w:ascii="Times New Roman" w:hAnsi="Times New Roman" w:cs="Times New Roman" w:eastAsia="Times New Roman" w:hint="default"/>
        </w:rPr>
        <w:t>”</w:t>
      </w:r>
      <w:r>
        <w:rPr/>
        <w:t>。同时，各级政府在党的领导下积极推动能源发展和生态环境修复工作。根据环保部通报来看，过</w:t>
      </w:r>
      <w:r>
        <w:rPr>
          <w:spacing w:val="-24"/>
        </w:rPr>
        <w:t> </w:t>
      </w:r>
      <w:r>
        <w:rPr>
          <w:spacing w:val="-24"/>
        </w:rPr>
      </w:r>
      <w:r>
        <w:rPr/>
        <w:t>去五年是中国生态文明建设、生态环境保护力度最大、举措最实、推进最快、成效最好的时期。</w:t>
      </w:r>
    </w:p>
    <w:p>
      <w:pPr>
        <w:pStyle w:val="BodyText"/>
        <w:spacing w:line="264" w:lineRule="auto" w:before="138"/>
        <w:ind w:right="1132" w:firstLine="480"/>
        <w:jc w:val="both"/>
      </w:pPr>
      <w:r>
        <w:rPr>
          <w:spacing w:val="-2"/>
        </w:rPr>
        <w:t>十九大的召开，更是将生态环境建设纳为国家长期的基本国策，且作为政府优先工作任务，之后再次</w:t>
      </w:r>
      <w:r>
        <w:rPr/>
        <w:t> 强调</w:t>
      </w:r>
      <w:r>
        <w:rPr>
          <w:rFonts w:ascii="Times New Roman" w:hAnsi="Times New Roman" w:cs="Times New Roman" w:eastAsia="Times New Roman" w:hint="default"/>
        </w:rPr>
        <w:t>“</w:t>
      </w:r>
      <w:r>
        <w:rPr/>
        <w:t>打好生态环保攻坚战</w:t>
      </w:r>
      <w:r>
        <w:rPr>
          <w:rFonts w:ascii="Times New Roman" w:hAnsi="Times New Roman" w:cs="Times New Roman" w:eastAsia="Times New Roman" w:hint="default"/>
        </w:rPr>
        <w:t>”</w:t>
      </w:r>
      <w:r>
        <w:rPr/>
        <w:t>的思想。展望未来，在过去五年生态文明成绩基础上，十九大将为推进美丽中 国建设注入新的动力！</w:t>
      </w:r>
    </w:p>
    <w:p>
      <w:pPr>
        <w:pStyle w:val="BodyText"/>
        <w:spacing w:line="357" w:lineRule="auto" w:before="136"/>
        <w:ind w:left="634" w:right="1120"/>
        <w:jc w:val="left"/>
      </w:pPr>
      <w:r>
        <w:rPr>
          <w:rFonts w:ascii="Times New Roman" w:hAnsi="Times New Roman" w:cs="Times New Roman" w:eastAsia="Times New Roman" w:hint="default"/>
        </w:rPr>
        <w:t>2</w:t>
      </w:r>
      <w:r>
        <w:rPr/>
        <w:t>、市场有需求，财政有保障 </w:t>
      </w:r>
      <w:r>
        <w:rPr>
          <w:spacing w:val="-2"/>
        </w:rPr>
        <w:t>人多地少水缺是我国的基本国情，而发展节水是缓解水资源供需矛盾的根本途径。随着我国人口的不</w:t>
      </w:r>
    </w:p>
    <w:p>
      <w:pPr>
        <w:pStyle w:val="BodyText"/>
        <w:spacing w:line="209" w:lineRule="exact"/>
        <w:ind w:right="0"/>
        <w:jc w:val="left"/>
      </w:pPr>
      <w:r>
        <w:rPr/>
        <w:t>断增加和经济社会的持续发展，水土资源短缺对农业发展的约束越来越大，要提高国家农产品生产能力，</w:t>
      </w:r>
    </w:p>
    <w:p>
      <w:pPr>
        <w:pStyle w:val="BodyText"/>
        <w:spacing w:line="264" w:lineRule="auto" w:before="37"/>
        <w:ind w:left="0" w:right="1131"/>
        <w:jc w:val="right"/>
      </w:pPr>
      <w:r>
        <w:rPr>
          <w:spacing w:val="-1"/>
        </w:rPr>
        <w:t>关键在于节水，这也是加快转变经济发展方式的必然要求。在大力发展节水农业方面，为加快推进水肥一</w:t>
      </w:r>
      <w:r>
        <w:rPr>
          <w:spacing w:val="-92"/>
        </w:rPr>
        <w:t> </w:t>
      </w:r>
      <w:r>
        <w:rPr>
          <w:spacing w:val="-92"/>
        </w:rPr>
      </w:r>
      <w:r>
        <w:rPr/>
        <w:t>体化工作，农业部办公厅关于印发《推进水肥一体化实施方案（</w:t>
      </w:r>
      <w:r>
        <w:rPr>
          <w:rFonts w:ascii="Times New Roman" w:hAnsi="Times New Roman" w:cs="Times New Roman" w:eastAsia="Times New Roman" w:hint="default"/>
        </w:rPr>
        <w:t>2016</w:t>
      </w:r>
      <w:r>
        <w:rPr>
          <w:rFonts w:ascii="Times New Roman" w:hAnsi="Times New Roman" w:cs="Times New Roman" w:eastAsia="Times New Roman" w:hint="default"/>
        </w:rPr>
        <w:t>—</w:t>
      </w:r>
      <w:r>
        <w:rPr>
          <w:rFonts w:ascii="Times New Roman" w:hAnsi="Times New Roman" w:cs="Times New Roman" w:eastAsia="Times New Roman" w:hint="default"/>
        </w:rPr>
        <w:t>2020</w:t>
      </w:r>
      <w:r>
        <w:rPr/>
        <w:t>年）》要求</w:t>
      </w:r>
      <w:r>
        <w:rPr>
          <w:rFonts w:ascii="Times New Roman" w:hAnsi="Times New Roman" w:cs="Times New Roman" w:eastAsia="Times New Roman" w:hint="default"/>
        </w:rPr>
        <w:t>“</w:t>
      </w:r>
      <w:r>
        <w:rPr/>
        <w:t>着力推进水肥一</w:t>
      </w:r>
      <w:r>
        <w:rPr>
          <w:spacing w:val="-42"/>
        </w:rPr>
        <w:t> </w:t>
      </w:r>
      <w:r>
        <w:rPr>
          <w:spacing w:val="-42"/>
        </w:rPr>
      </w:r>
      <w:r>
        <w:rPr>
          <w:spacing w:val="-1"/>
        </w:rPr>
        <w:t>体化技术本土化、轻型化和产业化</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到</w:t>
      </w:r>
      <w:r>
        <w:rPr>
          <w:rFonts w:ascii="Times New Roman" w:hAnsi="Times New Roman" w:cs="Times New Roman" w:eastAsia="Times New Roman" w:hint="default"/>
          <w:spacing w:val="-1"/>
        </w:rPr>
        <w:t>2020</w:t>
      </w:r>
      <w:r>
        <w:rPr>
          <w:spacing w:val="-1"/>
        </w:rPr>
        <w:t>年水肥一体化技术推广面积达到</w:t>
      </w:r>
      <w:r>
        <w:rPr>
          <w:rFonts w:ascii="Times New Roman" w:hAnsi="Times New Roman" w:cs="Times New Roman" w:eastAsia="Times New Roman" w:hint="default"/>
          <w:spacing w:val="-1"/>
        </w:rPr>
        <w:t>1.5</w:t>
      </w:r>
      <w:r>
        <w:rPr>
          <w:spacing w:val="-1"/>
        </w:rPr>
        <w:t>亿亩，新增</w:t>
      </w:r>
      <w:r>
        <w:rPr>
          <w:rFonts w:ascii="Times New Roman" w:hAnsi="Times New Roman" w:cs="Times New Roman" w:eastAsia="Times New Roman" w:hint="default"/>
          <w:spacing w:val="-1"/>
        </w:rPr>
        <w:t>8,000</w:t>
      </w:r>
      <w:r>
        <w:rPr>
          <w:spacing w:val="-1"/>
        </w:rPr>
        <w:t>万亩</w:t>
      </w:r>
      <w:r>
        <w:rPr>
          <w:rFonts w:ascii="Times New Roman" w:hAnsi="Times New Roman" w:cs="Times New Roman" w:eastAsia="Times New Roman" w:hint="default"/>
          <w:spacing w:val="-1"/>
        </w:rPr>
        <w:t>”</w:t>
      </w:r>
      <w:r>
        <w:rPr>
          <w:spacing w:val="-1"/>
        </w:rPr>
        <w:t>。</w:t>
      </w:r>
    </w:p>
    <w:p>
      <w:pPr>
        <w:pStyle w:val="BodyText"/>
        <w:spacing w:line="261" w:lineRule="auto" w:before="118"/>
        <w:ind w:right="1133" w:firstLine="480"/>
        <w:jc w:val="both"/>
      </w:pPr>
      <w:r>
        <w:rPr>
          <w:rFonts w:ascii="Times New Roman" w:hAnsi="Times New Roman" w:cs="Times New Roman" w:eastAsia="Times New Roman" w:hint="default"/>
        </w:rPr>
        <w:t>2017</w:t>
      </w:r>
      <w:r>
        <w:rPr/>
        <w:t>年，财政部会同有关部门联合印发了《</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新增</w:t>
      </w:r>
      <w:r>
        <w:rPr>
          <w:rFonts w:ascii="Times New Roman" w:hAnsi="Times New Roman" w:cs="Times New Roman" w:eastAsia="Times New Roman" w:hint="default"/>
        </w:rPr>
        <w:t>1</w:t>
      </w:r>
      <w:r>
        <w:rPr/>
        <w:t>亿亩高效节水灌溉面积实施方案》，推动 落实</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规划确定的新增</w:t>
      </w:r>
      <w:r>
        <w:rPr>
          <w:rFonts w:ascii="Times New Roman" w:hAnsi="Times New Roman" w:cs="Times New Roman" w:eastAsia="Times New Roman" w:hint="default"/>
        </w:rPr>
        <w:t>1</w:t>
      </w:r>
      <w:r>
        <w:rPr/>
        <w:t>亿亩高效节水灌溉任务，并将全年发展</w:t>
      </w:r>
      <w:r>
        <w:rPr>
          <w:rFonts w:ascii="Times New Roman" w:hAnsi="Times New Roman" w:cs="Times New Roman" w:eastAsia="Times New Roman" w:hint="default"/>
        </w:rPr>
        <w:t>2,000</w:t>
      </w:r>
      <w:r>
        <w:rPr/>
        <w:t>万亩高效节水灌溉目标任务分</w:t>
      </w:r>
      <w:r>
        <w:rPr>
          <w:spacing w:val="-62"/>
        </w:rPr>
        <w:t> </w:t>
      </w:r>
      <w:r>
        <w:rPr>
          <w:spacing w:val="-62"/>
        </w:rPr>
      </w:r>
      <w:r>
        <w:rPr>
          <w:spacing w:val="-1"/>
        </w:rPr>
        <w:t>解到各省（区、市）。中央财政通过多个资金渠道予以重点支持，其中水利发展资金用于农田水利建设部</w:t>
      </w:r>
      <w:r>
        <w:rPr>
          <w:spacing w:val="-83"/>
        </w:rPr>
        <w:t> </w:t>
      </w:r>
      <w:r>
        <w:rPr>
          <w:spacing w:val="-83"/>
        </w:rPr>
      </w:r>
      <w:r>
        <w:rPr/>
        <w:t>分优先保障各地完成年度高效节水灌溉任务。</w:t>
      </w:r>
    </w:p>
    <w:p>
      <w:pPr>
        <w:pStyle w:val="BodyText"/>
        <w:spacing w:line="256" w:lineRule="auto" w:before="138"/>
        <w:ind w:right="0" w:firstLine="48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月，中共中央国务院发布了《</w:t>
      </w:r>
      <w:r>
        <w:rPr>
          <w:rFonts w:ascii="Times New Roman" w:hAnsi="Times New Roman" w:cs="Times New Roman" w:eastAsia="Times New Roman" w:hint="default"/>
        </w:rPr>
        <w:t>2019</w:t>
      </w:r>
      <w:r>
        <w:rPr/>
        <w:t>年中央一号文件全文》，着重对</w:t>
      </w:r>
      <w:r>
        <w:rPr>
          <w:rFonts w:ascii="Times New Roman" w:hAnsi="Times New Roman" w:cs="Times New Roman" w:eastAsia="Times New Roman" w:hint="default"/>
        </w:rPr>
        <w:t>“</w:t>
      </w:r>
      <w:r>
        <w:rPr/>
        <w:t>三农</w:t>
      </w:r>
      <w:r>
        <w:rPr>
          <w:rFonts w:ascii="Times New Roman" w:hAnsi="Times New Roman" w:cs="Times New Roman" w:eastAsia="Times New Roman" w:hint="default"/>
        </w:rPr>
        <w:t>”</w:t>
      </w:r>
      <w:r>
        <w:rPr/>
        <w:t>工作领域进行了指 导。文件指出：要夯实农业基础，保障重要农产品有效供给。（</w:t>
      </w:r>
      <w:r>
        <w:rPr>
          <w:rFonts w:ascii="Times New Roman" w:hAnsi="Times New Roman" w:cs="Times New Roman" w:eastAsia="Times New Roman" w:hint="default"/>
        </w:rPr>
        <w:t>1</w:t>
      </w:r>
      <w:r>
        <w:rPr/>
        <w:t>）稳定粮食生产，确保粮食播种面积稳</w:t>
      </w:r>
      <w:r>
        <w:rPr>
          <w:spacing w:val="-28"/>
        </w:rPr>
        <w:t> </w:t>
      </w:r>
      <w:r>
        <w:rPr>
          <w:spacing w:val="-28"/>
        </w:rPr>
      </w:r>
      <w:r>
        <w:rPr>
          <w:spacing w:val="-5"/>
        </w:rPr>
        <w:t>定在</w:t>
      </w:r>
      <w:r>
        <w:rPr>
          <w:rFonts w:ascii="Times New Roman" w:hAnsi="Times New Roman" w:cs="Times New Roman" w:eastAsia="Times New Roman" w:hint="default"/>
          <w:spacing w:val="-5"/>
        </w:rPr>
        <w:t>16.5</w:t>
      </w:r>
      <w:r>
        <w:rPr>
          <w:spacing w:val="-5"/>
        </w:rPr>
        <w:t>亿亩。严守</w:t>
      </w:r>
      <w:r>
        <w:rPr>
          <w:rFonts w:ascii="Times New Roman" w:hAnsi="Times New Roman" w:cs="Times New Roman" w:eastAsia="Times New Roman" w:hint="default"/>
          <w:spacing w:val="-5"/>
        </w:rPr>
        <w:t>18</w:t>
      </w:r>
      <w:r>
        <w:rPr>
          <w:spacing w:val="-5"/>
        </w:rPr>
        <w:t>亿亩耕地红线，全面落实永久基本农田特殊保护制度，确保永久基本农田保持在</w:t>
      </w:r>
      <w:r>
        <w:rPr>
          <w:rFonts w:ascii="Times New Roman" w:hAnsi="Times New Roman" w:cs="Times New Roman" w:eastAsia="Times New Roman" w:hint="default"/>
          <w:spacing w:val="-5"/>
        </w:rPr>
        <w:t>15.46</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spacing w:val="-1"/>
        </w:rPr>
        <w:t>亿亩以上。建设现代气象为农服务体系。强化粮食安全省长责任制考核。（</w:t>
      </w:r>
      <w:r>
        <w:rPr>
          <w:rFonts w:ascii="Times New Roman" w:hAnsi="Times New Roman" w:cs="Times New Roman" w:eastAsia="Times New Roman" w:hint="default"/>
          <w:spacing w:val="-1"/>
        </w:rPr>
        <w:t>2</w:t>
      </w:r>
      <w:r>
        <w:rPr>
          <w:spacing w:val="-1"/>
        </w:rPr>
        <w:t>）完成高标准农田建设任务。</w:t>
      </w:r>
      <w:r>
        <w:rPr>
          <w:spacing w:val="-81"/>
        </w:rPr>
        <w:t> </w:t>
      </w:r>
      <w:r>
        <w:rPr>
          <w:spacing w:val="-81"/>
        </w:rPr>
      </w:r>
      <w:r>
        <w:rPr/>
        <w:t>巩固和提高粮食生产能力，到</w:t>
      </w:r>
      <w:r>
        <w:rPr>
          <w:rFonts w:ascii="Times New Roman" w:hAnsi="Times New Roman" w:cs="Times New Roman" w:eastAsia="Times New Roman" w:hint="default"/>
        </w:rPr>
        <w:t>2020</w:t>
      </w:r>
      <w:r>
        <w:rPr/>
        <w:t>年确保建成</w:t>
      </w:r>
      <w:r>
        <w:rPr>
          <w:rFonts w:ascii="Times New Roman" w:hAnsi="Times New Roman" w:cs="Times New Roman" w:eastAsia="Times New Roman" w:hint="default"/>
        </w:rPr>
        <w:t>8</w:t>
      </w:r>
      <w:r>
        <w:rPr/>
        <w:t>亿亩高标准农田。同时加快突破农业关键核心技术。强化</w:t>
      </w:r>
      <w:r>
        <w:rPr>
          <w:spacing w:val="-32"/>
        </w:rPr>
        <w:t> </w:t>
      </w:r>
      <w:r>
        <w:rPr>
          <w:spacing w:val="-32"/>
        </w:rPr>
      </w:r>
      <w:r>
        <w:rPr/>
        <w:t>创新驱动发展，实施农业关键核心技术攻关行动，培育一批农业战略科技创新力量，推动生物种业、重型</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农机、智慧农业、绿色投入品等领域自主创新。</w:t>
      </w:r>
    </w:p>
    <w:p>
      <w:pPr>
        <w:pStyle w:val="BodyText"/>
        <w:spacing w:line="240" w:lineRule="auto" w:before="157"/>
        <w:ind w:left="634" w:right="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w:t>
      </w:r>
      <w:r>
        <w:rPr/>
        <w:t>土十条</w:t>
      </w:r>
      <w:r>
        <w:rPr>
          <w:rFonts w:ascii="Times New Roman" w:hAnsi="Times New Roman" w:cs="Times New Roman" w:eastAsia="Times New Roman" w:hint="default"/>
        </w:rPr>
        <w:t>”</w:t>
      </w:r>
      <w:r>
        <w:rPr/>
        <w:t>正式出台，成为我国土壤修复行业的行动纲领，开启土壤修复产业的发展新阶段。</w:t>
      </w:r>
    </w:p>
    <w:p>
      <w:pPr>
        <w:pStyle w:val="BodyText"/>
        <w:spacing w:line="264" w:lineRule="auto" w:before="21"/>
        <w:ind w:right="1028"/>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日，《中华人民共和国土壤污染防治法》正式获得全国人大通过并将于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日起开始</w:t>
      </w:r>
      <w:r>
        <w:rPr>
          <w:spacing w:val="-28"/>
        </w:rPr>
        <w:t> </w:t>
      </w:r>
      <w:r>
        <w:rPr>
          <w:spacing w:val="-28"/>
        </w:rPr>
      </w:r>
      <w:r>
        <w:rPr/>
        <w:t>实施。随着国家宏观和行业政策对土壤修复重视度提高，以及相对完善的土壤修复管理体系构建，未来将</w:t>
      </w:r>
      <w:r>
        <w:rPr/>
        <w:t> </w:t>
      </w:r>
      <w:r>
        <w:rPr>
          <w:spacing w:val="-3"/>
        </w:rPr>
        <w:t>会产生更多的土壤修复项目，市场需求将扩张，土壤修复规模将迎来更大的发展空间。根据江苏省（宜兴）</w:t>
      </w:r>
      <w:r>
        <w:rPr>
          <w:spacing w:val="-96"/>
        </w:rPr>
        <w:t> </w:t>
      </w:r>
      <w:r>
        <w:rPr>
          <w:spacing w:val="-96"/>
        </w:rPr>
      </w:r>
      <w:r>
        <w:rPr/>
        <w:t>环保产业技术研究院等发布的《中国土壤修复技术与市场研究报告（</w:t>
      </w:r>
      <w:r>
        <w:rPr>
          <w:rFonts w:ascii="Times New Roman" w:hAnsi="Times New Roman" w:cs="Times New Roman" w:eastAsia="Times New Roman" w:hint="default"/>
        </w:rPr>
        <w:t>2016-2020</w:t>
      </w:r>
      <w:r>
        <w:rPr/>
        <w:t>）》，我国</w:t>
      </w:r>
      <w:r>
        <w:rPr>
          <w:rFonts w:ascii="Times New Roman" w:hAnsi="Times New Roman" w:cs="Times New Roman" w:eastAsia="Times New Roman" w:hint="default"/>
        </w:rPr>
        <w:t>2016-2020</w:t>
      </w:r>
      <w:r>
        <w:rPr/>
        <w:t>年土</w:t>
      </w:r>
      <w:r>
        <w:rPr>
          <w:spacing w:val="-65"/>
        </w:rPr>
        <w:t> </w:t>
      </w:r>
      <w:r>
        <w:rPr/>
        <w:t>壤修复（包括污染场地修复、农田修复、矿山修复、油田修复、地下水修复、盐碱地修复及非正规垃圾填</w:t>
      </w:r>
      <w:r>
        <w:rPr/>
        <w:t> </w:t>
      </w:r>
      <w:r>
        <w:rPr>
          <w:spacing w:val="-2"/>
        </w:rPr>
        <w:t>埋场修复）市场容量将从</w:t>
      </w:r>
      <w:r>
        <w:rPr>
          <w:rFonts w:ascii="Times New Roman" w:hAnsi="Times New Roman" w:cs="Times New Roman" w:eastAsia="Times New Roman" w:hint="default"/>
          <w:spacing w:val="-2"/>
        </w:rPr>
        <w:t>60</w:t>
      </w:r>
      <w:r>
        <w:rPr>
          <w:spacing w:val="-2"/>
        </w:rPr>
        <w:t>亿元增长至</w:t>
      </w:r>
      <w:r>
        <w:rPr>
          <w:rFonts w:ascii="Times New Roman" w:hAnsi="Times New Roman" w:cs="Times New Roman" w:eastAsia="Times New Roman" w:hint="default"/>
          <w:spacing w:val="-2"/>
        </w:rPr>
        <w:t>329</w:t>
      </w:r>
      <w:r>
        <w:rPr>
          <w:spacing w:val="-2"/>
        </w:rPr>
        <w:t>亿元，</w:t>
      </w:r>
      <w:r>
        <w:rPr>
          <w:rFonts w:ascii="Times New Roman" w:hAnsi="Times New Roman" w:cs="Times New Roman" w:eastAsia="Times New Roman" w:hint="default"/>
          <w:spacing w:val="-2"/>
        </w:rPr>
        <w:t>2016-2020</w:t>
      </w:r>
      <w:r>
        <w:rPr>
          <w:spacing w:val="-2"/>
        </w:rPr>
        <w:t>年市场空间保守合计约</w:t>
      </w:r>
      <w:r>
        <w:rPr>
          <w:rFonts w:ascii="Times New Roman" w:hAnsi="Times New Roman" w:cs="Times New Roman" w:eastAsia="Times New Roman" w:hint="default"/>
          <w:spacing w:val="-2"/>
        </w:rPr>
        <w:t>849</w:t>
      </w:r>
      <w:r>
        <w:rPr>
          <w:spacing w:val="-2"/>
        </w:rPr>
        <w:t>亿元。土壤修复为利</w:t>
      </w:r>
      <w:r>
        <w:rPr>
          <w:spacing w:val="-95"/>
        </w:rPr>
        <w:t> </w:t>
      </w:r>
      <w:r>
        <w:rPr>
          <w:spacing w:val="-95"/>
        </w:rPr>
      </w:r>
      <w:r>
        <w:rPr/>
        <w:t>国利民的工程，政府每年编制相关预算，并优先安排环保项目的付款。</w:t>
      </w:r>
    </w:p>
    <w:p>
      <w:pPr>
        <w:pStyle w:val="BodyText"/>
        <w:spacing w:line="357" w:lineRule="auto" w:before="136"/>
        <w:ind w:left="634" w:right="1120"/>
        <w:jc w:val="left"/>
      </w:pPr>
      <w:r>
        <w:rPr>
          <w:rFonts w:ascii="Times New Roman" w:hAnsi="Times New Roman" w:cs="Times New Roman" w:eastAsia="Times New Roman" w:hint="default"/>
        </w:rPr>
        <w:t>3</w:t>
      </w:r>
      <w:r>
        <w:rPr/>
        <w:t>、技术可满足，业务有落地 </w:t>
      </w:r>
      <w:r>
        <w:rPr>
          <w:spacing w:val="-2"/>
        </w:rPr>
        <w:t>公司打破传统业务发展模式，利用新时代经济发展的有利环境，不断地积极探索符合公司发展的商业</w:t>
      </w:r>
    </w:p>
    <w:p>
      <w:pPr>
        <w:pStyle w:val="BodyText"/>
        <w:spacing w:line="225" w:lineRule="exact"/>
        <w:ind w:right="0"/>
        <w:jc w:val="both"/>
      </w:pPr>
      <w:r>
        <w:rPr/>
        <w:t>模式。公司通过与研究院、知名高校合作，建立</w:t>
      </w:r>
      <w:r>
        <w:rPr>
          <w:rFonts w:ascii="Times New Roman" w:hAnsi="Times New Roman" w:cs="Times New Roman" w:eastAsia="Times New Roman" w:hint="default"/>
        </w:rPr>
        <w:t>“</w:t>
      </w:r>
      <w:r>
        <w:rPr/>
        <w:t>产、学、研</w:t>
      </w:r>
      <w:r>
        <w:rPr>
          <w:rFonts w:ascii="Times New Roman" w:hAnsi="Times New Roman" w:cs="Times New Roman" w:eastAsia="Times New Roman" w:hint="default"/>
        </w:rPr>
        <w:t>”</w:t>
      </w:r>
      <w:r>
        <w:rPr/>
        <w:t>相结合的研究机构，不断研发出新技术、新</w:t>
      </w:r>
    </w:p>
    <w:p>
      <w:pPr>
        <w:pStyle w:val="BodyText"/>
        <w:spacing w:line="273" w:lineRule="auto" w:before="21"/>
        <w:ind w:right="1131"/>
        <w:jc w:val="both"/>
      </w:pPr>
      <w:r>
        <w:rPr>
          <w:spacing w:val="-1"/>
        </w:rPr>
        <w:t>产品。公司拥有土壤修复、水体治理、农业三废循环利用等核心技术，子公司京蓝沐禾、北方园林、中科</w:t>
      </w:r>
      <w:r>
        <w:rPr>
          <w:spacing w:val="-83"/>
        </w:rPr>
        <w:t> </w:t>
      </w:r>
      <w:r>
        <w:rPr>
          <w:spacing w:val="-83"/>
        </w:rPr>
      </w:r>
      <w:r>
        <w:rPr>
          <w:spacing w:val="-1"/>
        </w:rPr>
        <w:t>鼎实、京蓝能科在节水灌溉领域、园林环境工程施工、土壤修复领域、清洁能源综合利用方面分别有多项</w:t>
      </w:r>
      <w:r>
        <w:rPr>
          <w:spacing w:val="-86"/>
        </w:rPr>
        <w:t> </w:t>
      </w:r>
      <w:r>
        <w:rPr>
          <w:spacing w:val="-86"/>
        </w:rPr>
      </w:r>
      <w:r>
        <w:rPr>
          <w:spacing w:val="-1"/>
        </w:rPr>
        <w:t>自主研发的实用新型和发明专利，拥有灌溉企业等级证书（甲贰级）、风景园林工程设计甲级资质、城市</w:t>
      </w:r>
      <w:r>
        <w:rPr>
          <w:spacing w:val="-83"/>
        </w:rPr>
        <w:t> </w:t>
      </w:r>
      <w:r>
        <w:rPr>
          <w:spacing w:val="-83"/>
        </w:rPr>
      </w:r>
      <w:r>
        <w:rPr>
          <w:spacing w:val="-1"/>
        </w:rPr>
        <w:t>园林绿化企业一级资质、环保工程专业承包一级资质、地基基础工程专业承包一级资质等资质，为其承接</w:t>
      </w:r>
      <w:r>
        <w:rPr>
          <w:spacing w:val="-83"/>
        </w:rPr>
        <w:t> </w:t>
      </w:r>
      <w:r>
        <w:rPr>
          <w:spacing w:val="-83"/>
        </w:rPr>
      </w:r>
      <w:r>
        <w:rPr/>
        <w:t>大型项目提供了有力支撑。</w:t>
      </w:r>
    </w:p>
    <w:p>
      <w:pPr>
        <w:pStyle w:val="BodyText"/>
        <w:spacing w:line="264" w:lineRule="auto" w:before="127"/>
        <w:ind w:right="1130" w:firstLine="480"/>
        <w:jc w:val="both"/>
      </w:pPr>
      <w:r>
        <w:rPr>
          <w:spacing w:val="-1"/>
        </w:rPr>
        <w:t>由于业务性质，公司</w:t>
      </w:r>
      <w:r>
        <w:rPr>
          <w:rFonts w:ascii="Times New Roman" w:hAnsi="Times New Roman" w:cs="Times New Roman" w:eastAsia="Times New Roman" w:hint="default"/>
          <w:spacing w:val="-1"/>
        </w:rPr>
        <w:t>PPP</w:t>
      </w:r>
      <w:r>
        <w:rPr>
          <w:spacing w:val="-1"/>
        </w:rPr>
        <w:t>项目订单量占比较大。其中，为了抢占市场份额，部分项目公司先与政府方</w:t>
      </w:r>
      <w:r>
        <w:rPr/>
        <w:t> 签订框架协议以达成合作意向，为下一步合作奠定基础。本年度，公司多个</w:t>
      </w:r>
      <w:r>
        <w:rPr>
          <w:rFonts w:ascii="Times New Roman" w:hAnsi="Times New Roman" w:cs="Times New Roman" w:eastAsia="Times New Roman" w:hint="default"/>
        </w:rPr>
        <w:t>PPP</w:t>
      </w:r>
      <w:r>
        <w:rPr/>
        <w:t>项目已申请入库，助推了</w:t>
      </w:r>
      <w:r>
        <w:rPr>
          <w:spacing w:val="-64"/>
        </w:rPr>
        <w:t> </w:t>
      </w:r>
      <w:r>
        <w:rPr>
          <w:spacing w:val="-64"/>
        </w:rPr>
      </w:r>
      <w:r>
        <w:rPr>
          <w:spacing w:val="-1"/>
        </w:rPr>
        <w:t>项目加速进展，已有订单持续落地，成为本期业绩收入的主要来源。公司业绩持续向好，一方面促进了公</w:t>
      </w:r>
      <w:r>
        <w:rPr>
          <w:spacing w:val="-86"/>
        </w:rPr>
        <w:t> </w:t>
      </w:r>
      <w:r>
        <w:rPr>
          <w:spacing w:val="-86"/>
        </w:rPr>
      </w:r>
      <w:r>
        <w:rPr>
          <w:spacing w:val="-1"/>
        </w:rPr>
        <w:t>司的可持续发展，另一方面为国家税收做出贡献。国家财政有了保障，才能更好地为广大企业提供资金支</w:t>
      </w:r>
      <w:r>
        <w:rPr>
          <w:spacing w:val="-82"/>
        </w:rPr>
        <w:t> </w:t>
      </w:r>
      <w:r>
        <w:rPr>
          <w:spacing w:val="-82"/>
        </w:rPr>
      </w:r>
      <w:r>
        <w:rPr/>
        <w:t>持和发展动力，相辅相成，形成良性循环。</w:t>
      </w:r>
    </w:p>
    <w:p>
      <w:pPr>
        <w:pStyle w:val="BodyText"/>
        <w:spacing w:line="273" w:lineRule="auto" w:before="136"/>
        <w:ind w:right="1131" w:firstLine="480"/>
        <w:jc w:val="both"/>
      </w:pPr>
      <w:r>
        <w:rPr>
          <w:spacing w:val="-2"/>
        </w:rPr>
        <w:t>在国家产业政策的大力支持和新时代经济的发展趋势下，公司将抓住行业发展契机，利用良好的发展</w:t>
      </w:r>
      <w:r>
        <w:rPr/>
        <w:t> </w:t>
      </w:r>
      <w:r>
        <w:rPr>
          <w:spacing w:val="-1"/>
        </w:rPr>
        <w:t>环境，充分发挥自身优势，以生态环境综合治理为业务聚焦点，不断完善公司产业链布局，积极大力开拓</w:t>
      </w:r>
      <w:r>
        <w:rPr>
          <w:spacing w:val="-86"/>
        </w:rPr>
        <w:t> </w:t>
      </w:r>
      <w:r>
        <w:rPr>
          <w:spacing w:val="-86"/>
        </w:rPr>
      </w:r>
      <w:r>
        <w:rPr/>
        <w:t>国内外市场，提高公司的综合实力。</w:t>
      </w:r>
    </w:p>
    <w:p>
      <w:pPr>
        <w:pStyle w:val="BodyText"/>
        <w:spacing w:line="432" w:lineRule="exact" w:before="27"/>
        <w:ind w:left="634" w:right="1119"/>
        <w:jc w:val="left"/>
      </w:pPr>
      <w:r>
        <w:rPr/>
        <w:t>（二）公司发展战略 </w:t>
      </w:r>
      <w:r>
        <w:rPr>
          <w:spacing w:val="-4"/>
        </w:rPr>
        <w:t>基于对未来行业形势的判断和实际发展状况，未来公司将把握两化融合、产融结合、大数据战略、</w:t>
      </w:r>
      <w:r>
        <w:rPr>
          <w:rFonts w:ascii="Times New Roman" w:hAnsi="Times New Roman" w:cs="Times New Roman" w:eastAsia="Times New Roman" w:hint="default"/>
          <w:spacing w:val="-4"/>
        </w:rPr>
        <w:t>“</w:t>
      </w:r>
      <w:r>
        <w:rPr>
          <w:spacing w:val="-4"/>
        </w:rPr>
        <w:t>互</w:t>
      </w:r>
    </w:p>
    <w:p>
      <w:pPr>
        <w:pStyle w:val="BodyText"/>
        <w:spacing w:line="271" w:lineRule="exact"/>
        <w:ind w:right="0"/>
        <w:jc w:val="both"/>
      </w:pPr>
      <w:r>
        <w:rPr/>
        <w:t>联网</w:t>
      </w:r>
      <w:r>
        <w:rPr>
          <w:rFonts w:ascii="Times New Roman" w:hAnsi="Times New Roman" w:cs="Times New Roman" w:eastAsia="Times New Roman" w:hint="default"/>
        </w:rPr>
        <w:t>+</w:t>
      </w:r>
      <w:r>
        <w:rPr>
          <w:rFonts w:ascii="Times New Roman" w:hAnsi="Times New Roman" w:cs="Times New Roman" w:eastAsia="Times New Roman" w:hint="default"/>
        </w:rPr>
        <w:t>”</w:t>
      </w:r>
      <w:r>
        <w:rPr/>
        <w:t>行动计划、生态文明与</w:t>
      </w:r>
      <w:r>
        <w:rPr>
          <w:rFonts w:ascii="Times New Roman" w:hAnsi="Times New Roman" w:cs="Times New Roman" w:eastAsia="Times New Roman" w:hint="default"/>
        </w:rPr>
        <w:t>“</w:t>
      </w:r>
      <w:r>
        <w:rPr/>
        <w:t>美丽中国</w:t>
      </w:r>
      <w:r>
        <w:rPr>
          <w:rFonts w:ascii="Times New Roman" w:hAnsi="Times New Roman" w:cs="Times New Roman" w:eastAsia="Times New Roman" w:hint="default"/>
        </w:rPr>
        <w:t>”</w:t>
      </w:r>
      <w:r>
        <w:rPr/>
        <w:t>建设、四大节水灌溉工程等的有利宏观环境，以</w:t>
      </w:r>
      <w:r>
        <w:rPr>
          <w:rFonts w:ascii="Times New Roman" w:hAnsi="Times New Roman" w:cs="Times New Roman" w:eastAsia="Times New Roman" w:hint="default"/>
        </w:rPr>
        <w:t>“</w:t>
      </w:r>
      <w:r>
        <w:rPr/>
        <w:t>生态环境</w:t>
      </w:r>
      <w:r>
        <w:rPr>
          <w:rFonts w:ascii="Times New Roman" w:hAnsi="Times New Roman" w:cs="Times New Roman" w:eastAsia="Times New Roman" w:hint="default"/>
        </w:rPr>
        <w:t>+</w:t>
      </w:r>
      <w:r>
        <w:rPr/>
        <w:t>大数</w:t>
      </w:r>
    </w:p>
    <w:p>
      <w:pPr>
        <w:pStyle w:val="BodyText"/>
        <w:spacing w:line="261" w:lineRule="auto" w:before="21"/>
        <w:ind w:right="1132"/>
        <w:jc w:val="both"/>
      </w:pPr>
      <w:r>
        <w:rPr/>
        <w:t>据、移动互联、云计算</w:t>
      </w:r>
      <w:r>
        <w:rPr>
          <w:rFonts w:ascii="Times New Roman" w:hAnsi="Times New Roman" w:cs="Times New Roman" w:eastAsia="Times New Roman" w:hint="default"/>
        </w:rPr>
        <w:t>”</w:t>
      </w:r>
      <w:r>
        <w:rPr/>
        <w:t>作为上市公司的业务战略定位，不断完善</w:t>
      </w:r>
      <w:r>
        <w:rPr>
          <w:rFonts w:ascii="Times New Roman" w:hAnsi="Times New Roman" w:cs="Times New Roman" w:eastAsia="Times New Roman" w:hint="default"/>
        </w:rPr>
        <w:t>“</w:t>
      </w:r>
      <w:r>
        <w:rPr/>
        <w:t>智慧生态节水运营服务、环境园林科技 服务、土壤修复运营服务、清洁能源运营服务、物联网云平台运营服务</w:t>
      </w:r>
      <w:r>
        <w:rPr>
          <w:rFonts w:ascii="Times New Roman" w:hAnsi="Times New Roman" w:cs="Times New Roman" w:eastAsia="Times New Roman" w:hint="default"/>
        </w:rPr>
        <w:t>”</w:t>
      </w:r>
      <w:r>
        <w:rPr/>
        <w:t>多业务板块的大产业战略发展布</w:t>
      </w:r>
      <w:r>
        <w:rPr>
          <w:spacing w:val="-16"/>
        </w:rPr>
        <w:t> </w:t>
      </w:r>
      <w:r>
        <w:rPr>
          <w:spacing w:val="-16"/>
        </w:rPr>
      </w:r>
      <w:r>
        <w:rPr/>
        <w:t>局。公司将以生态环境综合治理为战略聚焦点，将</w:t>
      </w:r>
      <w:r>
        <w:rPr>
          <w:rFonts w:ascii="Times New Roman" w:hAnsi="Times New Roman" w:cs="Times New Roman" w:eastAsia="Times New Roman" w:hint="default"/>
        </w:rPr>
        <w:t>“</w:t>
      </w:r>
      <w:r>
        <w:rPr/>
        <w:t>绿色</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智慧</w:t>
      </w:r>
      <w:r>
        <w:rPr>
          <w:rFonts w:ascii="Times New Roman" w:hAnsi="Times New Roman" w:cs="Times New Roman" w:eastAsia="Times New Roman" w:hint="default"/>
        </w:rPr>
        <w:t>”</w:t>
      </w:r>
      <w:r>
        <w:rPr/>
        <w:t>作为发展手段，利用绿色思维和新一代</w:t>
      </w:r>
      <w:r>
        <w:rPr>
          <w:spacing w:val="-84"/>
        </w:rPr>
        <w:t> </w:t>
      </w:r>
      <w:r>
        <w:rPr>
          <w:spacing w:val="-84"/>
        </w:rPr>
      </w:r>
      <w:r>
        <w:rPr>
          <w:spacing w:val="-1"/>
        </w:rPr>
        <w:t>信息技术（大数据、云计算、物联网和互联网等）及产业资本为产业发展提供高附加值并着重在生态环境</w:t>
      </w:r>
      <w:r>
        <w:rPr>
          <w:spacing w:val="-86"/>
        </w:rPr>
        <w:t> </w:t>
      </w:r>
      <w:r>
        <w:rPr>
          <w:spacing w:val="-86"/>
        </w:rPr>
      </w:r>
      <w:r>
        <w:rPr/>
        <w:t>领域落地应用，将公司打造为</w:t>
      </w:r>
      <w:r>
        <w:rPr>
          <w:rFonts w:ascii="Times New Roman" w:hAnsi="Times New Roman" w:cs="Times New Roman" w:eastAsia="Times New Roman" w:hint="default"/>
        </w:rPr>
        <w:t>“</w:t>
      </w:r>
      <w:r>
        <w:rPr/>
        <w:t>生态环境领域综合治理解决方案供应商和投资运营商</w:t>
      </w:r>
      <w:r>
        <w:rPr>
          <w:rFonts w:ascii="Times New Roman" w:hAnsi="Times New Roman" w:cs="Times New Roman" w:eastAsia="Times New Roman" w:hint="default"/>
        </w:rPr>
        <w:t>”</w:t>
      </w:r>
      <w:r>
        <w:rPr/>
        <w:t>。</w:t>
      </w:r>
    </w:p>
    <w:p>
      <w:pPr>
        <w:pStyle w:val="BodyText"/>
        <w:spacing w:line="240" w:lineRule="auto" w:before="120"/>
        <w:ind w:left="634" w:right="0"/>
        <w:jc w:val="left"/>
      </w:pPr>
      <w:r>
        <w:rPr/>
        <w:t>（三）经营计划</w:t>
      </w:r>
    </w:p>
    <w:p>
      <w:pPr>
        <w:pStyle w:val="BodyText"/>
        <w:spacing w:line="240" w:lineRule="auto" w:before="157"/>
        <w:ind w:left="634" w:right="0"/>
        <w:jc w:val="left"/>
      </w:pPr>
      <w:r>
        <w:rPr>
          <w:rFonts w:ascii="Times New Roman" w:hAnsi="Times New Roman" w:cs="Times New Roman" w:eastAsia="Times New Roman" w:hint="default"/>
        </w:rPr>
        <w:t>1</w:t>
      </w:r>
      <w:r>
        <w:rPr/>
        <w:t>、在公司战略指导下，多板块业务齐头并进。</w:t>
      </w:r>
    </w:p>
    <w:p>
      <w:pPr>
        <w:pStyle w:val="BodyText"/>
        <w:spacing w:line="268" w:lineRule="auto" w:before="141"/>
        <w:ind w:right="1131" w:firstLine="480"/>
        <w:jc w:val="both"/>
      </w:pPr>
      <w:r>
        <w:rPr/>
        <w:t>（</w:t>
      </w:r>
      <w:r>
        <w:rPr>
          <w:rFonts w:ascii="Times New Roman" w:hAnsi="Times New Roman" w:cs="Times New Roman" w:eastAsia="Times New Roman" w:hint="default"/>
        </w:rPr>
        <w:t>1</w:t>
      </w:r>
      <w:r>
        <w:rPr/>
        <w:t>）公司子公司京蓝生态与京蓝沐禾主要承接智慧生态节水运营服务板块，在生态环境产业链节水 </w:t>
      </w:r>
      <w:r>
        <w:rPr>
          <w:spacing w:val="-1"/>
        </w:rPr>
        <w:t>领域上，形成强强联合。目前，公司与多地政府达成了智慧生态、智慧农业相关项目的合作意向，未来公</w:t>
      </w:r>
      <w:r>
        <w:rPr>
          <w:spacing w:val="-83"/>
        </w:rPr>
        <w:t> </w:t>
      </w:r>
      <w:r>
        <w:rPr>
          <w:spacing w:val="-83"/>
        </w:rPr>
      </w:r>
      <w:r>
        <w:rPr>
          <w:spacing w:val="-1"/>
        </w:rPr>
        <w:t>司将加快相关项目的落地和实施。同时，根据国家实施的京津冀一体化战略指导思想，将加大华北地区生</w:t>
      </w:r>
      <w:r>
        <w:rPr>
          <w:spacing w:val="-83"/>
        </w:rPr>
        <w:t> </w:t>
      </w:r>
      <w:r>
        <w:rPr>
          <w:spacing w:val="-83"/>
        </w:rPr>
      </w:r>
      <w:r>
        <w:rPr>
          <w:spacing w:val="-1"/>
        </w:rPr>
        <w:t>态环境治理的脚步，在生态修复、景观设计等方面将提供一个广阔的市场空间。本年度，公司在京津冀进</w:t>
      </w:r>
      <w:r>
        <w:rPr>
          <w:spacing w:val="-86"/>
        </w:rPr>
        <w:t> </w:t>
      </w:r>
      <w:r>
        <w:rPr>
          <w:spacing w:val="-86"/>
        </w:rPr>
      </w:r>
      <w:r>
        <w:rPr>
          <w:spacing w:val="-1"/>
        </w:rPr>
        <w:t>行了重点布局，未来公司将抓住机遇抢占市场，积极投身到京津冀地区的建设中，为公司开辟新的业绩增</w:t>
      </w:r>
    </w:p>
    <w:p>
      <w:pPr>
        <w:spacing w:after="0" w:line="268"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长点。</w:t>
      </w:r>
    </w:p>
    <w:p>
      <w:pPr>
        <w:pStyle w:val="BodyText"/>
        <w:spacing w:line="264" w:lineRule="auto" w:before="157"/>
        <w:ind w:right="1110" w:firstLine="48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年公司通过对北方园林的并购进入园林绿化及生态修复行业，作为生态环境产业的重要细 分领域，园林绿化业务对公司主营业务形成了良性补充，公司全力支持园林绿化与生态治理业务的发展。 </w:t>
      </w:r>
      <w:r>
        <w:rPr>
          <w:spacing w:val="-1"/>
        </w:rPr>
        <w:t>为充分发挥本次交易的协同效应，</w:t>
      </w:r>
      <w:r>
        <w:rPr>
          <w:rFonts w:ascii="Times New Roman" w:hAnsi="Times New Roman" w:cs="Times New Roman" w:eastAsia="Times New Roman" w:hint="default"/>
          <w:spacing w:val="-1"/>
        </w:rPr>
        <w:t>2018</w:t>
      </w:r>
      <w:r>
        <w:rPr>
          <w:spacing w:val="-1"/>
        </w:rPr>
        <w:t>年公司在业务、资产、财务、人员、机构等方面不断加强对北方园</w:t>
      </w:r>
      <w:r>
        <w:rPr>
          <w:spacing w:val="-82"/>
        </w:rPr>
        <w:t> </w:t>
      </w:r>
      <w:r>
        <w:rPr>
          <w:spacing w:val="-82"/>
        </w:rPr>
      </w:r>
      <w:r>
        <w:rPr>
          <w:spacing w:val="-1"/>
        </w:rPr>
        <w:t>林的整合，增加了公司各业务之间的粘性，未来公司将继续探索新方向、新思路，充分利用内外部优势资</w:t>
      </w:r>
      <w:r>
        <w:rPr>
          <w:spacing w:val="-86"/>
        </w:rPr>
        <w:t> </w:t>
      </w:r>
      <w:r>
        <w:rPr>
          <w:spacing w:val="-86"/>
        </w:rPr>
      </w:r>
      <w:r>
        <w:rPr/>
        <w:t>源，以实现规模经济，有效控制成本，提高了公司盈利能力，保障公司稳定健康的发展。</w:t>
      </w:r>
    </w:p>
    <w:p>
      <w:pPr>
        <w:pStyle w:val="BodyText"/>
        <w:spacing w:line="266" w:lineRule="auto" w:before="136"/>
        <w:ind w:right="1131" w:firstLine="48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年公司通过对中科鼎实的成功并购，使公司</w:t>
      </w:r>
      <w:r>
        <w:rPr>
          <w:rFonts w:ascii="Times New Roman" w:hAnsi="Times New Roman" w:cs="Times New Roman" w:eastAsia="Times New Roman" w:hint="default"/>
        </w:rPr>
        <w:t>“</w:t>
      </w:r>
      <w:r>
        <w:rPr/>
        <w:t>土壤修复运营服务</w:t>
      </w:r>
      <w:r>
        <w:rPr>
          <w:rFonts w:ascii="Times New Roman" w:hAnsi="Times New Roman" w:cs="Times New Roman" w:eastAsia="Times New Roman" w:hint="default"/>
        </w:rPr>
        <w:t>”</w:t>
      </w:r>
      <w:r>
        <w:rPr/>
        <w:t>业务战略板块得到有效升 </w:t>
      </w:r>
      <w:r>
        <w:rPr>
          <w:spacing w:val="-1"/>
        </w:rPr>
        <w:t>级，提升公司在环境修复领域的竞争力，进一步完善公司在生态环境领域的产业布局。未来公司将充分发</w:t>
      </w:r>
      <w:r>
        <w:rPr>
          <w:spacing w:val="-83"/>
        </w:rPr>
        <w:t> </w:t>
      </w:r>
      <w:r>
        <w:rPr>
          <w:spacing w:val="-83"/>
        </w:rPr>
      </w:r>
      <w:r>
        <w:rPr/>
        <w:t>挥中科鼎实在污染土壤修复、地下水修复、固体废物环境污染治理等领域的竞争优势，形成</w:t>
      </w:r>
      <w:r>
        <w:rPr>
          <w:rFonts w:ascii="Times New Roman" w:hAnsi="Times New Roman" w:cs="Times New Roman" w:eastAsia="Times New Roman" w:hint="default"/>
        </w:rPr>
        <w:t>“</w:t>
      </w:r>
      <w:r>
        <w:rPr/>
        <w:t>水土共治</w:t>
      </w:r>
      <w:r>
        <w:rPr>
          <w:rFonts w:ascii="Times New Roman" w:hAnsi="Times New Roman" w:cs="Times New Roman" w:eastAsia="Times New Roman" w:hint="default"/>
        </w:rPr>
        <w:t>”</w:t>
      </w:r>
      <w:r>
        <w:rPr/>
        <w:t>一 </w:t>
      </w:r>
      <w:r>
        <w:rPr>
          <w:spacing w:val="-1"/>
        </w:rPr>
        <w:t>站式环境修复解决方案能力，做大做强环境修复业务；并通过与中科鼎实的资源整合和优化，各业务板块</w:t>
      </w:r>
      <w:r>
        <w:rPr>
          <w:spacing w:val="-83"/>
        </w:rPr>
        <w:t> </w:t>
      </w:r>
      <w:r>
        <w:rPr>
          <w:spacing w:val="-83"/>
        </w:rPr>
      </w:r>
      <w:r>
        <w:rPr>
          <w:spacing w:val="-1"/>
        </w:rPr>
        <w:t>深度合作，在战略方向、客户开发、技术研发等方面实现良好协同，提升上市公司生态环境业务全产业链</w:t>
      </w:r>
      <w:r>
        <w:rPr>
          <w:spacing w:val="-86"/>
        </w:rPr>
        <w:t> </w:t>
      </w:r>
      <w:r>
        <w:rPr>
          <w:spacing w:val="-86"/>
        </w:rPr>
      </w:r>
      <w:r>
        <w:rPr/>
        <w:t>的综合实力。</w:t>
      </w:r>
    </w:p>
    <w:p>
      <w:pPr>
        <w:pStyle w:val="BodyText"/>
        <w:spacing w:line="264" w:lineRule="auto" w:before="134"/>
        <w:ind w:right="1130" w:firstLine="480"/>
        <w:jc w:val="both"/>
      </w:pPr>
      <w:r>
        <w:rPr/>
        <w:t>（</w:t>
      </w:r>
      <w:r>
        <w:rPr>
          <w:rFonts w:ascii="Times New Roman" w:hAnsi="Times New Roman" w:cs="Times New Roman" w:eastAsia="Times New Roman" w:hint="default"/>
        </w:rPr>
        <w:t>4</w:t>
      </w:r>
      <w:r>
        <w:rPr/>
        <w:t>）为顺应云计算和大数据发展趋势，未来公司将通过与京蓝云智的持续合作，不断探索京蓝智慧 </w:t>
      </w:r>
      <w:r>
        <w:rPr>
          <w:spacing w:val="-1"/>
        </w:rPr>
        <w:t>生态解决方案。京蓝云智主要承接物联网云平台运营服务板块，该平台整合绿色节水概念、构建农业大数</w:t>
      </w:r>
      <w:r>
        <w:rPr>
          <w:spacing w:val="-82"/>
        </w:rPr>
        <w:t> </w:t>
      </w:r>
      <w:r>
        <w:rPr>
          <w:spacing w:val="-82"/>
        </w:rPr>
      </w:r>
      <w:r>
        <w:rPr/>
        <w:t>据，实现农产品的低耗、智能化生产，降低人力和生产成本投入，提高农业生产效率。</w:t>
      </w:r>
    </w:p>
    <w:p>
      <w:pPr>
        <w:pStyle w:val="BodyText"/>
        <w:spacing w:line="357" w:lineRule="auto" w:before="136"/>
        <w:ind w:left="634" w:right="1120"/>
        <w:jc w:val="left"/>
      </w:pPr>
      <w:r>
        <w:rPr>
          <w:rFonts w:ascii="Times New Roman" w:hAnsi="Times New Roman" w:cs="Times New Roman" w:eastAsia="Times New Roman" w:hint="default"/>
        </w:rPr>
        <w:t>2</w:t>
      </w:r>
      <w:r>
        <w:rPr/>
        <w:t>、进一步加强并购重组 </w:t>
      </w:r>
      <w:r>
        <w:rPr>
          <w:spacing w:val="-2"/>
        </w:rPr>
        <w:t>未来，京蓝科技将继续坚持通过资本的力量将企业做大做强的方针，围绕公司主营业务方向，在每个</w:t>
      </w:r>
    </w:p>
    <w:p>
      <w:pPr>
        <w:pStyle w:val="BodyText"/>
        <w:spacing w:line="209" w:lineRule="exact"/>
        <w:ind w:right="0"/>
        <w:jc w:val="both"/>
      </w:pPr>
      <w:r>
        <w:rPr/>
        <w:t>版块打造一家标杆子公司，根据该公司的业务及市场需要，寻找与其有协同效应、有技术及工艺补充、有</w:t>
      </w:r>
    </w:p>
    <w:p>
      <w:pPr>
        <w:pStyle w:val="BodyText"/>
        <w:spacing w:line="273" w:lineRule="auto" w:before="37"/>
        <w:ind w:right="1110"/>
        <w:jc w:val="both"/>
      </w:pPr>
      <w:r>
        <w:rPr/>
        <w:t>较强行业竞争力的公司，在国内及海外积极开展重组并购与战略合作，打造每个行业的龙头企业。另外， </w:t>
      </w:r>
      <w:r>
        <w:rPr>
          <w:spacing w:val="-1"/>
        </w:rPr>
        <w:t>公司将根据战略发展需要，积极开展产业链上下游资源整合工作，必要时将通过投资参股方式迅速获取智</w:t>
      </w:r>
      <w:r>
        <w:rPr>
          <w:spacing w:val="-81"/>
        </w:rPr>
        <w:t> </w:t>
      </w:r>
      <w:r>
        <w:rPr>
          <w:spacing w:val="-81"/>
        </w:rPr>
      </w:r>
      <w:r>
        <w:rPr/>
        <w:t>慧生态领域相关产品与市场资源，全面提升公司在智慧生态板块的核心竞争力，实现公司快速发展。</w:t>
      </w:r>
    </w:p>
    <w:p>
      <w:pPr>
        <w:pStyle w:val="BodyText"/>
        <w:spacing w:line="240" w:lineRule="auto" w:before="127"/>
        <w:ind w:left="634" w:right="0"/>
        <w:jc w:val="left"/>
      </w:pPr>
      <w:r>
        <w:rPr>
          <w:rFonts w:ascii="Times New Roman" w:hAnsi="Times New Roman" w:cs="Times New Roman" w:eastAsia="Times New Roman" w:hint="default"/>
        </w:rPr>
        <w:t>3</w:t>
      </w:r>
      <w:r>
        <w:rPr/>
        <w:t>、加强企业内部管理，提高经营管理水平</w:t>
      </w:r>
    </w:p>
    <w:p>
      <w:pPr>
        <w:pStyle w:val="BodyText"/>
        <w:spacing w:line="264" w:lineRule="auto" w:before="141"/>
        <w:ind w:right="1110" w:firstLine="480"/>
        <w:jc w:val="both"/>
      </w:pPr>
      <w:r>
        <w:rPr/>
        <w:t>（</w:t>
      </w:r>
      <w:r>
        <w:rPr>
          <w:rFonts w:ascii="Times New Roman" w:hAnsi="Times New Roman" w:cs="Times New Roman" w:eastAsia="Times New Roman" w:hint="default"/>
        </w:rPr>
        <w:t>1</w:t>
      </w:r>
      <w:r>
        <w:rPr/>
        <w:t>）增强内控合规管理，加强与子公司的工作交流、沟通和指导服务。提供进资金管理和预算管理 水平。进一步完绩组织架构，针对重点领域和薄弱环节加大管理力度，提高公司管理的系统化、科学化、 精细化和信息化水平。</w:t>
      </w:r>
    </w:p>
    <w:p>
      <w:pPr>
        <w:pStyle w:val="BodyText"/>
        <w:spacing w:line="256" w:lineRule="auto" w:before="136"/>
        <w:ind w:right="1131" w:firstLine="480"/>
        <w:jc w:val="both"/>
      </w:pPr>
      <w:r>
        <w:rPr/>
        <w:t>（</w:t>
      </w:r>
      <w:r>
        <w:rPr>
          <w:rFonts w:ascii="Times New Roman" w:hAnsi="Times New Roman" w:cs="Times New Roman" w:eastAsia="Times New Roman" w:hint="default"/>
        </w:rPr>
        <w:t>2</w:t>
      </w:r>
      <w:r>
        <w:rPr/>
        <w:t>）加强人力资源建设，重视优秀人才队伍建设，采取多种措施、引进、培养公司所需的人才采取 </w:t>
      </w:r>
      <w:r>
        <w:rPr>
          <w:spacing w:val="-3"/>
        </w:rPr>
        <w:t>用多种方式。根据工作需要设置部门岗位</w:t>
      </w:r>
      <w:r>
        <w:rPr>
          <w:rFonts w:ascii="Times New Roman" w:hAnsi="Times New Roman" w:cs="Times New Roman" w:eastAsia="Times New Roman" w:hint="default"/>
          <w:spacing w:val="-3"/>
        </w:rPr>
        <w:t>(</w:t>
      </w:r>
      <w:r>
        <w:rPr>
          <w:spacing w:val="-3"/>
        </w:rPr>
        <w:t>职务</w:t>
      </w:r>
      <w:r>
        <w:rPr>
          <w:rFonts w:ascii="Times New Roman" w:hAnsi="Times New Roman" w:cs="Times New Roman" w:eastAsia="Times New Roman" w:hint="default"/>
          <w:spacing w:val="-3"/>
        </w:rPr>
        <w:t>)</w:t>
      </w:r>
      <w:r>
        <w:rPr>
          <w:spacing w:val="-3"/>
        </w:rPr>
        <w:t>职数，对每一个岗位</w:t>
      </w:r>
      <w:r>
        <w:rPr>
          <w:rFonts w:ascii="Times New Roman" w:hAnsi="Times New Roman" w:cs="Times New Roman" w:eastAsia="Times New Roman" w:hint="default"/>
          <w:spacing w:val="-3"/>
        </w:rPr>
        <w:t>(</w:t>
      </w:r>
      <w:r>
        <w:rPr>
          <w:spacing w:val="-3"/>
        </w:rPr>
        <w:t>职务</w:t>
      </w:r>
      <w:r>
        <w:rPr>
          <w:rFonts w:ascii="Times New Roman" w:hAnsi="Times New Roman" w:cs="Times New Roman" w:eastAsia="Times New Roman" w:hint="default"/>
          <w:spacing w:val="-3"/>
        </w:rPr>
        <w:t>)</w:t>
      </w:r>
      <w:r>
        <w:rPr>
          <w:spacing w:val="-3"/>
        </w:rPr>
        <w:t>制定具体有效的岗位条件、工作</w:t>
      </w:r>
      <w:r>
        <w:rPr>
          <w:spacing w:val="-57"/>
        </w:rPr>
        <w:t> </w:t>
      </w:r>
      <w:r>
        <w:rPr>
          <w:spacing w:val="-57"/>
        </w:rPr>
      </w:r>
      <w:r>
        <w:rPr/>
        <w:t>标准和工作要求，完善部门负责人、员工的绩效考核机制。</w:t>
      </w:r>
    </w:p>
    <w:p>
      <w:pPr>
        <w:pStyle w:val="BodyText"/>
        <w:spacing w:line="256" w:lineRule="auto" w:before="142"/>
        <w:ind w:right="1136" w:firstLine="480"/>
        <w:jc w:val="both"/>
      </w:pPr>
      <w:r>
        <w:rPr/>
        <w:t>（</w:t>
      </w:r>
      <w:r>
        <w:rPr>
          <w:rFonts w:ascii="Times New Roman" w:hAnsi="Times New Roman" w:cs="Times New Roman" w:eastAsia="Times New Roman" w:hint="default"/>
        </w:rPr>
        <w:t>3</w:t>
      </w:r>
      <w:r>
        <w:rPr/>
        <w:t>）完善公司管理制度。公司将根据监管政策的变化结合公司实际情况，不断完善公司管理制度， 提高公司经营管理水平。</w:t>
      </w:r>
    </w:p>
    <w:p>
      <w:pPr>
        <w:pStyle w:val="BodyText"/>
        <w:spacing w:line="256" w:lineRule="auto" w:before="142"/>
        <w:ind w:right="1136" w:firstLine="480"/>
        <w:jc w:val="both"/>
      </w:pPr>
      <w:r>
        <w:rPr/>
        <w:t>（</w:t>
      </w:r>
      <w:r>
        <w:rPr>
          <w:rFonts w:ascii="Times New Roman" w:hAnsi="Times New Roman" w:cs="Times New Roman" w:eastAsia="Times New Roman" w:hint="default"/>
        </w:rPr>
        <w:t>4</w:t>
      </w:r>
      <w:r>
        <w:rPr/>
        <w:t>）积极探索适合公司自身发展的市场开发模式，加大国内外市场开拓力度，扩大市场覆盖范围， 提高市场占有额，开辟新的利润增长点。</w:t>
      </w:r>
    </w:p>
    <w:p>
      <w:pPr>
        <w:pStyle w:val="BodyText"/>
        <w:spacing w:line="240" w:lineRule="auto" w:before="142"/>
        <w:ind w:left="634" w:right="0"/>
        <w:jc w:val="left"/>
      </w:pPr>
      <w:r>
        <w:rPr/>
        <w:t>（四）可能面对的风险及对策</w:t>
      </w:r>
    </w:p>
    <w:p>
      <w:pPr>
        <w:pStyle w:val="BodyText"/>
        <w:spacing w:line="268" w:lineRule="auto" w:before="157"/>
        <w:ind w:right="1131" w:firstLine="480"/>
        <w:jc w:val="both"/>
      </w:pPr>
      <w:r>
        <w:rPr>
          <w:rFonts w:ascii="Times New Roman" w:hAnsi="Times New Roman" w:cs="Times New Roman" w:eastAsia="Times New Roman" w:hint="default"/>
          <w:spacing w:val="-2"/>
        </w:rPr>
        <w:t>1</w:t>
      </w:r>
      <w:r>
        <w:rPr>
          <w:spacing w:val="-2"/>
        </w:rPr>
        <w:t>、竞争风险：</w:t>
      </w:r>
      <w:r>
        <w:rPr>
          <w:rFonts w:ascii="Times New Roman" w:hAnsi="Times New Roman" w:cs="Times New Roman" w:eastAsia="Times New Roman" w:hint="default"/>
          <w:spacing w:val="-2"/>
        </w:rPr>
        <w:t>“</w:t>
      </w:r>
      <w:r>
        <w:rPr>
          <w:spacing w:val="-2"/>
        </w:rPr>
        <w:t>生态环境</w:t>
      </w:r>
      <w:r>
        <w:rPr>
          <w:rFonts w:ascii="Times New Roman" w:hAnsi="Times New Roman" w:cs="Times New Roman" w:eastAsia="Times New Roman" w:hint="default"/>
          <w:spacing w:val="-2"/>
        </w:rPr>
        <w:t>+</w:t>
      </w:r>
      <w:r>
        <w:rPr>
          <w:spacing w:val="-2"/>
        </w:rPr>
        <w:t>大数据、移动互联、云计算</w:t>
      </w:r>
      <w:r>
        <w:rPr>
          <w:rFonts w:ascii="Times New Roman" w:hAnsi="Times New Roman" w:cs="Times New Roman" w:eastAsia="Times New Roman" w:hint="default"/>
          <w:spacing w:val="-2"/>
        </w:rPr>
        <w:t>”</w:t>
      </w:r>
      <w:r>
        <w:rPr>
          <w:spacing w:val="-2"/>
        </w:rPr>
        <w:t>概念逐渐被市场认可，未来将会出现大量的企</w:t>
      </w:r>
      <w:r>
        <w:rPr/>
        <w:t> </w:t>
      </w:r>
      <w:r>
        <w:rPr>
          <w:spacing w:val="-1"/>
        </w:rPr>
        <w:t>业加入该业务领域。随着行业内企业数量不断增加，行业竞争将不断加剧。为应对上述风险，公司将不断</w:t>
      </w:r>
      <w:r>
        <w:rPr>
          <w:spacing w:val="-86"/>
        </w:rPr>
        <w:t> </w:t>
      </w:r>
      <w:r>
        <w:rPr>
          <w:spacing w:val="-86"/>
        </w:rPr>
      </w:r>
      <w:r>
        <w:rPr>
          <w:spacing w:val="-1"/>
        </w:rPr>
        <w:t>完善产业链，整合多种资源，提供全方位的综合解决方案和优质服务，在符合公司发展战略的项目上加速</w:t>
      </w:r>
      <w:r>
        <w:rPr>
          <w:spacing w:val="-83"/>
        </w:rPr>
        <w:t> </w:t>
      </w:r>
      <w:r>
        <w:rPr>
          <w:spacing w:val="-83"/>
        </w:rPr>
      </w:r>
      <w:r>
        <w:rPr>
          <w:spacing w:val="-1"/>
        </w:rPr>
        <w:t>发展抢先占领市场，提高市场竞争力。此外，公司将利用资本市场寻求外延式增长的机会，扩大公司市场</w:t>
      </w:r>
      <w:r>
        <w:rPr>
          <w:spacing w:val="-85"/>
        </w:rPr>
        <w:t> </w:t>
      </w:r>
      <w:r>
        <w:rPr>
          <w:spacing w:val="-85"/>
        </w:rPr>
      </w:r>
      <w:r>
        <w:rPr/>
        <w:t>份额。</w:t>
      </w:r>
    </w:p>
    <w:p>
      <w:pPr>
        <w:pStyle w:val="BodyText"/>
        <w:spacing w:line="240" w:lineRule="auto" w:before="132"/>
        <w:ind w:left="634" w:right="0"/>
        <w:jc w:val="left"/>
      </w:pPr>
      <w:r>
        <w:rPr>
          <w:rFonts w:ascii="Times New Roman" w:hAnsi="Times New Roman" w:cs="Times New Roman" w:eastAsia="Times New Roman" w:hint="default"/>
        </w:rPr>
        <w:t>2</w:t>
      </w:r>
      <w:r>
        <w:rPr/>
        <w:t>、资金风险：生态环境产业为资金密集型产业，运作周期较长，资金需求量巨大。公司将通过发行</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spacing w:val="-1"/>
        </w:rPr>
        <w:t>公司债券以及联合其他相关方设立产业基金等方式，提高公司的融资能力，并在业务运营、资金使用及安</w:t>
      </w:r>
      <w:r>
        <w:rPr>
          <w:spacing w:val="-83"/>
        </w:rPr>
        <w:t> </w:t>
      </w:r>
      <w:r>
        <w:rPr>
          <w:spacing w:val="-83"/>
        </w:rPr>
      </w:r>
      <w:r>
        <w:rPr/>
        <w:t>全性等方面加强管理，降低经营及资金风险。</w:t>
      </w:r>
    </w:p>
    <w:p>
      <w:pPr>
        <w:pStyle w:val="BodyText"/>
        <w:spacing w:line="256" w:lineRule="auto" w:before="127"/>
        <w:ind w:right="0" w:firstLine="480"/>
        <w:jc w:val="left"/>
      </w:pPr>
      <w:r>
        <w:rPr>
          <w:rFonts w:ascii="Times New Roman" w:hAnsi="Times New Roman" w:cs="Times New Roman" w:eastAsia="Times New Roman" w:hint="default"/>
        </w:rPr>
        <w:t>3</w:t>
      </w:r>
      <w:r>
        <w:rPr/>
        <w:t>、核心人才培育风险：随着公司业务发展，公司对复合背景的人才的需求急剧上升。未来公司将制 定更为详细的人力资源制度、优化人员结构，加快人才集聚，完善考核激励机制。</w:t>
      </w:r>
    </w:p>
    <w:p>
      <w:pPr>
        <w:spacing w:line="240" w:lineRule="auto" w:before="0"/>
        <w:rPr>
          <w:rFonts w:ascii="宋体" w:hAnsi="宋体" w:cs="宋体" w:eastAsia="宋体" w:hint="default"/>
          <w:sz w:val="23"/>
          <w:szCs w:val="23"/>
        </w:rPr>
      </w:pPr>
    </w:p>
    <w:p>
      <w:pPr>
        <w:pStyle w:val="Heading2"/>
        <w:spacing w:line="240" w:lineRule="auto"/>
        <w:ind w:right="0"/>
        <w:jc w:val="left"/>
        <w:rPr>
          <w:b w:val="0"/>
          <w:bCs w:val="0"/>
        </w:rPr>
      </w:pPr>
      <w:bookmarkStart w:name="十、接待调研、沟通、采访等活动情况" w:id="61"/>
      <w:bookmarkEnd w:id="61"/>
      <w:r>
        <w:rPr>
          <w:b w:val="0"/>
          <w:bCs w:val="0"/>
        </w:rPr>
      </w: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接待调研、沟通、采访等活动登记表" w:id="62"/>
      <w:bookmarkEnd w:id="62"/>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before="44"/>
        <w:ind w:left="0" w:right="1137" w:firstLine="0"/>
        <w:jc w:val="right"/>
        <w:rPr>
          <w:rFonts w:ascii="宋体" w:hAnsi="宋体" w:cs="宋体" w:eastAsia="宋体" w:hint="default"/>
          <w:sz w:val="18"/>
          <w:szCs w:val="18"/>
        </w:rPr>
      </w:pPr>
      <w:r>
        <w:rPr/>
        <w:pict>
          <v:shape style="position:absolute;margin-left:56.459999pt;margin-top:-36.518253pt;width:479.25pt;height:172.4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78"/>
                    <w:gridCol w:w="1538"/>
                    <w:gridCol w:w="639"/>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报告期内</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10"/>
                          <w:jc w:val="both"/>
                          <w:rPr>
                            <w:rFonts w:ascii="宋体" w:hAnsi="宋体" w:cs="宋体" w:eastAsia="宋体" w:hint="default"/>
                            <w:sz w:val="18"/>
                            <w:szCs w:val="18"/>
                          </w:rPr>
                        </w:pPr>
                        <w:r>
                          <w:rPr>
                            <w:rFonts w:ascii="宋体" w:hAnsi="宋体" w:cs="宋体" w:eastAsia="宋体" w:hint="default"/>
                            <w:sz w:val="18"/>
                            <w:szCs w:val="18"/>
                          </w:rPr>
                          <w:t>主要咨询公司收购中科鼎实交易的进 </w:t>
                        </w:r>
                        <w:r>
                          <w:rPr>
                            <w:rFonts w:ascii="宋体" w:hAnsi="宋体" w:cs="宋体" w:eastAsia="宋体" w:hint="default"/>
                            <w:spacing w:val="-10"/>
                            <w:sz w:val="18"/>
                            <w:szCs w:val="18"/>
                          </w:rPr>
                          <w:t>展情况、回购股份相关情况、业绩状况</w:t>
                        </w:r>
                        <w:r>
                          <w:rPr>
                            <w:rFonts w:ascii="宋体" w:hAnsi="宋体" w:cs="宋体" w:eastAsia="宋体" w:hint="default"/>
                            <w:sz w:val="18"/>
                            <w:szCs w:val="18"/>
                          </w:rPr>
                          <w:t> 未来发展战略等</w:t>
                        </w:r>
                      </w:p>
                    </w:tc>
                  </w:tr>
                  <w:tr>
                    <w:trPr>
                      <w:trHeight w:val="403"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66</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66</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589"/>
        <w:jc w:val="center"/>
        <w:rPr>
          <w:b w:val="0"/>
          <w:bCs w:val="0"/>
        </w:rPr>
      </w:pPr>
      <w:bookmarkStart w:name="第五节 重要事项" w:id="63"/>
      <w:bookmarkEnd w:id="63"/>
      <w:r>
        <w:rPr>
          <w:b w:val="0"/>
          <w:bCs w:val="0"/>
        </w:rPr>
      </w:r>
      <w:bookmarkStart w:name="_bookmark3" w:id="64"/>
      <w:bookmarkEnd w:id="64"/>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5"/>
      <w:bookmarkEnd w:id="65"/>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spacing w:line="240" w:lineRule="auto" w:before="9"/>
        <w:rPr>
          <w:rFonts w:ascii="宋体" w:hAnsi="宋体" w:cs="宋体" w:eastAsia="宋体" w:hint="default"/>
          <w:sz w:val="14"/>
          <w:szCs w:val="14"/>
        </w:rPr>
      </w:pPr>
    </w:p>
    <w:p>
      <w:pPr>
        <w:pStyle w:val="BodyText"/>
        <w:spacing w:line="256" w:lineRule="auto"/>
        <w:ind w:right="0" w:firstLine="420"/>
        <w:jc w:val="left"/>
      </w:pPr>
      <w:r>
        <w:rPr>
          <w:rFonts w:ascii="Times New Roman" w:hAnsi="Times New Roman" w:cs="Times New Roman" w:eastAsia="Times New Roman" w:hint="default"/>
          <w:spacing w:val="-5"/>
        </w:rPr>
        <w:t>2016</w:t>
      </w:r>
      <w:r>
        <w:rPr>
          <w:spacing w:val="-5"/>
        </w:rPr>
        <w:t>年度：以</w:t>
      </w:r>
      <w:r>
        <w:rPr>
          <w:rFonts w:ascii="Times New Roman" w:hAnsi="Times New Roman" w:cs="Times New Roman" w:eastAsia="Times New Roman" w:hint="default"/>
          <w:spacing w:val="-5"/>
        </w:rPr>
        <w:t>2016</w:t>
      </w:r>
      <w:r>
        <w:rPr>
          <w:spacing w:val="-5"/>
        </w:rPr>
        <w:t>年末公司总股本</w:t>
      </w:r>
      <w:r>
        <w:rPr>
          <w:rFonts w:ascii="Times New Roman" w:hAnsi="Times New Roman" w:cs="Times New Roman" w:eastAsia="Times New Roman" w:hint="default"/>
          <w:spacing w:val="-5"/>
        </w:rPr>
        <w:t>325,594,516</w:t>
      </w:r>
      <w:r>
        <w:rPr>
          <w:spacing w:val="-5"/>
        </w:rPr>
        <w:t>股为基数，向全体股东每</w:t>
      </w:r>
      <w:r>
        <w:rPr>
          <w:rFonts w:ascii="Times New Roman" w:hAnsi="Times New Roman" w:cs="Times New Roman" w:eastAsia="Times New Roman" w:hint="default"/>
          <w:spacing w:val="-5"/>
        </w:rPr>
        <w:t>10</w:t>
      </w:r>
      <w:r>
        <w:rPr>
          <w:spacing w:val="-5"/>
        </w:rPr>
        <w:t>股派送现金股利</w:t>
      </w:r>
      <w:r>
        <w:rPr>
          <w:rFonts w:ascii="Times New Roman" w:hAnsi="Times New Roman" w:cs="Times New Roman" w:eastAsia="Times New Roman" w:hint="default"/>
          <w:spacing w:val="-5"/>
        </w:rPr>
        <w:t>1</w:t>
      </w:r>
      <w:r>
        <w:rPr>
          <w:spacing w:val="-5"/>
        </w:rPr>
        <w:t>元（含税），</w:t>
      </w:r>
      <w:r>
        <w:rPr/>
        <w:t> 合计人民币</w:t>
      </w:r>
      <w:r>
        <w:rPr>
          <w:rFonts w:ascii="Times New Roman" w:hAnsi="Times New Roman" w:cs="Times New Roman" w:eastAsia="Times New Roman" w:hint="default"/>
        </w:rPr>
        <w:t>32,559,451.60</w:t>
      </w:r>
      <w:r>
        <w:rPr/>
        <w:t>元，剩余未分配利润转入下一年度；同时公司以</w:t>
      </w:r>
      <w:r>
        <w:rPr>
          <w:rFonts w:ascii="Times New Roman" w:hAnsi="Times New Roman" w:cs="Times New Roman" w:eastAsia="Times New Roman" w:hint="default"/>
        </w:rPr>
        <w:t>2016</w:t>
      </w:r>
      <w:r>
        <w:rPr/>
        <w:t>年末公司总股本</w:t>
      </w:r>
      <w:r>
        <w:rPr>
          <w:rFonts w:ascii="Times New Roman" w:hAnsi="Times New Roman" w:cs="Times New Roman" w:eastAsia="Times New Roman" w:hint="default"/>
        </w:rPr>
        <w:t>325,594,516</w:t>
      </w:r>
      <w:r>
        <w:rPr>
          <w:rFonts w:ascii="Times New Roman" w:hAnsi="Times New Roman" w:cs="Times New Roman" w:eastAsia="Times New Roman" w:hint="default"/>
          <w:spacing w:val="-24"/>
        </w:rPr>
        <w:t> </w:t>
      </w:r>
      <w:r>
        <w:rPr/>
        <w:t>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325,594,516</w:t>
      </w:r>
      <w:r>
        <w:rPr/>
        <w:t>股，转增后公司总股本将增加至 </w:t>
      </w:r>
      <w:r>
        <w:rPr>
          <w:rFonts w:ascii="Times New Roman" w:hAnsi="Times New Roman" w:cs="Times New Roman" w:eastAsia="Times New Roman" w:hint="default"/>
        </w:rPr>
        <w:t>651,189,032</w:t>
      </w:r>
      <w:r>
        <w:rPr/>
        <w:t>股。</w:t>
      </w:r>
    </w:p>
    <w:p>
      <w:pPr>
        <w:pStyle w:val="BodyText"/>
        <w:spacing w:line="256" w:lineRule="auto" w:before="161"/>
        <w:ind w:right="1132" w:firstLine="420"/>
        <w:jc w:val="both"/>
      </w:pPr>
      <w:r>
        <w:rPr>
          <w:rFonts w:ascii="Times New Roman" w:hAnsi="Times New Roman" w:cs="Times New Roman" w:eastAsia="Times New Roman" w:hint="default"/>
        </w:rPr>
        <w:t>2017</w:t>
      </w:r>
      <w:r>
        <w:rPr/>
        <w:t>年度：以</w:t>
      </w:r>
      <w:r>
        <w:rPr>
          <w:rFonts w:ascii="Times New Roman" w:hAnsi="Times New Roman" w:cs="Times New Roman" w:eastAsia="Times New Roman" w:hint="default"/>
        </w:rPr>
        <w:t>2017</w:t>
      </w:r>
      <w:r>
        <w:rPr/>
        <w:t>年末公司总股本</w:t>
      </w:r>
      <w:r>
        <w:rPr>
          <w:rFonts w:ascii="Times New Roman" w:hAnsi="Times New Roman" w:cs="Times New Roman" w:eastAsia="Times New Roman" w:hint="default"/>
        </w:rPr>
        <w:t>730,545,885</w:t>
      </w:r>
      <w:r>
        <w:rPr/>
        <w:t>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股，共 </w:t>
      </w:r>
      <w:r>
        <w:rPr>
          <w:spacing w:val="-1"/>
        </w:rPr>
        <w:t>计转增</w:t>
      </w:r>
      <w:r>
        <w:rPr>
          <w:rFonts w:ascii="Times New Roman" w:hAnsi="Times New Roman" w:cs="Times New Roman" w:eastAsia="Times New Roman" w:hint="default"/>
          <w:spacing w:val="-1"/>
        </w:rPr>
        <w:t>146,109,177</w:t>
      </w:r>
      <w:r>
        <w:rPr>
          <w:spacing w:val="-1"/>
        </w:rPr>
        <w:t>股，转增后公司总股本将增加至</w:t>
      </w:r>
      <w:r>
        <w:rPr>
          <w:rFonts w:ascii="Times New Roman" w:hAnsi="Times New Roman" w:cs="Times New Roman" w:eastAsia="Times New Roman" w:hint="default"/>
          <w:spacing w:val="-1"/>
        </w:rPr>
        <w:t>876,655,062</w:t>
      </w:r>
      <w:r>
        <w:rPr>
          <w:spacing w:val="-1"/>
        </w:rPr>
        <w:t>股。不进行派现，不送红股，公司剩余未分</w:t>
      </w:r>
      <w:r>
        <w:rPr>
          <w:spacing w:val="-78"/>
        </w:rPr>
        <w:t> </w:t>
      </w:r>
      <w:r>
        <w:rPr>
          <w:spacing w:val="-78"/>
        </w:rPr>
      </w:r>
      <w:r>
        <w:rPr/>
        <w:t>配利润转入下一年度。</w:t>
      </w:r>
    </w:p>
    <w:p>
      <w:pPr>
        <w:pStyle w:val="BodyText"/>
        <w:spacing w:line="240" w:lineRule="auto" w:before="178"/>
        <w:ind w:left="574" w:right="0"/>
        <w:jc w:val="left"/>
      </w:pPr>
      <w:r>
        <w:rPr>
          <w:rFonts w:ascii="Times New Roman" w:hAnsi="Times New Roman" w:cs="Times New Roman" w:eastAsia="Times New Roman" w:hint="default"/>
        </w:rPr>
        <w:t>2018</w:t>
      </w:r>
      <w:r>
        <w:rPr/>
        <w:t>年度：不派发现金红利，不送红股，不以公积金转增股本，剩余未分配利润转入下一年度。</w:t>
      </w:r>
    </w:p>
    <w:p>
      <w:pPr>
        <w:spacing w:line="240" w:lineRule="auto" w:before="2"/>
        <w:rPr>
          <w:rFonts w:ascii="宋体" w:hAnsi="宋体" w:cs="宋体" w:eastAsia="宋体" w:hint="default"/>
          <w:sz w:val="12"/>
          <w:szCs w:val="12"/>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7"/>
        <w:gridCol w:w="1194"/>
        <w:gridCol w:w="1196"/>
        <w:gridCol w:w="1197"/>
        <w:gridCol w:w="1195"/>
        <w:gridCol w:w="1197"/>
        <w:gridCol w:w="1196"/>
        <w:gridCol w:w="1195"/>
      </w:tblGrid>
      <w:tr>
        <w:trPr>
          <w:trHeight w:val="161" w:hRule="exact"/>
        </w:trPr>
        <w:tc>
          <w:tcPr>
            <w:tcW w:w="1187"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52" w:right="50"/>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2" w:right="52"/>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5"/>
              <w:ind w:left="52" w:right="50"/>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412" w:right="143"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392" w:hRule="exact"/>
        </w:trPr>
        <w:tc>
          <w:tcPr>
            <w:tcW w:w="11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87"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61" w:hRule="exact"/>
        </w:trPr>
        <w:tc>
          <w:tcPr>
            <w:tcW w:w="1187"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102,535,975.63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289,292,396.12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11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32,559,451.60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11,988,930.50</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271.58%</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9" w:right="0"/>
              <w:jc w:val="left"/>
              <w:rPr>
                <w:rFonts w:ascii="Times New Roman" w:hAnsi="Times New Roman" w:cs="Times New Roman" w:eastAsia="Times New Roman" w:hint="default"/>
                <w:sz w:val="18"/>
                <w:szCs w:val="18"/>
              </w:rPr>
            </w:pPr>
            <w:r>
              <w:rPr>
                <w:rFonts w:ascii="Times New Roman"/>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32,559,451.60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11,988,930.50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2" w:hRule="exact"/>
        </w:trPr>
        <w:tc>
          <w:tcPr>
            <w:tcW w:w="11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1" w:hRule="exact"/>
        </w:trPr>
        <w:tc>
          <w:tcPr>
            <w:tcW w:w="11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4"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7" w:right="46" w:hanging="991"/>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0"/>
              <w:jc w:val="both"/>
              <w:rPr>
                <w:rFonts w:ascii="宋体" w:hAnsi="宋体" w:cs="宋体" w:eastAsia="宋体" w:hint="default"/>
                <w:sz w:val="18"/>
                <w:szCs w:val="18"/>
              </w:rPr>
            </w:pPr>
            <w:r>
              <w:rPr>
                <w:rFonts w:ascii="宋体" w:hAnsi="宋体" w:cs="宋体" w:eastAsia="宋体" w:hint="default"/>
                <w:sz w:val="18"/>
                <w:szCs w:val="18"/>
              </w:rPr>
              <w:t>为满足公司业务拓展和在建项目的资金需求，保持公司的持 续经营能力和可持续发展，经董事会讨论研究后决定，公司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年度不进行现金红利分配。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69"/>
              <w:jc w:val="left"/>
              <w:rPr>
                <w:rFonts w:ascii="宋体" w:hAnsi="宋体" w:cs="宋体" w:eastAsia="宋体" w:hint="default"/>
                <w:sz w:val="18"/>
                <w:szCs w:val="18"/>
              </w:rPr>
            </w:pPr>
            <w:r>
              <w:rPr>
                <w:rFonts w:ascii="宋体" w:hAnsi="宋体" w:cs="宋体" w:eastAsia="宋体" w:hint="default"/>
                <w:sz w:val="18"/>
                <w:szCs w:val="18"/>
              </w:rPr>
              <w:t>公司许多项目尚处于建设期，需要大量的资金支持，公司未 分配利润将用于相关项目的投资、建设及运营。</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本报告期利润分配及资本公积金转增股本情况" w:id="66"/>
      <w:bookmarkEnd w:id="66"/>
      <w:r>
        <w:rPr>
          <w:b w:val="0"/>
          <w:bCs w:val="0"/>
        </w:rPr>
      </w:r>
      <w:r>
        <w:rPr/>
        <w:t>二、本报告期利润分配及资本公积金转增股本情况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55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公司计划年度不派发现金红利，不送红股，不以公积金转增股本。</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三、承诺事项履行情况" w:id="67"/>
      <w:bookmarkEnd w:id="67"/>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59" w:lineRule="auto"/>
        <w:ind w:right="0"/>
        <w:jc w:val="left"/>
        <w:rPr>
          <w:b w:val="0"/>
          <w:bCs w:val="0"/>
        </w:rPr>
      </w:pPr>
      <w:bookmarkStart w:name="1、公司实际控制人、股东、关联方、收购人以及公司等承诺相关方在报告期内履行完毕及" w:id="68"/>
      <w:bookmarkEnd w:id="68"/>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京蓝控股有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控股股东承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1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京蓝控股有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控股股东承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避免同业竞 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1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京蓝控股有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控股股东承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规范和减少 关联交易</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both"/>
              <w:rPr>
                <w:rFonts w:ascii="宋体" w:hAnsi="宋体" w:cs="宋体" w:eastAsia="宋体" w:hint="default"/>
                <w:sz w:val="18"/>
                <w:szCs w:val="18"/>
              </w:rPr>
            </w:pPr>
            <w:r>
              <w:rPr>
                <w:rFonts w:ascii="宋体" w:hAnsi="宋体" w:cs="宋体" w:eastAsia="宋体" w:hint="default"/>
                <w:spacing w:val="-2"/>
                <w:sz w:val="18"/>
                <w:szCs w:val="18"/>
              </w:rPr>
              <w:t>融通资本（固</w:t>
            </w:r>
            <w:r>
              <w:rPr>
                <w:rFonts w:ascii="宋体" w:hAnsi="宋体" w:cs="宋体" w:eastAsia="宋体" w:hint="default"/>
                <w:sz w:val="18"/>
                <w:szCs w:val="18"/>
              </w:rPr>
              <w:t> </w:t>
            </w:r>
            <w:r>
              <w:rPr>
                <w:rFonts w:ascii="宋体" w:hAnsi="宋体" w:cs="宋体" w:eastAsia="宋体" w:hint="default"/>
                <w:spacing w:val="-2"/>
                <w:sz w:val="18"/>
                <w:szCs w:val="18"/>
              </w:rPr>
              <w:t>安）投资管理</w:t>
            </w:r>
            <w:r>
              <w:rPr>
                <w:rFonts w:ascii="宋体" w:hAnsi="宋体" w:cs="宋体" w:eastAsia="宋体" w:hint="default"/>
                <w:sz w:val="18"/>
                <w:szCs w:val="18"/>
              </w:rPr>
              <w:t> 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实际控制人 变更承诺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both"/>
              <w:rPr>
                <w:rFonts w:ascii="宋体" w:hAnsi="宋体" w:cs="宋体" w:eastAsia="宋体" w:hint="default"/>
                <w:sz w:val="18"/>
                <w:szCs w:val="18"/>
              </w:rPr>
            </w:pPr>
            <w:r>
              <w:rPr>
                <w:rFonts w:ascii="宋体" w:hAnsi="宋体" w:cs="宋体" w:eastAsia="宋体" w:hint="default"/>
                <w:spacing w:val="-2"/>
                <w:sz w:val="18"/>
                <w:szCs w:val="18"/>
              </w:rPr>
              <w:t>融通资本（固</w:t>
            </w:r>
            <w:r>
              <w:rPr>
                <w:rFonts w:ascii="宋体" w:hAnsi="宋体" w:cs="宋体" w:eastAsia="宋体" w:hint="default"/>
                <w:sz w:val="18"/>
                <w:szCs w:val="18"/>
              </w:rPr>
              <w:t> </w:t>
            </w:r>
            <w:r>
              <w:rPr>
                <w:rFonts w:ascii="宋体" w:hAnsi="宋体" w:cs="宋体" w:eastAsia="宋体" w:hint="default"/>
                <w:spacing w:val="-2"/>
                <w:sz w:val="18"/>
                <w:szCs w:val="18"/>
              </w:rPr>
              <w:t>安）投资管理</w:t>
            </w:r>
            <w:r>
              <w:rPr>
                <w:rFonts w:ascii="宋体" w:hAnsi="宋体" w:cs="宋体" w:eastAsia="宋体" w:hint="default"/>
                <w:sz w:val="18"/>
                <w:szCs w:val="18"/>
              </w:rPr>
              <w:t> 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实际控制人 变更承诺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92"/>
              <w:jc w:val="left"/>
              <w:rPr>
                <w:rFonts w:ascii="宋体" w:hAnsi="宋体" w:cs="宋体" w:eastAsia="宋体" w:hint="default"/>
                <w:sz w:val="18"/>
                <w:szCs w:val="18"/>
              </w:rPr>
            </w:pPr>
            <w:r>
              <w:rPr>
                <w:rFonts w:ascii="宋体" w:hAnsi="宋体" w:cs="宋体" w:eastAsia="宋体" w:hint="default"/>
                <w:sz w:val="18"/>
                <w:szCs w:val="18"/>
              </w:rPr>
              <w:t>避免同业竞 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61" w:hRule="exact"/>
        </w:trPr>
        <w:tc>
          <w:tcPr>
            <w:tcW w:w="2836" w:type="dxa"/>
            <w:vMerge/>
            <w:tcBorders>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319" w:lineRule="auto" w:before="51"/>
              <w:ind w:left="17" w:right="21"/>
              <w:jc w:val="both"/>
              <w:rPr>
                <w:rFonts w:ascii="宋体" w:hAnsi="宋体" w:cs="宋体" w:eastAsia="宋体" w:hint="default"/>
                <w:sz w:val="18"/>
                <w:szCs w:val="18"/>
              </w:rPr>
            </w:pPr>
            <w:r>
              <w:rPr>
                <w:rFonts w:ascii="宋体" w:hAnsi="宋体" w:cs="宋体" w:eastAsia="宋体" w:hint="default"/>
                <w:sz w:val="18"/>
                <w:szCs w:val="18"/>
              </w:rPr>
              <w:t>融通资本（固 安）投资管理 有限公司</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实际控制人 变更承诺</w:t>
            </w:r>
          </w:p>
        </w:tc>
        <w:tc>
          <w:tcPr>
            <w:tcW w:w="112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92"/>
              <w:jc w:val="left"/>
              <w:rPr>
                <w:rFonts w:ascii="宋体" w:hAnsi="宋体" w:cs="宋体" w:eastAsia="宋体" w:hint="default"/>
                <w:sz w:val="18"/>
                <w:szCs w:val="18"/>
              </w:rPr>
            </w:pPr>
            <w:r>
              <w:rPr>
                <w:rFonts w:ascii="宋体" w:hAnsi="宋体" w:cs="宋体" w:eastAsia="宋体" w:hint="default"/>
                <w:sz w:val="18"/>
                <w:szCs w:val="18"/>
              </w:rPr>
              <w:t>规范和减少 关联交易</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04"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161" w:hRule="exact"/>
        </w:trPr>
        <w:tc>
          <w:tcPr>
            <w:tcW w:w="2836" w:type="dxa"/>
            <w:vMerge w:val="restart"/>
            <w:tcBorders>
              <w:top w:val="nil" w:sz="6" w:space="0" w:color="auto"/>
              <w:left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科瑞特投资 管理（北京） 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实际控制人 变更承诺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科瑞特投资 管理（北京） 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实际控制人 变更承诺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92"/>
              <w:jc w:val="left"/>
              <w:rPr>
                <w:rFonts w:ascii="宋体" w:hAnsi="宋体" w:cs="宋体" w:eastAsia="宋体" w:hint="default"/>
                <w:sz w:val="18"/>
                <w:szCs w:val="18"/>
              </w:rPr>
            </w:pPr>
            <w:r>
              <w:rPr>
                <w:rFonts w:ascii="宋体" w:hAnsi="宋体" w:cs="宋体" w:eastAsia="宋体" w:hint="default"/>
                <w:sz w:val="18"/>
                <w:szCs w:val="18"/>
              </w:rPr>
              <w:t>避免同业竞 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科瑞特投资 管理（北京） 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实际控制人 变更承诺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92"/>
              <w:jc w:val="left"/>
              <w:rPr>
                <w:rFonts w:ascii="宋体" w:hAnsi="宋体" w:cs="宋体" w:eastAsia="宋体" w:hint="default"/>
                <w:sz w:val="18"/>
                <w:szCs w:val="18"/>
              </w:rPr>
            </w:pPr>
            <w:r>
              <w:rPr>
                <w:rFonts w:ascii="宋体" w:hAnsi="宋体" w:cs="宋体" w:eastAsia="宋体" w:hint="default"/>
                <w:sz w:val="18"/>
                <w:szCs w:val="18"/>
              </w:rPr>
              <w:t>规范和减少 关联交易</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1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朱锦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实际控制人 变更承诺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40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朱锦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91"/>
              <w:jc w:val="right"/>
              <w:rPr>
                <w:rFonts w:ascii="宋体" w:hAnsi="宋体" w:cs="宋体" w:eastAsia="宋体" w:hint="default"/>
                <w:sz w:val="18"/>
                <w:szCs w:val="18"/>
              </w:rPr>
            </w:pPr>
            <w:r>
              <w:rPr>
                <w:rFonts w:ascii="宋体" w:hAnsi="宋体" w:cs="宋体" w:eastAsia="宋体" w:hint="default"/>
                <w:sz w:val="18"/>
                <w:szCs w:val="18"/>
              </w:rPr>
              <w:t>实际控制人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避免同业竞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6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变更承诺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朱锦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实际控制人 变更承诺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规范和减少 关联交易</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8"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乌力吉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关于提供资 料真实、准 </w:t>
            </w:r>
            <w:r>
              <w:rPr>
                <w:rFonts w:ascii="宋体" w:hAnsi="宋体" w:cs="宋体" w:eastAsia="宋体" w:hint="default"/>
                <w:spacing w:val="-2"/>
                <w:sz w:val="18"/>
                <w:szCs w:val="18"/>
              </w:rPr>
              <w:t>确、完整的承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21"/>
              <w:jc w:val="both"/>
              <w:rPr>
                <w:rFonts w:ascii="宋体" w:hAnsi="宋体" w:cs="宋体" w:eastAsia="宋体" w:hint="default"/>
                <w:sz w:val="18"/>
                <w:szCs w:val="18"/>
              </w:rPr>
            </w:pPr>
            <w:r>
              <w:rPr>
                <w:rFonts w:ascii="宋体" w:hAnsi="宋体" w:cs="宋体" w:eastAsia="宋体" w:hint="default"/>
                <w:spacing w:val="-2"/>
                <w:sz w:val="18"/>
                <w:szCs w:val="18"/>
              </w:rPr>
              <w:t>科桥嘉永、杨</w:t>
            </w:r>
            <w:r>
              <w:rPr>
                <w:rFonts w:ascii="宋体" w:hAnsi="宋体" w:cs="宋体" w:eastAsia="宋体" w:hint="default"/>
                <w:sz w:val="18"/>
                <w:szCs w:val="18"/>
              </w:rPr>
              <w:t> </w:t>
            </w:r>
            <w:r>
              <w:rPr>
                <w:rFonts w:ascii="宋体" w:hAnsi="宋体" w:cs="宋体" w:eastAsia="宋体" w:hint="default"/>
                <w:spacing w:val="-2"/>
                <w:sz w:val="18"/>
                <w:szCs w:val="18"/>
              </w:rPr>
              <w:t>树蓝天、杨树</w:t>
            </w:r>
            <w:r>
              <w:rPr>
                <w:rFonts w:ascii="宋体" w:hAnsi="宋体" w:cs="宋体" w:eastAsia="宋体" w:hint="default"/>
                <w:sz w:val="18"/>
                <w:szCs w:val="18"/>
              </w:rPr>
              <w:t> 嘉业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关于提供资 料真实、准 </w:t>
            </w:r>
            <w:r>
              <w:rPr>
                <w:rFonts w:ascii="宋体" w:hAnsi="宋体" w:cs="宋体" w:eastAsia="宋体" w:hint="default"/>
                <w:spacing w:val="-2"/>
                <w:sz w:val="18"/>
                <w:szCs w:val="18"/>
              </w:rPr>
              <w:t>确、完整的承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21"/>
              <w:jc w:val="left"/>
              <w:rPr>
                <w:rFonts w:ascii="宋体" w:hAnsi="宋体" w:cs="宋体" w:eastAsia="宋体" w:hint="default"/>
                <w:sz w:val="18"/>
                <w:szCs w:val="18"/>
              </w:rPr>
            </w:pPr>
            <w:r>
              <w:rPr>
                <w:rFonts w:ascii="宋体" w:hAnsi="宋体" w:cs="宋体" w:eastAsia="宋体" w:hint="default"/>
                <w:spacing w:val="-2"/>
                <w:sz w:val="18"/>
                <w:szCs w:val="18"/>
              </w:rPr>
              <w:t>朗森汽车、融</w:t>
            </w:r>
            <w:r>
              <w:rPr>
                <w:rFonts w:ascii="宋体" w:hAnsi="宋体" w:cs="宋体" w:eastAsia="宋体" w:hint="default"/>
                <w:sz w:val="18"/>
                <w:szCs w:val="18"/>
              </w:rPr>
              <w:t> 通资本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关于提供资 料真实、准 </w:t>
            </w:r>
            <w:r>
              <w:rPr>
                <w:rFonts w:ascii="宋体" w:hAnsi="宋体" w:cs="宋体" w:eastAsia="宋体" w:hint="default"/>
                <w:spacing w:val="-2"/>
                <w:sz w:val="18"/>
                <w:szCs w:val="18"/>
              </w:rPr>
              <w:t>确、完整的承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90"/>
              <w:jc w:val="left"/>
              <w:rPr>
                <w:rFonts w:ascii="宋体" w:hAnsi="宋体" w:cs="宋体" w:eastAsia="宋体" w:hint="default"/>
                <w:sz w:val="18"/>
                <w:szCs w:val="18"/>
              </w:rPr>
            </w:pPr>
            <w:r>
              <w:rPr>
                <w:rFonts w:ascii="宋体" w:hAnsi="宋体" w:cs="宋体" w:eastAsia="宋体" w:hint="default"/>
                <w:sz w:val="18"/>
                <w:szCs w:val="18"/>
              </w:rPr>
              <w:t>京蓝控股有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关于盈利补 偿有关事项 的承诺函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86"/>
              <w:jc w:val="left"/>
              <w:rPr>
                <w:rFonts w:ascii="宋体" w:hAnsi="宋体" w:cs="宋体" w:eastAsia="宋体" w:hint="default"/>
                <w:sz w:val="18"/>
                <w:szCs w:val="18"/>
              </w:rPr>
            </w:pPr>
            <w:r>
              <w:rPr>
                <w:rFonts w:ascii="宋体" w:hAnsi="宋体" w:cs="宋体" w:eastAsia="宋体" w:hint="default"/>
                <w:sz w:val="18"/>
                <w:szCs w:val="18"/>
              </w:rPr>
              <w:t>完成补偿义 务时为止</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650"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2"/>
                <w:sz w:val="18"/>
                <w:szCs w:val="18"/>
              </w:rPr>
              <w:t>京蓝智享、融</w:t>
            </w:r>
            <w:r>
              <w:rPr>
                <w:rFonts w:ascii="宋体" w:hAnsi="宋体" w:cs="宋体" w:eastAsia="宋体" w:hint="default"/>
                <w:sz w:val="18"/>
                <w:szCs w:val="18"/>
              </w:rPr>
              <w:t> </w:t>
            </w:r>
            <w:r>
              <w:rPr>
                <w:rFonts w:ascii="宋体" w:hAnsi="宋体" w:cs="宋体" w:eastAsia="宋体" w:hint="default"/>
                <w:spacing w:val="-2"/>
                <w:sz w:val="18"/>
                <w:szCs w:val="18"/>
              </w:rPr>
              <w:t>通资本、杨树</w:t>
            </w:r>
            <w:r>
              <w:rPr>
                <w:rFonts w:ascii="宋体" w:hAnsi="宋体" w:cs="宋体" w:eastAsia="宋体" w:hint="default"/>
                <w:sz w:val="18"/>
                <w:szCs w:val="18"/>
              </w:rPr>
              <w:t> </w:t>
            </w:r>
            <w:r>
              <w:rPr>
                <w:rFonts w:ascii="宋体" w:hAnsi="宋体" w:cs="宋体" w:eastAsia="宋体" w:hint="default"/>
                <w:spacing w:val="-2"/>
                <w:sz w:val="18"/>
                <w:szCs w:val="18"/>
              </w:rPr>
              <w:t>蓝天、杨树嘉</w:t>
            </w:r>
            <w:r>
              <w:rPr>
                <w:rFonts w:ascii="宋体" w:hAnsi="宋体" w:cs="宋体" w:eastAsia="宋体" w:hint="default"/>
                <w:sz w:val="18"/>
                <w:szCs w:val="18"/>
              </w:rPr>
              <w:t> 业、朗森汽 车、乌力吉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92"/>
              <w:jc w:val="left"/>
              <w:rPr>
                <w:rFonts w:ascii="宋体" w:hAnsi="宋体" w:cs="宋体" w:eastAsia="宋体" w:hint="default"/>
                <w:sz w:val="18"/>
                <w:szCs w:val="18"/>
              </w:rPr>
            </w:pPr>
            <w:r>
              <w:rPr>
                <w:rFonts w:ascii="宋体" w:hAnsi="宋体" w:cs="宋体" w:eastAsia="宋体" w:hint="default"/>
                <w:sz w:val="18"/>
                <w:szCs w:val="18"/>
              </w:rPr>
              <w:t>关于股份锁 定的承诺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59"/>
              <w:jc w:val="left"/>
              <w:rPr>
                <w:rFonts w:ascii="宋体" w:hAnsi="宋体" w:cs="宋体" w:eastAsia="宋体" w:hint="default"/>
                <w:sz w:val="18"/>
                <w:szCs w:val="18"/>
              </w:rPr>
            </w:pPr>
            <w:r>
              <w:rPr>
                <w:rFonts w:ascii="宋体" w:hAnsi="宋体" w:cs="宋体" w:eastAsia="宋体" w:hint="default"/>
                <w:sz w:val="18"/>
                <w:szCs w:val="18"/>
              </w:rPr>
              <w:t>承诺锁定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个月，即至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96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2"/>
                <w:sz w:val="18"/>
                <w:szCs w:val="18"/>
              </w:rPr>
              <w:t>乌力吉、杨树</w:t>
            </w:r>
            <w:r>
              <w:rPr>
                <w:rFonts w:ascii="宋体" w:hAnsi="宋体" w:cs="宋体" w:eastAsia="宋体" w:hint="default"/>
                <w:sz w:val="18"/>
                <w:szCs w:val="18"/>
              </w:rPr>
              <w:t> </w:t>
            </w:r>
            <w:r>
              <w:rPr>
                <w:rFonts w:ascii="宋体" w:hAnsi="宋体" w:cs="宋体" w:eastAsia="宋体" w:hint="default"/>
                <w:spacing w:val="-2"/>
                <w:sz w:val="18"/>
                <w:szCs w:val="18"/>
              </w:rPr>
              <w:t>蓝天、融通资</w:t>
            </w:r>
            <w:r>
              <w:rPr>
                <w:rFonts w:ascii="宋体" w:hAnsi="宋体" w:cs="宋体" w:eastAsia="宋体" w:hint="default"/>
                <w:sz w:val="18"/>
                <w:szCs w:val="18"/>
              </w:rPr>
              <w:t> 本、科桥嘉 永、杨树嘉 业、朗森汽 </w:t>
            </w:r>
            <w:r>
              <w:rPr>
                <w:rFonts w:ascii="宋体" w:hAnsi="宋体" w:cs="宋体" w:eastAsia="宋体" w:hint="default"/>
                <w:spacing w:val="-2"/>
                <w:sz w:val="18"/>
                <w:szCs w:val="18"/>
              </w:rPr>
              <w:t>车、京蓝智享</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92"/>
              <w:jc w:val="both"/>
              <w:rPr>
                <w:rFonts w:ascii="宋体" w:hAnsi="宋体" w:cs="宋体" w:eastAsia="宋体" w:hint="default"/>
                <w:sz w:val="18"/>
                <w:szCs w:val="18"/>
              </w:rPr>
            </w:pPr>
            <w:r>
              <w:rPr>
                <w:rFonts w:ascii="宋体" w:hAnsi="宋体" w:cs="宋体" w:eastAsia="宋体" w:hint="default"/>
                <w:sz w:val="18"/>
                <w:szCs w:val="18"/>
              </w:rPr>
              <w:t>保持上市公 司独立性的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96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2"/>
                <w:sz w:val="18"/>
                <w:szCs w:val="18"/>
              </w:rPr>
              <w:t>乌力吉、杨树</w:t>
            </w:r>
            <w:r>
              <w:rPr>
                <w:rFonts w:ascii="宋体" w:hAnsi="宋体" w:cs="宋体" w:eastAsia="宋体" w:hint="default"/>
                <w:sz w:val="18"/>
                <w:szCs w:val="18"/>
              </w:rPr>
              <w:t> </w:t>
            </w:r>
            <w:r>
              <w:rPr>
                <w:rFonts w:ascii="宋体" w:hAnsi="宋体" w:cs="宋体" w:eastAsia="宋体" w:hint="default"/>
                <w:spacing w:val="-2"/>
                <w:sz w:val="18"/>
                <w:szCs w:val="18"/>
              </w:rPr>
              <w:t>蓝天、融通资</w:t>
            </w:r>
            <w:r>
              <w:rPr>
                <w:rFonts w:ascii="宋体" w:hAnsi="宋体" w:cs="宋体" w:eastAsia="宋体" w:hint="default"/>
                <w:sz w:val="18"/>
                <w:szCs w:val="18"/>
              </w:rPr>
              <w:t> 本、科桥嘉 永、杨树嘉 业、朗森汽 </w:t>
            </w:r>
            <w:r>
              <w:rPr>
                <w:rFonts w:ascii="宋体" w:hAnsi="宋体" w:cs="宋体" w:eastAsia="宋体" w:hint="default"/>
                <w:spacing w:val="-2"/>
                <w:sz w:val="18"/>
                <w:szCs w:val="18"/>
              </w:rPr>
              <w:t>车、京蓝智享</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92"/>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96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2"/>
                <w:sz w:val="18"/>
                <w:szCs w:val="18"/>
              </w:rPr>
              <w:t>乌力吉、杨树</w:t>
            </w:r>
            <w:r>
              <w:rPr>
                <w:rFonts w:ascii="宋体" w:hAnsi="宋体" w:cs="宋体" w:eastAsia="宋体" w:hint="default"/>
                <w:sz w:val="18"/>
                <w:szCs w:val="18"/>
              </w:rPr>
              <w:t> </w:t>
            </w:r>
            <w:r>
              <w:rPr>
                <w:rFonts w:ascii="宋体" w:hAnsi="宋体" w:cs="宋体" w:eastAsia="宋体" w:hint="default"/>
                <w:spacing w:val="-2"/>
                <w:sz w:val="18"/>
                <w:szCs w:val="18"/>
              </w:rPr>
              <w:t>蓝天、融通资</w:t>
            </w:r>
            <w:r>
              <w:rPr>
                <w:rFonts w:ascii="宋体" w:hAnsi="宋体" w:cs="宋体" w:eastAsia="宋体" w:hint="default"/>
                <w:sz w:val="18"/>
                <w:szCs w:val="18"/>
              </w:rPr>
              <w:t> 本、科桥嘉 永、杨树嘉 业、朗森汽 </w:t>
            </w:r>
            <w:r>
              <w:rPr>
                <w:rFonts w:ascii="宋体" w:hAnsi="宋体" w:cs="宋体" w:eastAsia="宋体" w:hint="default"/>
                <w:spacing w:val="-2"/>
                <w:sz w:val="18"/>
                <w:szCs w:val="18"/>
              </w:rPr>
              <w:t>车、京蓝智享</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21"/>
              <w:jc w:val="left"/>
              <w:rPr>
                <w:rFonts w:ascii="宋体" w:hAnsi="宋体" w:cs="宋体" w:eastAsia="宋体" w:hint="default"/>
                <w:sz w:val="18"/>
                <w:szCs w:val="18"/>
              </w:rPr>
            </w:pPr>
            <w:r>
              <w:rPr>
                <w:rFonts w:ascii="宋体" w:hAnsi="宋体" w:cs="宋体" w:eastAsia="宋体" w:hint="default"/>
                <w:sz w:val="18"/>
                <w:szCs w:val="18"/>
              </w:rPr>
              <w:t>关于避免资 </w:t>
            </w:r>
            <w:r>
              <w:rPr>
                <w:rFonts w:ascii="宋体" w:hAnsi="宋体" w:cs="宋体" w:eastAsia="宋体" w:hint="default"/>
                <w:spacing w:val="-2"/>
                <w:sz w:val="18"/>
                <w:szCs w:val="18"/>
              </w:rPr>
              <w:t>金占用、关联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担保的承诺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96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
              <w:jc w:val="both"/>
              <w:rPr>
                <w:rFonts w:ascii="宋体" w:hAnsi="宋体" w:cs="宋体" w:eastAsia="宋体" w:hint="default"/>
                <w:sz w:val="18"/>
                <w:szCs w:val="18"/>
              </w:rPr>
            </w:pPr>
            <w:r>
              <w:rPr>
                <w:rFonts w:ascii="宋体" w:hAnsi="宋体" w:cs="宋体" w:eastAsia="宋体" w:hint="default"/>
                <w:sz w:val="18"/>
                <w:szCs w:val="18"/>
              </w:rPr>
              <w:t>杨树蓝天、融 通资本、杨树 嘉业、京蓝智 享、乌力吉、 科桥嘉永、朗 森汽车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92"/>
              <w:jc w:val="both"/>
              <w:rPr>
                <w:rFonts w:ascii="宋体" w:hAnsi="宋体" w:cs="宋体" w:eastAsia="宋体" w:hint="default"/>
                <w:sz w:val="18"/>
                <w:szCs w:val="18"/>
              </w:rPr>
            </w:pPr>
            <w:r>
              <w:rPr>
                <w:rFonts w:ascii="宋体" w:hAnsi="宋体" w:cs="宋体" w:eastAsia="宋体" w:hint="default"/>
                <w:sz w:val="18"/>
                <w:szCs w:val="18"/>
              </w:rPr>
              <w:t>关于减少及 规范关联交 易的承诺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both"/>
              <w:rPr>
                <w:rFonts w:ascii="宋体" w:hAnsi="宋体" w:cs="宋体" w:eastAsia="宋体" w:hint="default"/>
                <w:sz w:val="18"/>
                <w:szCs w:val="18"/>
              </w:rPr>
            </w:pPr>
            <w:r>
              <w:rPr>
                <w:rFonts w:ascii="宋体" w:hAnsi="宋体" w:cs="宋体" w:eastAsia="宋体" w:hint="default"/>
                <w:spacing w:val="-2"/>
                <w:sz w:val="18"/>
                <w:szCs w:val="18"/>
              </w:rPr>
              <w:t>乌力吉、杨树</w:t>
            </w:r>
            <w:r>
              <w:rPr>
                <w:rFonts w:ascii="宋体" w:hAnsi="宋体" w:cs="宋体" w:eastAsia="宋体" w:hint="default"/>
                <w:sz w:val="18"/>
                <w:szCs w:val="18"/>
              </w:rPr>
              <w:t> </w:t>
            </w:r>
            <w:r>
              <w:rPr>
                <w:rFonts w:ascii="宋体" w:hAnsi="宋体" w:cs="宋体" w:eastAsia="宋体" w:hint="default"/>
                <w:spacing w:val="-2"/>
                <w:sz w:val="18"/>
                <w:szCs w:val="18"/>
              </w:rPr>
              <w:t>蓝天、融通资</w:t>
            </w:r>
            <w:r>
              <w:rPr>
                <w:rFonts w:ascii="宋体" w:hAnsi="宋体" w:cs="宋体" w:eastAsia="宋体" w:hint="default"/>
                <w:sz w:val="18"/>
                <w:szCs w:val="18"/>
              </w:rPr>
              <w:t> </w:t>
            </w:r>
            <w:r>
              <w:rPr>
                <w:rFonts w:ascii="宋体" w:hAnsi="宋体" w:cs="宋体" w:eastAsia="宋体" w:hint="default"/>
                <w:spacing w:val="-2"/>
                <w:sz w:val="18"/>
                <w:szCs w:val="18"/>
              </w:rPr>
              <w:t>本、科桥嘉永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关于交易资 产合法性的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96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2"/>
                <w:sz w:val="18"/>
                <w:szCs w:val="18"/>
              </w:rPr>
              <w:t>乌力吉、杨树</w:t>
            </w:r>
            <w:r>
              <w:rPr>
                <w:rFonts w:ascii="宋体" w:hAnsi="宋体" w:cs="宋体" w:eastAsia="宋体" w:hint="default"/>
                <w:sz w:val="18"/>
                <w:szCs w:val="18"/>
              </w:rPr>
              <w:t> </w:t>
            </w:r>
            <w:r>
              <w:rPr>
                <w:rFonts w:ascii="宋体" w:hAnsi="宋体" w:cs="宋体" w:eastAsia="宋体" w:hint="default"/>
                <w:spacing w:val="-2"/>
                <w:sz w:val="18"/>
                <w:szCs w:val="18"/>
              </w:rPr>
              <w:t>蓝天、融通资</w:t>
            </w:r>
            <w:r>
              <w:rPr>
                <w:rFonts w:ascii="宋体" w:hAnsi="宋体" w:cs="宋体" w:eastAsia="宋体" w:hint="default"/>
                <w:sz w:val="18"/>
                <w:szCs w:val="18"/>
              </w:rPr>
              <w:t> 本、科桥嘉 永、杨树嘉 业、朗森汽 </w:t>
            </w:r>
            <w:r>
              <w:rPr>
                <w:rFonts w:ascii="宋体" w:hAnsi="宋体" w:cs="宋体" w:eastAsia="宋体" w:hint="default"/>
                <w:spacing w:val="-2"/>
                <w:sz w:val="18"/>
                <w:szCs w:val="18"/>
              </w:rPr>
              <w:t>车、京蓝智享</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21"/>
              <w:jc w:val="left"/>
              <w:rPr>
                <w:rFonts w:ascii="宋体" w:hAnsi="宋体" w:cs="宋体" w:eastAsia="宋体" w:hint="default"/>
                <w:sz w:val="18"/>
                <w:szCs w:val="18"/>
              </w:rPr>
            </w:pPr>
            <w:r>
              <w:rPr>
                <w:rFonts w:ascii="宋体" w:hAnsi="宋体" w:cs="宋体" w:eastAsia="宋体" w:hint="default"/>
                <w:sz w:val="18"/>
                <w:szCs w:val="18"/>
              </w:rPr>
              <w:t>关于提供资 料真实、准 </w:t>
            </w:r>
            <w:r>
              <w:rPr>
                <w:rFonts w:ascii="宋体" w:hAnsi="宋体" w:cs="宋体" w:eastAsia="宋体" w:hint="default"/>
                <w:spacing w:val="-2"/>
                <w:sz w:val="18"/>
                <w:szCs w:val="18"/>
              </w:rPr>
              <w:t>确、完整的承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96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2"/>
                <w:sz w:val="18"/>
                <w:szCs w:val="18"/>
              </w:rPr>
              <w:t>乌力吉、杨树</w:t>
            </w:r>
            <w:r>
              <w:rPr>
                <w:rFonts w:ascii="宋体" w:hAnsi="宋体" w:cs="宋体" w:eastAsia="宋体" w:hint="default"/>
                <w:sz w:val="18"/>
                <w:szCs w:val="18"/>
              </w:rPr>
              <w:t> </w:t>
            </w:r>
            <w:r>
              <w:rPr>
                <w:rFonts w:ascii="宋体" w:hAnsi="宋体" w:cs="宋体" w:eastAsia="宋体" w:hint="default"/>
                <w:spacing w:val="-2"/>
                <w:sz w:val="18"/>
                <w:szCs w:val="18"/>
              </w:rPr>
              <w:t>蓝天、融通资</w:t>
            </w:r>
            <w:r>
              <w:rPr>
                <w:rFonts w:ascii="宋体" w:hAnsi="宋体" w:cs="宋体" w:eastAsia="宋体" w:hint="default"/>
                <w:sz w:val="18"/>
                <w:szCs w:val="18"/>
              </w:rPr>
              <w:t> 本、科桥嘉 永、杨树嘉 业、朗森汽 </w:t>
            </w:r>
            <w:r>
              <w:rPr>
                <w:rFonts w:ascii="宋体" w:hAnsi="宋体" w:cs="宋体" w:eastAsia="宋体" w:hint="default"/>
                <w:spacing w:val="-2"/>
                <w:sz w:val="18"/>
                <w:szCs w:val="18"/>
              </w:rPr>
              <w:t>车、京蓝智享</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92"/>
              <w:jc w:val="both"/>
              <w:rPr>
                <w:rFonts w:ascii="宋体" w:hAnsi="宋体" w:cs="宋体" w:eastAsia="宋体" w:hint="default"/>
                <w:sz w:val="18"/>
                <w:szCs w:val="18"/>
              </w:rPr>
            </w:pPr>
            <w:r>
              <w:rPr>
                <w:rFonts w:ascii="宋体" w:hAnsi="宋体" w:cs="宋体" w:eastAsia="宋体" w:hint="default"/>
                <w:sz w:val="18"/>
                <w:szCs w:val="18"/>
              </w:rPr>
              <w:t>关于不存在 内幕交易行 为的承诺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both"/>
              <w:rPr>
                <w:rFonts w:ascii="宋体" w:hAnsi="宋体" w:cs="宋体" w:eastAsia="宋体" w:hint="default"/>
                <w:sz w:val="18"/>
                <w:szCs w:val="18"/>
              </w:rPr>
            </w:pPr>
            <w:r>
              <w:rPr>
                <w:rFonts w:ascii="宋体" w:hAnsi="宋体" w:cs="宋体" w:eastAsia="宋体" w:hint="default"/>
                <w:spacing w:val="-2"/>
                <w:sz w:val="18"/>
                <w:szCs w:val="18"/>
              </w:rPr>
              <w:t>杨树蓝天、杨</w:t>
            </w:r>
            <w:r>
              <w:rPr>
                <w:rFonts w:ascii="宋体" w:hAnsi="宋体" w:cs="宋体" w:eastAsia="宋体" w:hint="default"/>
                <w:sz w:val="18"/>
                <w:szCs w:val="18"/>
              </w:rPr>
              <w:t> </w:t>
            </w:r>
            <w:r>
              <w:rPr>
                <w:rFonts w:ascii="宋体" w:hAnsi="宋体" w:cs="宋体" w:eastAsia="宋体" w:hint="default"/>
                <w:spacing w:val="-2"/>
                <w:sz w:val="18"/>
                <w:szCs w:val="18"/>
              </w:rPr>
              <w:t>树嘉业、朗森</w:t>
            </w:r>
            <w:r>
              <w:rPr>
                <w:rFonts w:ascii="宋体" w:hAnsi="宋体" w:cs="宋体" w:eastAsia="宋体" w:hint="default"/>
                <w:sz w:val="18"/>
                <w:szCs w:val="18"/>
              </w:rPr>
              <w:t> </w:t>
            </w:r>
            <w:r>
              <w:rPr>
                <w:rFonts w:ascii="宋体" w:hAnsi="宋体" w:cs="宋体" w:eastAsia="宋体" w:hint="default"/>
                <w:spacing w:val="-2"/>
                <w:sz w:val="18"/>
                <w:szCs w:val="18"/>
              </w:rPr>
              <w:t>汽车、京蓝智</w:t>
            </w:r>
            <w:r>
              <w:rPr>
                <w:rFonts w:ascii="宋体" w:hAnsi="宋体" w:cs="宋体" w:eastAsia="宋体" w:hint="default"/>
                <w:sz w:val="18"/>
                <w:szCs w:val="18"/>
              </w:rPr>
              <w:t> 享</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92"/>
              <w:jc w:val="both"/>
              <w:rPr>
                <w:rFonts w:ascii="宋体" w:hAnsi="宋体" w:cs="宋体" w:eastAsia="宋体" w:hint="default"/>
                <w:sz w:val="18"/>
                <w:szCs w:val="18"/>
              </w:rPr>
            </w:pPr>
            <w:r>
              <w:rPr>
                <w:rFonts w:ascii="宋体" w:hAnsi="宋体" w:cs="宋体" w:eastAsia="宋体" w:hint="default"/>
                <w:sz w:val="18"/>
                <w:szCs w:val="18"/>
              </w:rPr>
              <w:t>关于资金来 源合法性的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杨树蓝天、郭</w:t>
            </w:r>
            <w:r>
              <w:rPr>
                <w:rFonts w:ascii="宋体" w:hAnsi="宋体" w:cs="宋体" w:eastAsia="宋体" w:hint="default"/>
                <w:sz w:val="18"/>
                <w:szCs w:val="18"/>
              </w:rPr>
              <w:t> 绍增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关于规范关 联交易测承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杨树蓝天、郭</w:t>
            </w:r>
            <w:r>
              <w:rPr>
                <w:rFonts w:ascii="宋体" w:hAnsi="宋体" w:cs="宋体" w:eastAsia="宋体" w:hint="default"/>
                <w:sz w:val="18"/>
                <w:szCs w:val="18"/>
              </w:rPr>
              <w:t> 绍增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杨树蓝天、郭</w:t>
            </w:r>
            <w:r>
              <w:rPr>
                <w:rFonts w:ascii="宋体" w:hAnsi="宋体" w:cs="宋体" w:eastAsia="宋体" w:hint="default"/>
                <w:sz w:val="18"/>
                <w:szCs w:val="18"/>
              </w:rPr>
              <w:t> 绍增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关于保证上 市公司独立 性的承诺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上市公司董 事</w:t>
            </w:r>
            <w:r>
              <w:rPr>
                <w:rFonts w:ascii="Times New Roman" w:hAnsi="Times New Roman" w:cs="Times New Roman" w:eastAsia="Times New Roman" w:hint="default"/>
                <w:sz w:val="18"/>
                <w:szCs w:val="18"/>
              </w:rPr>
              <w:t>/</w:t>
            </w: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高级 管理人员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关于不存在 违规行为的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9" w:lineRule="auto"/>
              <w:ind w:left="23" w:right="89"/>
              <w:jc w:val="left"/>
              <w:rPr>
                <w:rFonts w:ascii="宋体" w:hAnsi="宋体" w:cs="宋体" w:eastAsia="宋体" w:hint="default"/>
                <w:sz w:val="18"/>
                <w:szCs w:val="18"/>
              </w:rPr>
            </w:pPr>
            <w:r>
              <w:rPr>
                <w:rFonts w:ascii="宋体" w:hAnsi="宋体" w:cs="宋体" w:eastAsia="宋体" w:hint="default"/>
                <w:sz w:val="18"/>
                <w:szCs w:val="18"/>
              </w:rPr>
              <w:t>上市公司董 事</w:t>
            </w:r>
            <w:r>
              <w:rPr>
                <w:rFonts w:ascii="Times New Roman" w:hAnsi="Times New Roman" w:cs="Times New Roman" w:eastAsia="Times New Roman" w:hint="default"/>
                <w:sz w:val="18"/>
                <w:szCs w:val="18"/>
              </w:rPr>
              <w:t>/</w:t>
            </w: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高级 管理人员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关于提供信 </w:t>
            </w:r>
            <w:r>
              <w:rPr>
                <w:rFonts w:ascii="宋体" w:hAnsi="宋体" w:cs="宋体" w:eastAsia="宋体" w:hint="default"/>
                <w:spacing w:val="-2"/>
                <w:sz w:val="18"/>
                <w:szCs w:val="18"/>
              </w:rPr>
              <w:t>息真实性、准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确性、和完整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性的承诺书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02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上市公司董 </w:t>
            </w:r>
            <w:r>
              <w:rPr>
                <w:rFonts w:ascii="宋体" w:hAnsi="宋体" w:cs="宋体" w:eastAsia="宋体" w:hint="default"/>
                <w:spacing w:val="-2"/>
                <w:sz w:val="18"/>
                <w:szCs w:val="18"/>
              </w:rPr>
              <w:t>监高、杨树蓝</w:t>
            </w:r>
            <w:r>
              <w:rPr>
                <w:rFonts w:ascii="宋体" w:hAnsi="宋体" w:cs="宋体" w:eastAsia="宋体" w:hint="default"/>
                <w:sz w:val="18"/>
                <w:szCs w:val="18"/>
              </w:rPr>
              <w:t> 天、郭绍增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关于不存在 内幕交易行 为的承诺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乌力吉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关于土地有 关事项的承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乌力吉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关于租赁房 屋有关事项 的承诺函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2"/>
                <w:sz w:val="18"/>
                <w:szCs w:val="18"/>
              </w:rPr>
              <w:t>乌力吉、京蓝</w:t>
            </w:r>
            <w:r>
              <w:rPr>
                <w:rFonts w:ascii="宋体" w:hAnsi="宋体" w:cs="宋体" w:eastAsia="宋体" w:hint="default"/>
                <w:sz w:val="18"/>
                <w:szCs w:val="18"/>
              </w:rPr>
              <w:t> 控股有限公 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关于解除股 权质押有关 事项的承诺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京蓝控股有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关于盈利补 偿有关事项 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北京杨树嘉 业投资中心</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关于私募投 资基金有关 事项的承诺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650"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3" w:right="21"/>
              <w:jc w:val="left"/>
              <w:rPr>
                <w:rFonts w:ascii="宋体" w:hAnsi="宋体" w:cs="宋体" w:eastAsia="宋体" w:hint="default"/>
                <w:sz w:val="18"/>
                <w:szCs w:val="18"/>
              </w:rPr>
            </w:pPr>
            <w:r>
              <w:rPr>
                <w:rFonts w:ascii="宋体" w:hAnsi="宋体" w:cs="宋体" w:eastAsia="宋体" w:hint="default"/>
                <w:sz w:val="18"/>
                <w:szCs w:val="18"/>
              </w:rPr>
              <w:t>上市公司董 </w:t>
            </w:r>
            <w:r>
              <w:rPr>
                <w:rFonts w:ascii="宋体" w:hAnsi="宋体" w:cs="宋体" w:eastAsia="宋体" w:hint="default"/>
                <w:spacing w:val="-2"/>
                <w:sz w:val="18"/>
                <w:szCs w:val="18"/>
              </w:rPr>
              <w:t>事、高级管理</w:t>
            </w:r>
            <w:r>
              <w:rPr>
                <w:rFonts w:ascii="宋体" w:hAnsi="宋体" w:cs="宋体" w:eastAsia="宋体" w:hint="default"/>
                <w:sz w:val="18"/>
                <w:szCs w:val="18"/>
              </w:rPr>
              <w:t> 人员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关于重大资 产重组摊薄 即期回报采 取填补措施 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96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2"/>
                <w:sz w:val="18"/>
                <w:szCs w:val="18"/>
              </w:rPr>
              <w:t>乌力吉、杨树</w:t>
            </w:r>
            <w:r>
              <w:rPr>
                <w:rFonts w:ascii="宋体" w:hAnsi="宋体" w:cs="宋体" w:eastAsia="宋体" w:hint="default"/>
                <w:sz w:val="18"/>
                <w:szCs w:val="18"/>
              </w:rPr>
              <w:t> </w:t>
            </w:r>
            <w:r>
              <w:rPr>
                <w:rFonts w:ascii="宋体" w:hAnsi="宋体" w:cs="宋体" w:eastAsia="宋体" w:hint="default"/>
                <w:spacing w:val="-2"/>
                <w:sz w:val="18"/>
                <w:szCs w:val="18"/>
              </w:rPr>
              <w:t>蓝天、融通资</w:t>
            </w:r>
            <w:r>
              <w:rPr>
                <w:rFonts w:ascii="宋体" w:hAnsi="宋体" w:cs="宋体" w:eastAsia="宋体" w:hint="default"/>
                <w:sz w:val="18"/>
                <w:szCs w:val="18"/>
              </w:rPr>
              <w:t> 本、科桥嘉 永、杨树嘉 业、朗森汽 </w:t>
            </w:r>
            <w:r>
              <w:rPr>
                <w:rFonts w:ascii="宋体" w:hAnsi="宋体" w:cs="宋体" w:eastAsia="宋体" w:hint="default"/>
                <w:spacing w:val="-2"/>
                <w:sz w:val="18"/>
                <w:szCs w:val="18"/>
              </w:rPr>
              <w:t>车、京蓝智享</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92"/>
              <w:jc w:val="left"/>
              <w:rPr>
                <w:rFonts w:ascii="宋体" w:hAnsi="宋体" w:cs="宋体" w:eastAsia="宋体" w:hint="default"/>
                <w:sz w:val="18"/>
                <w:szCs w:val="18"/>
              </w:rPr>
            </w:pPr>
            <w:r>
              <w:rPr>
                <w:rFonts w:ascii="宋体" w:hAnsi="宋体" w:cs="宋体" w:eastAsia="宋体" w:hint="default"/>
                <w:sz w:val="18"/>
                <w:szCs w:val="18"/>
              </w:rPr>
              <w:t>关于未受处 罚的承诺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410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杨仁贵、阎 涛、郭绍全、 蒋琳媛、陈方 清、石英、朱 江、尹洲澄、 孟陈、张世 玉、姜俐赜、 郭源源、刘 冰、刘欣（以 下合称</w:t>
            </w:r>
            <w:r>
              <w:rPr>
                <w:rFonts w:ascii="Times New Roman" w:hAnsi="Times New Roman" w:cs="Times New Roman" w:eastAsia="Times New Roman" w:hint="default"/>
                <w:sz w:val="18"/>
                <w:szCs w:val="18"/>
              </w:rPr>
              <w:t>"</w:t>
            </w:r>
            <w:r>
              <w:rPr>
                <w:rFonts w:ascii="宋体" w:hAnsi="宋体" w:cs="宋体" w:eastAsia="宋体" w:hint="default"/>
                <w:sz w:val="18"/>
                <w:szCs w:val="18"/>
              </w:rPr>
              <w:t>上市 公司董事</w:t>
            </w:r>
            <w:r>
              <w:rPr>
                <w:rFonts w:ascii="Times New Roman" w:hAnsi="Times New Roman" w:cs="Times New Roman" w:eastAsia="Times New Roman" w:hint="default"/>
                <w:sz w:val="18"/>
                <w:szCs w:val="18"/>
              </w:rPr>
              <w:t>/</w:t>
            </w:r>
            <w:r>
              <w:rPr>
                <w:rFonts w:ascii="宋体" w:hAnsi="宋体" w:cs="宋体" w:eastAsia="宋体" w:hint="default"/>
                <w:sz w:val="18"/>
                <w:szCs w:val="18"/>
              </w:rPr>
              <w:t>监 事</w:t>
            </w:r>
            <w:r>
              <w:rPr>
                <w:rFonts w:ascii="Times New Roman" w:hAnsi="Times New Roman" w:cs="Times New Roman" w:eastAsia="Times New Roman" w:hint="default"/>
                <w:sz w:val="18"/>
                <w:szCs w:val="18"/>
              </w:rPr>
              <w:t>/</w:t>
            </w:r>
            <w:r>
              <w:rPr>
                <w:rFonts w:ascii="宋体" w:hAnsi="宋体" w:cs="宋体" w:eastAsia="宋体" w:hint="default"/>
                <w:sz w:val="18"/>
                <w:szCs w:val="18"/>
              </w:rPr>
              <w:t>高级管理 </w:t>
            </w:r>
            <w:r>
              <w:rPr>
                <w:rFonts w:ascii="宋体" w:hAnsi="宋体" w:cs="宋体" w:eastAsia="宋体" w:hint="default"/>
                <w:spacing w:val="-13"/>
                <w:w w:val="99"/>
                <w:sz w:val="18"/>
                <w:szCs w:val="18"/>
              </w:rPr>
              <w:t>人员</w:t>
            </w: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）、杨树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3"/>
              <w:ind w:left="22" w:right="192"/>
              <w:jc w:val="both"/>
              <w:rPr>
                <w:rFonts w:ascii="宋体" w:hAnsi="宋体" w:cs="宋体" w:eastAsia="宋体" w:hint="default"/>
                <w:sz w:val="18"/>
                <w:szCs w:val="18"/>
              </w:rPr>
            </w:pPr>
            <w:r>
              <w:rPr>
                <w:rFonts w:ascii="宋体" w:hAnsi="宋体" w:cs="宋体" w:eastAsia="宋体" w:hint="default"/>
                <w:sz w:val="18"/>
                <w:szCs w:val="18"/>
              </w:rPr>
              <w:t>关于不存在 内幕交易行 为的承诺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6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蓝天、郭绍增</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3" w:right="89"/>
              <w:jc w:val="left"/>
              <w:rPr>
                <w:rFonts w:ascii="宋体" w:hAnsi="宋体" w:cs="宋体" w:eastAsia="宋体" w:hint="default"/>
                <w:sz w:val="18"/>
                <w:szCs w:val="18"/>
              </w:rPr>
            </w:pPr>
            <w:r>
              <w:rPr>
                <w:rFonts w:ascii="宋体" w:hAnsi="宋体" w:cs="宋体" w:eastAsia="宋体" w:hint="default"/>
                <w:sz w:val="18"/>
                <w:szCs w:val="18"/>
              </w:rPr>
              <w:t>上市公司董 事</w:t>
            </w:r>
            <w:r>
              <w:rPr>
                <w:rFonts w:ascii="Times New Roman" w:hAnsi="Times New Roman" w:cs="Times New Roman" w:eastAsia="Times New Roman" w:hint="default"/>
                <w:sz w:val="18"/>
                <w:szCs w:val="18"/>
              </w:rPr>
              <w:t>/</w:t>
            </w: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高级 管理人员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关于提供信 </w:t>
            </w:r>
            <w:r>
              <w:rPr>
                <w:rFonts w:ascii="宋体" w:hAnsi="宋体" w:cs="宋体" w:eastAsia="宋体" w:hint="default"/>
                <w:spacing w:val="-2"/>
                <w:sz w:val="18"/>
                <w:szCs w:val="18"/>
              </w:rPr>
              <w:t>息真实性、准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确性和完整 性的承诺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上市公司董 事</w:t>
            </w:r>
            <w:r>
              <w:rPr>
                <w:rFonts w:ascii="Times New Roman" w:hAnsi="Times New Roman" w:cs="Times New Roman" w:eastAsia="Times New Roman" w:hint="default"/>
                <w:sz w:val="18"/>
                <w:szCs w:val="18"/>
              </w:rPr>
              <w:t>/</w:t>
            </w: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高级 管理人员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关于不存在 违规行为的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杨树蓝天、郭</w:t>
            </w:r>
            <w:r>
              <w:rPr>
                <w:rFonts w:ascii="宋体" w:hAnsi="宋体" w:cs="宋体" w:eastAsia="宋体" w:hint="default"/>
                <w:sz w:val="18"/>
                <w:szCs w:val="18"/>
              </w:rPr>
              <w:t> 绍增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关于规范关 联交易的承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杨树蓝天、郭</w:t>
            </w:r>
            <w:r>
              <w:rPr>
                <w:rFonts w:ascii="宋体" w:hAnsi="宋体" w:cs="宋体" w:eastAsia="宋体" w:hint="default"/>
                <w:sz w:val="18"/>
                <w:szCs w:val="18"/>
              </w:rPr>
              <w:t> 绍增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杨树蓝天、郭</w:t>
            </w:r>
            <w:r>
              <w:rPr>
                <w:rFonts w:ascii="宋体" w:hAnsi="宋体" w:cs="宋体" w:eastAsia="宋体" w:hint="default"/>
                <w:sz w:val="18"/>
                <w:szCs w:val="18"/>
              </w:rPr>
              <w:t> 绍增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关于保证京 蓝科技独立 性的承诺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650"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3" w:right="21"/>
              <w:jc w:val="left"/>
              <w:rPr>
                <w:rFonts w:ascii="宋体" w:hAnsi="宋体" w:cs="宋体" w:eastAsia="宋体" w:hint="default"/>
                <w:sz w:val="18"/>
                <w:szCs w:val="18"/>
              </w:rPr>
            </w:pPr>
            <w:r>
              <w:rPr>
                <w:rFonts w:ascii="宋体" w:hAnsi="宋体" w:cs="宋体" w:eastAsia="宋体" w:hint="default"/>
                <w:sz w:val="18"/>
                <w:szCs w:val="18"/>
              </w:rPr>
              <w:t>上市公司董 </w:t>
            </w:r>
            <w:r>
              <w:rPr>
                <w:rFonts w:ascii="宋体" w:hAnsi="宋体" w:cs="宋体" w:eastAsia="宋体" w:hint="default"/>
                <w:spacing w:val="-2"/>
                <w:sz w:val="18"/>
                <w:szCs w:val="18"/>
              </w:rPr>
              <w:t>事、高级管理</w:t>
            </w:r>
            <w:r>
              <w:rPr>
                <w:rFonts w:ascii="宋体" w:hAnsi="宋体" w:cs="宋体" w:eastAsia="宋体" w:hint="default"/>
                <w:sz w:val="18"/>
                <w:szCs w:val="18"/>
              </w:rPr>
              <w:t> 人员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关于重大资 产重组摊薄 即期回报采 取填补措施 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96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北方集团、高 学刚、高学 强、高作宾、 高作明、杨春 丽、半丁资产 管理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92"/>
              <w:jc w:val="both"/>
              <w:rPr>
                <w:rFonts w:ascii="宋体" w:hAnsi="宋体" w:cs="宋体" w:eastAsia="宋体" w:hint="default"/>
                <w:sz w:val="18"/>
                <w:szCs w:val="18"/>
              </w:rPr>
            </w:pPr>
            <w:r>
              <w:rPr>
                <w:rFonts w:ascii="宋体" w:hAnsi="宋体" w:cs="宋体" w:eastAsia="宋体" w:hint="default"/>
                <w:sz w:val="18"/>
                <w:szCs w:val="18"/>
              </w:rPr>
              <w:t>保持京蓝科 技股份有限 公司独立性 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650"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北方集团、高 学刚、高学 强、高作宾、 高作明、杨春 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92"/>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90"/>
              <w:jc w:val="left"/>
              <w:rPr>
                <w:rFonts w:ascii="宋体" w:hAnsi="宋体" w:cs="宋体" w:eastAsia="宋体" w:hint="default"/>
                <w:sz w:val="18"/>
                <w:szCs w:val="18"/>
              </w:rPr>
            </w:pPr>
            <w:r>
              <w:rPr>
                <w:rFonts w:ascii="宋体" w:hAnsi="宋体" w:cs="宋体" w:eastAsia="宋体" w:hint="default"/>
                <w:sz w:val="18"/>
                <w:szCs w:val="18"/>
              </w:rPr>
              <w:t>半丁资产管 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650"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北方集团、高 学刚、高学 强、高作宾、 高作明、杨春 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1"/>
              <w:jc w:val="left"/>
              <w:rPr>
                <w:rFonts w:ascii="宋体" w:hAnsi="宋体" w:cs="宋体" w:eastAsia="宋体" w:hint="default"/>
                <w:sz w:val="18"/>
                <w:szCs w:val="18"/>
              </w:rPr>
            </w:pPr>
            <w:r>
              <w:rPr>
                <w:rFonts w:ascii="宋体" w:hAnsi="宋体" w:cs="宋体" w:eastAsia="宋体" w:hint="default"/>
                <w:sz w:val="18"/>
                <w:szCs w:val="18"/>
              </w:rPr>
              <w:t>关于避免资 </w:t>
            </w:r>
            <w:r>
              <w:rPr>
                <w:rFonts w:ascii="宋体" w:hAnsi="宋体" w:cs="宋体" w:eastAsia="宋体" w:hint="default"/>
                <w:spacing w:val="-2"/>
                <w:sz w:val="18"/>
                <w:szCs w:val="18"/>
              </w:rPr>
              <w:t>金占用、关联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担保的承诺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02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半丁资产管 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关于避免资 </w:t>
            </w:r>
            <w:r>
              <w:rPr>
                <w:rFonts w:ascii="宋体" w:hAnsi="宋体" w:cs="宋体" w:eastAsia="宋体" w:hint="default"/>
                <w:spacing w:val="-2"/>
                <w:sz w:val="18"/>
                <w:szCs w:val="18"/>
              </w:rPr>
              <w:t>金占用、关联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担保的承诺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650"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北方集团、高 学刚、高学 强、高作宾、 高作明、杨春 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192"/>
              <w:jc w:val="left"/>
              <w:rPr>
                <w:rFonts w:ascii="宋体" w:hAnsi="宋体" w:cs="宋体" w:eastAsia="宋体" w:hint="default"/>
                <w:sz w:val="18"/>
                <w:szCs w:val="18"/>
              </w:rPr>
            </w:pPr>
            <w:r>
              <w:rPr>
                <w:rFonts w:ascii="宋体" w:hAnsi="宋体" w:cs="宋体" w:eastAsia="宋体" w:hint="default"/>
                <w:sz w:val="18"/>
                <w:szCs w:val="18"/>
              </w:rPr>
              <w:t>关于股份锁 定的承诺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227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刘海源、狄俊 雅、赵立伟、 孙冀鲁、冯 琨、蔡益锋、 固安县益昌 电子科技有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92"/>
              <w:jc w:val="left"/>
              <w:rPr>
                <w:rFonts w:ascii="宋体" w:hAnsi="宋体" w:cs="宋体" w:eastAsia="宋体" w:hint="default"/>
                <w:sz w:val="18"/>
                <w:szCs w:val="18"/>
              </w:rPr>
            </w:pPr>
            <w:r>
              <w:rPr>
                <w:rFonts w:ascii="宋体" w:hAnsi="宋体" w:cs="宋体" w:eastAsia="宋体" w:hint="default"/>
                <w:sz w:val="18"/>
                <w:szCs w:val="18"/>
              </w:rPr>
              <w:t>关于股份锁 定的承诺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52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除补偿义务 人及刘海源、 狄俊雅、赵立 伟、孙冀鲁、 冯琨、蔡益 峰、固安县益 昌电子科技 有限公司之 外的京蓝园 林股份对价 交易对方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9" w:lineRule="auto"/>
              <w:ind w:left="22" w:right="192"/>
              <w:jc w:val="left"/>
              <w:rPr>
                <w:rFonts w:ascii="宋体" w:hAnsi="宋体" w:cs="宋体" w:eastAsia="宋体" w:hint="default"/>
                <w:sz w:val="18"/>
                <w:szCs w:val="18"/>
              </w:rPr>
            </w:pPr>
            <w:r>
              <w:rPr>
                <w:rFonts w:ascii="宋体" w:hAnsi="宋体" w:cs="宋体" w:eastAsia="宋体" w:hint="default"/>
                <w:sz w:val="18"/>
                <w:szCs w:val="18"/>
              </w:rPr>
              <w:t>关于股份锁 定的承诺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半丁资产管 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92"/>
              <w:jc w:val="left"/>
              <w:rPr>
                <w:rFonts w:ascii="宋体" w:hAnsi="宋体" w:cs="宋体" w:eastAsia="宋体" w:hint="default"/>
                <w:sz w:val="18"/>
                <w:szCs w:val="18"/>
              </w:rPr>
            </w:pPr>
            <w:r>
              <w:rPr>
                <w:rFonts w:ascii="宋体" w:hAnsi="宋体" w:cs="宋体" w:eastAsia="宋体" w:hint="default"/>
                <w:sz w:val="18"/>
                <w:szCs w:val="18"/>
              </w:rPr>
              <w:t>关于股份锁 定的承诺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650"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北方集团、高 学刚、高学 强、高作宾、 高作明、杨春 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92"/>
              <w:jc w:val="both"/>
              <w:rPr>
                <w:rFonts w:ascii="宋体" w:hAnsi="宋体" w:cs="宋体" w:eastAsia="宋体" w:hint="default"/>
                <w:sz w:val="18"/>
                <w:szCs w:val="18"/>
              </w:rPr>
            </w:pPr>
            <w:r>
              <w:rPr>
                <w:rFonts w:ascii="宋体" w:hAnsi="宋体" w:cs="宋体" w:eastAsia="宋体" w:hint="default"/>
                <w:sz w:val="18"/>
                <w:szCs w:val="18"/>
              </w:rPr>
              <w:t>关于减少及 规范关联交 易的承诺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半丁资产管 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关于减少及 规范关联交 易的承诺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2"/>
                <w:sz w:val="18"/>
                <w:szCs w:val="18"/>
              </w:rPr>
              <w:t>北方集团、高</w:t>
            </w:r>
            <w:r>
              <w:rPr>
                <w:rFonts w:ascii="宋体" w:hAnsi="宋体" w:cs="宋体" w:eastAsia="宋体" w:hint="default"/>
                <w:sz w:val="18"/>
                <w:szCs w:val="18"/>
              </w:rPr>
              <w:t> 学刚、高学 强、高作宾</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关于标的资 产合法性的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10"/>
              <w:jc w:val="left"/>
              <w:rPr>
                <w:rFonts w:ascii="宋体" w:hAnsi="宋体" w:cs="宋体" w:eastAsia="宋体" w:hint="default"/>
                <w:sz w:val="18"/>
                <w:szCs w:val="18"/>
              </w:rPr>
            </w:pPr>
            <w:r>
              <w:rPr>
                <w:rFonts w:ascii="宋体" w:hAnsi="宋体" w:cs="宋体" w:eastAsia="宋体" w:hint="default"/>
                <w:sz w:val="18"/>
                <w:szCs w:val="18"/>
              </w:rPr>
              <w:t>除北方集团、 高学刚、高学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92"/>
              <w:jc w:val="left"/>
              <w:rPr>
                <w:rFonts w:ascii="宋体" w:hAnsi="宋体" w:cs="宋体" w:eastAsia="宋体" w:hint="default"/>
                <w:sz w:val="18"/>
                <w:szCs w:val="18"/>
              </w:rPr>
            </w:pPr>
            <w:r>
              <w:rPr>
                <w:rFonts w:ascii="宋体" w:hAnsi="宋体" w:cs="宋体" w:eastAsia="宋体" w:hint="default"/>
                <w:sz w:val="18"/>
                <w:szCs w:val="18"/>
              </w:rPr>
              <w:t>关于标的资 产合法性的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29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1"/>
              <w:jc w:val="left"/>
              <w:rPr>
                <w:rFonts w:ascii="宋体" w:hAnsi="宋体" w:cs="宋体" w:eastAsia="宋体" w:hint="default"/>
                <w:sz w:val="18"/>
                <w:szCs w:val="18"/>
              </w:rPr>
            </w:pPr>
            <w:r>
              <w:rPr>
                <w:rFonts w:ascii="宋体" w:hAnsi="宋体" w:cs="宋体" w:eastAsia="宋体" w:hint="default"/>
                <w:spacing w:val="-2"/>
                <w:sz w:val="18"/>
                <w:szCs w:val="18"/>
              </w:rPr>
              <w:t>强、高作宾外</w:t>
            </w:r>
            <w:r>
              <w:rPr>
                <w:rFonts w:ascii="宋体" w:hAnsi="宋体" w:cs="宋体" w:eastAsia="宋体" w:hint="default"/>
                <w:sz w:val="18"/>
                <w:szCs w:val="18"/>
              </w:rPr>
              <w:t> 北方园林其 他全体交易 对方</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北方园林全 体交易对方、 半丁资产管</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关于提供资 料真实、准 </w:t>
            </w:r>
            <w:r>
              <w:rPr>
                <w:rFonts w:ascii="宋体" w:hAnsi="宋体" w:cs="宋体" w:eastAsia="宋体" w:hint="default"/>
                <w:spacing w:val="-2"/>
                <w:sz w:val="18"/>
                <w:szCs w:val="18"/>
              </w:rPr>
              <w:t>确、完整的承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北方园林全 体交易对方、 半丁资产管</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92"/>
              <w:jc w:val="left"/>
              <w:rPr>
                <w:rFonts w:ascii="宋体" w:hAnsi="宋体" w:cs="宋体" w:eastAsia="宋体" w:hint="default"/>
                <w:sz w:val="18"/>
                <w:szCs w:val="18"/>
              </w:rPr>
            </w:pPr>
            <w:r>
              <w:rPr>
                <w:rFonts w:ascii="宋体" w:hAnsi="宋体" w:cs="宋体" w:eastAsia="宋体" w:hint="default"/>
                <w:sz w:val="18"/>
                <w:szCs w:val="18"/>
              </w:rPr>
              <w:t>关于未受处 罚的承诺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2"/>
                <w:sz w:val="18"/>
                <w:szCs w:val="18"/>
              </w:rPr>
              <w:t>北方集团、高</w:t>
            </w:r>
            <w:r>
              <w:rPr>
                <w:rFonts w:ascii="宋体" w:hAnsi="宋体" w:cs="宋体" w:eastAsia="宋体" w:hint="default"/>
                <w:sz w:val="18"/>
                <w:szCs w:val="18"/>
              </w:rPr>
              <w:t> 学刚、高学 强、高作宾</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关于参与本 次交易的承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6"/>
              <w:jc w:val="both"/>
              <w:rPr>
                <w:rFonts w:ascii="宋体" w:hAnsi="宋体" w:cs="宋体" w:eastAsia="宋体" w:hint="default"/>
                <w:sz w:val="18"/>
                <w:szCs w:val="18"/>
              </w:rPr>
            </w:pPr>
            <w:r>
              <w:rPr>
                <w:rFonts w:ascii="宋体" w:hAnsi="宋体" w:cs="宋体" w:eastAsia="宋体" w:hint="default"/>
                <w:sz w:val="18"/>
                <w:szCs w:val="18"/>
              </w:rPr>
              <w:t>至本次交易 实施完毕之 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北方园林全 体交易对方、 半丁资产管</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2"/>
              <w:jc w:val="both"/>
              <w:rPr>
                <w:rFonts w:ascii="宋体" w:hAnsi="宋体" w:cs="宋体" w:eastAsia="宋体" w:hint="default"/>
                <w:sz w:val="18"/>
                <w:szCs w:val="18"/>
              </w:rPr>
            </w:pPr>
            <w:r>
              <w:rPr>
                <w:rFonts w:ascii="宋体" w:hAnsi="宋体" w:cs="宋体" w:eastAsia="宋体" w:hint="default"/>
                <w:sz w:val="18"/>
                <w:szCs w:val="18"/>
              </w:rPr>
              <w:t>关于不存在 内幕交易行 为的承诺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半丁资产管 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关于资金来 源合法性的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650"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北方集团、高 学刚、高学 强、高作宾、 高作明、杨春 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92"/>
              <w:jc w:val="both"/>
              <w:rPr>
                <w:rFonts w:ascii="宋体" w:hAnsi="宋体" w:cs="宋体" w:eastAsia="宋体" w:hint="default"/>
                <w:sz w:val="18"/>
                <w:szCs w:val="18"/>
              </w:rPr>
            </w:pPr>
            <w:r>
              <w:rPr>
                <w:rFonts w:ascii="宋体" w:hAnsi="宋体" w:cs="宋体" w:eastAsia="宋体" w:hint="default"/>
                <w:sz w:val="18"/>
                <w:szCs w:val="18"/>
              </w:rPr>
              <w:t>关于瑕疵租 赁房产的说 明及承诺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2"/>
                <w:sz w:val="18"/>
                <w:szCs w:val="18"/>
              </w:rPr>
              <w:t>杨树蓝天、上</w:t>
            </w:r>
            <w:r>
              <w:rPr>
                <w:rFonts w:ascii="宋体" w:hAnsi="宋体" w:cs="宋体" w:eastAsia="宋体" w:hint="default"/>
                <w:sz w:val="18"/>
                <w:szCs w:val="18"/>
              </w:rPr>
              <w:t> 市公司董监 高、郭绍增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关于不存在 内幕交易行 为的承诺函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杨树蓝天、上</w:t>
            </w:r>
            <w:r>
              <w:rPr>
                <w:rFonts w:ascii="宋体" w:hAnsi="宋体" w:cs="宋体" w:eastAsia="宋体" w:hint="default"/>
                <w:sz w:val="18"/>
                <w:szCs w:val="18"/>
              </w:rPr>
              <w:t> 市公司董监 高、郭绍增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关于提供信 息真实、准 </w:t>
            </w:r>
            <w:r>
              <w:rPr>
                <w:rFonts w:ascii="宋体" w:hAnsi="宋体" w:cs="宋体" w:eastAsia="宋体" w:hint="default"/>
                <w:spacing w:val="-2"/>
                <w:sz w:val="18"/>
                <w:szCs w:val="18"/>
              </w:rPr>
              <w:t>确、完整的承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诺书</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254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杨仁贵、阎 涛、郭绍全、 刘欣、陈方 清、石英、聂 兴凯、尹洲 澄、孟陈、张 世玉、姜俐 赜、韩志权、</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92"/>
              <w:jc w:val="both"/>
              <w:rPr>
                <w:rFonts w:ascii="宋体" w:hAnsi="宋体" w:cs="宋体" w:eastAsia="宋体" w:hint="default"/>
                <w:sz w:val="18"/>
                <w:szCs w:val="18"/>
              </w:rPr>
            </w:pPr>
            <w:r>
              <w:rPr>
                <w:rFonts w:ascii="宋体" w:hAnsi="宋体" w:cs="宋体" w:eastAsia="宋体" w:hint="default"/>
                <w:sz w:val="18"/>
                <w:szCs w:val="18"/>
              </w:rPr>
              <w:t>关于不存在 违规行为的 承诺函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61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10"/>
              <w:jc w:val="left"/>
              <w:rPr>
                <w:rFonts w:ascii="宋体" w:hAnsi="宋体" w:cs="宋体" w:eastAsia="宋体" w:hint="default"/>
                <w:sz w:val="18"/>
                <w:szCs w:val="18"/>
              </w:rPr>
            </w:pPr>
            <w:r>
              <w:rPr>
                <w:rFonts w:ascii="宋体" w:hAnsi="宋体" w:cs="宋体" w:eastAsia="宋体" w:hint="default"/>
                <w:sz w:val="18"/>
                <w:szCs w:val="18"/>
              </w:rPr>
              <w:t>郭源源、李文 明、乌力吉、 高学刚（以下 合称</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 司董监高</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杨树蓝天、郭</w:t>
            </w:r>
            <w:r>
              <w:rPr>
                <w:rFonts w:ascii="宋体" w:hAnsi="宋体" w:cs="宋体" w:eastAsia="宋体" w:hint="default"/>
                <w:sz w:val="18"/>
                <w:szCs w:val="18"/>
              </w:rPr>
              <w:t> 绍增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关于不存在 违规行为的 承诺函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杨树蓝天、郭</w:t>
            </w:r>
            <w:r>
              <w:rPr>
                <w:rFonts w:ascii="宋体" w:hAnsi="宋体" w:cs="宋体" w:eastAsia="宋体" w:hint="default"/>
                <w:sz w:val="18"/>
                <w:szCs w:val="18"/>
              </w:rPr>
              <w:t> 绍增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关于规范关 联交易的承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杨树蓝天、郭</w:t>
            </w:r>
            <w:r>
              <w:rPr>
                <w:rFonts w:ascii="宋体" w:hAnsi="宋体" w:cs="宋体" w:eastAsia="宋体" w:hint="default"/>
                <w:sz w:val="18"/>
                <w:szCs w:val="18"/>
              </w:rPr>
              <w:t> 绍增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关于避免同 业竞争的承 诺函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杨树蓝天、郭</w:t>
            </w:r>
            <w:r>
              <w:rPr>
                <w:rFonts w:ascii="宋体" w:hAnsi="宋体" w:cs="宋体" w:eastAsia="宋体" w:hint="default"/>
                <w:sz w:val="18"/>
                <w:szCs w:val="18"/>
              </w:rPr>
              <w:t> 绍增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关于保证京 蓝科技独立 性的承诺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289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杨仁贵、阎 涛、郭绍全、 刘欣、陈方 清、石英、聂 兴凯、姜俐 赜、韩志权、 郭源源、李文 明、乌力吉、 高学刚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92"/>
              <w:jc w:val="both"/>
              <w:rPr>
                <w:rFonts w:ascii="宋体" w:hAnsi="宋体" w:cs="宋体" w:eastAsia="宋体" w:hint="default"/>
                <w:sz w:val="18"/>
                <w:szCs w:val="18"/>
              </w:rPr>
            </w:pPr>
            <w:r>
              <w:rPr>
                <w:rFonts w:ascii="宋体" w:hAnsi="宋体" w:cs="宋体" w:eastAsia="宋体" w:hint="default"/>
                <w:sz w:val="18"/>
                <w:szCs w:val="18"/>
              </w:rPr>
              <w:t>关于本次交 易摊薄即期 回报采取填 补措施的承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650"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21"/>
              <w:jc w:val="left"/>
              <w:rPr>
                <w:rFonts w:ascii="宋体" w:hAnsi="宋体" w:cs="宋体" w:eastAsia="宋体" w:hint="default"/>
                <w:sz w:val="18"/>
                <w:szCs w:val="18"/>
              </w:rPr>
            </w:pPr>
            <w:r>
              <w:rPr>
                <w:rFonts w:ascii="宋体" w:hAnsi="宋体" w:cs="宋体" w:eastAsia="宋体" w:hint="default"/>
                <w:spacing w:val="-2"/>
                <w:sz w:val="18"/>
                <w:szCs w:val="18"/>
              </w:rPr>
              <w:t>杨树蓝天、郭</w:t>
            </w:r>
            <w:r>
              <w:rPr>
                <w:rFonts w:ascii="宋体" w:hAnsi="宋体" w:cs="宋体" w:eastAsia="宋体" w:hint="default"/>
                <w:sz w:val="18"/>
                <w:szCs w:val="18"/>
              </w:rPr>
              <w:t> 绍增及其一 致行动人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关于本次交 易的原则性 意见及股份 减持计划的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90"/>
              <w:jc w:val="left"/>
              <w:rPr>
                <w:rFonts w:ascii="宋体" w:hAnsi="宋体" w:cs="宋体" w:eastAsia="宋体" w:hint="default"/>
                <w:sz w:val="18"/>
                <w:szCs w:val="18"/>
              </w:rPr>
            </w:pPr>
            <w:r>
              <w:rPr>
                <w:rFonts w:ascii="宋体" w:hAnsi="宋体" w:cs="宋体" w:eastAsia="宋体" w:hint="default"/>
                <w:sz w:val="18"/>
                <w:szCs w:val="18"/>
              </w:rPr>
              <w:t>上市公司董 监高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关于股份减 持计划的说 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86"/>
              <w:jc w:val="left"/>
              <w:rPr>
                <w:rFonts w:ascii="宋体" w:hAnsi="宋体" w:cs="宋体" w:eastAsia="宋体" w:hint="default"/>
                <w:sz w:val="18"/>
                <w:szCs w:val="18"/>
              </w:rPr>
            </w:pPr>
            <w:r>
              <w:rPr>
                <w:rFonts w:ascii="宋体" w:hAnsi="宋体" w:cs="宋体" w:eastAsia="宋体" w:hint="default"/>
                <w:sz w:val="18"/>
                <w:szCs w:val="18"/>
              </w:rPr>
              <w:t>自本次交易 实施完毕</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21"/>
              <w:jc w:val="left"/>
              <w:rPr>
                <w:rFonts w:ascii="宋体" w:hAnsi="宋体" w:cs="宋体" w:eastAsia="宋体" w:hint="default"/>
                <w:sz w:val="18"/>
                <w:szCs w:val="18"/>
              </w:rPr>
            </w:pPr>
            <w:r>
              <w:rPr>
                <w:rFonts w:ascii="宋体" w:hAnsi="宋体" w:cs="宋体" w:eastAsia="宋体" w:hint="default"/>
                <w:spacing w:val="-2"/>
                <w:sz w:val="18"/>
                <w:szCs w:val="18"/>
              </w:rPr>
              <w:t>杨树蓝天、郭</w:t>
            </w:r>
            <w:r>
              <w:rPr>
                <w:rFonts w:ascii="宋体" w:hAnsi="宋体" w:cs="宋体" w:eastAsia="宋体" w:hint="default"/>
                <w:sz w:val="18"/>
                <w:szCs w:val="18"/>
              </w:rPr>
              <w:t> 绍增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关于不存在 调整上市公 司主营业务 安排的承诺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86"/>
              <w:jc w:val="both"/>
              <w:rPr>
                <w:rFonts w:ascii="宋体" w:hAnsi="宋体" w:cs="宋体" w:eastAsia="宋体" w:hint="default"/>
                <w:sz w:val="18"/>
                <w:szCs w:val="18"/>
              </w:rPr>
            </w:pPr>
            <w:r>
              <w:rPr>
                <w:rFonts w:ascii="宋体" w:hAnsi="宋体" w:cs="宋体" w:eastAsia="宋体" w:hint="default"/>
                <w:sz w:val="18"/>
                <w:szCs w:val="18"/>
              </w:rPr>
              <w:t>自本次交易 完成之日起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郭绍增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92"/>
              <w:jc w:val="both"/>
              <w:rPr>
                <w:rFonts w:ascii="宋体" w:hAnsi="宋体" w:cs="宋体" w:eastAsia="宋体" w:hint="default"/>
                <w:sz w:val="18"/>
                <w:szCs w:val="18"/>
              </w:rPr>
            </w:pPr>
            <w:r>
              <w:rPr>
                <w:rFonts w:ascii="宋体" w:hAnsi="宋体" w:cs="宋体" w:eastAsia="宋体" w:hint="default"/>
                <w:sz w:val="18"/>
                <w:szCs w:val="18"/>
              </w:rPr>
              <w:t>关于不存在 变更实际控 制权安排的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6"/>
              <w:jc w:val="both"/>
              <w:rPr>
                <w:rFonts w:ascii="宋体" w:hAnsi="宋体" w:cs="宋体" w:eastAsia="宋体" w:hint="default"/>
                <w:sz w:val="18"/>
                <w:szCs w:val="18"/>
              </w:rPr>
            </w:pPr>
            <w:r>
              <w:rPr>
                <w:rFonts w:ascii="宋体" w:hAnsi="宋体" w:cs="宋体" w:eastAsia="宋体" w:hint="default"/>
                <w:sz w:val="18"/>
                <w:szCs w:val="18"/>
              </w:rPr>
              <w:t>自本次交易 完成之日起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6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上市公司董 </w:t>
            </w:r>
            <w:r>
              <w:rPr>
                <w:rFonts w:ascii="宋体" w:hAnsi="宋体" w:cs="宋体" w:eastAsia="宋体" w:hint="default"/>
                <w:spacing w:val="-2"/>
                <w:sz w:val="18"/>
                <w:szCs w:val="18"/>
              </w:rPr>
              <w:t>监高、京蓝科</w:t>
            </w:r>
            <w:r>
              <w:rPr>
                <w:rFonts w:ascii="宋体" w:hAnsi="宋体" w:cs="宋体" w:eastAsia="宋体" w:hint="default"/>
                <w:sz w:val="18"/>
                <w:szCs w:val="18"/>
              </w:rPr>
              <w:t> 技</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2"/>
              <w:jc w:val="left"/>
              <w:rPr>
                <w:rFonts w:ascii="宋体" w:hAnsi="宋体" w:cs="宋体" w:eastAsia="宋体" w:hint="default"/>
                <w:sz w:val="18"/>
                <w:szCs w:val="18"/>
              </w:rPr>
            </w:pPr>
            <w:r>
              <w:rPr>
                <w:rFonts w:ascii="宋体" w:hAnsi="宋体" w:cs="宋体" w:eastAsia="宋体" w:hint="default"/>
                <w:sz w:val="18"/>
                <w:szCs w:val="18"/>
              </w:rPr>
              <w:t>关于合法经 营的承诺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殷晓东等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名交易对方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保持京蓝科 技独立性的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殷晓东</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0"/>
              <w:jc w:val="both"/>
              <w:rPr>
                <w:rFonts w:ascii="宋体" w:hAnsi="宋体" w:cs="宋体" w:eastAsia="宋体" w:hint="default"/>
                <w:sz w:val="18"/>
                <w:szCs w:val="18"/>
              </w:rPr>
            </w:pPr>
            <w:r>
              <w:rPr>
                <w:rFonts w:ascii="宋体" w:hAnsi="宋体" w:cs="宋体" w:eastAsia="宋体" w:hint="default"/>
                <w:sz w:val="18"/>
                <w:szCs w:val="18"/>
              </w:rPr>
              <w:t>除殷晓东外 的中科鼎实 核心团队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殷晓东等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名交易对方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关于避免资 </w:t>
            </w:r>
            <w:r>
              <w:rPr>
                <w:rFonts w:ascii="宋体" w:hAnsi="宋体" w:cs="宋体" w:eastAsia="宋体" w:hint="default"/>
                <w:spacing w:val="-2"/>
                <w:sz w:val="18"/>
                <w:szCs w:val="18"/>
              </w:rPr>
              <w:t>金占用、关联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担保的承诺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殷晓东</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2"/>
              <w:jc w:val="left"/>
              <w:rPr>
                <w:rFonts w:ascii="宋体" w:hAnsi="宋体" w:cs="宋体" w:eastAsia="宋体" w:hint="default"/>
                <w:sz w:val="18"/>
                <w:szCs w:val="18"/>
              </w:rPr>
            </w:pPr>
            <w:r>
              <w:rPr>
                <w:rFonts w:ascii="宋体" w:hAnsi="宋体" w:cs="宋体" w:eastAsia="宋体" w:hint="default"/>
                <w:sz w:val="18"/>
                <w:szCs w:val="18"/>
              </w:rPr>
              <w:t>关于股份锁 定的承诺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自对价股份 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0"/>
              <w:jc w:val="both"/>
              <w:rPr>
                <w:rFonts w:ascii="宋体" w:hAnsi="宋体" w:cs="宋体" w:eastAsia="宋体" w:hint="default"/>
                <w:sz w:val="18"/>
                <w:szCs w:val="18"/>
              </w:rPr>
            </w:pPr>
            <w:r>
              <w:rPr>
                <w:rFonts w:ascii="宋体" w:hAnsi="宋体" w:cs="宋体" w:eastAsia="宋体" w:hint="default"/>
                <w:sz w:val="18"/>
                <w:szCs w:val="18"/>
              </w:rPr>
              <w:t>除殷晓东外 其他交易对 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92"/>
              <w:jc w:val="left"/>
              <w:rPr>
                <w:rFonts w:ascii="宋体" w:hAnsi="宋体" w:cs="宋体" w:eastAsia="宋体" w:hint="default"/>
                <w:sz w:val="18"/>
                <w:szCs w:val="18"/>
              </w:rPr>
            </w:pPr>
            <w:r>
              <w:rPr>
                <w:rFonts w:ascii="宋体" w:hAnsi="宋体" w:cs="宋体" w:eastAsia="宋体" w:hint="default"/>
                <w:sz w:val="18"/>
                <w:szCs w:val="18"/>
              </w:rPr>
              <w:t>关于股份锁 定的承诺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自对价股份 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殷晓东等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名交易对方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关于减少及 规范关联交 易的承诺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殷晓东等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名交易对方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关于标的资 产合法性的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3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殷晓东等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名交易对方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关于提供资 料真实、准 </w:t>
            </w:r>
            <w:r>
              <w:rPr>
                <w:rFonts w:ascii="宋体" w:hAnsi="宋体" w:cs="宋体" w:eastAsia="宋体" w:hint="default"/>
                <w:spacing w:val="-2"/>
                <w:sz w:val="18"/>
                <w:szCs w:val="18"/>
              </w:rPr>
              <w:t>确、完整的承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1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殷晓东等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名交易对方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关于未受处 罚的承诺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殷晓东等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名交易对方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关于参与本 次交易的承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02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殷晓东等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名交易对方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关于不存在 内幕交易行 为的承诺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2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02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殷晓东</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关于租赁房 屋有关事项 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殷晓东等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名交易对方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重大资产重 组事项承诺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业绩承诺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杨树蓝天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增持股份承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314" w:lineRule="auto" w:before="63"/>
              <w:ind w:left="22"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个月内累计 增持公司股 份总数不超 过公司总股 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left="254" w:right="1117"/>
        <w:jc w:val="left"/>
        <w:rPr>
          <w:b w:val="0"/>
          <w:bCs w:val="0"/>
        </w:rPr>
      </w:pPr>
      <w:bookmarkStart w:name="2、公司资产或项目存在盈利预测，且报告期仍处在盈利预测期间，公司就资产或项目达到" w:id="69"/>
      <w:bookmarkEnd w:id="69"/>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2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448"/>
        <w:gridCol w:w="1178"/>
        <w:gridCol w:w="1202"/>
        <w:gridCol w:w="1160"/>
        <w:gridCol w:w="1180"/>
        <w:gridCol w:w="1347"/>
        <w:gridCol w:w="1015"/>
        <w:gridCol w:w="1178"/>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7" w:right="88" w:hanging="270"/>
              <w:jc w:val="left"/>
              <w:rPr>
                <w:rFonts w:ascii="宋体" w:hAnsi="宋体" w:cs="宋体" w:eastAsia="宋体" w:hint="default"/>
                <w:sz w:val="18"/>
                <w:szCs w:val="18"/>
              </w:rPr>
            </w:pPr>
            <w:r>
              <w:rPr>
                <w:rFonts w:ascii="宋体" w:hAnsi="宋体" w:cs="宋体" w:eastAsia="宋体" w:hint="default"/>
                <w:sz w:val="18"/>
                <w:szCs w:val="18"/>
              </w:rPr>
              <w:t>盈利预测资产或 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未达预测的原因</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（如适用）</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2" w:right="50" w:hanging="270"/>
              <w:jc w:val="left"/>
              <w:rPr>
                <w:rFonts w:ascii="宋体" w:hAnsi="宋体" w:cs="宋体" w:eastAsia="宋体" w:hint="default"/>
                <w:sz w:val="18"/>
                <w:szCs w:val="18"/>
              </w:rPr>
            </w:pPr>
            <w:r>
              <w:rPr>
                <w:rFonts w:ascii="宋体" w:hAnsi="宋体" w:cs="宋体" w:eastAsia="宋体" w:hint="default"/>
                <w:sz w:val="18"/>
                <w:szCs w:val="18"/>
              </w:rPr>
              <w:t>原预测披露 日期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650"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77" w:right="22" w:hanging="155"/>
              <w:jc w:val="left"/>
              <w:rPr>
                <w:rFonts w:ascii="宋体" w:hAnsi="宋体" w:cs="宋体" w:eastAsia="宋体" w:hint="default"/>
                <w:sz w:val="18"/>
                <w:szCs w:val="18"/>
              </w:rPr>
            </w:pPr>
            <w:r>
              <w:rPr>
                <w:rFonts w:ascii="宋体" w:hAnsi="宋体" w:cs="宋体" w:eastAsia="宋体" w:hint="default"/>
                <w:spacing w:val="-7"/>
                <w:sz w:val="18"/>
                <w:szCs w:val="18"/>
              </w:rPr>
              <w:t>京蓝北方园林（天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津）有限公司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42,258.97</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33,689.38</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8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5"/>
              <w:ind w:left="22" w:right="1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 ninfo.com.cn</w:t>
            </w:r>
            <w:r>
              <w:rPr>
                <w:rFonts w:ascii="宋体" w:hAnsi="宋体" w:cs="宋体" w:eastAsia="宋体" w:hint="default"/>
                <w:sz w:val="18"/>
                <w:szCs w:val="18"/>
              </w:rPr>
              <w:t>） 公告编号：</w:t>
            </w:r>
          </w:p>
          <w:p>
            <w:pPr>
              <w:pStyle w:val="TableParagraph"/>
              <w:spacing w:line="240" w:lineRule="auto" w:before="72"/>
              <w:ind w:left="22" w:right="0"/>
              <w:jc w:val="both"/>
              <w:rPr>
                <w:rFonts w:ascii="Times New Roman" w:hAnsi="Times New Roman" w:cs="Times New Roman" w:eastAsia="Times New Roman" w:hint="default"/>
                <w:sz w:val="18"/>
                <w:szCs w:val="18"/>
              </w:rPr>
            </w:pPr>
            <w:r>
              <w:rPr>
                <w:rFonts w:ascii="Times New Roman"/>
                <w:sz w:val="18"/>
              </w:rPr>
              <w:t>2017-026</w:t>
            </w:r>
          </w:p>
        </w:tc>
      </w:tr>
      <w:tr>
        <w:trPr>
          <w:trHeight w:val="1650"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67" w:right="88" w:hanging="180"/>
              <w:jc w:val="left"/>
              <w:rPr>
                <w:rFonts w:ascii="宋体" w:hAnsi="宋体" w:cs="宋体" w:eastAsia="宋体" w:hint="default"/>
                <w:sz w:val="18"/>
                <w:szCs w:val="18"/>
              </w:rPr>
            </w:pPr>
            <w:r>
              <w:rPr>
                <w:rFonts w:ascii="宋体" w:hAnsi="宋体" w:cs="宋体" w:eastAsia="宋体" w:hint="default"/>
                <w:sz w:val="18"/>
                <w:szCs w:val="18"/>
              </w:rPr>
              <w:t>京蓝沐禾节水装 备有限公司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17,144.59</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17,336.98</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8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5"/>
              <w:ind w:left="22" w:right="1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 ninfo.com.cn</w:t>
            </w:r>
            <w:r>
              <w:rPr>
                <w:rFonts w:ascii="宋体" w:hAnsi="宋体" w:cs="宋体" w:eastAsia="宋体" w:hint="default"/>
                <w:sz w:val="18"/>
                <w:szCs w:val="18"/>
              </w:rPr>
              <w:t>） 公告编号：</w:t>
            </w:r>
          </w:p>
          <w:p>
            <w:pPr>
              <w:pStyle w:val="TableParagraph"/>
              <w:spacing w:line="240" w:lineRule="auto" w:before="72"/>
              <w:ind w:left="22" w:right="0"/>
              <w:jc w:val="both"/>
              <w:rPr>
                <w:rFonts w:ascii="Times New Roman" w:hAnsi="Times New Roman" w:cs="Times New Roman" w:eastAsia="Times New Roman" w:hint="default"/>
                <w:sz w:val="18"/>
                <w:szCs w:val="18"/>
              </w:rPr>
            </w:pPr>
            <w:r>
              <w:rPr>
                <w:rFonts w:ascii="Times New Roman"/>
                <w:sz w:val="18"/>
              </w:rPr>
              <w:t>2016-052</w:t>
            </w:r>
          </w:p>
        </w:tc>
      </w:tr>
    </w:tbl>
    <w:p>
      <w:pPr>
        <w:spacing w:before="51"/>
        <w:ind w:left="254" w:right="1117" w:firstLine="0"/>
        <w:jc w:val="left"/>
        <w:rPr>
          <w:rFonts w:ascii="宋体" w:hAnsi="宋体" w:cs="宋体" w:eastAsia="宋体" w:hint="default"/>
          <w:sz w:val="18"/>
          <w:szCs w:val="18"/>
        </w:rPr>
      </w:pPr>
      <w:r>
        <w:rPr>
          <w:rFonts w:ascii="宋体" w:hAnsi="宋体" w:cs="宋体" w:eastAsia="宋体" w:hint="default"/>
          <w:sz w:val="18"/>
          <w:szCs w:val="18"/>
        </w:rPr>
        <w:t>公司股东、交易对手方在报告年度经营业绩做出的承诺情况</w:t>
      </w:r>
    </w:p>
    <w:p>
      <w:pPr>
        <w:spacing w:before="117"/>
        <w:ind w:left="2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4"/>
          <w:szCs w:val="14"/>
        </w:rPr>
      </w:pPr>
    </w:p>
    <w:p>
      <w:pPr>
        <w:pStyle w:val="BodyText"/>
        <w:spacing w:line="259" w:lineRule="auto"/>
        <w:ind w:left="254" w:right="1131" w:firstLine="42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年度，京蓝科技完成了以发行股份及支付现金购买北方园林</w:t>
      </w:r>
      <w:r>
        <w:rPr>
          <w:rFonts w:ascii="Times New Roman" w:hAnsi="Times New Roman" w:cs="Times New Roman" w:eastAsia="Times New Roman" w:hint="default"/>
        </w:rPr>
        <w:t>90.11%</w:t>
      </w:r>
      <w:r>
        <w:rPr/>
        <w:t>的股权，同时募集配套资 金事项。本次交易中，根据上市公司与补偿义务人签署的《盈利预测补偿协议》，北方</w:t>
      </w:r>
      <w:r>
        <w:rPr>
          <w:spacing w:val="52"/>
        </w:rPr>
        <w:t> </w:t>
      </w:r>
      <w:r>
        <w:rPr/>
        <w:t>集团、高学刚及</w:t>
      </w:r>
      <w:r>
        <w:rPr>
          <w:spacing w:val="-89"/>
        </w:rPr>
        <w:t> </w:t>
      </w:r>
      <w:r>
        <w:rPr>
          <w:spacing w:val="-89"/>
        </w:rPr>
      </w:r>
      <w:r>
        <w:rPr/>
        <w:t>其一致行动人承诺，北方园林</w:t>
      </w:r>
      <w:r>
        <w:rPr>
          <w:spacing w:val="-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4"/>
        </w:rPr>
        <w:t> </w:t>
      </w:r>
      <w:r>
        <w:rPr/>
        <w:t>年度、</w:t>
      </w:r>
      <w:r>
        <w:rPr>
          <w:rFonts w:ascii="Times New Roman" w:hAnsi="Times New Roman" w:cs="Times New Roman" w:eastAsia="Times New Roman" w:hint="default"/>
        </w:rPr>
        <w:t>2017</w:t>
      </w:r>
      <w:r>
        <w:rPr>
          <w:rFonts w:ascii="Times New Roman" w:hAnsi="Times New Roman" w:cs="Times New Roman" w:eastAsia="Times New Roman" w:hint="default"/>
          <w:spacing w:val="44"/>
        </w:rPr>
        <w:t> </w:t>
      </w:r>
      <w:r>
        <w:rPr/>
        <w:t>年度、</w:t>
      </w:r>
      <w:r>
        <w:rPr>
          <w:spacing w:val="-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4"/>
        </w:rPr>
        <w:t> </w:t>
      </w:r>
      <w:r>
        <w:rPr/>
        <w:t>年度、</w:t>
      </w:r>
      <w:r>
        <w:rPr>
          <w:rFonts w:ascii="Times New Roman" w:hAnsi="Times New Roman" w:cs="Times New Roman" w:eastAsia="Times New Roman" w:hint="default"/>
        </w:rPr>
        <w:t>2019</w:t>
      </w:r>
      <w:r>
        <w:rPr>
          <w:rFonts w:ascii="Times New Roman" w:hAnsi="Times New Roman" w:cs="Times New Roman" w:eastAsia="Times New Roman" w:hint="default"/>
          <w:spacing w:val="44"/>
        </w:rPr>
        <w:t> </w:t>
      </w:r>
      <w:r>
        <w:rPr/>
        <w:t>年度累计实现净利润（合并财</w:t>
      </w:r>
      <w:r>
        <w:rPr>
          <w:spacing w:val="-103"/>
        </w:rPr>
        <w:t> </w:t>
      </w:r>
      <w:r>
        <w:rPr>
          <w:spacing w:val="-103"/>
        </w:rPr>
      </w:r>
      <w:r>
        <w:rPr/>
        <w:t>务报表中扣除非经常性损益后归属于母公司的净利润）不低于 </w:t>
      </w:r>
      <w:r>
        <w:rPr>
          <w:rFonts w:ascii="Times New Roman" w:hAnsi="Times New Roman" w:cs="Times New Roman" w:eastAsia="Times New Roman" w:hint="default"/>
        </w:rPr>
        <w:t>42,258.97</w:t>
      </w:r>
      <w:r>
        <w:rPr>
          <w:rFonts w:ascii="Times New Roman" w:hAnsi="Times New Roman" w:cs="Times New Roman" w:eastAsia="Times New Roman" w:hint="default"/>
          <w:spacing w:val="25"/>
        </w:rPr>
        <w:t> </w:t>
      </w:r>
      <w:r>
        <w:rPr/>
        <w:t>万元。同时，上述补偿义务人承 </w:t>
      </w:r>
      <w:r>
        <w:rPr>
          <w:spacing w:val="4"/>
        </w:rPr>
        <w:t>诺北方园林在</w:t>
      </w:r>
      <w:r>
        <w:rPr>
          <w:spacing w:val="-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3"/>
        </w:rPr>
        <w:t> </w:t>
      </w:r>
      <w:r>
        <w:rPr>
          <w:spacing w:val="2"/>
        </w:rPr>
        <w:t>年度、</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43"/>
        </w:rPr>
        <w:t> </w:t>
      </w:r>
      <w:r>
        <w:rPr>
          <w:spacing w:val="2"/>
        </w:rPr>
        <w:t>年度、</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43"/>
        </w:rPr>
        <w:t> </w:t>
      </w:r>
      <w:r>
        <w:rPr>
          <w:spacing w:val="5"/>
        </w:rPr>
        <w:t>年度合并财务报表中三年累计经营性现金流量净额不低于</w:t>
      </w:r>
      <w:r>
        <w:rPr>
          <w:spacing w:val="-103"/>
        </w:rPr>
        <w:t> </w:t>
      </w:r>
      <w:r>
        <w:rPr>
          <w:spacing w:val="-103"/>
        </w:rPr>
      </w:r>
      <w:r>
        <w:rPr>
          <w:rFonts w:ascii="Times New Roman" w:hAnsi="Times New Roman" w:cs="Times New Roman" w:eastAsia="Times New Roman" w:hint="default"/>
        </w:rPr>
        <w:t>17,405.74 </w:t>
      </w:r>
      <w:r>
        <w:rPr>
          <w:spacing w:val="-3"/>
        </w:rPr>
        <w:t>万元。若北方园林在盈利承诺期满后 </w:t>
      </w:r>
      <w:r>
        <w:rPr>
          <w:rFonts w:ascii="Times New Roman" w:hAnsi="Times New Roman" w:cs="Times New Roman" w:eastAsia="Times New Roman" w:hint="default"/>
        </w:rPr>
        <w:t>6 </w:t>
      </w:r>
      <w:r>
        <w:rPr>
          <w:spacing w:val="-3"/>
        </w:rPr>
        <w:t>个月内全部收回承诺现金流，视为达到 </w:t>
      </w:r>
      <w:r>
        <w:rPr/>
        <w:t>承诺现金流。</w:t>
      </w:r>
      <w:r>
        <w:rPr>
          <w:spacing w:val="-29"/>
        </w:rPr>
        <w:t> </w:t>
      </w:r>
      <w:r>
        <w:rPr/>
        <w:t>如</w:t>
      </w:r>
      <w:r>
        <w:rPr/>
        <w:t> </w:t>
      </w:r>
      <w:r>
        <w:rPr>
          <w:spacing w:val="-2"/>
        </w:rPr>
        <w:t>北方园林在盈利承诺期内未能实现承诺净利润和</w:t>
      </w:r>
      <w:r>
        <w:rPr>
          <w:rFonts w:ascii="Times New Roman" w:hAnsi="Times New Roman" w:cs="Times New Roman" w:eastAsia="Times New Roman" w:hint="default"/>
          <w:spacing w:val="-2"/>
        </w:rPr>
        <w:t>/</w:t>
      </w:r>
      <w:r>
        <w:rPr>
          <w:spacing w:val="-2"/>
        </w:rPr>
        <w:t>或者未能实现承诺现金流，则上市公司应在盈利承诺期期</w:t>
      </w:r>
    </w:p>
    <w:p>
      <w:pPr>
        <w:spacing w:after="0" w:line="259" w:lineRule="auto"/>
        <w:jc w:val="both"/>
        <w:sectPr>
          <w:pgSz w:w="11910" w:h="16840"/>
          <w:pgMar w:header="747" w:footer="979" w:top="1060" w:bottom="1160" w:left="880" w:right="0"/>
        </w:sectPr>
      </w:pPr>
    </w:p>
    <w:p>
      <w:pPr>
        <w:spacing w:line="240" w:lineRule="auto" w:before="9"/>
        <w:rPr>
          <w:rFonts w:ascii="宋体" w:hAnsi="宋体" w:cs="宋体" w:eastAsia="宋体" w:hint="default"/>
          <w:sz w:val="24"/>
          <w:szCs w:val="24"/>
        </w:rPr>
      </w:pPr>
    </w:p>
    <w:p>
      <w:pPr>
        <w:pStyle w:val="BodyText"/>
        <w:spacing w:line="266" w:lineRule="auto" w:before="35"/>
        <w:ind w:right="1130"/>
        <w:jc w:val="both"/>
      </w:pPr>
      <w:r>
        <w:rPr>
          <w:spacing w:val="-3"/>
        </w:rPr>
        <w:t>末即《专项审核报告》</w:t>
      </w:r>
      <w:r>
        <w:rPr>
          <w:spacing w:val="-48"/>
        </w:rPr>
        <w:t> </w:t>
      </w:r>
      <w:r>
        <w:rPr/>
        <w:t>公开披露后</w:t>
      </w:r>
      <w:r>
        <w:rPr>
          <w:spacing w:val="-27"/>
        </w:rPr>
        <w:t> </w:t>
      </w:r>
      <w:r>
        <w:rPr>
          <w:rFonts w:ascii="Times New Roman" w:hAnsi="Times New Roman" w:cs="Times New Roman" w:eastAsia="Times New Roman" w:hint="default"/>
        </w:rPr>
        <w:t>10</w:t>
      </w:r>
      <w:r>
        <w:rPr>
          <w:rFonts w:ascii="Times New Roman" w:hAnsi="Times New Roman" w:cs="Times New Roman" w:eastAsia="Times New Roman" w:hint="default"/>
          <w:spacing w:val="25"/>
        </w:rPr>
        <w:t> </w:t>
      </w:r>
      <w:r>
        <w:rPr/>
        <w:t>个工作日内，依据约定的有关公式计算并确定补偿义务人需补偿的 股份数量及现金金额，并向补偿义务人发出书面通知，</w:t>
      </w:r>
      <w:r>
        <w:rPr>
          <w:spacing w:val="50"/>
        </w:rPr>
        <w:t> </w:t>
      </w:r>
      <w:r>
        <w:rPr/>
        <w:t>要求其按照协议有关约定履行补偿义务。补偿义</w:t>
      </w:r>
      <w:r>
        <w:rPr>
          <w:spacing w:val="-88"/>
        </w:rPr>
        <w:t> </w:t>
      </w:r>
      <w:r>
        <w:rPr>
          <w:spacing w:val="-88"/>
        </w:rPr>
      </w:r>
      <w:r>
        <w:rPr>
          <w:spacing w:val="-1"/>
        </w:rPr>
        <w:t>务人应优先以通过本次交易而取得的上市公司股份对上市公司进行补偿，股份补偿方式不足以补偿的部分</w:t>
      </w:r>
      <w:r>
        <w:rPr>
          <w:spacing w:val="-81"/>
        </w:rPr>
        <w:t> </w:t>
      </w:r>
      <w:r>
        <w:rPr>
          <w:spacing w:val="-81"/>
        </w:rPr>
      </w:r>
      <w:r>
        <w:rPr/>
        <w:t>由补偿义务人以现金进行补偿。</w:t>
      </w:r>
    </w:p>
    <w:p>
      <w:pPr>
        <w:pStyle w:val="BodyText"/>
        <w:spacing w:line="256" w:lineRule="auto" w:before="171"/>
        <w:ind w:right="0" w:firstLine="42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年度，京蓝科技完成了以发行股份及支付现金购买京蓝沐禾</w:t>
      </w:r>
      <w:r>
        <w:rPr>
          <w:rFonts w:ascii="Times New Roman" w:hAnsi="Times New Roman" w:cs="Times New Roman" w:eastAsia="Times New Roman" w:hint="default"/>
        </w:rPr>
        <w:t>100%</w:t>
      </w:r>
      <w:r>
        <w:rPr/>
        <w:t>的股权，同时募集配套资金 </w:t>
      </w:r>
      <w:r>
        <w:rPr>
          <w:spacing w:val="-8"/>
        </w:rPr>
        <w:t>事项。本次交易中，根据上市公司与交易对方签署的《</w:t>
      </w:r>
      <w:r>
        <w:rPr>
          <w:rFonts w:ascii="Times New Roman" w:hAnsi="Times New Roman" w:cs="Times New Roman" w:eastAsia="Times New Roman" w:hint="default"/>
          <w:spacing w:val="-8"/>
        </w:rPr>
        <w:t>&lt;</w:t>
      </w:r>
      <w:r>
        <w:rPr>
          <w:spacing w:val="-8"/>
        </w:rPr>
        <w:t>发行股份及支付现金购买资产协议</w:t>
      </w:r>
      <w:r>
        <w:rPr>
          <w:rFonts w:ascii="Times New Roman" w:hAnsi="Times New Roman" w:cs="Times New Roman" w:eastAsia="Times New Roman" w:hint="default"/>
          <w:spacing w:val="-8"/>
        </w:rPr>
        <w:t>&gt;</w:t>
      </w:r>
      <w:r>
        <w:rPr>
          <w:spacing w:val="-8"/>
        </w:rPr>
        <w:t>之补充协议二》，</w:t>
      </w:r>
      <w:r>
        <w:rPr>
          <w:spacing w:val="-81"/>
        </w:rPr>
        <w:t> </w:t>
      </w:r>
      <w:r>
        <w:rPr>
          <w:spacing w:val="-81"/>
        </w:rPr>
      </w:r>
      <w:r>
        <w:rPr/>
        <w:t>乌力吉、杨树蓝天和融通资本承诺，沐禾节水</w:t>
      </w:r>
      <w:r>
        <w:rPr>
          <w:rFonts w:ascii="Times New Roman" w:hAnsi="Times New Roman" w:cs="Times New Roman" w:eastAsia="Times New Roman" w:hint="default"/>
        </w:rPr>
        <w:t>2015</w:t>
      </w:r>
      <w:r>
        <w:rPr/>
        <w:t>年度、</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2018</w:t>
      </w:r>
      <w:r>
        <w:rPr/>
        <w:t>年度实现的扣除非经 </w:t>
      </w:r>
      <w:r>
        <w:rPr>
          <w:spacing w:val="13"/>
        </w:rPr>
        <w:t>常性损益后归属于母公司所有者的净利润分别不低于</w:t>
      </w:r>
      <w:r>
        <w:rPr>
          <w:spacing w:val="-79"/>
        </w:rPr>
        <w:t> </w:t>
      </w:r>
      <w:r>
        <w:rPr>
          <w:rFonts w:ascii="Times New Roman" w:hAnsi="Times New Roman" w:cs="Times New Roman" w:eastAsia="Times New Roman" w:hint="default"/>
          <w:spacing w:val="4"/>
        </w:rPr>
        <w:t>9,071.95</w:t>
      </w:r>
      <w:r>
        <w:rPr>
          <w:spacing w:val="4"/>
        </w:rPr>
        <w:t>万元、</w:t>
      </w:r>
      <w:r>
        <w:rPr>
          <w:rFonts w:ascii="Times New Roman" w:hAnsi="Times New Roman" w:cs="Times New Roman" w:eastAsia="Times New Roman" w:hint="default"/>
          <w:spacing w:val="4"/>
        </w:rPr>
        <w:t>12,278.60</w:t>
      </w:r>
      <w:r>
        <w:rPr>
          <w:spacing w:val="4"/>
        </w:rPr>
        <w:t>万元、</w:t>
      </w:r>
      <w:r>
        <w:rPr>
          <w:rFonts w:ascii="Times New Roman" w:hAnsi="Times New Roman" w:cs="Times New Roman" w:eastAsia="Times New Roman" w:hint="default"/>
          <w:spacing w:val="4"/>
        </w:rPr>
        <w:t>14,704.64</w:t>
      </w:r>
      <w:r>
        <w:rPr>
          <w:spacing w:val="4"/>
        </w:rPr>
        <w:t>万元、</w:t>
      </w:r>
      <w:r>
        <w:rPr>
          <w:spacing w:val="-65"/>
        </w:rPr>
        <w:t> </w:t>
      </w:r>
      <w:r>
        <w:rPr>
          <w:rFonts w:ascii="Times New Roman" w:hAnsi="Times New Roman" w:cs="Times New Roman" w:eastAsia="Times New Roman" w:hint="default"/>
        </w:rPr>
        <w:t>17,144.59</w:t>
      </w:r>
      <w:r>
        <w:rPr/>
        <w:t>万元。</w:t>
      </w:r>
    </w:p>
    <w:p>
      <w:pPr>
        <w:pStyle w:val="BodyText"/>
        <w:spacing w:line="268" w:lineRule="auto" w:before="162"/>
        <w:ind w:right="1131" w:firstLine="420"/>
        <w:jc w:val="both"/>
      </w:pPr>
      <w:r>
        <w:rPr>
          <w:spacing w:val="-1"/>
        </w:rPr>
        <w:t>如沐禾节水在承诺期内未能实现承诺净利润，则上市公司应在承诺期内各年度《专项审核报告》公开</w:t>
      </w:r>
      <w:r>
        <w:rPr/>
        <w:t> </w:t>
      </w:r>
      <w:r>
        <w:rPr>
          <w:spacing w:val="-1"/>
        </w:rPr>
        <w:t>披露后</w:t>
      </w:r>
      <w:r>
        <w:rPr>
          <w:rFonts w:ascii="Times New Roman" w:hAnsi="Times New Roman" w:cs="Times New Roman" w:eastAsia="Times New Roman" w:hint="default"/>
          <w:spacing w:val="-1"/>
        </w:rPr>
        <w:t>10</w:t>
      </w:r>
      <w:r>
        <w:rPr>
          <w:spacing w:val="-1"/>
        </w:rPr>
        <w:t>个工作日内，依据约定的有关公式计算并确定补偿义务人当期需补偿的现金金额及股份数量，并</w:t>
      </w:r>
      <w:r>
        <w:rPr>
          <w:spacing w:val="-82"/>
        </w:rPr>
        <w:t> </w:t>
      </w:r>
      <w:r>
        <w:rPr>
          <w:spacing w:val="-82"/>
        </w:rPr>
      </w:r>
      <w:r>
        <w:rPr>
          <w:spacing w:val="-1"/>
        </w:rPr>
        <w:t>向补偿义务人发出书面通知，要求其按照协议有关约定履行补偿义务。补偿义务人应优先以通过本次交易</w:t>
      </w:r>
      <w:r>
        <w:rPr>
          <w:spacing w:val="-81"/>
        </w:rPr>
        <w:t> </w:t>
      </w:r>
      <w:r>
        <w:rPr>
          <w:spacing w:val="-81"/>
        </w:rPr>
      </w:r>
      <w:r>
        <w:rPr>
          <w:spacing w:val="-1"/>
        </w:rPr>
        <w:t>而取得的上市公司股份对上市公司进行补偿，股份补偿方式不足以补偿的部分由补偿义务人以现金进行补</w:t>
      </w:r>
      <w:r>
        <w:rPr>
          <w:spacing w:val="-81"/>
        </w:rPr>
        <w:t> </w:t>
      </w:r>
      <w:r>
        <w:rPr>
          <w:spacing w:val="-81"/>
        </w:rPr>
      </w:r>
      <w:r>
        <w:rPr/>
        <w:t>偿。</w:t>
      </w:r>
    </w:p>
    <w:p>
      <w:pPr>
        <w:spacing w:line="240" w:lineRule="auto" w:before="11"/>
        <w:rPr>
          <w:rFonts w:ascii="宋体" w:hAnsi="宋体" w:cs="宋体" w:eastAsia="宋体" w:hint="default"/>
          <w:sz w:val="14"/>
          <w:szCs w:val="14"/>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业绩承诺的完成情况及其对商誉减值测试的影响</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bookmarkStart w:name="四、控股股东及其关联方对上市公司的非经营性占用资金情况" w:id="70"/>
      <w:bookmarkEnd w:id="70"/>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49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5"/>
        <w:rPr>
          <w:rFonts w:ascii="宋体" w:hAnsi="宋体" w:cs="宋体" w:eastAsia="宋体" w:hint="default"/>
          <w:sz w:val="19"/>
          <w:szCs w:val="19"/>
        </w:rPr>
      </w:pPr>
    </w:p>
    <w:p>
      <w:pPr>
        <w:pStyle w:val="Heading2"/>
        <w:spacing w:line="240" w:lineRule="auto"/>
        <w:ind w:right="0"/>
        <w:jc w:val="both"/>
        <w:rPr>
          <w:b w:val="0"/>
          <w:bCs w:val="0"/>
        </w:rPr>
      </w:pPr>
      <w:bookmarkStart w:name="五、董事会、监事会、独立董事（如有）对会计师事务所本报告期“非标准审计报告”的说" w:id="71"/>
      <w:bookmarkEnd w:id="71"/>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六、与上年度财务报告相比，会计政策、会计估计和核算方法发生变化的情况说明" w:id="72"/>
      <w:bookmarkEnd w:id="72"/>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t>一、会计政策变更</w:t>
      </w:r>
    </w:p>
    <w:p>
      <w:pPr>
        <w:spacing w:line="240" w:lineRule="auto" w:before="11"/>
        <w:rPr>
          <w:rFonts w:ascii="宋体" w:hAnsi="宋体" w:cs="宋体" w:eastAsia="宋体" w:hint="default"/>
          <w:sz w:val="14"/>
          <w:szCs w:val="14"/>
        </w:rPr>
      </w:pPr>
    </w:p>
    <w:p>
      <w:pPr>
        <w:pStyle w:val="BodyText"/>
        <w:spacing w:line="273" w:lineRule="auto"/>
        <w:ind w:right="1010" w:firstLine="420"/>
        <w:jc w:val="left"/>
      </w:pPr>
      <w:r>
        <w:rPr/>
        <w:t>京蓝科技股份有限公司（以下简称“公司”）于 </w:t>
      </w:r>
      <w:r>
        <w:rPr>
          <w:rFonts w:ascii="宋体" w:hAnsi="宋体" w:cs="宋体" w:eastAsia="宋体" w:hint="default"/>
        </w:rPr>
        <w:t>2018 </w:t>
      </w:r>
      <w:r>
        <w:rPr/>
        <w:t>年 </w:t>
      </w:r>
      <w:r>
        <w:rPr>
          <w:rFonts w:ascii="宋体" w:hAnsi="宋体" w:cs="宋体" w:eastAsia="宋体" w:hint="default"/>
        </w:rPr>
        <w:t>10 </w:t>
      </w:r>
      <w:r>
        <w:rPr/>
        <w:t>月 </w:t>
      </w:r>
      <w:r>
        <w:rPr>
          <w:rFonts w:ascii="宋体" w:hAnsi="宋体" w:cs="宋体" w:eastAsia="宋体" w:hint="default"/>
        </w:rPr>
        <w:t>29</w:t>
      </w:r>
      <w:r>
        <w:rPr>
          <w:rFonts w:ascii="宋体" w:hAnsi="宋体" w:cs="宋体" w:eastAsia="宋体" w:hint="default"/>
          <w:spacing w:val="-24"/>
        </w:rPr>
        <w:t> </w:t>
      </w:r>
      <w:r>
        <w:rPr/>
        <w:t>日召开第八届董事会第五十九次 会议、第八届监事会第二十七次会议，审议通过了《关于会计政策变更的议案》，公司董事会同意公司根 </w:t>
      </w:r>
      <w:r>
        <w:rPr>
          <w:spacing w:val="-5"/>
        </w:rPr>
        <w:t>据中华人民共和国财政部（以下简称“财政部”）于</w:t>
      </w:r>
      <w:r>
        <w:rPr>
          <w:spacing w:val="2"/>
        </w:rPr>
        <w:t> </w:t>
      </w:r>
      <w:r>
        <w:rPr>
          <w:rFonts w:ascii="宋体" w:hAnsi="宋体" w:cs="宋体" w:eastAsia="宋体" w:hint="default"/>
        </w:rPr>
        <w:t>2018</w:t>
      </w:r>
      <w:r>
        <w:rPr>
          <w:rFonts w:ascii="宋体" w:hAnsi="宋体" w:cs="宋体" w:eastAsia="宋体" w:hint="default"/>
          <w:spacing w:val="1"/>
        </w:rPr>
        <w:t> </w:t>
      </w:r>
      <w:r>
        <w:rPr/>
        <w:t>年</w:t>
      </w:r>
      <w:r>
        <w:rPr>
          <w:spacing w:val="2"/>
        </w:rPr>
        <w:t> </w:t>
      </w:r>
      <w:r>
        <w:rPr>
          <w:rFonts w:ascii="宋体" w:hAnsi="宋体" w:cs="宋体" w:eastAsia="宋体" w:hint="default"/>
        </w:rPr>
        <w:t>6</w:t>
      </w:r>
      <w:r>
        <w:rPr>
          <w:rFonts w:ascii="宋体" w:hAnsi="宋体" w:cs="宋体" w:eastAsia="宋体" w:hint="default"/>
          <w:spacing w:val="2"/>
        </w:rPr>
        <w:t> </w:t>
      </w:r>
      <w:r>
        <w:rPr/>
        <w:t>月</w:t>
      </w:r>
      <w:r>
        <w:rPr>
          <w:spacing w:val="1"/>
        </w:rPr>
        <w:t> </w:t>
      </w:r>
      <w:r>
        <w:rPr>
          <w:rFonts w:ascii="宋体" w:hAnsi="宋体" w:cs="宋体" w:eastAsia="宋体" w:hint="default"/>
        </w:rPr>
        <w:t>15</w:t>
      </w:r>
      <w:r>
        <w:rPr>
          <w:rFonts w:ascii="宋体" w:hAnsi="宋体" w:cs="宋体" w:eastAsia="宋体" w:hint="default"/>
          <w:spacing w:val="1"/>
        </w:rPr>
        <w:t> </w:t>
      </w:r>
      <w:r>
        <w:rPr>
          <w:spacing w:val="-3"/>
        </w:rPr>
        <w:t>日发布的《关于修订印发</w:t>
      </w:r>
      <w:r>
        <w:rPr>
          <w:spacing w:val="3"/>
        </w:rPr>
        <w:t> </w:t>
      </w:r>
      <w:r>
        <w:rPr>
          <w:rFonts w:ascii="宋体" w:hAnsi="宋体" w:cs="宋体" w:eastAsia="宋体" w:hint="default"/>
        </w:rPr>
        <w:t>2018</w:t>
      </w:r>
      <w:r>
        <w:rPr>
          <w:rFonts w:ascii="宋体" w:hAnsi="宋体" w:cs="宋体" w:eastAsia="宋体" w:hint="default"/>
          <w:spacing w:val="2"/>
        </w:rPr>
        <w:t> </w:t>
      </w:r>
      <w:r>
        <w:rPr/>
        <w:t>年</w:t>
      </w:r>
      <w:r>
        <w:rPr>
          <w:spacing w:val="-103"/>
        </w:rPr>
        <w:t> </w:t>
      </w:r>
      <w:r>
        <w:rPr/>
        <w:t>度一般企业财务报表格式的通知》（财会〔</w:t>
      </w:r>
      <w:r>
        <w:rPr>
          <w:rFonts w:ascii="宋体" w:hAnsi="宋体" w:cs="宋体" w:eastAsia="宋体" w:hint="default"/>
        </w:rPr>
        <w:t>2018</w:t>
      </w:r>
      <w:r>
        <w:rPr/>
        <w:t>〕</w:t>
      </w:r>
      <w:r>
        <w:rPr>
          <w:rFonts w:ascii="宋体" w:hAnsi="宋体" w:cs="宋体" w:eastAsia="宋体" w:hint="default"/>
        </w:rPr>
        <w:t>15</w:t>
      </w:r>
      <w:r>
        <w:rPr>
          <w:rFonts w:ascii="宋体" w:hAnsi="宋体" w:cs="宋体" w:eastAsia="宋体" w:hint="default"/>
          <w:spacing w:val="-23"/>
        </w:rPr>
        <w:t> </w:t>
      </w:r>
      <w:r>
        <w:rPr/>
        <w:t>号）的规定和要求，对公司财务报表格式进行修订。 本次会计政策变更，将对公司财务报表相关科目列示产生影响，不会对当期和本次会计政策变更之前公司 总资产、负债总额、净资产及净利润产生任何影响。本次会计政策变更无需提交股东大会审议。具体变更 情况如下：</w:t>
      </w:r>
    </w:p>
    <w:p>
      <w:pPr>
        <w:pStyle w:val="BodyText"/>
        <w:spacing w:line="240" w:lineRule="auto" w:before="165"/>
        <w:ind w:left="574" w:right="0"/>
        <w:jc w:val="left"/>
      </w:pPr>
      <w:r>
        <w:rPr>
          <w:rFonts w:ascii="宋体" w:hAnsi="宋体" w:cs="宋体" w:eastAsia="宋体" w:hint="default"/>
        </w:rPr>
        <w:t>1</w:t>
      </w:r>
      <w:r>
        <w:rPr/>
        <w:t>、本次会计政策变更概述</w:t>
      </w:r>
    </w:p>
    <w:p>
      <w:pPr>
        <w:spacing w:line="240" w:lineRule="auto" w:before="10"/>
        <w:rPr>
          <w:rFonts w:ascii="宋体" w:hAnsi="宋体" w:cs="宋体" w:eastAsia="宋体" w:hint="default"/>
          <w:sz w:val="14"/>
          <w:szCs w:val="14"/>
        </w:rPr>
      </w:pPr>
    </w:p>
    <w:p>
      <w:pPr>
        <w:pStyle w:val="BodyText"/>
        <w:spacing w:line="410" w:lineRule="auto"/>
        <w:ind w:left="574" w:right="8232"/>
        <w:jc w:val="left"/>
      </w:pPr>
      <w:r>
        <w:rPr/>
        <w:t>（一）变更原因与日期 </w:t>
      </w:r>
      <w:r>
        <w:rPr>
          <w:rFonts w:ascii="宋体" w:hAnsi="宋体" w:cs="宋体" w:eastAsia="宋体" w:hint="default"/>
        </w:rPr>
        <w:t>1</w:t>
      </w:r>
      <w:r>
        <w:rPr/>
        <w:t>）、变更原因</w:t>
      </w:r>
    </w:p>
    <w:p>
      <w:pPr>
        <w:pStyle w:val="BodyText"/>
        <w:spacing w:line="240" w:lineRule="auto" w:before="45"/>
        <w:ind w:left="574" w:right="0"/>
        <w:jc w:val="left"/>
      </w:pPr>
      <w:r>
        <w:rPr/>
        <w:t>为解决执行企业会计准则的企业在财务报告编制中的实际问题，规范企业财务报表列报，提高会计信</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息质量，财政部于 </w:t>
      </w:r>
      <w:r>
        <w:rPr>
          <w:rFonts w:ascii="宋体" w:hAnsi="宋体" w:cs="宋体" w:eastAsia="宋体" w:hint="default"/>
        </w:rPr>
        <w:t>2018 </w:t>
      </w:r>
      <w:r>
        <w:rPr/>
        <w:t>年 </w:t>
      </w:r>
      <w:r>
        <w:rPr>
          <w:rFonts w:ascii="宋体" w:hAnsi="宋体" w:cs="宋体" w:eastAsia="宋体" w:hint="default"/>
        </w:rPr>
        <w:t>6 </w:t>
      </w:r>
      <w:r>
        <w:rPr/>
        <w:t>月 </w:t>
      </w:r>
      <w:r>
        <w:rPr>
          <w:rFonts w:ascii="宋体" w:hAnsi="宋体" w:cs="宋体" w:eastAsia="宋体" w:hint="default"/>
        </w:rPr>
        <w:t>15 </w:t>
      </w:r>
      <w:r>
        <w:rPr/>
        <w:t>日发布了《关于修订印发 </w:t>
      </w:r>
      <w:r>
        <w:rPr>
          <w:rFonts w:ascii="宋体" w:hAnsi="宋体" w:cs="宋体" w:eastAsia="宋体" w:hint="default"/>
        </w:rPr>
        <w:t>2018</w:t>
      </w:r>
      <w:r>
        <w:rPr>
          <w:rFonts w:ascii="宋体" w:hAnsi="宋体" w:cs="宋体" w:eastAsia="宋体" w:hint="default"/>
          <w:spacing w:val="-28"/>
        </w:rPr>
        <w:t> </w:t>
      </w:r>
      <w:r>
        <w:rPr/>
        <w:t>年度一般企业财务报表格式的通知》</w:t>
      </w:r>
    </w:p>
    <w:p>
      <w:pPr>
        <w:pStyle w:val="BodyText"/>
        <w:spacing w:line="273" w:lineRule="auto" w:before="37"/>
        <w:ind w:right="1131"/>
        <w:jc w:val="both"/>
      </w:pPr>
      <w:r>
        <w:rPr/>
        <w:t>（财会〔</w:t>
      </w:r>
      <w:r>
        <w:rPr>
          <w:rFonts w:ascii="宋体" w:hAnsi="宋体" w:cs="宋体" w:eastAsia="宋体" w:hint="default"/>
        </w:rPr>
        <w:t>2018</w:t>
      </w:r>
      <w:r>
        <w:rPr/>
        <w:t>〕</w:t>
      </w:r>
      <w:r>
        <w:rPr>
          <w:rFonts w:ascii="宋体" w:hAnsi="宋体" w:cs="宋体" w:eastAsia="宋体" w:hint="default"/>
        </w:rPr>
        <w:t>15</w:t>
      </w:r>
      <w:r>
        <w:rPr>
          <w:rFonts w:ascii="宋体" w:hAnsi="宋体" w:cs="宋体" w:eastAsia="宋体" w:hint="default"/>
          <w:spacing w:val="58"/>
        </w:rPr>
        <w:t> </w:t>
      </w:r>
      <w:r>
        <w:rPr/>
        <w:t>号），对一般企业财务报表格式进行了修订。根据上述会计准则的修订要求，公司需</w:t>
      </w:r>
      <w:r>
        <w:rPr>
          <w:spacing w:val="-94"/>
        </w:rPr>
        <w:t> </w:t>
      </w:r>
      <w:r>
        <w:rPr>
          <w:spacing w:val="-94"/>
        </w:rPr>
      </w:r>
      <w:r>
        <w:rPr>
          <w:spacing w:val="-1"/>
        </w:rPr>
        <w:t>对会计政策相关内容进行相应变更，按照该文件规定的一般企业财务报表格式（适用于尚未执行新金融准</w:t>
      </w:r>
      <w:r>
        <w:rPr>
          <w:spacing w:val="-81"/>
        </w:rPr>
        <w:t> </w:t>
      </w:r>
      <w:r>
        <w:rPr>
          <w:spacing w:val="-81"/>
        </w:rPr>
      </w:r>
      <w:r>
        <w:rPr/>
        <w:t>则和新收入准则的企业）编制公司的财务报表。</w:t>
      </w:r>
    </w:p>
    <w:p>
      <w:pPr>
        <w:pStyle w:val="BodyText"/>
        <w:spacing w:line="470" w:lineRule="exact" w:before="34"/>
        <w:ind w:left="574" w:right="1114"/>
        <w:jc w:val="left"/>
      </w:pPr>
      <w:r>
        <w:rPr>
          <w:rFonts w:ascii="宋体" w:hAnsi="宋体" w:cs="宋体" w:eastAsia="宋体" w:hint="default"/>
        </w:rPr>
        <w:t>2</w:t>
      </w:r>
      <w:r>
        <w:rPr/>
        <w:t>）、变更日期 本次会计政策变更自公司第八届董事会第五十九次会议审议通过之日起执行，即公司从 </w:t>
      </w:r>
      <w:r>
        <w:rPr>
          <w:rFonts w:ascii="宋体" w:hAnsi="宋体" w:cs="宋体" w:eastAsia="宋体" w:hint="default"/>
        </w:rPr>
        <w:t>2018</w:t>
      </w:r>
      <w:r>
        <w:rPr>
          <w:rFonts w:ascii="宋体" w:hAnsi="宋体" w:cs="宋体" w:eastAsia="宋体" w:hint="default"/>
          <w:spacing w:val="-22"/>
        </w:rPr>
        <w:t> </w:t>
      </w:r>
      <w:r>
        <w:rPr/>
        <w:t>年第三</w:t>
      </w:r>
    </w:p>
    <w:p>
      <w:pPr>
        <w:pStyle w:val="BodyText"/>
        <w:spacing w:line="248" w:lineRule="exact"/>
        <w:ind w:right="0"/>
        <w:jc w:val="both"/>
      </w:pPr>
      <w:r>
        <w:rPr/>
        <w:t>季度报告起按照变更后的要求编制公司的财务报表。</w:t>
      </w:r>
    </w:p>
    <w:p>
      <w:pPr>
        <w:pStyle w:val="BodyText"/>
        <w:spacing w:line="470" w:lineRule="exact" w:before="62"/>
        <w:ind w:left="574" w:right="0"/>
        <w:jc w:val="left"/>
      </w:pPr>
      <w:r>
        <w:rPr/>
        <w:t>（二）变更前采取的会计政策 </w:t>
      </w:r>
      <w:r>
        <w:rPr>
          <w:rFonts w:ascii="宋体" w:hAnsi="宋体" w:cs="宋体" w:eastAsia="宋体" w:hint="default"/>
        </w:rPr>
        <w:t>1</w:t>
      </w:r>
      <w:r>
        <w:rPr/>
        <w:t>）、变更前采取的会计政策本次变更前，公司执行财政部发布的《企业会计准则—基本准则》和各</w:t>
      </w:r>
    </w:p>
    <w:p>
      <w:pPr>
        <w:pStyle w:val="BodyText"/>
        <w:spacing w:line="248" w:lineRule="exact"/>
        <w:ind w:right="0"/>
        <w:jc w:val="both"/>
      </w:pPr>
      <w:r>
        <w:rPr/>
        <w:t>项具体会计准则、企业会计准则应用指南、企业会计准则解释公告以及其他相关规定。</w:t>
      </w:r>
    </w:p>
    <w:p>
      <w:pPr>
        <w:spacing w:line="240" w:lineRule="auto" w:before="11"/>
        <w:rPr>
          <w:rFonts w:ascii="宋体" w:hAnsi="宋体" w:cs="宋体" w:eastAsia="宋体" w:hint="default"/>
          <w:sz w:val="14"/>
          <w:szCs w:val="14"/>
        </w:rPr>
      </w:pPr>
    </w:p>
    <w:p>
      <w:pPr>
        <w:pStyle w:val="BodyText"/>
        <w:spacing w:line="240" w:lineRule="auto"/>
        <w:ind w:left="574" w:right="0"/>
        <w:jc w:val="left"/>
      </w:pPr>
      <w:r>
        <w:rPr>
          <w:rFonts w:ascii="宋体" w:hAnsi="宋体" w:cs="宋体" w:eastAsia="宋体" w:hint="default"/>
        </w:rPr>
        <w:t>2</w:t>
      </w:r>
      <w:r>
        <w:rPr/>
        <w:t>）、变更后采取的会计政策本次变更后，公司按财政部 </w:t>
      </w:r>
      <w:r>
        <w:rPr>
          <w:rFonts w:ascii="宋体" w:hAnsi="宋体" w:cs="宋体" w:eastAsia="宋体" w:hint="default"/>
        </w:rPr>
        <w:t>2018 </w:t>
      </w:r>
      <w:r>
        <w:rPr/>
        <w:t>年 </w:t>
      </w:r>
      <w:r>
        <w:rPr>
          <w:rFonts w:ascii="宋体" w:hAnsi="宋体" w:cs="宋体" w:eastAsia="宋体" w:hint="default"/>
        </w:rPr>
        <w:t>6 </w:t>
      </w:r>
      <w:r>
        <w:rPr/>
        <w:t>月 </w:t>
      </w:r>
      <w:r>
        <w:rPr>
          <w:rFonts w:ascii="宋体" w:hAnsi="宋体" w:cs="宋体" w:eastAsia="宋体" w:hint="default"/>
        </w:rPr>
        <w:t>15</w:t>
      </w:r>
      <w:r>
        <w:rPr>
          <w:rFonts w:ascii="宋体" w:hAnsi="宋体" w:cs="宋体" w:eastAsia="宋体" w:hint="default"/>
          <w:spacing w:val="-29"/>
        </w:rPr>
        <w:t> </w:t>
      </w:r>
      <w:r>
        <w:rPr/>
        <w:t>日发布的《关于修订印发</w:t>
      </w:r>
    </w:p>
    <w:p>
      <w:pPr>
        <w:pStyle w:val="BodyText"/>
        <w:spacing w:line="273" w:lineRule="auto" w:before="37"/>
        <w:ind w:right="1109"/>
        <w:jc w:val="both"/>
      </w:pPr>
      <w:r>
        <w:rPr>
          <w:rFonts w:ascii="宋体" w:hAnsi="宋体" w:cs="宋体" w:eastAsia="宋体" w:hint="default"/>
        </w:rPr>
        <w:t>2018</w:t>
      </w:r>
      <w:r>
        <w:rPr/>
        <w:t>年度一般企业财务报表格式的通知》（财会〔</w:t>
      </w:r>
      <w:r>
        <w:rPr>
          <w:rFonts w:ascii="宋体" w:hAnsi="宋体" w:cs="宋体" w:eastAsia="宋体" w:hint="default"/>
        </w:rPr>
        <w:t>2018</w:t>
      </w:r>
      <w:r>
        <w:rPr/>
        <w:t>〕</w:t>
      </w:r>
      <w:r>
        <w:rPr>
          <w:rFonts w:ascii="宋体" w:hAnsi="宋体" w:cs="宋体" w:eastAsia="宋体" w:hint="default"/>
        </w:rPr>
        <w:t>15</w:t>
      </w:r>
      <w:r>
        <w:rPr>
          <w:rFonts w:ascii="宋体" w:hAnsi="宋体" w:cs="宋体" w:eastAsia="宋体" w:hint="default"/>
          <w:spacing w:val="55"/>
        </w:rPr>
        <w:t> </w:t>
      </w:r>
      <w:r>
        <w:rPr/>
        <w:t>号）的相关规定执行。除上述会计政策变更</w:t>
      </w:r>
      <w:r>
        <w:rPr>
          <w:spacing w:val="-86"/>
        </w:rPr>
        <w:t> </w:t>
      </w:r>
      <w:r>
        <w:rPr>
          <w:spacing w:val="-86"/>
        </w:rPr>
      </w:r>
      <w:r>
        <w:rPr/>
        <w:t>外，其他未变更部分，公司仍按照财政部前期颁布的《企业会计准则—基本准则》和各项具体会计准则、 企业会计准则应用指南、企业会计准则解释公告以及其他相关规定执行。</w:t>
      </w:r>
    </w:p>
    <w:p>
      <w:pPr>
        <w:pStyle w:val="BodyText"/>
        <w:spacing w:line="240" w:lineRule="auto" w:before="165"/>
        <w:ind w:left="574" w:right="0"/>
        <w:jc w:val="left"/>
      </w:pPr>
      <w:r>
        <w:rPr/>
        <w:t>（三）本次会计政策变更对公司的影响</w:t>
      </w:r>
    </w:p>
    <w:p>
      <w:pPr>
        <w:spacing w:line="240" w:lineRule="auto" w:before="11"/>
        <w:rPr>
          <w:rFonts w:ascii="宋体" w:hAnsi="宋体" w:cs="宋体" w:eastAsia="宋体" w:hint="default"/>
          <w:sz w:val="14"/>
          <w:szCs w:val="14"/>
        </w:rPr>
      </w:pPr>
    </w:p>
    <w:p>
      <w:pPr>
        <w:pStyle w:val="BodyText"/>
        <w:spacing w:line="273" w:lineRule="auto"/>
        <w:ind w:right="1119" w:firstLine="420"/>
        <w:jc w:val="left"/>
      </w:pPr>
      <w:r>
        <w:rPr/>
        <w:t>根据财政部《关于修订印发 </w:t>
      </w:r>
      <w:r>
        <w:rPr>
          <w:rFonts w:ascii="宋体" w:hAnsi="宋体" w:cs="宋体" w:eastAsia="宋体" w:hint="default"/>
        </w:rPr>
        <w:t>2018 </w:t>
      </w:r>
      <w:r>
        <w:rPr/>
        <w:t>年度一般企业财务报表格式的通知》（财会〔</w:t>
      </w:r>
      <w:r>
        <w:rPr>
          <w:rFonts w:ascii="宋体" w:hAnsi="宋体" w:cs="宋体" w:eastAsia="宋体" w:hint="default"/>
        </w:rPr>
        <w:t>2018</w:t>
      </w:r>
      <w:r>
        <w:rPr/>
        <w:t>〕</w:t>
      </w:r>
      <w:r>
        <w:rPr>
          <w:rFonts w:ascii="宋体" w:hAnsi="宋体" w:cs="宋体" w:eastAsia="宋体" w:hint="default"/>
        </w:rPr>
        <w:t>15</w:t>
      </w:r>
      <w:r>
        <w:rPr>
          <w:rFonts w:ascii="宋体" w:hAnsi="宋体" w:cs="宋体" w:eastAsia="宋体" w:hint="default"/>
          <w:spacing w:val="78"/>
        </w:rPr>
        <w:t> </w:t>
      </w:r>
      <w:r>
        <w:rPr/>
        <w:t>号）的要 求，公司调整以下财务报表的列报，并对可比会计期间的比较数据相应进行调整：</w:t>
      </w:r>
    </w:p>
    <w:p>
      <w:pPr>
        <w:pStyle w:val="BodyText"/>
        <w:spacing w:line="240" w:lineRule="auto" w:before="165"/>
        <w:ind w:left="574" w:right="0"/>
        <w:jc w:val="left"/>
      </w:pPr>
      <w:r>
        <w:rPr>
          <w:rFonts w:ascii="宋体" w:hAnsi="宋体" w:cs="宋体" w:eastAsia="宋体" w:hint="default"/>
        </w:rPr>
        <w:t>1</w:t>
      </w:r>
      <w:r>
        <w:rPr/>
        <w:t>）、原“应收票据”和“应收账款”项目合并计入新增的“应收票据及应收账款”项目；</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rFonts w:ascii="宋体" w:hAnsi="宋体" w:cs="宋体" w:eastAsia="宋体" w:hint="default"/>
        </w:rPr>
        <w:t>2</w:t>
      </w:r>
      <w:r>
        <w:rPr/>
        <w:t>）、原“应收利息”、“应收股利”和“其他应收款”项目合并计入“其他应收款”项目；</w:t>
      </w:r>
    </w:p>
    <w:p>
      <w:pPr>
        <w:spacing w:line="240" w:lineRule="auto" w:before="11"/>
        <w:rPr>
          <w:rFonts w:ascii="宋体" w:hAnsi="宋体" w:cs="宋体" w:eastAsia="宋体" w:hint="default"/>
          <w:sz w:val="14"/>
          <w:szCs w:val="14"/>
        </w:rPr>
      </w:pPr>
    </w:p>
    <w:p>
      <w:pPr>
        <w:pStyle w:val="BodyText"/>
        <w:spacing w:line="240" w:lineRule="auto"/>
        <w:ind w:left="574" w:right="0"/>
        <w:jc w:val="left"/>
      </w:pPr>
      <w:r>
        <w:rPr>
          <w:rFonts w:ascii="宋体" w:hAnsi="宋体" w:cs="宋体" w:eastAsia="宋体" w:hint="default"/>
        </w:rPr>
        <w:t>3</w:t>
      </w:r>
      <w:r>
        <w:rPr/>
        <w:t>）、原“固定资产清理”和“固定资产”项目合并计入“固定资产”项目；</w:t>
      </w:r>
    </w:p>
    <w:p>
      <w:pPr>
        <w:spacing w:line="240" w:lineRule="auto" w:before="11"/>
        <w:rPr>
          <w:rFonts w:ascii="宋体" w:hAnsi="宋体" w:cs="宋体" w:eastAsia="宋体" w:hint="default"/>
          <w:sz w:val="14"/>
          <w:szCs w:val="14"/>
        </w:rPr>
      </w:pPr>
    </w:p>
    <w:p>
      <w:pPr>
        <w:pStyle w:val="BodyText"/>
        <w:spacing w:line="240" w:lineRule="auto"/>
        <w:ind w:left="574" w:right="0"/>
        <w:jc w:val="left"/>
      </w:pPr>
      <w:r>
        <w:rPr>
          <w:rFonts w:ascii="宋体" w:hAnsi="宋体" w:cs="宋体" w:eastAsia="宋体" w:hint="default"/>
        </w:rPr>
        <w:t>4</w:t>
      </w:r>
      <w:r>
        <w:rPr/>
        <w:t>）、“工程物资”项目归并至“在建工程”项目；</w:t>
      </w:r>
    </w:p>
    <w:p>
      <w:pPr>
        <w:spacing w:line="240" w:lineRule="auto" w:before="11"/>
        <w:rPr>
          <w:rFonts w:ascii="宋体" w:hAnsi="宋体" w:cs="宋体" w:eastAsia="宋体" w:hint="default"/>
          <w:sz w:val="14"/>
          <w:szCs w:val="14"/>
        </w:rPr>
      </w:pPr>
    </w:p>
    <w:p>
      <w:pPr>
        <w:pStyle w:val="BodyText"/>
        <w:spacing w:line="240" w:lineRule="auto"/>
        <w:ind w:left="574" w:right="0"/>
        <w:jc w:val="left"/>
      </w:pPr>
      <w:r>
        <w:rPr>
          <w:rFonts w:ascii="宋体" w:hAnsi="宋体" w:cs="宋体" w:eastAsia="宋体" w:hint="default"/>
        </w:rPr>
        <w:t>5</w:t>
      </w:r>
      <w:r>
        <w:rPr/>
        <w:t>）、原“应付票据”和“应付账款”项目合并计入新增的“应付票据及应付账款”项目；</w:t>
      </w:r>
    </w:p>
    <w:p>
      <w:pPr>
        <w:spacing w:line="240" w:lineRule="auto" w:before="11"/>
        <w:rPr>
          <w:rFonts w:ascii="宋体" w:hAnsi="宋体" w:cs="宋体" w:eastAsia="宋体" w:hint="default"/>
          <w:sz w:val="14"/>
          <w:szCs w:val="14"/>
        </w:rPr>
      </w:pPr>
    </w:p>
    <w:p>
      <w:pPr>
        <w:pStyle w:val="BodyText"/>
        <w:spacing w:line="240" w:lineRule="auto"/>
        <w:ind w:left="574" w:right="0"/>
        <w:jc w:val="left"/>
      </w:pPr>
      <w:r>
        <w:rPr>
          <w:rFonts w:ascii="宋体" w:hAnsi="宋体" w:cs="宋体" w:eastAsia="宋体" w:hint="default"/>
        </w:rPr>
        <w:t>6</w:t>
      </w:r>
      <w:r>
        <w:rPr/>
        <w:t>）、原“应付利息”、“应付股利”和“其他应付款”项目合并计入“其他应付款”项目；</w:t>
      </w:r>
    </w:p>
    <w:p>
      <w:pPr>
        <w:spacing w:line="240" w:lineRule="auto" w:before="11"/>
        <w:rPr>
          <w:rFonts w:ascii="宋体" w:hAnsi="宋体" w:cs="宋体" w:eastAsia="宋体" w:hint="default"/>
          <w:sz w:val="14"/>
          <w:szCs w:val="14"/>
        </w:rPr>
      </w:pPr>
    </w:p>
    <w:p>
      <w:pPr>
        <w:pStyle w:val="BodyText"/>
        <w:spacing w:line="240" w:lineRule="auto"/>
        <w:ind w:left="574" w:right="0"/>
        <w:jc w:val="left"/>
      </w:pPr>
      <w:r>
        <w:rPr>
          <w:rFonts w:ascii="宋体" w:hAnsi="宋体" w:cs="宋体" w:eastAsia="宋体" w:hint="default"/>
        </w:rPr>
        <w:t>7</w:t>
      </w:r>
      <w:r>
        <w:rPr/>
        <w:t>）、“专项应付款”项目归并至“长期应付款”项目；</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rFonts w:ascii="宋体" w:hAnsi="宋体" w:cs="宋体" w:eastAsia="宋体" w:hint="default"/>
        </w:rPr>
        <w:t>8</w:t>
      </w:r>
      <w:r>
        <w:rPr/>
        <w:t>）、新增“研发费用”项目，原计入“管理费用”项目的研发费用单独列示为“研发费用”项目；</w:t>
      </w:r>
    </w:p>
    <w:p>
      <w:pPr>
        <w:pStyle w:val="BodyText"/>
        <w:spacing w:line="470" w:lineRule="atLeast"/>
        <w:ind w:left="574" w:right="0"/>
        <w:jc w:val="left"/>
      </w:pPr>
      <w:r>
        <w:rPr>
          <w:rFonts w:ascii="宋体" w:hAnsi="宋体" w:cs="宋体" w:eastAsia="宋体" w:hint="default"/>
        </w:rPr>
        <w:t>9</w:t>
      </w:r>
      <w:r>
        <w:rPr/>
        <w:t>）、在“财务费用”项目下列示“利息费用”和“利息收入”明细项目。 </w:t>
      </w:r>
      <w:r>
        <w:rPr>
          <w:spacing w:val="-1"/>
        </w:rPr>
        <w:t>除上述项目变动影响外，本次会计政策变更不涉及对公司以前年度的追溯调整。本次会计政策的变更</w:t>
      </w:r>
    </w:p>
    <w:p>
      <w:pPr>
        <w:pStyle w:val="BodyText"/>
        <w:spacing w:line="410" w:lineRule="auto" w:before="37"/>
        <w:ind w:left="574" w:right="2562" w:hanging="420"/>
        <w:jc w:val="left"/>
      </w:pPr>
      <w:r>
        <w:rPr/>
        <w:t>不会对当期和会计政策变更之前公司总资产、负债总额、净资产及净利润产生任何影响。 二、会计估计变更</w:t>
      </w:r>
    </w:p>
    <w:p>
      <w:pPr>
        <w:pStyle w:val="BodyText"/>
        <w:spacing w:line="240" w:lineRule="auto" w:before="45"/>
        <w:ind w:left="574" w:right="0"/>
        <w:jc w:val="left"/>
      </w:pPr>
      <w:r>
        <w:rPr>
          <w:rFonts w:ascii="宋体" w:hAnsi="宋体" w:cs="宋体" w:eastAsia="宋体" w:hint="default"/>
        </w:rPr>
        <w:t>1</w:t>
      </w:r>
      <w:r>
        <w:rPr/>
        <w:t>、会计估计变更的原因</w:t>
      </w:r>
    </w:p>
    <w:p>
      <w:pPr>
        <w:spacing w:line="240" w:lineRule="auto" w:before="12"/>
        <w:rPr>
          <w:rFonts w:ascii="宋体" w:hAnsi="宋体" w:cs="宋体" w:eastAsia="宋体" w:hint="default"/>
          <w:sz w:val="14"/>
          <w:szCs w:val="14"/>
        </w:rPr>
      </w:pPr>
    </w:p>
    <w:p>
      <w:pPr>
        <w:pStyle w:val="BodyText"/>
        <w:spacing w:line="273" w:lineRule="auto"/>
        <w:ind w:right="1130" w:firstLine="420"/>
        <w:jc w:val="both"/>
      </w:pPr>
      <w:r>
        <w:rPr/>
        <w:t>为更加真实、准确的反映公司的财务状况、经营成果，公司根据《企业会计准则第 </w:t>
      </w:r>
      <w:r>
        <w:rPr>
          <w:rFonts w:ascii="宋体" w:hAnsi="宋体" w:cs="宋体" w:eastAsia="宋体" w:hint="default"/>
        </w:rPr>
        <w:t>28</w:t>
      </w:r>
      <w:r>
        <w:rPr>
          <w:rFonts w:ascii="宋体" w:hAnsi="宋体" w:cs="宋体" w:eastAsia="宋体" w:hint="default"/>
          <w:spacing w:val="75"/>
        </w:rPr>
        <w:t> </w:t>
      </w:r>
      <w:r>
        <w:rPr/>
        <w:t>号</w:t>
      </w:r>
      <w:r>
        <w:rPr>
          <w:rFonts w:ascii="宋体" w:hAnsi="宋体" w:cs="宋体" w:eastAsia="宋体" w:hint="default"/>
        </w:rPr>
        <w:t>---</w:t>
      </w:r>
      <w:r>
        <w:rPr/>
        <w:t>会计政 策、会计估计变更和差错更正》的相关规定，为了合理反映公司坏账准备计提，结合公司</w:t>
      </w:r>
      <w:r>
        <w:rPr>
          <w:spacing w:val="45"/>
        </w:rPr>
        <w:t> </w:t>
      </w:r>
      <w:r>
        <w:rPr>
          <w:rFonts w:ascii="宋体" w:hAnsi="宋体" w:cs="宋体" w:eastAsia="宋体" w:hint="default"/>
        </w:rPr>
        <w:t>PPP</w:t>
      </w:r>
      <w:r>
        <w:rPr>
          <w:rFonts w:ascii="宋体" w:hAnsi="宋体" w:cs="宋体" w:eastAsia="宋体" w:hint="default"/>
          <w:spacing w:val="30"/>
        </w:rPr>
        <w:t> </w:t>
      </w:r>
      <w:r>
        <w:rPr/>
        <w:t>项目回款</w:t>
      </w:r>
      <w:r>
        <w:rPr>
          <w:spacing w:val="-102"/>
        </w:rPr>
        <w:t> </w:t>
      </w:r>
      <w:r>
        <w:rPr>
          <w:spacing w:val="-102"/>
        </w:rPr>
      </w:r>
      <w:r>
        <w:rPr>
          <w:spacing w:val="-1"/>
        </w:rPr>
        <w:t>情况、其他应收款的款项性质及信用风险特征，更加客观、公允的反映公司各项债权资产的实际情况，公</w:t>
      </w:r>
      <w:r>
        <w:rPr>
          <w:spacing w:val="-84"/>
        </w:rPr>
        <w:t> </w:t>
      </w:r>
      <w:r>
        <w:rPr>
          <w:spacing w:val="-84"/>
        </w:rPr>
      </w:r>
      <w:r>
        <w:rPr/>
        <w:t>司拟对应收款项单项金额重大的标准、应收款项信用风险特征组合</w:t>
      </w:r>
      <w:r>
        <w:rPr>
          <w:rFonts w:ascii="宋体" w:hAnsi="宋体" w:cs="宋体" w:eastAsia="宋体" w:hint="default"/>
        </w:rPr>
        <w:t>---</w:t>
      </w:r>
      <w:r>
        <w:rPr/>
        <w:t>账龄分析法坏账准备估计比例进行</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变更。</w:t>
      </w:r>
    </w:p>
    <w:p>
      <w:pPr>
        <w:spacing w:line="240" w:lineRule="auto" w:before="11"/>
        <w:rPr>
          <w:rFonts w:ascii="宋体" w:hAnsi="宋体" w:cs="宋体" w:eastAsia="宋体" w:hint="default"/>
          <w:sz w:val="14"/>
          <w:szCs w:val="14"/>
        </w:rPr>
      </w:pPr>
    </w:p>
    <w:p>
      <w:pPr>
        <w:pStyle w:val="BodyText"/>
        <w:spacing w:line="410" w:lineRule="auto"/>
        <w:ind w:left="574" w:right="6027"/>
        <w:jc w:val="left"/>
      </w:pPr>
      <w:r>
        <w:rPr>
          <w:rFonts w:ascii="宋体" w:hAnsi="宋体" w:cs="宋体" w:eastAsia="宋体" w:hint="default"/>
        </w:rPr>
        <w:t>2</w:t>
      </w:r>
      <w:r>
        <w:rPr/>
        <w:t>、会计估计变更的时间 本次会计估计变更从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26</w:t>
      </w:r>
      <w:r>
        <w:rPr/>
        <w:t>日开始执行。 </w:t>
      </w:r>
      <w:r>
        <w:rPr>
          <w:rFonts w:ascii="宋体" w:hAnsi="宋体" w:cs="宋体" w:eastAsia="宋体" w:hint="default"/>
        </w:rPr>
        <w:t>3</w:t>
      </w:r>
      <w:r>
        <w:rPr/>
        <w:t>、会计估计的变更情况</w:t>
      </w:r>
    </w:p>
    <w:p>
      <w:pPr>
        <w:pStyle w:val="BodyText"/>
        <w:spacing w:line="410" w:lineRule="auto" w:before="45"/>
        <w:ind w:left="574" w:right="5817"/>
        <w:jc w:val="left"/>
      </w:pPr>
      <w:r>
        <w:rPr/>
        <w:t>（</w:t>
      </w:r>
      <w:r>
        <w:rPr>
          <w:rFonts w:ascii="宋体" w:hAnsi="宋体" w:cs="宋体" w:eastAsia="宋体" w:hint="default"/>
        </w:rPr>
        <w:t>1</w:t>
      </w:r>
      <w:r>
        <w:rPr/>
        <w:t>）变更前坏账准备计提情况如下： </w:t>
      </w:r>
      <w:r>
        <w:rPr>
          <w:rFonts w:ascii="宋体" w:hAnsi="宋体" w:cs="宋体" w:eastAsia="宋体" w:hint="default"/>
        </w:rPr>
        <w:t>1</w:t>
      </w:r>
      <w:r>
        <w:rPr/>
        <w:t>）单项金额重大并单项计提坏账准备的应收款项</w:t>
      </w:r>
    </w:p>
    <w:p>
      <w:pPr>
        <w:spacing w:line="240" w:lineRule="auto" w:before="8"/>
        <w:rPr>
          <w:rFonts w:ascii="宋体" w:hAnsi="宋体" w:cs="宋体" w:eastAsia="宋体" w:hint="default"/>
          <w:sz w:val="4"/>
          <w:szCs w:val="4"/>
        </w:rPr>
      </w:pPr>
    </w:p>
    <w:tbl>
      <w:tblPr>
        <w:tblW w:w="0" w:type="auto"/>
        <w:jc w:val="left"/>
        <w:tblInd w:w="152" w:type="dxa"/>
        <w:tblLayout w:type="fixed"/>
        <w:tblCellMar>
          <w:top w:w="0" w:type="dxa"/>
          <w:left w:w="0" w:type="dxa"/>
          <w:bottom w:w="0" w:type="dxa"/>
          <w:right w:w="0" w:type="dxa"/>
        </w:tblCellMar>
        <w:tblLook w:val="01E0"/>
      </w:tblPr>
      <w:tblGrid>
        <w:gridCol w:w="4813"/>
        <w:gridCol w:w="4814"/>
      </w:tblGrid>
      <w:tr>
        <w:trPr>
          <w:trHeight w:val="1315" w:hRule="exact"/>
        </w:trPr>
        <w:tc>
          <w:tcPr>
            <w:tcW w:w="4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2" w:right="0"/>
              <w:jc w:val="both"/>
              <w:rPr>
                <w:rFonts w:ascii="宋体" w:hAnsi="宋体" w:cs="宋体" w:eastAsia="宋体" w:hint="default"/>
                <w:sz w:val="21"/>
                <w:szCs w:val="21"/>
              </w:rPr>
            </w:pPr>
            <w:r>
              <w:rPr>
                <w:rFonts w:ascii="宋体" w:hAnsi="宋体" w:cs="宋体" w:eastAsia="宋体" w:hint="default"/>
                <w:spacing w:val="7"/>
                <w:sz w:val="21"/>
                <w:szCs w:val="21"/>
              </w:rPr>
              <w:t>单项金额重大的应收账款及其他应收款是指单项金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额超过</w:t>
            </w:r>
            <w:r>
              <w:rPr>
                <w:rFonts w:ascii="Times New Roman" w:hAnsi="Times New Roman" w:cs="Times New Roman" w:eastAsia="Times New Roman" w:hint="default"/>
                <w:spacing w:val="2"/>
                <w:sz w:val="21"/>
                <w:szCs w:val="21"/>
              </w:rPr>
              <w:t>100 </w:t>
            </w:r>
            <w:r>
              <w:rPr>
                <w:rFonts w:ascii="宋体" w:hAnsi="宋体" w:cs="宋体" w:eastAsia="宋体" w:hint="default"/>
                <w:spacing w:val="4"/>
                <w:sz w:val="21"/>
                <w:szCs w:val="21"/>
              </w:rPr>
              <w:t>万的应收账款和单项金额超过</w:t>
            </w:r>
            <w:r>
              <w:rPr>
                <w:rFonts w:ascii="Times New Roman" w:hAnsi="Times New Roman" w:cs="Times New Roman" w:eastAsia="Times New Roman" w:hint="default"/>
                <w:spacing w:val="4"/>
                <w:sz w:val="21"/>
                <w:szCs w:val="21"/>
              </w:rPr>
              <w:t>50</w:t>
            </w:r>
            <w:r>
              <w:rPr>
                <w:rFonts w:ascii="Times New Roman" w:hAnsi="Times New Roman" w:cs="Times New Roman" w:eastAsia="Times New Roman" w:hint="default"/>
                <w:spacing w:val="22"/>
                <w:sz w:val="21"/>
                <w:szCs w:val="21"/>
              </w:rPr>
              <w:t> </w:t>
            </w:r>
            <w:r>
              <w:rPr>
                <w:rFonts w:ascii="宋体" w:hAnsi="宋体" w:cs="宋体" w:eastAsia="宋体" w:hint="default"/>
                <w:spacing w:val="3"/>
                <w:sz w:val="21"/>
                <w:szCs w:val="21"/>
              </w:rPr>
              <w:t>万的其</w:t>
            </w:r>
            <w:r>
              <w:rPr>
                <w:rFonts w:ascii="宋体" w:hAnsi="宋体" w:cs="宋体" w:eastAsia="宋体" w:hint="default"/>
                <w:sz w:val="21"/>
                <w:szCs w:val="21"/>
              </w:rPr>
              <w:t> </w:t>
            </w:r>
            <w:r>
              <w:rPr>
                <w:rFonts w:ascii="宋体" w:hAnsi="宋体" w:cs="宋体" w:eastAsia="宋体" w:hint="default"/>
                <w:spacing w:val="2"/>
                <w:sz w:val="21"/>
                <w:szCs w:val="21"/>
              </w:rPr>
              <w:t>他应收款。另园林业务板块账面余额在</w:t>
            </w:r>
            <w:r>
              <w:rPr>
                <w:rFonts w:ascii="Times New Roman" w:hAnsi="Times New Roman" w:cs="Times New Roman" w:eastAsia="Times New Roman" w:hint="default"/>
                <w:spacing w:val="2"/>
                <w:sz w:val="21"/>
                <w:szCs w:val="21"/>
              </w:rPr>
              <w:t>100</w:t>
            </w:r>
            <w:r>
              <w:rPr>
                <w:rFonts w:ascii="宋体" w:hAnsi="宋体" w:cs="宋体" w:eastAsia="宋体" w:hint="default"/>
                <w:spacing w:val="2"/>
                <w:sz w:val="21"/>
                <w:szCs w:val="21"/>
              </w:rPr>
              <w:t>万以上且</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占应收款项账面余额</w:t>
            </w:r>
            <w:r>
              <w:rPr>
                <w:rFonts w:ascii="Times New Roman" w:hAnsi="Times New Roman" w:cs="Times New Roman" w:eastAsia="Times New Roman" w:hint="default"/>
                <w:sz w:val="21"/>
                <w:szCs w:val="21"/>
              </w:rPr>
              <w:t>5%</w:t>
            </w:r>
            <w:r>
              <w:rPr>
                <w:rFonts w:ascii="宋体" w:hAnsi="宋体" w:cs="宋体" w:eastAsia="宋体" w:hint="default"/>
                <w:sz w:val="21"/>
                <w:szCs w:val="21"/>
              </w:rPr>
              <w:t>以上的应收款项。</w:t>
            </w:r>
          </w:p>
        </w:tc>
      </w:tr>
      <w:tr>
        <w:trPr>
          <w:trHeight w:val="1963" w:hRule="exact"/>
        </w:trPr>
        <w:tc>
          <w:tcPr>
            <w:tcW w:w="4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81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4"/>
              <w:jc w:val="both"/>
              <w:rPr>
                <w:rFonts w:ascii="宋体" w:hAnsi="宋体" w:cs="宋体" w:eastAsia="宋体" w:hint="default"/>
                <w:sz w:val="21"/>
                <w:szCs w:val="21"/>
              </w:rPr>
            </w:pPr>
            <w:r>
              <w:rPr>
                <w:rFonts w:ascii="宋体" w:hAnsi="宋体" w:cs="宋体" w:eastAsia="宋体" w:hint="default"/>
                <w:spacing w:val="7"/>
                <w:sz w:val="21"/>
                <w:szCs w:val="21"/>
              </w:rPr>
              <w:t>期末对于对单项金额重大的应收款项单独进行减值</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测试，单独测试未发生减值的应收款项，包括在具有</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类似信用风险特征的应收款项组合中进行减值测试。 </w:t>
            </w:r>
            <w:r>
              <w:rPr>
                <w:rFonts w:ascii="宋体" w:hAnsi="宋体" w:cs="宋体" w:eastAsia="宋体" w:hint="default"/>
                <w:spacing w:val="-2"/>
                <w:sz w:val="21"/>
                <w:szCs w:val="21"/>
              </w:rPr>
              <w:t>单项测试已确认减值损失的应收款项，不再包括在具</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7"/>
                <w:sz w:val="21"/>
                <w:szCs w:val="21"/>
              </w:rPr>
              <w:t>有类似信用风险特征的应收款项组合中进行减值测</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试。</w:t>
            </w:r>
          </w:p>
        </w:tc>
      </w:tr>
    </w:tbl>
    <w:p>
      <w:pPr>
        <w:spacing w:line="240" w:lineRule="auto" w:before="2"/>
        <w:rPr>
          <w:rFonts w:ascii="宋体" w:hAnsi="宋体" w:cs="宋体" w:eastAsia="宋体" w:hint="default"/>
          <w:sz w:val="8"/>
          <w:szCs w:val="8"/>
        </w:rPr>
      </w:pPr>
    </w:p>
    <w:p>
      <w:pPr>
        <w:pStyle w:val="BodyText"/>
        <w:spacing w:line="240" w:lineRule="auto" w:before="35"/>
        <w:ind w:left="574" w:right="0"/>
        <w:jc w:val="left"/>
      </w:pPr>
      <w:r>
        <w:rPr>
          <w:rFonts w:ascii="宋体" w:hAnsi="宋体" w:cs="宋体" w:eastAsia="宋体" w:hint="default"/>
        </w:rPr>
        <w:t>2</w:t>
      </w:r>
      <w:r>
        <w:rPr/>
        <w:t>）按信用风险组合计提坏账准备的应收款项</w:t>
      </w:r>
    </w:p>
    <w:p>
      <w:pPr>
        <w:spacing w:line="240" w:lineRule="auto" w:before="11"/>
        <w:rPr>
          <w:rFonts w:ascii="宋体" w:hAnsi="宋体" w:cs="宋体" w:eastAsia="宋体" w:hint="default"/>
          <w:sz w:val="14"/>
          <w:szCs w:val="14"/>
        </w:rPr>
      </w:pPr>
    </w:p>
    <w:p>
      <w:pPr>
        <w:pStyle w:val="BodyText"/>
        <w:spacing w:line="273" w:lineRule="auto"/>
        <w:ind w:right="1132" w:firstLine="420"/>
        <w:jc w:val="both"/>
      </w:pPr>
      <w:r>
        <w:rPr>
          <w:spacing w:val="-1"/>
        </w:rPr>
        <w:t>对单项金额不重大以及金额重大但单项测试未发生减值的应收款项，按信用风险特征的相似性和相关</w:t>
      </w:r>
      <w:r>
        <w:rPr/>
        <w:t> </w:t>
      </w:r>
      <w:r>
        <w:rPr>
          <w:spacing w:val="3"/>
        </w:rPr>
        <w:t>性对金融资产进行分组。这些信用风险通常反映债务人按照该等资产的合同条款偿还所有到期金额的能</w:t>
      </w:r>
      <w:r>
        <w:rPr>
          <w:spacing w:val="-82"/>
        </w:rPr>
        <w:t> </w:t>
      </w:r>
      <w:r>
        <w:rPr>
          <w:spacing w:val="-82"/>
        </w:rPr>
      </w:r>
      <w:r>
        <w:rPr/>
        <w:t>力，并且与被检查资产的未来现金流量测算相关。</w:t>
      </w:r>
    </w:p>
    <w:p>
      <w:pPr>
        <w:pStyle w:val="BodyText"/>
        <w:spacing w:line="240" w:lineRule="auto" w:before="165"/>
        <w:ind w:left="574" w:right="0"/>
        <w:jc w:val="left"/>
      </w:pPr>
      <w:r>
        <w:rPr>
          <w:rFonts w:ascii="宋体" w:hAnsi="宋体" w:cs="宋体" w:eastAsia="宋体" w:hint="default"/>
        </w:rPr>
        <w:t>A.</w:t>
      </w:r>
      <w:r>
        <w:rPr>
          <w:rFonts w:ascii="宋体" w:hAnsi="宋体" w:cs="宋体" w:eastAsia="宋体" w:hint="default"/>
          <w:spacing w:val="-1"/>
        </w:rPr>
        <w:t> </w:t>
      </w:r>
      <w:r>
        <w:rPr/>
        <w:t>不同组合的确定依据：</w:t>
      </w:r>
    </w:p>
    <w:p>
      <w:pPr>
        <w:spacing w:line="240" w:lineRule="auto" w:before="12"/>
        <w:rPr>
          <w:rFonts w:ascii="宋体" w:hAnsi="宋体" w:cs="宋体" w:eastAsia="宋体" w:hint="default"/>
          <w:sz w:val="15"/>
          <w:szCs w:val="15"/>
        </w:rPr>
      </w:pPr>
    </w:p>
    <w:tbl>
      <w:tblPr>
        <w:tblW w:w="0" w:type="auto"/>
        <w:jc w:val="left"/>
        <w:tblInd w:w="182" w:type="dxa"/>
        <w:tblLayout w:type="fixed"/>
        <w:tblCellMar>
          <w:top w:w="0" w:type="dxa"/>
          <w:left w:w="0" w:type="dxa"/>
          <w:bottom w:w="0" w:type="dxa"/>
          <w:right w:w="0" w:type="dxa"/>
        </w:tblCellMar>
        <w:tblLook w:val="01E0"/>
      </w:tblPr>
      <w:tblGrid>
        <w:gridCol w:w="3104"/>
        <w:gridCol w:w="6464"/>
      </w:tblGrid>
      <w:tr>
        <w:trPr>
          <w:trHeight w:val="348"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646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b/>
                <w:bCs/>
                <w:sz w:val="21"/>
                <w:szCs w:val="21"/>
              </w:rPr>
              <w:t>确定组合的依据</w:t>
            </w:r>
            <w:r>
              <w:rPr>
                <w:rFonts w:ascii="宋体" w:hAnsi="宋体" w:cs="宋体" w:eastAsia="宋体" w:hint="default"/>
                <w:sz w:val="21"/>
                <w:szCs w:val="21"/>
              </w:rPr>
            </w:r>
          </w:p>
        </w:tc>
      </w:tr>
      <w:tr>
        <w:trPr>
          <w:trHeight w:val="977"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组合一</w:t>
            </w:r>
          </w:p>
        </w:tc>
        <w:tc>
          <w:tcPr>
            <w:tcW w:w="646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both"/>
              <w:rPr>
                <w:rFonts w:ascii="宋体" w:hAnsi="宋体" w:cs="宋体" w:eastAsia="宋体" w:hint="default"/>
                <w:sz w:val="21"/>
                <w:szCs w:val="21"/>
              </w:rPr>
            </w:pPr>
            <w:r>
              <w:rPr>
                <w:rFonts w:ascii="宋体" w:hAnsi="宋体" w:cs="宋体" w:eastAsia="宋体" w:hint="default"/>
                <w:spacing w:val="-3"/>
                <w:sz w:val="21"/>
                <w:szCs w:val="21"/>
              </w:rPr>
              <w:t>本组合为除组合二、三、四及单项计提坏账准备的应收款项之外的销售</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电子产品及清洁能源综合服务等业务板块的应收款项，本公司结合历史</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经验，按账龄分析法对本组合的应收款项计提坏账准备</w:t>
            </w:r>
          </w:p>
        </w:tc>
      </w:tr>
      <w:tr>
        <w:trPr>
          <w:trHeight w:val="97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组合二</w:t>
            </w:r>
          </w:p>
        </w:tc>
        <w:tc>
          <w:tcPr>
            <w:tcW w:w="646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both"/>
              <w:rPr>
                <w:rFonts w:ascii="宋体" w:hAnsi="宋体" w:cs="宋体" w:eastAsia="宋体" w:hint="default"/>
                <w:sz w:val="21"/>
                <w:szCs w:val="21"/>
              </w:rPr>
            </w:pPr>
            <w:r>
              <w:rPr>
                <w:rFonts w:ascii="宋体" w:hAnsi="宋体" w:cs="宋体" w:eastAsia="宋体" w:hint="default"/>
                <w:spacing w:val="-3"/>
                <w:sz w:val="21"/>
                <w:szCs w:val="21"/>
              </w:rPr>
              <w:t>本组合为除组合一、三、四及单项计提坏账准备的应收款项之外的节水</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灌溉业务板块的应收款项，本公司结合历史经验，按账龄分析法对本组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合的应收款项计提坏账准备</w:t>
            </w:r>
          </w:p>
        </w:tc>
      </w:tr>
      <w:tr>
        <w:trPr>
          <w:trHeight w:val="976"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组合三</w:t>
            </w:r>
          </w:p>
        </w:tc>
        <w:tc>
          <w:tcPr>
            <w:tcW w:w="646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both"/>
              <w:rPr>
                <w:rFonts w:ascii="宋体" w:hAnsi="宋体" w:cs="宋体" w:eastAsia="宋体" w:hint="default"/>
                <w:sz w:val="21"/>
                <w:szCs w:val="21"/>
              </w:rPr>
            </w:pPr>
            <w:r>
              <w:rPr>
                <w:rFonts w:ascii="宋体" w:hAnsi="宋体" w:cs="宋体" w:eastAsia="宋体" w:hint="default"/>
                <w:spacing w:val="-3"/>
                <w:sz w:val="21"/>
                <w:szCs w:val="21"/>
              </w:rPr>
              <w:t>本组合为除组合一、二、四及单项计提坏账准备的应收款项之外的园林</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业务板块的应收款项，本公司结合历史经验，按账龄分析法对本组合的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应收款项计提坏账准备</w:t>
            </w:r>
          </w:p>
        </w:tc>
      </w:tr>
      <w:tr>
        <w:trPr>
          <w:trHeight w:val="977" w:hRule="exact"/>
        </w:trPr>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组合四</w:t>
            </w:r>
          </w:p>
        </w:tc>
        <w:tc>
          <w:tcPr>
            <w:tcW w:w="646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both"/>
              <w:rPr>
                <w:rFonts w:ascii="宋体" w:hAnsi="宋体" w:cs="宋体" w:eastAsia="宋体" w:hint="default"/>
                <w:sz w:val="21"/>
                <w:szCs w:val="21"/>
              </w:rPr>
            </w:pPr>
            <w:r>
              <w:rPr>
                <w:rFonts w:ascii="宋体" w:hAnsi="宋体" w:cs="宋体" w:eastAsia="宋体" w:hint="default"/>
                <w:spacing w:val="-3"/>
                <w:sz w:val="21"/>
                <w:szCs w:val="21"/>
              </w:rPr>
              <w:t>本组合按债务单位的信用风险特征划分，主要包括应收纳入合并范围本</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公司关联方、政府部门及合作方保证金、定金等类别的款项，此类款项</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发生坏账损失的可能性极小。</w:t>
            </w:r>
          </w:p>
        </w:tc>
      </w:tr>
    </w:tbl>
    <w:p>
      <w:pPr>
        <w:spacing w:line="240" w:lineRule="auto" w:before="3"/>
        <w:rPr>
          <w:rFonts w:ascii="宋体" w:hAnsi="宋体" w:cs="宋体" w:eastAsia="宋体" w:hint="default"/>
          <w:sz w:val="8"/>
          <w:szCs w:val="8"/>
        </w:rPr>
      </w:pPr>
    </w:p>
    <w:p>
      <w:pPr>
        <w:pStyle w:val="BodyText"/>
        <w:spacing w:line="240" w:lineRule="auto" w:before="35"/>
        <w:ind w:left="574" w:right="0"/>
        <w:jc w:val="left"/>
      </w:pPr>
      <w:r>
        <w:rPr>
          <w:rFonts w:ascii="宋体" w:hAnsi="宋体" w:cs="宋体" w:eastAsia="宋体" w:hint="default"/>
        </w:rPr>
        <w:t>B</w:t>
      </w:r>
      <w:r>
        <w:rPr/>
        <w:t>．不同组合计提坏账准备的计提方法：</w:t>
      </w:r>
    </w:p>
    <w:p>
      <w:pPr>
        <w:spacing w:line="240" w:lineRule="auto" w:before="13"/>
        <w:rPr>
          <w:rFonts w:ascii="宋体" w:hAnsi="宋体" w:cs="宋体" w:eastAsia="宋体" w:hint="default"/>
          <w:sz w:val="15"/>
          <w:szCs w:val="15"/>
        </w:rPr>
      </w:pPr>
    </w:p>
    <w:tbl>
      <w:tblPr>
        <w:tblW w:w="0" w:type="auto"/>
        <w:jc w:val="left"/>
        <w:tblInd w:w="146" w:type="dxa"/>
        <w:tblLayout w:type="fixed"/>
        <w:tblCellMar>
          <w:top w:w="0" w:type="dxa"/>
          <w:left w:w="0" w:type="dxa"/>
          <w:bottom w:w="0" w:type="dxa"/>
          <w:right w:w="0" w:type="dxa"/>
        </w:tblCellMar>
        <w:tblLook w:val="01E0"/>
      </w:tblPr>
      <w:tblGrid>
        <w:gridCol w:w="2944"/>
        <w:gridCol w:w="6129"/>
      </w:tblGrid>
      <w:tr>
        <w:trPr>
          <w:trHeight w:val="34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tabs>
                <w:tab w:pos="479" w:val="left" w:leader="none"/>
              </w:tabs>
              <w:spacing w:line="271" w:lineRule="exact"/>
              <w:ind w:right="1"/>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612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计提方法</w:t>
            </w:r>
            <w:r>
              <w:rPr>
                <w:rFonts w:ascii="宋体" w:hAnsi="宋体" w:cs="宋体" w:eastAsia="宋体" w:hint="default"/>
                <w:sz w:val="21"/>
                <w:szCs w:val="21"/>
              </w:rPr>
            </w:r>
          </w:p>
        </w:tc>
      </w:tr>
      <w:tr>
        <w:trPr>
          <w:trHeight w:val="348"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组合一</w:t>
            </w:r>
          </w:p>
        </w:tc>
        <w:tc>
          <w:tcPr>
            <w:tcW w:w="612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销售电子产品及清洁能源综合服务等业务板块的账龄分析法</w:t>
            </w:r>
          </w:p>
        </w:tc>
      </w:tr>
    </w:tbl>
    <w:p>
      <w:pPr>
        <w:spacing w:after="0" w:line="271" w:lineRule="exact"/>
        <w:jc w:val="center"/>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944"/>
        <w:gridCol w:w="6129"/>
      </w:tblGrid>
      <w:tr>
        <w:trPr>
          <w:trHeight w:val="34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组合二</w:t>
            </w:r>
          </w:p>
        </w:tc>
        <w:tc>
          <w:tcPr>
            <w:tcW w:w="612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节水灌溉业务板块的账龄分析法</w:t>
            </w:r>
          </w:p>
        </w:tc>
      </w:tr>
      <w:tr>
        <w:trPr>
          <w:trHeight w:val="34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组合三</w:t>
            </w:r>
          </w:p>
        </w:tc>
        <w:tc>
          <w:tcPr>
            <w:tcW w:w="612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园林业务板块的账龄分析法</w:t>
            </w:r>
          </w:p>
        </w:tc>
      </w:tr>
      <w:tr>
        <w:trPr>
          <w:trHeight w:val="348"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组合四</w:t>
            </w:r>
          </w:p>
        </w:tc>
        <w:tc>
          <w:tcPr>
            <w:tcW w:w="612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不计提坏账准备</w:t>
            </w:r>
          </w:p>
        </w:tc>
      </w:tr>
    </w:tbl>
    <w:p>
      <w:pPr>
        <w:spacing w:line="240" w:lineRule="auto" w:before="3"/>
        <w:rPr>
          <w:rFonts w:ascii="宋体" w:hAnsi="宋体" w:cs="宋体" w:eastAsia="宋体" w:hint="default"/>
          <w:sz w:val="8"/>
          <w:szCs w:val="8"/>
        </w:rPr>
      </w:pPr>
    </w:p>
    <w:p>
      <w:pPr>
        <w:pStyle w:val="BodyText"/>
        <w:spacing w:line="240" w:lineRule="auto" w:before="35"/>
        <w:ind w:left="574" w:right="0"/>
        <w:jc w:val="left"/>
      </w:pPr>
      <w:r>
        <w:rPr/>
        <w:t>组合中，组合一采用账龄分析法计提坏账准备的组合计提方法</w:t>
      </w:r>
    </w:p>
    <w:p>
      <w:pPr>
        <w:spacing w:line="240" w:lineRule="auto" w:before="13"/>
        <w:rPr>
          <w:rFonts w:ascii="宋体" w:hAnsi="宋体" w:cs="宋体" w:eastAsia="宋体" w:hint="default"/>
          <w:sz w:val="15"/>
          <w:szCs w:val="15"/>
        </w:rPr>
      </w:pPr>
    </w:p>
    <w:tbl>
      <w:tblPr>
        <w:tblW w:w="0" w:type="auto"/>
        <w:jc w:val="left"/>
        <w:tblInd w:w="146" w:type="dxa"/>
        <w:tblLayout w:type="fixed"/>
        <w:tblCellMar>
          <w:top w:w="0" w:type="dxa"/>
          <w:left w:w="0" w:type="dxa"/>
          <w:bottom w:w="0" w:type="dxa"/>
          <w:right w:w="0" w:type="dxa"/>
        </w:tblCellMar>
        <w:tblLook w:val="01E0"/>
      </w:tblPr>
      <w:tblGrid>
        <w:gridCol w:w="3207"/>
        <w:gridCol w:w="3032"/>
        <w:gridCol w:w="2816"/>
      </w:tblGrid>
      <w:tr>
        <w:trPr>
          <w:trHeight w:val="571" w:hRule="exact"/>
        </w:trPr>
        <w:tc>
          <w:tcPr>
            <w:tcW w:w="3207" w:type="dxa"/>
            <w:tcBorders>
              <w:top w:val="single" w:sz="6" w:space="0" w:color="000000"/>
              <w:left w:val="single" w:sz="6" w:space="0" w:color="000000"/>
              <w:bottom w:val="single" w:sz="12" w:space="0" w:color="000000"/>
              <w:right w:val="single" w:sz="6" w:space="0" w:color="000000"/>
            </w:tcBorders>
          </w:tcPr>
          <w:p>
            <w:pPr>
              <w:pStyle w:val="TableParagraph"/>
              <w:tabs>
                <w:tab w:pos="479"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账</w:t>
              <w:tab/>
            </w:r>
            <w:r>
              <w:rPr>
                <w:rFonts w:ascii="宋体" w:hAnsi="宋体" w:cs="宋体" w:eastAsia="宋体" w:hint="default"/>
                <w:b/>
                <w:bCs/>
                <w:sz w:val="21"/>
                <w:szCs w:val="21"/>
              </w:rPr>
              <w:t>龄</w:t>
            </w:r>
            <w:r>
              <w:rPr>
                <w:rFonts w:ascii="宋体" w:hAnsi="宋体" w:cs="宋体" w:eastAsia="宋体" w:hint="default"/>
                <w:sz w:val="21"/>
                <w:szCs w:val="21"/>
              </w:rPr>
            </w:r>
          </w:p>
        </w:tc>
        <w:tc>
          <w:tcPr>
            <w:tcW w:w="3032" w:type="dxa"/>
            <w:tcBorders>
              <w:top w:val="single" w:sz="6" w:space="0" w:color="000000"/>
              <w:left w:val="single" w:sz="6" w:space="0" w:color="000000"/>
              <w:bottom w:val="single" w:sz="12" w:space="0" w:color="000000"/>
              <w:right w:val="single" w:sz="6" w:space="0" w:color="000000"/>
            </w:tcBorders>
          </w:tcPr>
          <w:p>
            <w:pPr>
              <w:pStyle w:val="TableParagraph"/>
              <w:spacing w:line="285" w:lineRule="exact"/>
              <w:ind w:right="1"/>
              <w:jc w:val="center"/>
              <w:rPr>
                <w:rFonts w:ascii="宋体" w:hAnsi="宋体" w:cs="宋体" w:eastAsia="宋体" w:hint="default"/>
                <w:sz w:val="21"/>
                <w:szCs w:val="21"/>
              </w:rPr>
            </w:pPr>
            <w:r>
              <w:rPr>
                <w:rFonts w:ascii="宋体" w:hAnsi="宋体" w:cs="宋体" w:eastAsia="宋体" w:hint="default"/>
                <w:b/>
                <w:bCs/>
                <w:sz w:val="21"/>
                <w:szCs w:val="21"/>
              </w:rPr>
              <w:t>应收账款计提比例（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2816" w:type="dxa"/>
            <w:tcBorders>
              <w:top w:val="single" w:sz="6" w:space="0" w:color="000000"/>
              <w:left w:val="single" w:sz="6" w:space="0" w:color="000000"/>
              <w:bottom w:val="single" w:sz="12" w:space="0" w:color="000000"/>
              <w:right w:val="nil" w:sz="6" w:space="0" w:color="auto"/>
            </w:tcBorders>
          </w:tcPr>
          <w:p>
            <w:pPr>
              <w:pStyle w:val="TableParagraph"/>
              <w:spacing w:line="285" w:lineRule="exact"/>
              <w:ind w:right="6"/>
              <w:jc w:val="center"/>
              <w:rPr>
                <w:rFonts w:ascii="宋体" w:hAnsi="宋体" w:cs="宋体" w:eastAsia="宋体" w:hint="default"/>
                <w:sz w:val="21"/>
                <w:szCs w:val="21"/>
              </w:rPr>
            </w:pPr>
            <w:r>
              <w:rPr>
                <w:rFonts w:ascii="宋体" w:hAnsi="宋体" w:cs="宋体" w:eastAsia="宋体" w:hint="default"/>
                <w:b/>
                <w:bCs/>
                <w:sz w:val="21"/>
                <w:szCs w:val="21"/>
              </w:rPr>
              <w:t>其他应收款计提比例（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52"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年，下同）</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w:t>
            </w:r>
          </w:p>
        </w:tc>
        <w:tc>
          <w:tcPr>
            <w:tcW w:w="28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4"/>
              <w:jc w:val="center"/>
              <w:rPr>
                <w:rFonts w:ascii="Times New Roman" w:hAnsi="Times New Roman" w:cs="Times New Roman" w:eastAsia="Times New Roman" w:hint="default"/>
                <w:sz w:val="21"/>
                <w:szCs w:val="21"/>
              </w:rPr>
            </w:pPr>
            <w:r>
              <w:rPr>
                <w:rFonts w:ascii="Times New Roman"/>
                <w:sz w:val="21"/>
              </w:rPr>
              <w:t>5</w:t>
            </w:r>
          </w:p>
        </w:tc>
      </w:tr>
      <w:tr>
        <w:trPr>
          <w:trHeight w:val="352"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10</w:t>
            </w:r>
          </w:p>
        </w:tc>
        <w:tc>
          <w:tcPr>
            <w:tcW w:w="28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10</w:t>
            </w:r>
          </w:p>
        </w:tc>
      </w:tr>
      <w:tr>
        <w:trPr>
          <w:trHeight w:val="353"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30</w:t>
            </w:r>
          </w:p>
        </w:tc>
        <w:tc>
          <w:tcPr>
            <w:tcW w:w="28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30</w:t>
            </w:r>
          </w:p>
        </w:tc>
      </w:tr>
      <w:tr>
        <w:trPr>
          <w:trHeight w:val="352"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年</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50</w:t>
            </w:r>
          </w:p>
        </w:tc>
        <w:tc>
          <w:tcPr>
            <w:tcW w:w="28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50</w:t>
            </w:r>
          </w:p>
        </w:tc>
      </w:tr>
      <w:tr>
        <w:trPr>
          <w:trHeight w:val="352"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宋体" w:hAnsi="宋体" w:cs="宋体" w:eastAsia="宋体" w:hint="default"/>
                <w:sz w:val="21"/>
                <w:szCs w:val="21"/>
              </w:rPr>
              <w:t>年</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80</w:t>
            </w:r>
          </w:p>
        </w:tc>
        <w:tc>
          <w:tcPr>
            <w:tcW w:w="28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80</w:t>
            </w:r>
          </w:p>
        </w:tc>
      </w:tr>
      <w:tr>
        <w:trPr>
          <w:trHeight w:val="353"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100</w:t>
            </w:r>
          </w:p>
        </w:tc>
        <w:tc>
          <w:tcPr>
            <w:tcW w:w="28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4"/>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2"/>
        <w:rPr>
          <w:rFonts w:ascii="宋体" w:hAnsi="宋体" w:cs="宋体" w:eastAsia="宋体" w:hint="default"/>
          <w:sz w:val="8"/>
          <w:szCs w:val="8"/>
        </w:rPr>
      </w:pPr>
    </w:p>
    <w:p>
      <w:pPr>
        <w:pStyle w:val="BodyText"/>
        <w:spacing w:line="240" w:lineRule="auto" w:before="35"/>
        <w:ind w:left="574" w:right="0"/>
        <w:jc w:val="left"/>
      </w:pPr>
      <w:r>
        <w:rPr/>
        <w:t>组合中，组合二采用账龄分析法计提坏账准备的组合计提方法</w:t>
      </w:r>
    </w:p>
    <w:p>
      <w:pPr>
        <w:spacing w:line="240" w:lineRule="auto" w:before="12"/>
        <w:rPr>
          <w:rFonts w:ascii="宋体" w:hAnsi="宋体" w:cs="宋体" w:eastAsia="宋体" w:hint="default"/>
          <w:sz w:val="15"/>
          <w:szCs w:val="15"/>
        </w:rPr>
      </w:pPr>
    </w:p>
    <w:tbl>
      <w:tblPr>
        <w:tblW w:w="0" w:type="auto"/>
        <w:jc w:val="left"/>
        <w:tblInd w:w="146" w:type="dxa"/>
        <w:tblLayout w:type="fixed"/>
        <w:tblCellMar>
          <w:top w:w="0" w:type="dxa"/>
          <w:left w:w="0" w:type="dxa"/>
          <w:bottom w:w="0" w:type="dxa"/>
          <w:right w:w="0" w:type="dxa"/>
        </w:tblCellMar>
        <w:tblLook w:val="01E0"/>
      </w:tblPr>
      <w:tblGrid>
        <w:gridCol w:w="3207"/>
        <w:gridCol w:w="3032"/>
        <w:gridCol w:w="2829"/>
      </w:tblGrid>
      <w:tr>
        <w:trPr>
          <w:trHeight w:val="564" w:hRule="exact"/>
        </w:trPr>
        <w:tc>
          <w:tcPr>
            <w:tcW w:w="3207" w:type="dxa"/>
            <w:tcBorders>
              <w:top w:val="single" w:sz="6" w:space="0" w:color="000000"/>
              <w:left w:val="single" w:sz="6" w:space="0" w:color="000000"/>
              <w:bottom w:val="single" w:sz="6" w:space="0" w:color="000000"/>
              <w:right w:val="single" w:sz="6" w:space="0" w:color="000000"/>
            </w:tcBorders>
          </w:tcPr>
          <w:p>
            <w:pPr>
              <w:pStyle w:val="TableParagraph"/>
              <w:tabs>
                <w:tab w:pos="479" w:val="left" w:leader="none"/>
              </w:tabs>
              <w:spacing w:line="271"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账</w:t>
              <w:tab/>
            </w:r>
            <w:r>
              <w:rPr>
                <w:rFonts w:ascii="宋体" w:hAnsi="宋体" w:cs="宋体" w:eastAsia="宋体" w:hint="default"/>
                <w:b/>
                <w:bCs/>
                <w:sz w:val="21"/>
                <w:szCs w:val="21"/>
              </w:rPr>
              <w:t>龄</w:t>
            </w:r>
            <w:r>
              <w:rPr>
                <w:rFonts w:ascii="宋体" w:hAnsi="宋体" w:cs="宋体" w:eastAsia="宋体" w:hint="default"/>
                <w:sz w:val="21"/>
                <w:szCs w:val="21"/>
              </w:rPr>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宋体" w:hAnsi="宋体" w:cs="宋体" w:eastAsia="宋体" w:hint="default"/>
                <w:sz w:val="21"/>
                <w:szCs w:val="21"/>
              </w:rPr>
            </w:pPr>
            <w:r>
              <w:rPr>
                <w:rFonts w:ascii="宋体" w:hAnsi="宋体" w:cs="宋体" w:eastAsia="宋体" w:hint="default"/>
                <w:b/>
                <w:bCs/>
                <w:sz w:val="21"/>
                <w:szCs w:val="21"/>
              </w:rPr>
              <w:t>应收账款计提比例（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b/>
                <w:bCs/>
                <w:sz w:val="21"/>
                <w:szCs w:val="21"/>
              </w:rPr>
              <w:t>其他应收款计提比例（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47" w:hRule="exact"/>
        </w:trPr>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年，下同）</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1</w:t>
            </w:r>
          </w:p>
        </w:tc>
      </w:tr>
      <w:tr>
        <w:trPr>
          <w:trHeight w:val="347" w:hRule="exact"/>
        </w:trPr>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10</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10</w:t>
            </w:r>
          </w:p>
        </w:tc>
      </w:tr>
      <w:tr>
        <w:trPr>
          <w:trHeight w:val="347" w:hRule="exact"/>
        </w:trPr>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30</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30</w:t>
            </w:r>
          </w:p>
        </w:tc>
      </w:tr>
      <w:tr>
        <w:trPr>
          <w:trHeight w:val="347" w:hRule="exact"/>
        </w:trPr>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年</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50</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50</w:t>
            </w:r>
          </w:p>
        </w:tc>
      </w:tr>
      <w:tr>
        <w:trPr>
          <w:trHeight w:val="347" w:hRule="exact"/>
        </w:trPr>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宋体" w:hAnsi="宋体" w:cs="宋体" w:eastAsia="宋体" w:hint="default"/>
                <w:sz w:val="21"/>
                <w:szCs w:val="21"/>
              </w:rPr>
              <w:t>年</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80</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80</w:t>
            </w:r>
          </w:p>
        </w:tc>
      </w:tr>
      <w:tr>
        <w:trPr>
          <w:trHeight w:val="348" w:hRule="exact"/>
        </w:trPr>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100</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2"/>
        <w:rPr>
          <w:rFonts w:ascii="宋体" w:hAnsi="宋体" w:cs="宋体" w:eastAsia="宋体" w:hint="default"/>
          <w:sz w:val="8"/>
          <w:szCs w:val="8"/>
        </w:rPr>
      </w:pPr>
    </w:p>
    <w:p>
      <w:pPr>
        <w:pStyle w:val="BodyText"/>
        <w:spacing w:line="240" w:lineRule="auto" w:before="35"/>
        <w:ind w:left="574" w:right="0"/>
        <w:jc w:val="left"/>
      </w:pPr>
      <w:r>
        <w:rPr/>
        <w:t>组合中，组合三采用账龄分析法计提坏账准备的组合计提方法</w:t>
      </w:r>
    </w:p>
    <w:p>
      <w:pPr>
        <w:spacing w:line="240" w:lineRule="auto" w:before="13"/>
        <w:rPr>
          <w:rFonts w:ascii="宋体" w:hAnsi="宋体" w:cs="宋体" w:eastAsia="宋体" w:hint="default"/>
          <w:sz w:val="15"/>
          <w:szCs w:val="15"/>
        </w:rPr>
      </w:pPr>
    </w:p>
    <w:tbl>
      <w:tblPr>
        <w:tblW w:w="0" w:type="auto"/>
        <w:jc w:val="left"/>
        <w:tblInd w:w="146" w:type="dxa"/>
        <w:tblLayout w:type="fixed"/>
        <w:tblCellMar>
          <w:top w:w="0" w:type="dxa"/>
          <w:left w:w="0" w:type="dxa"/>
          <w:bottom w:w="0" w:type="dxa"/>
          <w:right w:w="0" w:type="dxa"/>
        </w:tblCellMar>
        <w:tblLook w:val="01E0"/>
      </w:tblPr>
      <w:tblGrid>
        <w:gridCol w:w="3207"/>
        <w:gridCol w:w="3032"/>
        <w:gridCol w:w="2829"/>
      </w:tblGrid>
      <w:tr>
        <w:trPr>
          <w:trHeight w:val="563" w:hRule="exact"/>
        </w:trPr>
        <w:tc>
          <w:tcPr>
            <w:tcW w:w="3207" w:type="dxa"/>
            <w:tcBorders>
              <w:top w:val="single" w:sz="6" w:space="0" w:color="000000"/>
              <w:left w:val="single" w:sz="6" w:space="0" w:color="000000"/>
              <w:bottom w:val="single" w:sz="6" w:space="0" w:color="000000"/>
              <w:right w:val="single" w:sz="6" w:space="0" w:color="000000"/>
            </w:tcBorders>
          </w:tcPr>
          <w:p>
            <w:pPr>
              <w:pStyle w:val="TableParagraph"/>
              <w:tabs>
                <w:tab w:pos="479" w:val="left" w:leader="none"/>
              </w:tabs>
              <w:spacing w:line="271"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账</w:t>
              <w:tab/>
            </w:r>
            <w:r>
              <w:rPr>
                <w:rFonts w:ascii="宋体" w:hAnsi="宋体" w:cs="宋体" w:eastAsia="宋体" w:hint="default"/>
                <w:b/>
                <w:bCs/>
                <w:sz w:val="21"/>
                <w:szCs w:val="21"/>
              </w:rPr>
              <w:t>龄</w:t>
            </w:r>
            <w:r>
              <w:rPr>
                <w:rFonts w:ascii="宋体" w:hAnsi="宋体" w:cs="宋体" w:eastAsia="宋体" w:hint="default"/>
                <w:sz w:val="21"/>
                <w:szCs w:val="21"/>
              </w:rPr>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宋体" w:hAnsi="宋体" w:cs="宋体" w:eastAsia="宋体" w:hint="default"/>
                <w:sz w:val="21"/>
                <w:szCs w:val="21"/>
              </w:rPr>
            </w:pPr>
            <w:r>
              <w:rPr>
                <w:rFonts w:ascii="宋体" w:hAnsi="宋体" w:cs="宋体" w:eastAsia="宋体" w:hint="default"/>
                <w:b/>
                <w:bCs/>
                <w:sz w:val="21"/>
                <w:szCs w:val="21"/>
              </w:rPr>
              <w:t>应收账款计提比例（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b/>
                <w:bCs/>
                <w:sz w:val="21"/>
                <w:szCs w:val="21"/>
              </w:rPr>
              <w:t>其他应收款计提比例（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47" w:hRule="exact"/>
        </w:trPr>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年，下同）</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5</w:t>
            </w:r>
          </w:p>
        </w:tc>
      </w:tr>
      <w:tr>
        <w:trPr>
          <w:trHeight w:val="347" w:hRule="exact"/>
        </w:trPr>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10</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10</w:t>
            </w:r>
          </w:p>
        </w:tc>
      </w:tr>
      <w:tr>
        <w:trPr>
          <w:trHeight w:val="347" w:hRule="exact"/>
        </w:trPr>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20</w:t>
            </w:r>
          </w:p>
        </w:tc>
      </w:tr>
      <w:tr>
        <w:trPr>
          <w:trHeight w:val="348" w:hRule="exact"/>
        </w:trPr>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年</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30</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30</w:t>
            </w:r>
          </w:p>
        </w:tc>
      </w:tr>
      <w:tr>
        <w:trPr>
          <w:trHeight w:val="347" w:hRule="exact"/>
        </w:trPr>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宋体" w:hAnsi="宋体" w:cs="宋体" w:eastAsia="宋体" w:hint="default"/>
                <w:sz w:val="21"/>
                <w:szCs w:val="21"/>
              </w:rPr>
              <w:t>年</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50</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50</w:t>
            </w:r>
          </w:p>
        </w:tc>
      </w:tr>
      <w:tr>
        <w:trPr>
          <w:trHeight w:val="347" w:hRule="exact"/>
        </w:trPr>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100</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2"/>
        <w:rPr>
          <w:rFonts w:ascii="宋体" w:hAnsi="宋体" w:cs="宋体" w:eastAsia="宋体" w:hint="default"/>
          <w:sz w:val="8"/>
          <w:szCs w:val="8"/>
        </w:rPr>
      </w:pPr>
    </w:p>
    <w:p>
      <w:pPr>
        <w:pStyle w:val="BodyText"/>
        <w:spacing w:line="410" w:lineRule="auto" w:before="35"/>
        <w:ind w:left="574" w:right="5817"/>
        <w:jc w:val="left"/>
      </w:pPr>
      <w:r>
        <w:rPr/>
        <w:t>（</w:t>
      </w:r>
      <w:r>
        <w:rPr>
          <w:rFonts w:ascii="宋体" w:hAnsi="宋体" w:cs="宋体" w:eastAsia="宋体" w:hint="default"/>
        </w:rPr>
        <w:t>2</w:t>
      </w:r>
      <w:r>
        <w:rPr/>
        <w:t>）变更后坏账准备计提情况如下： </w:t>
      </w:r>
      <w:r>
        <w:rPr>
          <w:rFonts w:ascii="宋体" w:hAnsi="宋体" w:cs="宋体" w:eastAsia="宋体" w:hint="default"/>
        </w:rPr>
        <w:t>1</w:t>
      </w:r>
      <w:r>
        <w:rPr/>
        <w:t>）单项金额重大并单项计提坏账准备的应收款项</w:t>
      </w:r>
    </w:p>
    <w:p>
      <w:pPr>
        <w:spacing w:line="240" w:lineRule="auto" w:before="8"/>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4396"/>
        <w:gridCol w:w="4536"/>
      </w:tblGrid>
      <w:tr>
        <w:trPr>
          <w:trHeight w:val="971"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ind w:left="2" w:right="0"/>
              <w:jc w:val="both"/>
              <w:rPr>
                <w:rFonts w:ascii="宋体" w:hAnsi="宋体" w:cs="宋体" w:eastAsia="宋体" w:hint="default"/>
                <w:sz w:val="21"/>
                <w:szCs w:val="21"/>
              </w:rPr>
            </w:pPr>
            <w:r>
              <w:rPr>
                <w:rFonts w:ascii="宋体" w:hAnsi="宋体" w:cs="宋体" w:eastAsia="宋体" w:hint="default"/>
                <w:spacing w:val="4"/>
                <w:sz w:val="21"/>
                <w:szCs w:val="21"/>
              </w:rPr>
              <w:t>单项金额重大的应收账款及其他应收款是指单项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金额超过</w:t>
            </w:r>
            <w:r>
              <w:rPr>
                <w:rFonts w:ascii="Times New Roman" w:hAnsi="Times New Roman" w:cs="Times New Roman" w:eastAsia="Times New Roman" w:hint="default"/>
                <w:sz w:val="21"/>
                <w:szCs w:val="21"/>
              </w:rPr>
              <w:t>200</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万的应收账款和单项金额超过</w:t>
            </w:r>
            <w:r>
              <w:rPr>
                <w:rFonts w:ascii="Times New Roman" w:hAnsi="Times New Roman" w:cs="Times New Roman" w:eastAsia="Times New Roman" w:hint="default"/>
                <w:sz w:val="21"/>
                <w:szCs w:val="21"/>
              </w:rPr>
              <w:t>500</w:t>
            </w:r>
            <w:r>
              <w:rPr>
                <w:rFonts w:ascii="宋体" w:hAnsi="宋体" w:cs="宋体" w:eastAsia="宋体" w:hint="default"/>
                <w:sz w:val="21"/>
                <w:szCs w:val="21"/>
              </w:rPr>
              <w:t>万</w:t>
            </w:r>
            <w:r>
              <w:rPr>
                <w:rFonts w:ascii="宋体" w:hAnsi="宋体" w:cs="宋体" w:eastAsia="宋体" w:hint="default"/>
                <w:spacing w:val="-102"/>
                <w:sz w:val="21"/>
                <w:szCs w:val="21"/>
              </w:rPr>
              <w:t> </w:t>
            </w:r>
            <w:r>
              <w:rPr>
                <w:rFonts w:ascii="宋体" w:hAnsi="宋体" w:cs="宋体" w:eastAsia="宋体" w:hint="default"/>
                <w:sz w:val="21"/>
                <w:szCs w:val="21"/>
              </w:rPr>
              <w:t>的其他应收款。</w:t>
            </w:r>
          </w:p>
        </w:tc>
      </w:tr>
      <w:tr>
        <w:trPr>
          <w:trHeight w:val="660" w:hRule="exact"/>
        </w:trPr>
        <w:tc>
          <w:tcPr>
            <w:tcW w:w="4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2"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4"/>
                <w:sz w:val="21"/>
                <w:szCs w:val="21"/>
              </w:rPr>
              <w:t>期末对于对单项金额重大的应收款项单独进行减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值测试，单独测试未发生减值的应收款项，包括在</w:t>
            </w:r>
          </w:p>
        </w:tc>
      </w:tr>
    </w:tbl>
    <w:p>
      <w:pPr>
        <w:spacing w:after="0" w:line="273"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12"/>
        <w:rPr>
          <w:rFonts w:ascii="宋体" w:hAnsi="宋体" w:cs="宋体" w:eastAsia="宋体" w:hint="default"/>
          <w:sz w:val="27"/>
          <w:szCs w:val="27"/>
        </w:rPr>
      </w:pPr>
    </w:p>
    <w:p>
      <w:pPr>
        <w:spacing w:line="1312" w:lineRule="exact"/>
        <w:ind w:left="146" w:right="0" w:firstLine="0"/>
        <w:rPr>
          <w:rFonts w:ascii="宋体" w:hAnsi="宋体" w:cs="宋体" w:eastAsia="宋体" w:hint="default"/>
          <w:sz w:val="20"/>
          <w:szCs w:val="20"/>
        </w:rPr>
      </w:pPr>
      <w:r>
        <w:rPr>
          <w:rFonts w:ascii="宋体" w:hAnsi="宋体" w:cs="宋体" w:eastAsia="宋体" w:hint="default"/>
          <w:position w:val="-25"/>
          <w:sz w:val="20"/>
          <w:szCs w:val="20"/>
        </w:rPr>
        <w:pict>
          <v:group style="width:447.4pt;height:65.650pt;mso-position-horizontal-relative:char;mso-position-vertical-relative:line" coordorigin="0,0" coordsize="8948,1313">
            <v:group style="position:absolute;left:14;top:14;width:4382;height:2" coordorigin="14,14" coordsize="4382,2">
              <v:shape style="position:absolute;left:14;top:14;width:4382;height:2" coordorigin="14,14" coordsize="4382,0" path="m14,14l4396,14e" filled="false" stroked="true" strokeweight=".72pt" strokecolor="#000000">
                <v:path arrowok="t"/>
              </v:shape>
            </v:group>
            <v:group style="position:absolute;left:4411;top:14;width:4522;height:2" coordorigin="4411,14" coordsize="4522,2">
              <v:shape style="position:absolute;left:4411;top:14;width:4522;height:2" coordorigin="4411,14" coordsize="4522,0" path="m4411,14l8933,14e" filled="false" stroked="true" strokeweight=".72pt" strokecolor="#000000">
                <v:path arrowok="t"/>
              </v:shape>
            </v:group>
            <v:group style="position:absolute;left:7;top:7;width:2;height:1299" coordorigin="7,7" coordsize="2,1299">
              <v:shape style="position:absolute;left:7;top:7;width:2;height:1299" coordorigin="7,7" coordsize="0,1299" path="m7,7l7,1306e" filled="false" stroked="true" strokeweight=".72pt" strokecolor="#000000">
                <v:path arrowok="t"/>
              </v:shape>
            </v:group>
            <v:group style="position:absolute;left:14;top:1298;width:4382;height:2" coordorigin="14,1298" coordsize="4382,2">
              <v:shape style="position:absolute;left:14;top:1298;width:4382;height:2" coordorigin="14,1298" coordsize="4382,0" path="m14,1298l4396,1298e" filled="false" stroked="true" strokeweight=".72pt" strokecolor="#000000">
                <v:path arrowok="t"/>
              </v:shape>
            </v:group>
            <v:group style="position:absolute;left:4404;top:7;width:2;height:1299" coordorigin="4404,7" coordsize="2,1299">
              <v:shape style="position:absolute;left:4404;top:7;width:2;height:1299" coordorigin="4404,7" coordsize="0,1299" path="m4404,7l4404,1306e" filled="false" stroked="true" strokeweight=".72pt" strokecolor="#000000">
                <v:path arrowok="t"/>
              </v:shape>
            </v:group>
            <v:group style="position:absolute;left:4411;top:1298;width:4522;height:2" coordorigin="4411,1298" coordsize="4522,2">
              <v:shape style="position:absolute;left:4411;top:1298;width:4522;height:2" coordorigin="4411,1298" coordsize="4522,0" path="m4411,1298l8933,1298e" filled="false" stroked="true" strokeweight=".72pt" strokecolor="#000000">
                <v:path arrowok="t"/>
              </v:shape>
            </v:group>
            <v:group style="position:absolute;left:8940;top:7;width:2;height:1299" coordorigin="8940,7" coordsize="2,1299">
              <v:shape style="position:absolute;left:8940;top:7;width:2;height:1299" coordorigin="8940,7" coordsize="0,1299" path="m8940,7l8940,1306e" filled="false" stroked="true" strokeweight=".72pt" strokecolor="#000000">
                <v:path arrowok="t"/>
              </v:shape>
              <v:shape style="position:absolute;left:4404;top:14;width:4537;height:1284" type="#_x0000_t202" filled="false" stroked="false">
                <v:textbox inset="0,0,0,0">
                  <w:txbxContent>
                    <w:p>
                      <w:pPr>
                        <w:spacing w:line="273" w:lineRule="auto" w:before="3"/>
                        <w:ind w:left="9" w:right="8" w:firstLine="0"/>
                        <w:jc w:val="both"/>
                        <w:rPr>
                          <w:rFonts w:ascii="宋体" w:hAnsi="宋体" w:cs="宋体" w:eastAsia="宋体" w:hint="default"/>
                          <w:sz w:val="21"/>
                          <w:szCs w:val="21"/>
                        </w:rPr>
                      </w:pPr>
                      <w:r>
                        <w:rPr>
                          <w:rFonts w:ascii="宋体" w:hAnsi="宋体" w:cs="宋体" w:eastAsia="宋体" w:hint="default"/>
                          <w:spacing w:val="4"/>
                          <w:sz w:val="21"/>
                          <w:szCs w:val="21"/>
                        </w:rPr>
                        <w:t>具有类似信用风险特征的应收款项组合中进行减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值测试。单项测试已确认减值损失的应收款项，不</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再包括在具有类似信用风险特征的应收款项组合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中进行减值测试。</w:t>
                      </w:r>
                    </w:p>
                  </w:txbxContent>
                </v:textbox>
                <w10:wrap type="none"/>
              </v:shape>
            </v:group>
          </v:group>
        </w:pict>
      </w:r>
      <w:r>
        <w:rPr>
          <w:rFonts w:ascii="宋体" w:hAnsi="宋体" w:cs="宋体" w:eastAsia="宋体" w:hint="default"/>
          <w:position w:val="-25"/>
          <w:sz w:val="20"/>
          <w:szCs w:val="20"/>
        </w:rPr>
      </w:r>
    </w:p>
    <w:p>
      <w:pPr>
        <w:spacing w:line="240" w:lineRule="auto" w:before="0"/>
        <w:rPr>
          <w:rFonts w:ascii="宋体" w:hAnsi="宋体" w:cs="宋体" w:eastAsia="宋体" w:hint="default"/>
          <w:sz w:val="20"/>
          <w:szCs w:val="20"/>
        </w:rPr>
      </w:pPr>
    </w:p>
    <w:p>
      <w:pPr>
        <w:pStyle w:val="BodyText"/>
        <w:spacing w:line="468" w:lineRule="exact" w:before="57"/>
        <w:ind w:left="574" w:right="0"/>
        <w:jc w:val="left"/>
      </w:pPr>
      <w:r>
        <w:rPr>
          <w:rFonts w:ascii="宋体" w:hAnsi="宋体" w:cs="宋体" w:eastAsia="宋体" w:hint="default"/>
        </w:rPr>
        <w:t>2</w:t>
      </w:r>
      <w:r>
        <w:rPr/>
        <w:t>）按信用风险组合计提坏账准备的应收款项 </w:t>
      </w:r>
      <w:r>
        <w:rPr>
          <w:spacing w:val="-1"/>
        </w:rPr>
        <w:t>对单项金额不重大以及金额重大但单项测试未发生减值的应收款项，按信用风险特征的相似性和相关</w:t>
      </w:r>
    </w:p>
    <w:p>
      <w:pPr>
        <w:pStyle w:val="BodyText"/>
        <w:spacing w:line="248" w:lineRule="exact"/>
        <w:ind w:right="0"/>
        <w:jc w:val="left"/>
      </w:pPr>
      <w:r>
        <w:rPr>
          <w:spacing w:val="3"/>
        </w:rPr>
        <w:t>性对金融资产进行分组。这些信用风险通常反映债务人按照该等资产的合同条款偿还所有到期金额的能</w:t>
      </w:r>
    </w:p>
    <w:p>
      <w:pPr>
        <w:pStyle w:val="BodyText"/>
        <w:spacing w:line="410" w:lineRule="auto" w:before="37"/>
        <w:ind w:left="574" w:right="6132" w:hanging="420"/>
        <w:jc w:val="left"/>
      </w:pPr>
      <w:r>
        <w:rPr/>
        <w:t>力，并且与被检查资产的未来现金流量测算相关。 </w:t>
      </w:r>
      <w:r>
        <w:rPr>
          <w:rFonts w:ascii="宋体" w:hAnsi="宋体" w:cs="宋体" w:eastAsia="宋体" w:hint="default"/>
        </w:rPr>
        <w:t>A.</w:t>
      </w:r>
      <w:r>
        <w:rPr>
          <w:rFonts w:ascii="宋体" w:hAnsi="宋体" w:cs="宋体" w:eastAsia="宋体" w:hint="default"/>
          <w:spacing w:val="-1"/>
        </w:rPr>
        <w:t> </w:t>
      </w:r>
      <w:r>
        <w:rPr/>
        <w:t>不同组合的确定依据：</w:t>
      </w:r>
    </w:p>
    <w:p>
      <w:pPr>
        <w:spacing w:line="240" w:lineRule="auto" w:before="8"/>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2944"/>
        <w:gridCol w:w="6129"/>
      </w:tblGrid>
      <w:tr>
        <w:trPr>
          <w:trHeight w:val="34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612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确定组合的依据</w:t>
            </w:r>
            <w:r>
              <w:rPr>
                <w:rFonts w:ascii="宋体" w:hAnsi="宋体" w:cs="宋体" w:eastAsia="宋体" w:hint="default"/>
                <w:sz w:val="21"/>
                <w:szCs w:val="21"/>
              </w:rPr>
            </w:r>
          </w:p>
        </w:tc>
      </w:tr>
      <w:tr>
        <w:trPr>
          <w:trHeight w:val="34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组合一</w:t>
            </w:r>
          </w:p>
        </w:tc>
        <w:tc>
          <w:tcPr>
            <w:tcW w:w="612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按账龄分析法对本组合的应收款项计提坏账准备</w:t>
            </w:r>
          </w:p>
        </w:tc>
      </w:tr>
      <w:tr>
        <w:trPr>
          <w:trHeight w:val="972"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组合二</w:t>
            </w:r>
          </w:p>
        </w:tc>
        <w:tc>
          <w:tcPr>
            <w:tcW w:w="61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both"/>
              <w:rPr>
                <w:rFonts w:ascii="宋体" w:hAnsi="宋体" w:cs="宋体" w:eastAsia="宋体" w:hint="default"/>
                <w:sz w:val="21"/>
                <w:szCs w:val="21"/>
              </w:rPr>
            </w:pPr>
            <w:r>
              <w:rPr>
                <w:rFonts w:ascii="宋体" w:hAnsi="宋体" w:cs="宋体" w:eastAsia="宋体" w:hint="default"/>
                <w:sz w:val="21"/>
                <w:szCs w:val="21"/>
              </w:rPr>
              <w:t>本组合按债务单位的信用风险特征划分，主要包括应收纳入合并范</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围本公司关联方、政府部门及合作方保证金、定金等类别的款项，</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此类款项发生坏账损失的可能性极小</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left="574" w:right="0"/>
        <w:jc w:val="left"/>
      </w:pPr>
      <w:r>
        <w:rPr>
          <w:rFonts w:ascii="宋体" w:hAnsi="宋体" w:cs="宋体" w:eastAsia="宋体" w:hint="default"/>
        </w:rPr>
        <w:t>B</w:t>
      </w:r>
      <w:r>
        <w:rPr/>
        <w:t>．组合中，组合一采用账龄分析法计提坏账准备的组合计提方法：</w:t>
      </w:r>
    </w:p>
    <w:p>
      <w:pPr>
        <w:spacing w:line="240" w:lineRule="auto" w:before="13"/>
        <w:rPr>
          <w:rFonts w:ascii="宋体" w:hAnsi="宋体" w:cs="宋体" w:eastAsia="宋体" w:hint="default"/>
          <w:sz w:val="15"/>
          <w:szCs w:val="15"/>
        </w:rPr>
      </w:pPr>
    </w:p>
    <w:tbl>
      <w:tblPr>
        <w:tblW w:w="0" w:type="auto"/>
        <w:jc w:val="left"/>
        <w:tblInd w:w="146" w:type="dxa"/>
        <w:tblLayout w:type="fixed"/>
        <w:tblCellMar>
          <w:top w:w="0" w:type="dxa"/>
          <w:left w:w="0" w:type="dxa"/>
          <w:bottom w:w="0" w:type="dxa"/>
          <w:right w:w="0" w:type="dxa"/>
        </w:tblCellMar>
        <w:tblLook w:val="01E0"/>
      </w:tblPr>
      <w:tblGrid>
        <w:gridCol w:w="3207"/>
        <w:gridCol w:w="3032"/>
        <w:gridCol w:w="2816"/>
      </w:tblGrid>
      <w:tr>
        <w:trPr>
          <w:trHeight w:val="347" w:hRule="exact"/>
        </w:trPr>
        <w:tc>
          <w:tcPr>
            <w:tcW w:w="3207" w:type="dxa"/>
            <w:tcBorders>
              <w:top w:val="single" w:sz="6" w:space="0" w:color="000000"/>
              <w:left w:val="single" w:sz="6" w:space="0" w:color="000000"/>
              <w:bottom w:val="single" w:sz="6" w:space="0" w:color="000000"/>
              <w:right w:val="single" w:sz="6" w:space="0" w:color="000000"/>
            </w:tcBorders>
          </w:tcPr>
          <w:p>
            <w:pPr>
              <w:pStyle w:val="TableParagraph"/>
              <w:tabs>
                <w:tab w:pos="479"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账</w:t>
              <w:tab/>
            </w:r>
            <w:r>
              <w:rPr>
                <w:rFonts w:ascii="宋体" w:hAnsi="宋体" w:cs="宋体" w:eastAsia="宋体" w:hint="default"/>
                <w:b/>
                <w:bCs/>
                <w:sz w:val="21"/>
                <w:szCs w:val="21"/>
              </w:rPr>
              <w:t>龄</w:t>
            </w:r>
            <w:r>
              <w:rPr>
                <w:rFonts w:ascii="宋体" w:hAnsi="宋体" w:cs="宋体" w:eastAsia="宋体" w:hint="default"/>
                <w:sz w:val="21"/>
                <w:szCs w:val="21"/>
              </w:rPr>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1"/>
                <w:szCs w:val="21"/>
              </w:rPr>
            </w:pPr>
            <w:r>
              <w:rPr>
                <w:rFonts w:ascii="宋体" w:hAnsi="宋体" w:cs="宋体" w:eastAsia="宋体" w:hint="default"/>
                <w:b/>
                <w:bCs/>
                <w:sz w:val="21"/>
                <w:szCs w:val="21"/>
              </w:rPr>
              <w:t>应收账款计提比例（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1"/>
                <w:szCs w:val="21"/>
              </w:rPr>
            </w:pPr>
            <w:r>
              <w:rPr>
                <w:rFonts w:ascii="宋体" w:hAnsi="宋体" w:cs="宋体" w:eastAsia="宋体" w:hint="default"/>
                <w:b/>
                <w:bCs/>
                <w:sz w:val="21"/>
                <w:szCs w:val="21"/>
              </w:rPr>
              <w:t>其他应收款计提比例（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47" w:hRule="exact"/>
        </w:trPr>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年，下同）</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Times New Roman" w:hAnsi="Times New Roman" w:cs="Times New Roman" w:eastAsia="Times New Roman" w:hint="default"/>
                <w:sz w:val="21"/>
                <w:szCs w:val="21"/>
              </w:rPr>
            </w:pPr>
            <w:r>
              <w:rPr>
                <w:rFonts w:ascii="Times New Roman"/>
                <w:sz w:val="21"/>
              </w:rPr>
              <w:t>1</w:t>
            </w:r>
          </w:p>
        </w:tc>
      </w:tr>
      <w:tr>
        <w:trPr>
          <w:trHeight w:val="347" w:hRule="exact"/>
        </w:trPr>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10</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Times New Roman" w:hAnsi="Times New Roman" w:cs="Times New Roman" w:eastAsia="Times New Roman" w:hint="default"/>
                <w:sz w:val="21"/>
                <w:szCs w:val="21"/>
              </w:rPr>
            </w:pPr>
            <w:r>
              <w:rPr>
                <w:rFonts w:ascii="Times New Roman"/>
                <w:sz w:val="21"/>
              </w:rPr>
              <w:t>10</w:t>
            </w:r>
          </w:p>
        </w:tc>
      </w:tr>
      <w:tr>
        <w:trPr>
          <w:trHeight w:val="347" w:hRule="exact"/>
        </w:trPr>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Times New Roman" w:hAnsi="Times New Roman" w:cs="Times New Roman" w:eastAsia="Times New Roman" w:hint="default"/>
                <w:sz w:val="21"/>
                <w:szCs w:val="21"/>
              </w:rPr>
            </w:pPr>
            <w:r>
              <w:rPr>
                <w:rFonts w:ascii="Times New Roman"/>
                <w:sz w:val="21"/>
              </w:rPr>
              <w:t>20</w:t>
            </w:r>
          </w:p>
        </w:tc>
      </w:tr>
      <w:tr>
        <w:trPr>
          <w:trHeight w:val="347" w:hRule="exact"/>
        </w:trPr>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年</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30</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Times New Roman" w:hAnsi="Times New Roman" w:cs="Times New Roman" w:eastAsia="Times New Roman" w:hint="default"/>
                <w:sz w:val="21"/>
                <w:szCs w:val="21"/>
              </w:rPr>
            </w:pPr>
            <w:r>
              <w:rPr>
                <w:rFonts w:ascii="Times New Roman"/>
                <w:sz w:val="21"/>
              </w:rPr>
              <w:t>30</w:t>
            </w:r>
          </w:p>
        </w:tc>
      </w:tr>
      <w:tr>
        <w:trPr>
          <w:trHeight w:val="348" w:hRule="exact"/>
        </w:trPr>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宋体" w:hAnsi="宋体" w:cs="宋体" w:eastAsia="宋体" w:hint="default"/>
                <w:sz w:val="21"/>
                <w:szCs w:val="21"/>
              </w:rPr>
              <w:t>年</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50</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Times New Roman" w:hAnsi="Times New Roman" w:cs="Times New Roman" w:eastAsia="Times New Roman" w:hint="default"/>
                <w:sz w:val="21"/>
                <w:szCs w:val="21"/>
              </w:rPr>
            </w:pPr>
            <w:r>
              <w:rPr>
                <w:rFonts w:ascii="Times New Roman"/>
                <w:sz w:val="21"/>
              </w:rPr>
              <w:t>50</w:t>
            </w:r>
          </w:p>
        </w:tc>
      </w:tr>
      <w:tr>
        <w:trPr>
          <w:trHeight w:val="347" w:hRule="exact"/>
        </w:trPr>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100</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left="574" w:right="0"/>
        <w:jc w:val="left"/>
      </w:pPr>
      <w:r>
        <w:rPr/>
        <w:t>三、本次会计估计变更对公司的影响</w:t>
      </w:r>
    </w:p>
    <w:p>
      <w:pPr>
        <w:spacing w:line="240" w:lineRule="auto" w:before="11"/>
        <w:rPr>
          <w:rFonts w:ascii="宋体" w:hAnsi="宋体" w:cs="宋体" w:eastAsia="宋体" w:hint="default"/>
          <w:sz w:val="14"/>
          <w:szCs w:val="14"/>
        </w:rPr>
      </w:pPr>
    </w:p>
    <w:p>
      <w:pPr>
        <w:pStyle w:val="BodyText"/>
        <w:spacing w:line="273" w:lineRule="auto"/>
        <w:ind w:right="1132" w:firstLine="420"/>
        <w:jc w:val="both"/>
      </w:pPr>
      <w:r>
        <w:rPr/>
        <w:t>根据《企业会计准则第 </w:t>
      </w:r>
      <w:r>
        <w:rPr>
          <w:rFonts w:ascii="宋体" w:hAnsi="宋体" w:cs="宋体" w:eastAsia="宋体" w:hint="default"/>
        </w:rPr>
        <w:t>28</w:t>
      </w:r>
      <w:r>
        <w:rPr>
          <w:rFonts w:ascii="宋体" w:hAnsi="宋体" w:cs="宋体" w:eastAsia="宋体" w:hint="default"/>
          <w:spacing w:val="68"/>
        </w:rPr>
        <w:t> </w:t>
      </w:r>
      <w:r>
        <w:rPr/>
        <w:t>号</w:t>
      </w:r>
      <w:r>
        <w:rPr>
          <w:rFonts w:ascii="宋体" w:hAnsi="宋体" w:cs="宋体" w:eastAsia="宋体" w:hint="default"/>
        </w:rPr>
        <w:t>---</w:t>
      </w:r>
      <w:r>
        <w:rPr/>
        <w:t>会计政策、会计估计变更和差错更正》的规定，公司对应收款项重 </w:t>
      </w:r>
      <w:r>
        <w:rPr>
          <w:spacing w:val="-1"/>
        </w:rPr>
        <w:t>大金额标准及应收款项组合风险中坏账准备计提比例的变更属于会计估计变更，应采用未来适用法进行会</w:t>
      </w:r>
      <w:r>
        <w:rPr>
          <w:spacing w:val="-81"/>
        </w:rPr>
        <w:t> </w:t>
      </w:r>
      <w:r>
        <w:rPr>
          <w:spacing w:val="-81"/>
        </w:rPr>
      </w:r>
      <w:r>
        <w:rPr/>
        <w:t>计处理，不会对以往各年度财务状况和经营成果产生影响，无需进行追溯调整。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2"/>
        <w:spacing w:line="240" w:lineRule="auto"/>
        <w:ind w:right="0"/>
        <w:jc w:val="left"/>
        <w:rPr>
          <w:b w:val="0"/>
          <w:bCs w:val="0"/>
        </w:rPr>
      </w:pPr>
      <w:bookmarkStart w:name="七、报告期内发生重大会计差错更正需追溯重述的情况说明" w:id="73"/>
      <w:bookmarkEnd w:id="73"/>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公司报告期无重大会计差错更正需追溯重述的情况。</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八、与上年度财务报告相比，合并报表范围发生变化的情况说明" w:id="74"/>
      <w:bookmarkEnd w:id="74"/>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57" w:lineRule="auto" w:before="156"/>
        <w:ind w:left="577" w:right="2562"/>
        <w:jc w:val="left"/>
      </w:pPr>
      <w:r>
        <w:rPr/>
        <w:t>本公司</w:t>
      </w:r>
      <w:r>
        <w:rPr>
          <w:rFonts w:ascii="Times New Roman" w:hAnsi="Times New Roman" w:cs="Times New Roman" w:eastAsia="Times New Roman" w:hint="default"/>
        </w:rPr>
        <w:t>2018</w:t>
      </w:r>
      <w:r>
        <w:rPr/>
        <w:t>年纳入合并范围的子公司共</w:t>
      </w:r>
      <w:r>
        <w:rPr>
          <w:rFonts w:ascii="Times New Roman" w:hAnsi="Times New Roman" w:cs="Times New Roman" w:eastAsia="Times New Roman" w:hint="default"/>
        </w:rPr>
        <w:t>48</w:t>
      </w:r>
      <w:r>
        <w:rPr/>
        <w:t>户，较上期增加</w:t>
      </w:r>
      <w:r>
        <w:rPr>
          <w:rFonts w:ascii="Times New Roman" w:hAnsi="Times New Roman" w:cs="Times New Roman" w:eastAsia="Times New Roman" w:hint="default"/>
        </w:rPr>
        <w:t>12</w:t>
      </w:r>
      <w:r>
        <w:rPr/>
        <w:t>户，减少</w:t>
      </w:r>
      <w:r>
        <w:rPr>
          <w:rFonts w:ascii="Times New Roman" w:hAnsi="Times New Roman" w:cs="Times New Roman" w:eastAsia="Times New Roman" w:hint="default"/>
        </w:rPr>
        <w:t>3</w:t>
      </w:r>
      <w:r>
        <w:rPr/>
        <w:t>户。 </w:t>
      </w:r>
      <w:r>
        <w:rPr>
          <w:rFonts w:ascii="Times New Roman" w:hAnsi="Times New Roman" w:cs="Times New Roman" w:eastAsia="Times New Roman" w:hint="default"/>
        </w:rPr>
        <w:t>1</w:t>
      </w:r>
      <w:r>
        <w:rPr/>
        <w:t>、非同一控制下企业合并 本期非同一控制下企业合并子公司共计</w:t>
      </w:r>
      <w:r>
        <w:rPr>
          <w:rFonts w:ascii="Times New Roman" w:hAnsi="Times New Roman" w:cs="Times New Roman" w:eastAsia="Times New Roman" w:hint="default"/>
        </w:rPr>
        <w:t>1</w:t>
      </w:r>
      <w:r>
        <w:rPr/>
        <w:t>家，为京蓝环境建设（北京）有限公司。 </w:t>
      </w:r>
      <w:r>
        <w:rPr>
          <w:rFonts w:ascii="Times New Roman" w:hAnsi="Times New Roman" w:cs="Times New Roman" w:eastAsia="Times New Roman" w:hint="default"/>
        </w:rPr>
        <w:t>2</w:t>
      </w:r>
      <w:r>
        <w:rPr/>
        <w:t>、其他原因的合并范围变动</w:t>
      </w:r>
    </w:p>
    <w:p>
      <w:pPr>
        <w:pStyle w:val="BodyText"/>
        <w:spacing w:line="268" w:lineRule="auto" w:before="123"/>
        <w:ind w:right="1131" w:firstLine="423"/>
        <w:jc w:val="both"/>
      </w:pPr>
      <w:r>
        <w:rPr>
          <w:spacing w:val="-1"/>
        </w:rPr>
        <w:t>本期新纳入合并范围内的新设子公司共计</w:t>
      </w:r>
      <w:r>
        <w:rPr>
          <w:rFonts w:ascii="Times New Roman" w:hAnsi="Times New Roman" w:cs="Times New Roman" w:eastAsia="Times New Roman" w:hint="default"/>
          <w:spacing w:val="-1"/>
        </w:rPr>
        <w:t>11</w:t>
      </w:r>
      <w:r>
        <w:rPr>
          <w:spacing w:val="-1"/>
        </w:rPr>
        <w:t>家，分别为：京蓝科技研究有限公司、京蓝国际工程有限</w:t>
      </w:r>
      <w:r>
        <w:rPr/>
        <w:t> </w:t>
      </w:r>
      <w:r>
        <w:rPr>
          <w:spacing w:val="-1"/>
        </w:rPr>
        <w:t>公司、京蓝沐禾巨鹿田田通农业供水有限公司、京蓝沐禾（中卫）灌溉服务有限公司、京蓝沐禾（赤峰市</w:t>
      </w:r>
      <w:r>
        <w:rPr>
          <w:spacing w:val="-83"/>
        </w:rPr>
        <w:t> </w:t>
      </w:r>
      <w:r>
        <w:rPr>
          <w:spacing w:val="-83"/>
        </w:rPr>
      </w:r>
      <w:r>
        <w:rPr>
          <w:spacing w:val="-1"/>
        </w:rPr>
        <w:t>松山区）农业供水有限公司、京蓝沐禾（东阿县）节水灌溉科技有限公司、京蓝沐禾（贺兰县）灌溉服务</w:t>
      </w:r>
      <w:r>
        <w:rPr>
          <w:spacing w:val="-84"/>
        </w:rPr>
        <w:t> </w:t>
      </w:r>
      <w:r>
        <w:rPr>
          <w:spacing w:val="-84"/>
        </w:rPr>
      </w:r>
      <w:r>
        <w:rPr>
          <w:spacing w:val="-1"/>
        </w:rPr>
        <w:t>有限公司、京蓝沐禾（丘北）节水灌溉有限责任公司、京蓝沐禾（宁城县）农业供水有限公司、汤阴京蓝</w:t>
      </w:r>
      <w:r>
        <w:rPr>
          <w:spacing w:val="-85"/>
        </w:rPr>
        <w:t> </w:t>
      </w:r>
      <w:r>
        <w:rPr>
          <w:spacing w:val="-85"/>
        </w:rPr>
      </w:r>
      <w:r>
        <w:rPr/>
        <w:t>建设有限公司和驻马店市京蓝北方建设工程有限公司。</w:t>
      </w:r>
    </w:p>
    <w:p>
      <w:pPr>
        <w:pStyle w:val="BodyText"/>
        <w:spacing w:line="240" w:lineRule="auto" w:before="132"/>
        <w:ind w:left="577" w:right="0"/>
        <w:jc w:val="left"/>
      </w:pPr>
      <w:r>
        <w:rPr/>
        <w:t>本期注销的子公司共计</w:t>
      </w:r>
      <w:r>
        <w:rPr>
          <w:rFonts w:ascii="Times New Roman" w:hAnsi="Times New Roman" w:cs="Times New Roman" w:eastAsia="Times New Roman" w:hint="default"/>
        </w:rPr>
        <w:t>2</w:t>
      </w:r>
      <w:r>
        <w:rPr/>
        <w:t>家，分别为：甘肃京蓝生态科技有限公司、内蒙古润禾节水工程设备有限公</w:t>
      </w:r>
    </w:p>
    <w:p>
      <w:pPr>
        <w:pStyle w:val="BodyText"/>
        <w:spacing w:line="240" w:lineRule="auto" w:before="21"/>
        <w:ind w:right="0"/>
        <w:jc w:val="left"/>
      </w:pPr>
      <w:r>
        <w:rPr/>
        <w:t>司。</w:t>
      </w:r>
    </w:p>
    <w:p>
      <w:pPr>
        <w:spacing w:line="240" w:lineRule="auto" w:before="4"/>
        <w:rPr>
          <w:rFonts w:ascii="宋体" w:hAnsi="宋体" w:cs="宋体" w:eastAsia="宋体" w:hint="default"/>
          <w:sz w:val="9"/>
          <w:szCs w:val="9"/>
        </w:rPr>
      </w:pPr>
    </w:p>
    <w:p>
      <w:pPr>
        <w:pStyle w:val="BodyText"/>
        <w:spacing w:line="240" w:lineRule="auto" w:before="35"/>
        <w:ind w:left="577" w:right="0"/>
        <w:jc w:val="left"/>
      </w:pPr>
      <w:r>
        <w:rPr/>
        <w:t>本期对外出售的子公司共计</w:t>
      </w:r>
      <w:r>
        <w:rPr>
          <w:rFonts w:ascii="Times New Roman" w:hAnsi="Times New Roman" w:cs="Times New Roman" w:eastAsia="Times New Roman" w:hint="default"/>
        </w:rPr>
        <w:t>1</w:t>
      </w:r>
      <w:r>
        <w:rPr/>
        <w:t>家，为林州京蓝能科余热发电有限公司。</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2"/>
        <w:spacing w:line="240" w:lineRule="auto" w:before="155"/>
        <w:ind w:right="0"/>
        <w:jc w:val="left"/>
        <w:rPr>
          <w:b w:val="0"/>
          <w:bCs w:val="0"/>
        </w:rPr>
      </w:pPr>
      <w:bookmarkStart w:name="九、聘任、解聘会计师事务所情况" w:id="75"/>
      <w:bookmarkEnd w:id="75"/>
      <w:r>
        <w:rPr>
          <w:b w:val="0"/>
          <w:bCs w:val="0"/>
        </w:rPr>
      </w:r>
      <w:r>
        <w:rPr/>
        <w:t>九、聘任、解聘会计师事务所情况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王凤岐、张猛勇</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6"/>
        <w:ind w:left="154" w:right="62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line="338" w:lineRule="auto" w:before="41"/>
        <w:ind w:left="154" w:right="19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报告期内，公司聘请中兴财光华会计师事务所（特殊普通合伙）为公司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年度内控审计机构，费用为</w:t>
      </w:r>
      <w:r>
        <w:rPr>
          <w:rFonts w:ascii="Times New Roman" w:hAnsi="Times New Roman" w:cs="Times New Roman" w:eastAsia="Times New Roman" w:hint="default"/>
          <w:sz w:val="18"/>
          <w:szCs w:val="18"/>
        </w:rPr>
        <w:t>45</w:t>
      </w:r>
      <w:r>
        <w:rPr>
          <w:rFonts w:ascii="宋体" w:hAnsi="宋体" w:cs="宋体" w:eastAsia="宋体" w:hint="default"/>
          <w:sz w:val="18"/>
          <w:szCs w:val="18"/>
        </w:rPr>
        <w:t>万元。</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r>
        <w:rPr/>
        <w:pict>
          <v:shape style="position:absolute;margin-left:101.757004pt;margin-top:570.820007pt;width:86.25pt;height:84.85pt;mso-position-horizontal-relative:page;mso-position-vertical-relative:page;z-index:-154120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1"/>
                    <w:ind w:left="0" w:right="0" w:firstLine="0"/>
                    <w:jc w:val="left"/>
                    <w:rPr>
                      <w:rFonts w:ascii="宋体" w:hAnsi="宋体" w:cs="宋体" w:eastAsia="宋体" w:hint="default"/>
                      <w:sz w:val="18"/>
                      <w:szCs w:val="18"/>
                    </w:rPr>
                  </w:pPr>
                  <w:r>
                    <w:rPr>
                      <w:rFonts w:ascii="宋体" w:hAnsi="宋体" w:cs="宋体" w:eastAsia="宋体" w:hint="default"/>
                      <w:sz w:val="18"/>
                      <w:szCs w:val="18"/>
                    </w:rPr>
                    <w:t>（被告）</w:t>
                  </w:r>
                </w:p>
              </w:txbxContent>
            </v:textbox>
            <w10:wrap type="none"/>
          </v:shape>
        </w:pict>
      </w:r>
      <w:r>
        <w:rPr/>
        <w:pict>
          <v:group style="position:absolute;margin-left:134.960007pt;margin-top:570.820007pt;width:53.05pt;height:84.85pt;mso-position-horizontal-relative:page;mso-position-vertical-relative:page;z-index:-1541176" coordorigin="2699,11416" coordsize="1061,1697">
            <v:shape style="position:absolute;left:2699;top:11416;width:1061;height:1697" coordorigin="2699,11416" coordsize="1061,1697" path="m2699,13113l3760,13113,3760,11416,2699,11416,2699,13113xe" filled="true" fillcolor="#ffffff" stroked="false">
              <v:path arrowok="t"/>
              <v:fill type="solid"/>
            </v:shape>
            <w10:wrap type="none"/>
          </v:group>
        </w:pict>
      </w:r>
    </w:p>
    <w:p>
      <w:pPr>
        <w:pStyle w:val="Heading2"/>
        <w:spacing w:line="240" w:lineRule="auto" w:before="26"/>
        <w:ind w:right="0"/>
        <w:jc w:val="left"/>
        <w:rPr>
          <w:b w:val="0"/>
          <w:bCs w:val="0"/>
        </w:rPr>
      </w:pPr>
      <w:bookmarkStart w:name="十、年度报告披露后面临暂停上市和终止上市情况" w:id="76"/>
      <w:bookmarkEnd w:id="76"/>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7"/>
      <w:bookmarkEnd w:id="77"/>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8"/>
      <w:bookmarkEnd w:id="78"/>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60"/>
        <w:gridCol w:w="305"/>
        <w:gridCol w:w="767"/>
        <w:gridCol w:w="1248"/>
        <w:gridCol w:w="938"/>
        <w:gridCol w:w="1374"/>
        <w:gridCol w:w="1248"/>
        <w:gridCol w:w="1064"/>
        <w:gridCol w:w="1063"/>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684" w:right="84"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0" w:right="23" w:hanging="328"/>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7" w:right="78"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84" w:right="42"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1" w:right="80"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68" w:right="108"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89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合肥澳沃电子科技 有限责任公司、夏 胜林向京蓝云智购 买电脑并签订购销 合同，京蓝云智供 货后，对方未支付 货款，京蓝云智起 诉要求判决支付货 款及逾期利息。</w:t>
            </w:r>
          </w:p>
        </w:tc>
        <w:tc>
          <w:tcPr>
            <w:tcW w:w="10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633" w:right="0"/>
              <w:jc w:val="left"/>
              <w:rPr>
                <w:rFonts w:ascii="Times New Roman" w:hAnsi="Times New Roman" w:cs="Times New Roman" w:eastAsia="Times New Roman" w:hint="default"/>
                <w:sz w:val="18"/>
                <w:szCs w:val="18"/>
              </w:rPr>
            </w:pPr>
            <w:r>
              <w:rPr>
                <w:rFonts w:ascii="Times New Roman"/>
                <w:sz w:val="18"/>
              </w:rPr>
              <w:t>267.2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判决支持 我方诉讼 </w:t>
            </w:r>
            <w:r>
              <w:rPr>
                <w:rFonts w:ascii="宋体" w:hAnsi="宋体" w:cs="宋体" w:eastAsia="宋体" w:hint="default"/>
                <w:spacing w:val="-4"/>
                <w:sz w:val="18"/>
                <w:szCs w:val="18"/>
              </w:rPr>
              <w:t>请求，我方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已申请执 </w:t>
            </w:r>
            <w:r>
              <w:rPr>
                <w:rFonts w:ascii="宋体" w:hAnsi="宋体" w:cs="宋体" w:eastAsia="宋体" w:hint="default"/>
                <w:spacing w:val="-4"/>
                <w:sz w:val="18"/>
                <w:szCs w:val="18"/>
              </w:rPr>
              <w:t>行，并将被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告夏胜林 列为失信 被执行人</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79"/>
              <w:jc w:val="both"/>
              <w:rPr>
                <w:rFonts w:ascii="宋体" w:hAnsi="宋体" w:cs="宋体" w:eastAsia="宋体" w:hint="default"/>
                <w:sz w:val="18"/>
                <w:szCs w:val="18"/>
              </w:rPr>
            </w:pPr>
            <w:r>
              <w:rPr>
                <w:rFonts w:ascii="宋体" w:hAnsi="宋体" w:cs="宋体" w:eastAsia="宋体" w:hint="default"/>
                <w:sz w:val="18"/>
                <w:szCs w:val="18"/>
              </w:rPr>
              <w:t>判决支持我方诉 讼请求，我方已 申请执行，并将 被告夏胜林列为 失信被执行人</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22"/>
              <w:jc w:val="left"/>
              <w:rPr>
                <w:rFonts w:ascii="宋体" w:hAnsi="宋体" w:cs="宋体" w:eastAsia="宋体" w:hint="default"/>
                <w:sz w:val="18"/>
                <w:szCs w:val="18"/>
              </w:rPr>
            </w:pPr>
            <w:r>
              <w:rPr>
                <w:rFonts w:ascii="宋体" w:hAnsi="宋体" w:cs="宋体" w:eastAsia="宋体" w:hint="default"/>
                <w:sz w:val="18"/>
                <w:szCs w:val="18"/>
              </w:rPr>
              <w:t>我方已申请执 </w:t>
            </w:r>
            <w:r>
              <w:rPr>
                <w:rFonts w:ascii="宋体" w:hAnsi="宋体" w:cs="宋体" w:eastAsia="宋体" w:hint="default"/>
                <w:spacing w:val="-10"/>
                <w:sz w:val="18"/>
                <w:szCs w:val="18"/>
              </w:rPr>
              <w:t>行，并将被告夏</w:t>
            </w:r>
            <w:r>
              <w:rPr>
                <w:rFonts w:ascii="宋体" w:hAnsi="宋体" w:cs="宋体" w:eastAsia="宋体" w:hint="default"/>
                <w:sz w:val="18"/>
                <w:szCs w:val="18"/>
              </w:rPr>
              <w:t> 胜林列为失信 被执行人</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京蓝沐禾将部分作 业承包给被告桑 杰，完工后，经双 方核算，桑杰欠我 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127.36 </w:t>
            </w:r>
            <w:r>
              <w:rPr>
                <w:rFonts w:ascii="宋体" w:hAnsi="宋体" w:cs="宋体" w:eastAsia="宋体" w:hint="default"/>
                <w:sz w:val="18"/>
                <w:szCs w:val="18"/>
              </w:rPr>
              <w:t>万元，后 原被告双方签订还 款协议书，被告尚 未还款。</w:t>
            </w:r>
          </w:p>
        </w:tc>
        <w:tc>
          <w:tcPr>
            <w:tcW w:w="10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43" w:right="0"/>
              <w:jc w:val="left"/>
              <w:rPr>
                <w:rFonts w:ascii="Times New Roman" w:hAnsi="Times New Roman" w:cs="Times New Roman" w:eastAsia="Times New Roman" w:hint="default"/>
                <w:sz w:val="18"/>
                <w:szCs w:val="18"/>
              </w:rPr>
            </w:pPr>
            <w:r>
              <w:rPr>
                <w:rFonts w:ascii="Times New Roman"/>
                <w:sz w:val="18"/>
              </w:rPr>
              <w:t>127.36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185"/>
              <w:jc w:val="left"/>
              <w:rPr>
                <w:rFonts w:ascii="宋体" w:hAnsi="宋体" w:cs="宋体" w:eastAsia="宋体" w:hint="default"/>
                <w:sz w:val="18"/>
                <w:szCs w:val="18"/>
              </w:rPr>
            </w:pPr>
            <w:r>
              <w:rPr>
                <w:rFonts w:ascii="宋体" w:hAnsi="宋体" w:cs="宋体" w:eastAsia="宋体" w:hint="default"/>
                <w:sz w:val="18"/>
                <w:szCs w:val="18"/>
              </w:rPr>
              <w:t>立案待开 庭</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待开庭</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尚未作出判决</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79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京蓝园林</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年承 建山东博兴植物园 景观绿化工程项目 初期阶段，因博兴 县人民政府 迟迟不能按照约定 提供有效的土地担 保，我公司考虑到 后期支付风险申请 终止合同，被告同 意终止，但后期被 告以各种理由对已</w:t>
            </w:r>
          </w:p>
        </w:tc>
        <w:tc>
          <w:tcPr>
            <w:tcW w:w="305" w:type="dxa"/>
            <w:tcBorders>
              <w:top w:val="single" w:sz="4" w:space="0" w:color="000000"/>
              <w:left w:val="single" w:sz="4" w:space="0" w:color="000000"/>
              <w:bottom w:val="single" w:sz="4" w:space="0" w:color="000000"/>
              <w:right w:val="nil" w:sz="6" w:space="0" w:color="auto"/>
            </w:tcBorders>
          </w:tcPr>
          <w:p>
            <w:pPr/>
          </w:p>
        </w:tc>
        <w:tc>
          <w:tcPr>
            <w:tcW w:w="76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43" w:right="0"/>
              <w:jc w:val="left"/>
              <w:rPr>
                <w:rFonts w:ascii="Times New Roman" w:hAnsi="Times New Roman" w:cs="Times New Roman" w:eastAsia="Times New Roman" w:hint="default"/>
                <w:sz w:val="18"/>
                <w:szCs w:val="18"/>
              </w:rPr>
            </w:pPr>
            <w:r>
              <w:rPr>
                <w:rFonts w:ascii="Times New Roman"/>
                <w:sz w:val="18"/>
              </w:rPr>
              <w:t>406.79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22" w:right="5"/>
              <w:jc w:val="left"/>
              <w:rPr>
                <w:rFonts w:ascii="宋体" w:hAnsi="宋体" w:cs="宋体" w:eastAsia="宋体" w:hint="default"/>
                <w:sz w:val="18"/>
                <w:szCs w:val="18"/>
              </w:rPr>
            </w:pPr>
            <w:r>
              <w:rPr>
                <w:rFonts w:ascii="宋体" w:hAnsi="宋体" w:cs="宋体" w:eastAsia="宋体" w:hint="default"/>
                <w:sz w:val="18"/>
                <w:szCs w:val="18"/>
              </w:rPr>
              <w:t>二审判决， 维持原判。</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二审判决，维持 原判。</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正在同被申请 人沟通还款事 </w:t>
            </w:r>
            <w:r>
              <w:rPr>
                <w:rFonts w:ascii="宋体" w:hAnsi="宋体" w:cs="宋体" w:eastAsia="宋体" w:hint="default"/>
                <w:spacing w:val="-10"/>
                <w:sz w:val="18"/>
                <w:szCs w:val="18"/>
              </w:rPr>
              <w:t>宜，由于当地财</w:t>
            </w:r>
            <w:r>
              <w:rPr>
                <w:rFonts w:ascii="宋体" w:hAnsi="宋体" w:cs="宋体" w:eastAsia="宋体" w:hint="default"/>
                <w:sz w:val="18"/>
                <w:szCs w:val="18"/>
              </w:rPr>
              <w:t> </w:t>
            </w:r>
            <w:r>
              <w:rPr>
                <w:rFonts w:ascii="宋体" w:hAnsi="宋体" w:cs="宋体" w:eastAsia="宋体" w:hint="default"/>
                <w:spacing w:val="-10"/>
                <w:sz w:val="18"/>
                <w:szCs w:val="18"/>
              </w:rPr>
              <w:t>政紧张，被申请</w:t>
            </w:r>
            <w:r>
              <w:rPr>
                <w:rFonts w:ascii="宋体" w:hAnsi="宋体" w:cs="宋体" w:eastAsia="宋体" w:hint="default"/>
                <w:sz w:val="18"/>
                <w:szCs w:val="18"/>
              </w:rPr>
              <w:t> 人希望分期还 款，如沟通未 </w:t>
            </w:r>
            <w:r>
              <w:rPr>
                <w:rFonts w:ascii="宋体" w:hAnsi="宋体" w:cs="宋体" w:eastAsia="宋体" w:hint="default"/>
                <w:spacing w:val="-10"/>
                <w:sz w:val="18"/>
                <w:szCs w:val="18"/>
              </w:rPr>
              <w:t>果，预计申请强</w:t>
            </w:r>
            <w:r>
              <w:rPr>
                <w:rFonts w:ascii="宋体" w:hAnsi="宋体" w:cs="宋体" w:eastAsia="宋体" w:hint="default"/>
                <w:sz w:val="18"/>
                <w:szCs w:val="18"/>
              </w:rPr>
              <w:t> 制执行。</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129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87"/>
              <w:jc w:val="left"/>
              <w:rPr>
                <w:rFonts w:ascii="宋体" w:hAnsi="宋体" w:cs="宋体" w:eastAsia="宋体" w:hint="default"/>
                <w:sz w:val="18"/>
                <w:szCs w:val="18"/>
              </w:rPr>
            </w:pPr>
            <w:r>
              <w:rPr>
                <w:rFonts w:ascii="宋体" w:hAnsi="宋体" w:cs="宋体" w:eastAsia="宋体" w:hint="default"/>
                <w:sz w:val="18"/>
                <w:szCs w:val="18"/>
              </w:rPr>
              <w:t>完工程量的结算及 支付工作进行推 脱，由此我方进行 诉讼。</w:t>
            </w:r>
          </w:p>
        </w:tc>
        <w:tc>
          <w:tcPr>
            <w:tcW w:w="107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601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月衡水绿 源园林绿化工程有 限公司（原告）就 其施工的中湖大道 项目部分工程在双 方未正式确认合格 工程量及工程价款 的前提下，原告按 其自行制定的工程 造价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1,579 </w:t>
            </w:r>
            <w:r>
              <w:rPr>
                <w:rFonts w:ascii="宋体" w:hAnsi="宋体" w:cs="宋体" w:eastAsia="宋体" w:hint="default"/>
                <w:sz w:val="18"/>
                <w:szCs w:val="18"/>
              </w:rPr>
              <w:t>万元将 京蓝园林（被告） 诉至衡水桃城法院 索要工程款并申请 诉前保全。后经法 院开庭审理，法庭 上原告无法提供我 方认可的工程量及 造价依据，双方进 行和解协商。</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一审中</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一审中</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尚未判决</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京蓝园林（被告） 承包的台北路塑石 假山景观工程，由 于京蓝园林与业主 就此项未进行最终 结算，故与烟台开 发区恒通绿源有限 公司（原告）也未 确定结算金额，后 原告按其自定造价 将我方诉至烟台经 济开发区人民法院</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147.32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一审中</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一审中</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尚未判决</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三、处罚及整改情况" w:id="79"/>
      <w:bookmarkEnd w:id="79"/>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78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80"/>
      <w:bookmarkEnd w:id="80"/>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五、公司股权激励计划、员工持股计划或其他员工激励措施的实施情况" w:id="81"/>
      <w:bookmarkEnd w:id="81"/>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44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六、重大关联交易" w:id="82"/>
      <w:bookmarkEnd w:id="82"/>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83"/>
      <w:bookmarkEnd w:id="83"/>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2、资产或股权收购、出售发生的关联交易" w:id="84"/>
      <w:bookmarkEnd w:id="84"/>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4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共同对外投资的关联交易" w:id="85"/>
      <w:bookmarkEnd w:id="85"/>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7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bookmarkStart w:name="4、关联债权债务往来" w:id="86"/>
      <w:bookmarkEnd w:id="86"/>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8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是否存在非经营性关联债权债务往来</w:t>
      </w:r>
    </w:p>
    <w:p>
      <w:pPr>
        <w:spacing w:line="340" w:lineRule="auto" w:before="42"/>
        <w:ind w:left="15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公司报告期不存在非经营性关联债权债务往来。</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5、其他重大关联交易" w:id="87"/>
      <w:bookmarkEnd w:id="87"/>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66" w:lineRule="auto" w:before="156"/>
        <w:ind w:right="1131" w:firstLine="420"/>
        <w:jc w:val="both"/>
      </w:pPr>
      <w:r>
        <w:rPr>
          <w:spacing w:val="-1"/>
        </w:rPr>
        <w:t>（</w:t>
      </w:r>
      <w:r>
        <w:rPr>
          <w:rFonts w:ascii="Times New Roman" w:hAnsi="Times New Roman" w:cs="Times New Roman" w:eastAsia="Times New Roman" w:hint="default"/>
          <w:spacing w:val="-1"/>
        </w:rPr>
        <w:t>1</w:t>
      </w:r>
      <w:r>
        <w:rPr>
          <w:spacing w:val="-1"/>
        </w:rPr>
        <w:t>）公司于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5</w:t>
      </w:r>
      <w:r>
        <w:rPr>
          <w:spacing w:val="-1"/>
        </w:rPr>
        <w:t>日、</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23</w:t>
      </w:r>
      <w:r>
        <w:rPr>
          <w:spacing w:val="-1"/>
        </w:rPr>
        <w:t>日分别召开了第八届董事会第四十二次会议、</w:t>
      </w:r>
      <w:r>
        <w:rPr>
          <w:rFonts w:ascii="Times New Roman" w:hAnsi="Times New Roman" w:cs="Times New Roman" w:eastAsia="Times New Roman" w:hint="default"/>
          <w:spacing w:val="-1"/>
        </w:rPr>
        <w:t>2018</w:t>
      </w:r>
      <w:r>
        <w:rPr>
          <w:spacing w:val="-1"/>
        </w:rPr>
        <w:t>年第二次临时股</w:t>
      </w:r>
      <w:r>
        <w:rPr/>
        <w:t> </w:t>
      </w:r>
      <w:r>
        <w:rPr>
          <w:spacing w:val="-1"/>
        </w:rPr>
        <w:t>东大会，审议通过了《关于公司控股子公司对外提供关联担保的议案》，为满足公司控股子公司京蓝北方</w:t>
      </w:r>
      <w:r>
        <w:rPr>
          <w:spacing w:val="-86"/>
        </w:rPr>
        <w:t> </w:t>
      </w:r>
      <w:r>
        <w:rPr>
          <w:spacing w:val="-86"/>
        </w:rPr>
      </w:r>
      <w:r>
        <w:rPr>
          <w:spacing w:val="-1"/>
        </w:rPr>
        <w:t>园林项目建设资金需求，京蓝北方园林拟为其参股项目公司赤峰市北创基础设施开发建设有限公司向光大</w:t>
      </w:r>
      <w:r>
        <w:rPr>
          <w:spacing w:val="-81"/>
        </w:rPr>
        <w:t> </w:t>
      </w:r>
      <w:r>
        <w:rPr>
          <w:spacing w:val="-81"/>
        </w:rPr>
      </w:r>
      <w:r>
        <w:rPr/>
        <w:t>银行呼和浩特分行贷款业务提供担保。</w:t>
      </w:r>
    </w:p>
    <w:p>
      <w:pPr>
        <w:pStyle w:val="BodyText"/>
        <w:spacing w:line="256" w:lineRule="auto" w:before="134"/>
        <w:ind w:right="1130" w:firstLine="420"/>
        <w:jc w:val="both"/>
      </w:pPr>
      <w:r>
        <w:rPr>
          <w:spacing w:val="-1"/>
        </w:rPr>
        <w:t>（</w:t>
      </w:r>
      <w:r>
        <w:rPr>
          <w:rFonts w:ascii="Times New Roman" w:hAnsi="Times New Roman" w:cs="Times New Roman" w:eastAsia="Times New Roman" w:hint="default"/>
          <w:spacing w:val="-1"/>
        </w:rPr>
        <w:t>2</w:t>
      </w:r>
      <w:r>
        <w:rPr>
          <w:spacing w:val="-1"/>
        </w:rPr>
        <w:t>）公司于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26</w:t>
      </w:r>
      <w:r>
        <w:rPr>
          <w:spacing w:val="-1"/>
        </w:rPr>
        <w:t>日召开了第八届董事会第四十八次会议，审议通过了《</w:t>
      </w:r>
      <w:r>
        <w:rPr>
          <w:rFonts w:ascii="Times New Roman" w:hAnsi="Times New Roman" w:cs="Times New Roman" w:eastAsia="Times New Roman" w:hint="default"/>
          <w:spacing w:val="-1"/>
        </w:rPr>
        <w:t>2018</w:t>
      </w:r>
      <w:r>
        <w:rPr>
          <w:spacing w:val="-1"/>
        </w:rPr>
        <w:t>年度日常关联交</w:t>
      </w:r>
      <w:r>
        <w:rPr/>
        <w:t> </w:t>
      </w:r>
      <w:r>
        <w:rPr>
          <w:spacing w:val="-5"/>
        </w:rPr>
        <w:t>易预计的议案》，主要包括公司及下属公司与关联方之间接受或提供劳务、房屋租赁等关联事项，预计</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41"/>
        </w:rPr>
        <w:t> </w:t>
      </w:r>
      <w:r>
        <w:rPr/>
        <w:t>年全年日常关联交易金额为</w:t>
      </w:r>
      <w:r>
        <w:rPr>
          <w:rFonts w:ascii="Times New Roman" w:hAnsi="Times New Roman" w:cs="Times New Roman" w:eastAsia="Times New Roman" w:hint="default"/>
        </w:rPr>
        <w:t>48,954.5</w:t>
      </w:r>
      <w:r>
        <w:rPr/>
        <w:t>万元。</w:t>
      </w:r>
    </w:p>
    <w:p>
      <w:pPr>
        <w:pStyle w:val="BodyText"/>
        <w:spacing w:line="256" w:lineRule="auto" w:before="125"/>
        <w:ind w:right="1132" w:firstLine="420"/>
        <w:jc w:val="both"/>
      </w:pPr>
      <w:r>
        <w:rPr>
          <w:spacing w:val="-1"/>
        </w:rPr>
        <w:t>（</w:t>
      </w:r>
      <w:r>
        <w:rPr>
          <w:rFonts w:ascii="Times New Roman" w:hAnsi="Times New Roman" w:cs="Times New Roman" w:eastAsia="Times New Roman" w:hint="default"/>
          <w:spacing w:val="-1"/>
        </w:rPr>
        <w:t>3</w:t>
      </w:r>
      <w:r>
        <w:rPr>
          <w:spacing w:val="-1"/>
        </w:rPr>
        <w:t>）公司于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21</w:t>
      </w:r>
      <w:r>
        <w:rPr>
          <w:spacing w:val="-1"/>
        </w:rPr>
        <w:t>日、</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22</w:t>
      </w:r>
      <w:r>
        <w:rPr>
          <w:spacing w:val="-1"/>
        </w:rPr>
        <w:t>日分别召开了第八届董事会第五十五次会议、</w:t>
      </w:r>
      <w:r>
        <w:rPr>
          <w:rFonts w:ascii="Times New Roman" w:hAnsi="Times New Roman" w:cs="Times New Roman" w:eastAsia="Times New Roman" w:hint="default"/>
          <w:spacing w:val="-1"/>
        </w:rPr>
        <w:t>2018</w:t>
      </w:r>
      <w:r>
        <w:rPr>
          <w:spacing w:val="-1"/>
        </w:rPr>
        <w:t>年第四次临时</w:t>
      </w:r>
      <w:r>
        <w:rPr/>
        <w:t> 股东大会审议通过了《关于</w:t>
      </w:r>
      <w:r>
        <w:rPr>
          <w:rFonts w:ascii="Times New Roman" w:hAnsi="Times New Roman" w:cs="Times New Roman" w:eastAsia="Times New Roman" w:hint="default"/>
        </w:rPr>
        <w:t>&lt;</w:t>
      </w:r>
      <w:r>
        <w:rPr/>
        <w:t>京蓝科技股份有限公司发行股份购买资产并募集配套资金暨关联交易报告书</w:t>
      </w:r>
    </w:p>
    <w:p>
      <w:pPr>
        <w:pStyle w:val="BodyText"/>
        <w:spacing w:line="256" w:lineRule="auto" w:before="5"/>
        <w:ind w:right="0"/>
        <w:jc w:val="left"/>
        <w:rPr>
          <w:rFonts w:ascii="Times New Roman" w:hAnsi="Times New Roman" w:cs="Times New Roman" w:eastAsia="Times New Roman" w:hint="default"/>
        </w:rPr>
      </w:pPr>
      <w:r>
        <w:rPr/>
        <w:t>（草案）</w:t>
      </w:r>
      <w:r>
        <w:rPr>
          <w:rFonts w:ascii="Times New Roman" w:hAnsi="Times New Roman" w:cs="Times New Roman" w:eastAsia="Times New Roman" w:hint="default"/>
        </w:rPr>
        <w:t>&gt;</w:t>
      </w:r>
      <w:r>
        <w:rPr/>
        <w:t>及其摘要的议案》等相关议案。公司拟通过发行股份的方式购买殷晓东等三十七名中科鼎实股</w:t>
      </w:r>
      <w:r>
        <w:rPr>
          <w:spacing w:val="-50"/>
        </w:rPr>
        <w:t> </w:t>
      </w:r>
      <w:r>
        <w:rPr>
          <w:spacing w:val="-50"/>
        </w:rPr>
      </w:r>
      <w:r>
        <w:rPr>
          <w:spacing w:val="-1"/>
        </w:rPr>
        <w:t>东合计持有的中科鼎实</w:t>
      </w:r>
      <w:r>
        <w:rPr>
          <w:rFonts w:ascii="Times New Roman" w:hAnsi="Times New Roman" w:cs="Times New Roman" w:eastAsia="Times New Roman" w:hint="default"/>
          <w:spacing w:val="-1"/>
        </w:rPr>
        <w:t>56.7152%</w:t>
      </w:r>
      <w:r>
        <w:rPr>
          <w:spacing w:val="-1"/>
        </w:rPr>
        <w:t>股份以下简称</w:t>
      </w:r>
      <w:r>
        <w:rPr>
          <w:rFonts w:ascii="Times New Roman" w:hAnsi="Times New Roman" w:cs="Times New Roman" w:eastAsia="Times New Roman" w:hint="default"/>
          <w:spacing w:val="-1"/>
        </w:rPr>
        <w:t>“</w:t>
      </w:r>
      <w:r>
        <w:rPr>
          <w:spacing w:val="-1"/>
        </w:rPr>
        <w:t>本次购买资产</w:t>
      </w:r>
      <w:r>
        <w:rPr>
          <w:rFonts w:ascii="Times New Roman" w:hAnsi="Times New Roman" w:cs="Times New Roman" w:eastAsia="Times New Roman" w:hint="default"/>
          <w:spacing w:val="-1"/>
        </w:rPr>
        <w:t>”</w:t>
      </w:r>
      <w:r>
        <w:rPr>
          <w:spacing w:val="-1"/>
        </w:rPr>
        <w:t>）；同时，公司拟采用询价方式向不超过</w:t>
      </w:r>
      <w:r>
        <w:rPr>
          <w:rFonts w:ascii="Times New Roman" w:hAnsi="Times New Roman" w:cs="Times New Roman" w:eastAsia="Times New Roman" w:hint="default"/>
          <w:spacing w:val="-1"/>
        </w:rPr>
        <w:t>10</w:t>
      </w:r>
    </w:p>
    <w:p>
      <w:pPr>
        <w:spacing w:after="0" w:line="256"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1"/>
        <w:rPr>
          <w:rFonts w:ascii="Times New Roman" w:hAnsi="Times New Roman" w:cs="Times New Roman" w:eastAsia="Times New Roman" w:hint="default"/>
          <w:sz w:val="28"/>
          <w:szCs w:val="28"/>
        </w:rPr>
      </w:pPr>
    </w:p>
    <w:p>
      <w:pPr>
        <w:pStyle w:val="BodyText"/>
        <w:spacing w:line="256" w:lineRule="auto" w:before="35"/>
        <w:ind w:right="0"/>
        <w:jc w:val="left"/>
      </w:pPr>
      <w:r>
        <w:rPr>
          <w:spacing w:val="-1"/>
        </w:rPr>
        <w:t>名特定对象非公开发行股份募集配套资金，募集配套资金总额不超过</w:t>
      </w:r>
      <w:r>
        <w:rPr>
          <w:rFonts w:ascii="Times New Roman" w:hAnsi="Times New Roman" w:cs="Times New Roman" w:eastAsia="Times New Roman" w:hint="default"/>
          <w:spacing w:val="-1"/>
        </w:rPr>
        <w:t>22,691.98</w:t>
      </w:r>
      <w:r>
        <w:rPr>
          <w:spacing w:val="-1"/>
        </w:rPr>
        <w:t>万元，不超过本次交易中以</w:t>
      </w:r>
      <w:r>
        <w:rPr>
          <w:spacing w:val="-78"/>
        </w:rPr>
        <w:t> </w:t>
      </w:r>
      <w:r>
        <w:rPr>
          <w:spacing w:val="-78"/>
        </w:rPr>
      </w:r>
      <w:r>
        <w:rPr/>
        <w:t>发行股份方式购买资产的交易价格的</w:t>
      </w:r>
      <w:r>
        <w:rPr>
          <w:rFonts w:ascii="Times New Roman" w:hAnsi="Times New Roman" w:cs="Times New Roman" w:eastAsia="Times New Roman" w:hint="default"/>
        </w:rPr>
        <w:t>100%</w:t>
      </w:r>
      <w:r>
        <w:rPr/>
        <w:t>。</w:t>
      </w:r>
    </w:p>
    <w:p>
      <w:pPr>
        <w:pStyle w:val="BodyText"/>
        <w:spacing w:line="256" w:lineRule="auto" w:before="125"/>
        <w:ind w:right="1132" w:firstLine="42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日，公司收到了中国证监会出具的《关于核准京蓝科技股份有限公司向殷晓东等发行股 </w:t>
      </w:r>
      <w:r>
        <w:rPr>
          <w:spacing w:val="-2"/>
        </w:rPr>
        <w:t>份购买资产并募集配套资金的批复》证监许可</w:t>
      </w:r>
      <w:r>
        <w:rPr>
          <w:rFonts w:ascii="Times New Roman" w:hAnsi="Times New Roman" w:cs="Times New Roman" w:eastAsia="Times New Roman" w:hint="default"/>
          <w:spacing w:val="-2"/>
        </w:rPr>
        <w:t>[2019]32</w:t>
      </w:r>
      <w:r>
        <w:rPr>
          <w:spacing w:val="-2"/>
        </w:rPr>
        <w:t>号）。</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21</w:t>
      </w:r>
      <w:r>
        <w:rPr>
          <w:spacing w:val="-2"/>
        </w:rPr>
        <w:t>日，公司就本次交易项下的标的</w:t>
      </w:r>
      <w:r>
        <w:rPr>
          <w:spacing w:val="-60"/>
        </w:rPr>
        <w:t> </w:t>
      </w:r>
      <w:r>
        <w:rPr>
          <w:spacing w:val="-60"/>
        </w:rPr>
      </w:r>
      <w:r>
        <w:rPr>
          <w:spacing w:val="2"/>
        </w:rPr>
        <w:t>资产中科鼎实</w:t>
      </w:r>
      <w:r>
        <w:rPr>
          <w:rFonts w:ascii="Times New Roman" w:hAnsi="Times New Roman" w:cs="Times New Roman" w:eastAsia="Times New Roman" w:hint="default"/>
          <w:spacing w:val="2"/>
        </w:rPr>
        <w:t>56.7152%</w:t>
      </w:r>
      <w:r>
        <w:rPr>
          <w:spacing w:val="2"/>
        </w:rPr>
        <w:t>股权过户事宜完成了工商变更登记。本次工商变更登记后，公司已取得中科鼎实</w:t>
      </w:r>
      <w:r>
        <w:rPr>
          <w:spacing w:val="-61"/>
        </w:rPr>
        <w:t> </w:t>
      </w:r>
      <w:r>
        <w:rPr>
          <w:spacing w:val="-61"/>
        </w:rPr>
      </w:r>
      <w:r>
        <w:rPr>
          <w:rFonts w:ascii="Times New Roman" w:hAnsi="Times New Roman" w:cs="Times New Roman" w:eastAsia="Times New Roman" w:hint="default"/>
        </w:rPr>
        <w:t>77.7152%</w:t>
      </w:r>
      <w:r>
        <w:rPr/>
        <w:t>股权，中科鼎实成为公司的控股子公司。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日，本次发行股份购买资产部分所发行的</w:t>
      </w:r>
    </w:p>
    <w:p>
      <w:pPr>
        <w:pStyle w:val="BodyText"/>
        <w:spacing w:line="240" w:lineRule="auto" w:before="5"/>
        <w:ind w:right="0"/>
        <w:jc w:val="left"/>
      </w:pPr>
      <w:r>
        <w:rPr>
          <w:rFonts w:ascii="Times New Roman" w:hAnsi="Times New Roman" w:cs="Times New Roman" w:eastAsia="Times New Roman" w:hint="default"/>
        </w:rPr>
        <w:t>147,012,754</w:t>
      </w:r>
      <w:r>
        <w:rPr/>
        <w:t>股股份在深交所主板上市。</w:t>
      </w:r>
    </w:p>
    <w:p>
      <w:pPr>
        <w:pStyle w:val="BodyText"/>
        <w:spacing w:line="261" w:lineRule="auto" w:before="141"/>
        <w:ind w:right="1132" w:firstLine="420"/>
        <w:jc w:val="both"/>
      </w:pPr>
      <w:r>
        <w:rPr/>
        <w:t>（</w:t>
      </w:r>
      <w:r>
        <w:rPr>
          <w:rFonts w:ascii="Times New Roman" w:hAnsi="Times New Roman" w:cs="Times New Roman" w:eastAsia="Times New Roman" w:hint="default"/>
        </w:rPr>
        <w:t>4</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日分别召开了第八届董事会第五十九次会议、</w:t>
      </w:r>
      <w:r>
        <w:rPr>
          <w:rFonts w:ascii="Times New Roman" w:hAnsi="Times New Roman" w:cs="Times New Roman" w:eastAsia="Times New Roman" w:hint="default"/>
        </w:rPr>
        <w:t>2018</w:t>
      </w:r>
      <w:r>
        <w:rPr/>
        <w:t>年第五次临 </w:t>
      </w:r>
      <w:r>
        <w:rPr>
          <w:spacing w:val="-1"/>
        </w:rPr>
        <w:t>时股东大会审议通过了《关于下属公司对外投资暨关联交易的议案（一）》，公司下属公司京蓝园林与北</w:t>
      </w:r>
      <w:r>
        <w:rPr>
          <w:spacing w:val="-83"/>
        </w:rPr>
        <w:t> </w:t>
      </w:r>
      <w:r>
        <w:rPr>
          <w:spacing w:val="-83"/>
        </w:rPr>
      </w:r>
      <w:r>
        <w:rPr/>
        <w:t>方市政组成的联合体为</w:t>
      </w:r>
      <w:r>
        <w:rPr>
          <w:rFonts w:ascii="Times New Roman" w:hAnsi="Times New Roman" w:cs="Times New Roman" w:eastAsia="Times New Roman" w:hint="default"/>
        </w:rPr>
        <w:t>“</w:t>
      </w:r>
      <w:r>
        <w:rPr/>
        <w:t>汤阴县汤河河道治理与生态修复工程项目</w:t>
      </w:r>
      <w:r>
        <w:rPr>
          <w:rFonts w:ascii="Times New Roman" w:hAnsi="Times New Roman" w:cs="Times New Roman" w:eastAsia="Times New Roman" w:hint="default"/>
        </w:rPr>
        <w:t>”</w:t>
      </w:r>
      <w:r>
        <w:rPr/>
        <w:t>（项目编号：汤财招标采购【</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号）的中标社会资本方。</w:t>
      </w:r>
    </w:p>
    <w:p>
      <w:pPr>
        <w:pStyle w:val="BodyText"/>
        <w:spacing w:line="264" w:lineRule="auto" w:before="138"/>
        <w:ind w:right="1097" w:firstLine="420"/>
        <w:jc w:val="both"/>
      </w:pPr>
      <w:r>
        <w:rPr/>
        <w:t>（</w:t>
      </w:r>
      <w:r>
        <w:rPr>
          <w:rFonts w:ascii="Times New Roman" w:hAnsi="Times New Roman" w:cs="Times New Roman" w:eastAsia="Times New Roman" w:hint="default"/>
        </w:rPr>
        <w:t>5</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日分别召开了第八届董事会第五十九次会议、</w:t>
      </w:r>
      <w:r>
        <w:rPr>
          <w:rFonts w:ascii="Times New Roman" w:hAnsi="Times New Roman" w:cs="Times New Roman" w:eastAsia="Times New Roman" w:hint="default"/>
        </w:rPr>
        <w:t>2018</w:t>
      </w:r>
      <w:r>
        <w:rPr/>
        <w:t>年第五次临 时股东大会审议通过了《关于下属公司对外投资暨关联交易的议案（二）》，公司下属公司京蓝园林与北 方市政组成的联合体为</w:t>
      </w:r>
      <w:r>
        <w:rPr>
          <w:rFonts w:ascii="Times New Roman" w:hAnsi="Times New Roman" w:cs="Times New Roman" w:eastAsia="Times New Roman" w:hint="default"/>
        </w:rPr>
        <w:t>“</w:t>
      </w:r>
      <w:r>
        <w:rPr/>
        <w:t>西华县经济技术开发区五路建设项目</w:t>
      </w:r>
      <w:r>
        <w:rPr>
          <w:rFonts w:ascii="Times New Roman" w:hAnsi="Times New Roman" w:cs="Times New Roman" w:eastAsia="Times New Roman" w:hint="default"/>
        </w:rPr>
        <w:t>”</w:t>
      </w:r>
      <w:r>
        <w:rPr/>
        <w:t>（周交政</w:t>
      </w:r>
      <w:r>
        <w:rPr>
          <w:rFonts w:ascii="Times New Roman" w:hAnsi="Times New Roman" w:cs="Times New Roman" w:eastAsia="Times New Roman" w:hint="default"/>
        </w:rPr>
        <w:t>[2017]690</w:t>
      </w:r>
      <w:r>
        <w:rPr/>
        <w:t>号）的中标社会资本方。</w:t>
      </w:r>
    </w:p>
    <w:p>
      <w:pPr>
        <w:pStyle w:val="BodyText"/>
        <w:spacing w:line="259" w:lineRule="auto" w:before="118"/>
        <w:ind w:right="1025" w:firstLine="420"/>
        <w:jc w:val="left"/>
      </w:pPr>
      <w:r>
        <w:rPr/>
        <w:t>（</w:t>
      </w:r>
      <w:r>
        <w:rPr>
          <w:rFonts w:ascii="Times New Roman" w:hAnsi="Times New Roman" w:cs="Times New Roman" w:eastAsia="Times New Roman" w:hint="default"/>
        </w:rPr>
        <w:t>6</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日召开第八届董事会第五十五次会议审议通过了《关于公司或公司控股子公 司拟参与投资并购基金的议案》，同意公司或控股子公司作为有限合伙人投资天津中安和泓股权投资基金 </w:t>
      </w:r>
      <w:r>
        <w:rPr>
          <w:spacing w:val="-1"/>
        </w:rPr>
        <w:t>合伙企业（有限合伙）（以下简称</w:t>
      </w:r>
      <w:r>
        <w:rPr>
          <w:rFonts w:ascii="Times New Roman" w:hAnsi="Times New Roman" w:cs="Times New Roman" w:eastAsia="Times New Roman" w:hint="default"/>
          <w:spacing w:val="-1"/>
        </w:rPr>
        <w:t>“</w:t>
      </w:r>
      <w:r>
        <w:rPr>
          <w:spacing w:val="-1"/>
        </w:rPr>
        <w:t>中安和泓</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并购基金</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本基金</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合伙企业</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31</w:t>
      </w:r>
      <w:r>
        <w:rPr>
          <w:spacing w:val="-1"/>
        </w:rPr>
        <w:t>日，</w:t>
      </w:r>
      <w:r>
        <w:rPr>
          <w:spacing w:val="-88"/>
        </w:rPr>
        <w:t> </w:t>
      </w:r>
      <w:r>
        <w:rPr>
          <w:spacing w:val="-5"/>
        </w:rPr>
        <w:t>公司与安信乾宏投资有限公司（以下简称</w:t>
      </w:r>
      <w:r>
        <w:rPr>
          <w:rFonts w:ascii="Times New Roman" w:hAnsi="Times New Roman" w:cs="Times New Roman" w:eastAsia="Times New Roman" w:hint="default"/>
          <w:spacing w:val="-5"/>
        </w:rPr>
        <w:t>“</w:t>
      </w:r>
      <w:r>
        <w:rPr>
          <w:spacing w:val="-5"/>
        </w:rPr>
        <w:t>安信乾宏</w:t>
      </w:r>
      <w:r>
        <w:rPr>
          <w:rFonts w:ascii="Times New Roman" w:hAnsi="Times New Roman" w:cs="Times New Roman" w:eastAsia="Times New Roman" w:hint="default"/>
          <w:spacing w:val="-5"/>
        </w:rPr>
        <w:t>”</w:t>
      </w:r>
      <w:r>
        <w:rPr>
          <w:spacing w:val="-5"/>
        </w:rPr>
        <w:t>）、北京中安和润创业投资管理中心（有限合伙）（以</w:t>
      </w:r>
      <w:r>
        <w:rPr>
          <w:spacing w:val="-75"/>
        </w:rPr>
        <w:t> </w:t>
      </w:r>
      <w:r>
        <w:rPr>
          <w:spacing w:val="-75"/>
        </w:rPr>
      </w:r>
      <w:r>
        <w:rPr/>
        <w:t>下简称</w:t>
      </w:r>
      <w:r>
        <w:rPr>
          <w:rFonts w:ascii="Times New Roman" w:hAnsi="Times New Roman" w:cs="Times New Roman" w:eastAsia="Times New Roman" w:hint="default"/>
        </w:rPr>
        <w:t>“</w:t>
      </w:r>
      <w:r>
        <w:rPr/>
        <w:t>中安和润</w:t>
      </w:r>
      <w:r>
        <w:rPr>
          <w:rFonts w:ascii="Times New Roman" w:hAnsi="Times New Roman" w:cs="Times New Roman" w:eastAsia="Times New Roman" w:hint="default"/>
        </w:rPr>
        <w:t>”</w:t>
      </w:r>
      <w:r>
        <w:rPr/>
        <w:t>）及新增有限合伙人京蓝控股和建信信托有限责任公司（以下简称</w:t>
      </w:r>
      <w:r>
        <w:rPr>
          <w:rFonts w:ascii="Times New Roman" w:hAnsi="Times New Roman" w:cs="Times New Roman" w:eastAsia="Times New Roman" w:hint="default"/>
        </w:rPr>
        <w:t>“</w:t>
      </w:r>
      <w:r>
        <w:rPr/>
        <w:t>建信信托</w:t>
      </w:r>
      <w:r>
        <w:rPr>
          <w:rFonts w:ascii="Times New Roman" w:hAnsi="Times New Roman" w:cs="Times New Roman" w:eastAsia="Times New Roman" w:hint="default"/>
        </w:rPr>
        <w:t>”</w:t>
      </w:r>
      <w:r>
        <w:rPr/>
        <w:t>）共同签</w:t>
      </w:r>
      <w:r>
        <w:rPr>
          <w:spacing w:val="-85"/>
        </w:rPr>
        <w:t> </w:t>
      </w:r>
      <w:r>
        <w:rPr>
          <w:spacing w:val="-85"/>
        </w:rPr>
      </w:r>
      <w:r>
        <w:rPr/>
        <w:t>订了《天津中安和泓股权投资基金合伙企业（有限合伙）合伙协议》（合同编号：</w:t>
      </w:r>
      <w:r>
        <w:rPr>
          <w:rFonts w:ascii="Times New Roman" w:hAnsi="Times New Roman" w:cs="Times New Roman" w:eastAsia="Times New Roman" w:hint="default"/>
        </w:rPr>
        <w:t>AXQH-ZAHH-006</w:t>
      </w:r>
      <w:r>
        <w:rPr/>
        <w:t>，以</w:t>
      </w:r>
      <w:r>
        <w:rPr>
          <w:spacing w:val="-96"/>
        </w:rPr>
        <w:t> </w:t>
      </w:r>
      <w:r>
        <w:rPr/>
        <w:t>下简称</w:t>
      </w:r>
      <w:r>
        <w:rPr>
          <w:rFonts w:ascii="Times New Roman" w:hAnsi="Times New Roman" w:cs="Times New Roman" w:eastAsia="Times New Roman" w:hint="default"/>
        </w:rPr>
        <w:t>“</w:t>
      </w:r>
      <w:r>
        <w:rPr/>
        <w:t>《合伙协议》</w:t>
      </w:r>
      <w:r>
        <w:rPr>
          <w:rFonts w:ascii="Times New Roman" w:hAnsi="Times New Roman" w:cs="Times New Roman" w:eastAsia="Times New Roman" w:hint="default"/>
        </w:rPr>
        <w:t>”</w:t>
      </w:r>
      <w:r>
        <w:rPr/>
        <w:t>），对并购基金的具体事宜进行了约定。全体合伙人的认缴出资总额为人民币贰亿 肆仟壹佰万元整（</w:t>
      </w:r>
      <w:r>
        <w:rPr>
          <w:rFonts w:ascii="Times New Roman" w:hAnsi="Times New Roman" w:cs="Times New Roman" w:eastAsia="Times New Roman" w:hint="default"/>
        </w:rPr>
        <w:t>2.41</w:t>
      </w:r>
      <w:r>
        <w:rPr/>
        <w:t>亿元），其中安信乾宏以货币方式认缴出资</w:t>
      </w:r>
      <w:r>
        <w:rPr>
          <w:rFonts w:ascii="Times New Roman" w:hAnsi="Times New Roman" w:cs="Times New Roman" w:eastAsia="Times New Roman" w:hint="default"/>
        </w:rPr>
        <w:t>2,812</w:t>
      </w:r>
      <w:r>
        <w:rPr/>
        <w:t>万元，占比</w:t>
      </w:r>
      <w:r>
        <w:rPr>
          <w:rFonts w:ascii="Times New Roman" w:hAnsi="Times New Roman" w:cs="Times New Roman" w:eastAsia="Times New Roman" w:hint="default"/>
        </w:rPr>
        <w:t>11.67%</w:t>
      </w:r>
      <w:r>
        <w:rPr/>
        <w:t>；中安和润以货 币方式认缴出资</w:t>
      </w:r>
      <w:r>
        <w:rPr>
          <w:rFonts w:ascii="Times New Roman" w:hAnsi="Times New Roman" w:cs="Times New Roman" w:eastAsia="Times New Roman" w:hint="default"/>
        </w:rPr>
        <w:t>4,017</w:t>
      </w:r>
      <w:r>
        <w:rPr/>
        <w:t>万元，占比</w:t>
      </w:r>
      <w:r>
        <w:rPr>
          <w:rFonts w:ascii="Times New Roman" w:hAnsi="Times New Roman" w:cs="Times New Roman" w:eastAsia="Times New Roman" w:hint="default"/>
        </w:rPr>
        <w:t>16.67%</w:t>
      </w:r>
      <w:r>
        <w:rPr/>
        <w:t>；京蓝科技以货币方式认缴出资</w:t>
      </w:r>
      <w:r>
        <w:rPr>
          <w:rFonts w:ascii="Times New Roman" w:hAnsi="Times New Roman" w:cs="Times New Roman" w:eastAsia="Times New Roman" w:hint="default"/>
        </w:rPr>
        <w:t>4,971</w:t>
      </w:r>
      <w:r>
        <w:rPr/>
        <w:t>万元，占比</w:t>
      </w:r>
      <w:r>
        <w:rPr>
          <w:rFonts w:ascii="Times New Roman" w:hAnsi="Times New Roman" w:cs="Times New Roman" w:eastAsia="Times New Roman" w:hint="default"/>
        </w:rPr>
        <w:t>20.63%</w:t>
      </w:r>
      <w:r>
        <w:rPr/>
        <w:t>；京蓝控</w:t>
      </w:r>
      <w:r>
        <w:rPr>
          <w:spacing w:val="-68"/>
        </w:rPr>
        <w:t> </w:t>
      </w:r>
      <w:r>
        <w:rPr>
          <w:spacing w:val="-68"/>
        </w:rPr>
      </w:r>
      <w:r>
        <w:rPr>
          <w:spacing w:val="-2"/>
        </w:rPr>
        <w:t>股以货币方式认缴出资</w:t>
      </w:r>
      <w:r>
        <w:rPr>
          <w:rFonts w:ascii="Times New Roman" w:hAnsi="Times New Roman" w:cs="Times New Roman" w:eastAsia="Times New Roman" w:hint="default"/>
          <w:spacing w:val="-2"/>
        </w:rPr>
        <w:t>5,000</w:t>
      </w:r>
      <w:r>
        <w:rPr>
          <w:spacing w:val="-2"/>
        </w:rPr>
        <w:t>万元，占比</w:t>
      </w:r>
      <w:r>
        <w:rPr>
          <w:rFonts w:ascii="Times New Roman" w:hAnsi="Times New Roman" w:cs="Times New Roman" w:eastAsia="Times New Roman" w:hint="default"/>
          <w:spacing w:val="-2"/>
        </w:rPr>
        <w:t>20.75%</w:t>
      </w:r>
      <w:r>
        <w:rPr>
          <w:spacing w:val="-2"/>
        </w:rPr>
        <w:t>；建信信托以其受托管理的建信财富通集合资金信托计划的</w:t>
      </w:r>
      <w:r>
        <w:rPr>
          <w:spacing w:val="-96"/>
        </w:rPr>
        <w:t> </w:t>
      </w:r>
      <w:r>
        <w:rPr>
          <w:spacing w:val="-96"/>
        </w:rPr>
      </w:r>
      <w:r>
        <w:rPr/>
        <w:t>资金对合伙企业进行出资，以货币方式认缴出资</w:t>
      </w:r>
      <w:r>
        <w:rPr>
          <w:rFonts w:ascii="Times New Roman" w:hAnsi="Times New Roman" w:cs="Times New Roman" w:eastAsia="Times New Roman" w:hint="default"/>
        </w:rPr>
        <w:t>7,300</w:t>
      </w:r>
      <w:r>
        <w:rPr/>
        <w:t>万元，占比</w:t>
      </w:r>
      <w:r>
        <w:rPr>
          <w:rFonts w:ascii="Times New Roman" w:hAnsi="Times New Roman" w:cs="Times New Roman" w:eastAsia="Times New Roman" w:hint="default"/>
        </w:rPr>
        <w:t>30.29%</w:t>
      </w:r>
      <w:r>
        <w:rPr/>
        <w:t>。</w:t>
      </w:r>
    </w:p>
    <w:p>
      <w:pPr>
        <w:pStyle w:val="BodyText"/>
        <w:spacing w:line="264" w:lineRule="auto" w:before="122"/>
        <w:ind w:right="1131" w:firstLine="420"/>
        <w:jc w:val="both"/>
      </w:pPr>
      <w:r>
        <w:rPr>
          <w:spacing w:val="-1"/>
        </w:rPr>
        <w:t>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14</w:t>
      </w:r>
      <w:r>
        <w:rPr>
          <w:spacing w:val="-1"/>
        </w:rPr>
        <w:t>日收到基金管理人安信乾宏的通知，本基金已按照《证券投资基金法》和《私募</w:t>
      </w:r>
      <w:r>
        <w:rPr/>
        <w:t> </w:t>
      </w:r>
      <w:r>
        <w:rPr>
          <w:spacing w:val="-1"/>
        </w:rPr>
        <w:t>投资基金监督管理暂行办法》等法律法规的要求在中国证券投资基金业协会完成备案手续，并取得了《私</w:t>
      </w:r>
      <w:r>
        <w:rPr>
          <w:spacing w:val="-83"/>
        </w:rPr>
        <w:t> </w:t>
      </w:r>
      <w:r>
        <w:rPr>
          <w:spacing w:val="-83"/>
        </w:rPr>
      </w:r>
      <w:r>
        <w:rPr/>
        <w:t>募投资基金备案证明》（备案编码：</w:t>
      </w:r>
      <w:r>
        <w:rPr>
          <w:rFonts w:ascii="Times New Roman" w:hAnsi="Times New Roman" w:cs="Times New Roman" w:eastAsia="Times New Roman" w:hint="default"/>
        </w:rPr>
        <w:t>SEP329</w:t>
      </w:r>
      <w:r>
        <w:rPr/>
        <w:t>）。</w:t>
      </w:r>
    </w:p>
    <w:p>
      <w:pPr>
        <w:spacing w:before="144"/>
        <w:ind w:left="154" w:right="0" w:firstLine="0"/>
        <w:jc w:val="left"/>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1"/>
          <w:szCs w:val="11"/>
        </w:rPr>
      </w:pPr>
    </w:p>
    <w:tbl>
      <w:tblPr>
        <w:tblW w:w="0" w:type="auto"/>
        <w:jc w:val="left"/>
        <w:tblInd w:w="143" w:type="dxa"/>
        <w:tblLayout w:type="fixed"/>
        <w:tblCellMar>
          <w:top w:w="0" w:type="dxa"/>
          <w:left w:w="0" w:type="dxa"/>
          <w:bottom w:w="0" w:type="dxa"/>
          <w:right w:w="0" w:type="dxa"/>
        </w:tblCellMar>
        <w:tblLook w:val="01E0"/>
      </w:tblPr>
      <w:tblGrid>
        <w:gridCol w:w="3937"/>
        <w:gridCol w:w="2173"/>
        <w:gridCol w:w="3459"/>
      </w:tblGrid>
      <w:tr>
        <w:trPr>
          <w:trHeight w:val="402"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0"/>
              <w:jc w:val="righ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关于公司控股子公司对外提供关联担保的公告</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年度日常关联交易预计的公告</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53" w:right="163" w:hanging="991"/>
              <w:jc w:val="left"/>
              <w:rPr>
                <w:rFonts w:ascii="宋体" w:hAnsi="宋体" w:cs="宋体" w:eastAsia="宋体" w:hint="default"/>
                <w:sz w:val="18"/>
                <w:szCs w:val="18"/>
              </w:rPr>
            </w:pPr>
            <w:r>
              <w:rPr>
                <w:rFonts w:ascii="宋体" w:hAnsi="宋体" w:cs="宋体" w:eastAsia="宋体" w:hint="default"/>
                <w:sz w:val="18"/>
                <w:szCs w:val="18"/>
              </w:rPr>
              <w:t>发行股份购买资产并募集配套资金暨关联交易 报告书（草案）摘要</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3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 w:right="0"/>
              <w:jc w:val="center"/>
              <w:rPr>
                <w:rFonts w:ascii="宋体" w:hAnsi="宋体" w:cs="宋体" w:eastAsia="宋体" w:hint="default"/>
                <w:sz w:val="18"/>
                <w:szCs w:val="18"/>
              </w:rPr>
            </w:pPr>
            <w:r>
              <w:rPr>
                <w:rFonts w:ascii="宋体" w:hAnsi="宋体" w:cs="宋体" w:eastAsia="宋体" w:hint="default"/>
                <w:sz w:val="18"/>
                <w:szCs w:val="18"/>
              </w:rPr>
              <w:t>关于下属公司对外投资暨关联交易的公告（一）</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 w:right="0"/>
              <w:jc w:val="center"/>
              <w:rPr>
                <w:rFonts w:ascii="宋体" w:hAnsi="宋体" w:cs="宋体" w:eastAsia="宋体" w:hint="default"/>
                <w:sz w:val="18"/>
                <w:szCs w:val="18"/>
              </w:rPr>
            </w:pPr>
            <w:r>
              <w:rPr>
                <w:rFonts w:ascii="宋体" w:hAnsi="宋体" w:cs="宋体" w:eastAsia="宋体" w:hint="default"/>
                <w:sz w:val="18"/>
                <w:szCs w:val="18"/>
              </w:rPr>
              <w:t>关于下属公司对外投资暨关联交易的公告（二）</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3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26"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63" w:right="163"/>
              <w:jc w:val="center"/>
              <w:rPr>
                <w:rFonts w:ascii="宋体" w:hAnsi="宋体" w:cs="宋体" w:eastAsia="宋体" w:hint="default"/>
                <w:sz w:val="18"/>
                <w:szCs w:val="18"/>
              </w:rPr>
            </w:pPr>
            <w:r>
              <w:rPr>
                <w:rFonts w:ascii="宋体" w:hAnsi="宋体" w:cs="宋体" w:eastAsia="宋体" w:hint="default"/>
                <w:sz w:val="18"/>
                <w:szCs w:val="18"/>
              </w:rPr>
              <w:t>关于发行股份购买资产并募集配套资金暨关联 交易事项获得中国证券监督管理委员会核准批 复的公告</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37"/>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3937"/>
        <w:gridCol w:w="2173"/>
        <w:gridCol w:w="3459"/>
      </w:tblGrid>
      <w:tr>
        <w:trPr>
          <w:trHeight w:val="71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973" w:right="163" w:hanging="811"/>
              <w:jc w:val="left"/>
              <w:rPr>
                <w:rFonts w:ascii="宋体" w:hAnsi="宋体" w:cs="宋体" w:eastAsia="宋体" w:hint="default"/>
                <w:sz w:val="18"/>
                <w:szCs w:val="18"/>
              </w:rPr>
            </w:pPr>
            <w:r>
              <w:rPr>
                <w:rFonts w:ascii="宋体" w:hAnsi="宋体" w:cs="宋体" w:eastAsia="宋体" w:hint="default"/>
                <w:sz w:val="18"/>
                <w:szCs w:val="18"/>
              </w:rPr>
              <w:t>发行股份购买资产并募集配套资金暨关联交易 新增股份变动上市公告书</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2"/>
        <w:spacing w:line="240" w:lineRule="auto" w:before="26"/>
        <w:ind w:right="0"/>
        <w:jc w:val="left"/>
        <w:rPr>
          <w:b w:val="0"/>
          <w:bCs w:val="0"/>
        </w:rPr>
      </w:pPr>
      <w:bookmarkStart w:name="十七、重大合同及其履行情况" w:id="88"/>
      <w:bookmarkEnd w:id="88"/>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89"/>
      <w:bookmarkEnd w:id="89"/>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90"/>
      <w:bookmarkEnd w:id="90"/>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承包情况" w:id="91"/>
      <w:bookmarkEnd w:id="91"/>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3）租赁情况" w:id="92"/>
      <w:bookmarkEnd w:id="92"/>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租赁情况说明</w:t>
      </w:r>
    </w:p>
    <w:p>
      <w:pPr>
        <w:pStyle w:val="BodyText"/>
        <w:spacing w:line="273" w:lineRule="auto" w:before="96"/>
        <w:ind w:right="1108" w:firstLine="420"/>
        <w:jc w:val="both"/>
      </w:pPr>
      <w:r>
        <w:rPr>
          <w:spacing w:val="3"/>
        </w:rPr>
        <w:t>①公司下属公司京蓝时代将位于北京市朝阳区望京保利国际广场的一处</w:t>
      </w:r>
      <w:r>
        <w:rPr>
          <w:rFonts w:ascii="宋体" w:hAnsi="宋体" w:cs="宋体" w:eastAsia="宋体" w:hint="default"/>
          <w:spacing w:val="3"/>
        </w:rPr>
        <w:t>278.08</w:t>
      </w:r>
      <w:r>
        <w:rPr>
          <w:spacing w:val="3"/>
        </w:rPr>
        <w:t>平方米的办公区租赁</w:t>
      </w:r>
      <w:r>
        <w:rPr/>
        <w:t> 给杨树时代投资（北京）有限公司，租赁期限为</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30</w:t>
      </w:r>
      <w:r>
        <w:rPr/>
        <w:t>日至</w:t>
      </w:r>
      <w:r>
        <w:rPr>
          <w:rFonts w:ascii="宋体" w:hAnsi="宋体" w:cs="宋体" w:eastAsia="宋体" w:hint="default"/>
        </w:rPr>
        <w:t>2021</w:t>
      </w:r>
      <w:r>
        <w:rPr/>
        <w:t>年</w:t>
      </w:r>
      <w:r>
        <w:rPr>
          <w:rFonts w:ascii="宋体" w:hAnsi="宋体" w:cs="宋体" w:eastAsia="宋体" w:hint="default"/>
        </w:rPr>
        <w:t>4</w:t>
      </w:r>
      <w:r>
        <w:rPr/>
        <w:t>月</w:t>
      </w:r>
      <w:r>
        <w:rPr>
          <w:rFonts w:ascii="宋体" w:hAnsi="宋体" w:cs="宋体" w:eastAsia="宋体" w:hint="default"/>
        </w:rPr>
        <w:t>29</w:t>
      </w:r>
      <w:r>
        <w:rPr/>
        <w:t>日，房租为</w:t>
      </w:r>
      <w:r>
        <w:rPr>
          <w:rFonts w:ascii="宋体" w:hAnsi="宋体" w:cs="宋体" w:eastAsia="宋体" w:hint="default"/>
        </w:rPr>
        <w:t>101.5</w:t>
      </w:r>
      <w:r>
        <w:rPr/>
        <w:t>万元</w:t>
      </w:r>
      <w:r>
        <w:rPr>
          <w:rFonts w:ascii="宋体" w:hAnsi="宋体" w:cs="宋体" w:eastAsia="宋体" w:hint="default"/>
        </w:rPr>
        <w:t>/</w:t>
      </w:r>
      <w:r>
        <w:rPr/>
        <w:t>年。</w:t>
      </w:r>
      <w:r>
        <w:rPr>
          <w:spacing w:val="1"/>
        </w:rPr>
        <w:t> </w:t>
      </w:r>
      <w:r>
        <w:rPr>
          <w:spacing w:val="-1"/>
        </w:rPr>
        <w:t>公司董事长杨仁贵先生担任杨树时代的执行董事及经理，根据《深圳证券交易所股票上市规则》</w:t>
      </w:r>
      <w:r>
        <w:rPr>
          <w:rFonts w:ascii="宋体" w:hAnsi="宋体" w:cs="宋体" w:eastAsia="宋体" w:hint="default"/>
          <w:spacing w:val="-1"/>
        </w:rPr>
        <w:t>10.1.3</w:t>
      </w:r>
      <w:r>
        <w:rPr>
          <w:spacing w:val="-1"/>
        </w:rPr>
        <w:t>第</w:t>
      </w:r>
    </w:p>
    <w:p>
      <w:pPr>
        <w:pStyle w:val="BodyText"/>
        <w:spacing w:line="240" w:lineRule="auto" w:before="7"/>
        <w:ind w:right="0"/>
        <w:jc w:val="left"/>
      </w:pPr>
      <w:r>
        <w:rPr/>
        <w:t>（三）条规定，杨树时代为公司的关联法人。（公告编号：</w:t>
      </w:r>
      <w:r>
        <w:rPr>
          <w:rFonts w:ascii="宋体" w:hAnsi="宋体" w:cs="宋体" w:eastAsia="宋体" w:hint="default"/>
        </w:rPr>
        <w:t>2018-043</w:t>
      </w:r>
      <w:r>
        <w:rPr/>
        <w:t>）</w:t>
      </w:r>
    </w:p>
    <w:p>
      <w:pPr>
        <w:pStyle w:val="BodyText"/>
        <w:spacing w:line="273" w:lineRule="auto" w:before="157"/>
        <w:ind w:right="1132" w:firstLine="420"/>
        <w:jc w:val="both"/>
      </w:pPr>
      <w:r>
        <w:rPr/>
        <w:t>②</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26</w:t>
      </w:r>
      <w:r>
        <w:rPr/>
        <w:t>日，公司召开了第八届董事会第四十八次会议，审议通过了《</w:t>
      </w:r>
      <w:r>
        <w:rPr>
          <w:rFonts w:ascii="宋体" w:hAnsi="宋体" w:cs="宋体" w:eastAsia="宋体" w:hint="default"/>
        </w:rPr>
        <w:t>2018</w:t>
      </w:r>
      <w:r>
        <w:rPr/>
        <w:t>年度日常关联交易 </w:t>
      </w:r>
      <w:r>
        <w:rPr>
          <w:spacing w:val="-1"/>
        </w:rPr>
        <w:t>预计的议案》。主要包括公司及下属公司与关联方之间接受或提供劳务、房屋租赁等关联事项。公司预计</w:t>
      </w:r>
      <w:r>
        <w:rPr>
          <w:spacing w:val="-86"/>
        </w:rPr>
        <w:t> </w:t>
      </w:r>
      <w:r>
        <w:rPr>
          <w:spacing w:val="-86"/>
        </w:rPr>
      </w:r>
      <w:r>
        <w:rPr>
          <w:spacing w:val="-1"/>
        </w:rPr>
        <w:t>向天津北方创业市政工程集团有限公司（以下简称</w:t>
      </w:r>
      <w:r>
        <w:rPr>
          <w:rFonts w:ascii="宋体" w:hAnsi="宋体" w:cs="宋体" w:eastAsia="宋体" w:hint="default"/>
          <w:spacing w:val="-1"/>
        </w:rPr>
        <w:t>"</w:t>
      </w:r>
      <w:r>
        <w:rPr>
          <w:spacing w:val="-1"/>
        </w:rPr>
        <w:t>北方集团</w:t>
      </w:r>
      <w:r>
        <w:rPr>
          <w:rFonts w:ascii="宋体" w:hAnsi="宋体" w:cs="宋体" w:eastAsia="宋体" w:hint="default"/>
          <w:spacing w:val="-1"/>
        </w:rPr>
        <w:t>"</w:t>
      </w:r>
      <w:r>
        <w:rPr>
          <w:spacing w:val="-1"/>
        </w:rPr>
        <w:t>、“北方市政”）支付</w:t>
      </w:r>
      <w:r>
        <w:rPr>
          <w:rFonts w:ascii="宋体" w:hAnsi="宋体" w:cs="宋体" w:eastAsia="宋体" w:hint="default"/>
          <w:spacing w:val="-1"/>
        </w:rPr>
        <w:t>2018</w:t>
      </w:r>
      <w:r>
        <w:rPr>
          <w:spacing w:val="-1"/>
        </w:rPr>
        <w:t>年度房屋租赁费</w:t>
      </w:r>
      <w:r>
        <w:rPr>
          <w:spacing w:val="-83"/>
        </w:rPr>
        <w:t> </w:t>
      </w:r>
      <w:r>
        <w:rPr>
          <w:spacing w:val="-83"/>
        </w:rPr>
      </w:r>
      <w:r>
        <w:rPr>
          <w:spacing w:val="-5"/>
        </w:rPr>
        <w:t>用</w:t>
      </w:r>
      <w:r>
        <w:rPr>
          <w:rFonts w:ascii="宋体" w:hAnsi="宋体" w:cs="宋体" w:eastAsia="宋体" w:hint="default"/>
          <w:spacing w:val="-5"/>
        </w:rPr>
        <w:t>350</w:t>
      </w:r>
      <w:r>
        <w:rPr>
          <w:spacing w:val="-5"/>
        </w:rPr>
        <w:t>万元、预计向天津市北方创业物业管理有限公司（以下简称“北方创业”）支付物业费</w:t>
      </w:r>
      <w:r>
        <w:rPr>
          <w:rFonts w:ascii="宋体" w:hAnsi="宋体" w:cs="宋体" w:eastAsia="宋体" w:hint="default"/>
          <w:spacing w:val="-5"/>
        </w:rPr>
        <w:t>100</w:t>
      </w:r>
      <w:r>
        <w:rPr>
          <w:spacing w:val="-5"/>
        </w:rPr>
        <w:t>万元。（公</w:t>
      </w:r>
      <w:r>
        <w:rPr>
          <w:spacing w:val="-93"/>
        </w:rPr>
        <w:t> </w:t>
      </w:r>
      <w:r>
        <w:rPr>
          <w:spacing w:val="-93"/>
        </w:rPr>
      </w:r>
      <w:r>
        <w:rPr/>
        <w:t>告编号：</w:t>
      </w:r>
      <w:r>
        <w:rPr>
          <w:rFonts w:ascii="宋体" w:hAnsi="宋体" w:cs="宋体" w:eastAsia="宋体" w:hint="default"/>
        </w:rPr>
        <w:t>2018-043</w:t>
      </w:r>
      <w:r>
        <w:rPr/>
        <w:t>）</w:t>
      </w:r>
    </w:p>
    <w:p>
      <w:pPr>
        <w:pStyle w:val="BodyText"/>
        <w:spacing w:line="273" w:lineRule="auto" w:before="127"/>
        <w:ind w:right="1026" w:firstLine="420"/>
        <w:jc w:val="both"/>
      </w:pPr>
      <w:r>
        <w:rPr/>
        <w:t>③</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11</w:t>
      </w:r>
      <w:r>
        <w:rPr/>
        <w:t>日，公司召开了第八届董事会第三十二次会议，审议通过了《关于向董事郭绍全先生 租用办公场地暨关联交易的议案》。公司向董事郭绍全先生租用其所持有的位于北京市丰台区广安路</w:t>
      </w:r>
      <w:r>
        <w:rPr>
          <w:rFonts w:ascii="宋体" w:hAnsi="宋体" w:cs="宋体" w:eastAsia="宋体" w:hint="default"/>
        </w:rPr>
        <w:t>9</w:t>
      </w:r>
      <w:r>
        <w:rPr/>
        <w:t>号</w:t>
      </w:r>
      <w:r>
        <w:rPr>
          <w:spacing w:val="-24"/>
        </w:rPr>
        <w:t> </w:t>
      </w:r>
      <w:r>
        <w:rPr>
          <w:spacing w:val="-6"/>
        </w:rPr>
        <w:t>国投财富广场</w:t>
      </w:r>
      <w:r>
        <w:rPr>
          <w:rFonts w:ascii="宋体" w:hAnsi="宋体" w:cs="宋体" w:eastAsia="宋体" w:hint="default"/>
          <w:spacing w:val="-6"/>
        </w:rPr>
        <w:t>3</w:t>
      </w:r>
      <w:r>
        <w:rPr>
          <w:spacing w:val="-6"/>
        </w:rPr>
        <w:t>号楼</w:t>
      </w:r>
      <w:r>
        <w:rPr>
          <w:rFonts w:ascii="宋体" w:hAnsi="宋体" w:cs="宋体" w:eastAsia="宋体" w:hint="default"/>
          <w:spacing w:val="-6"/>
        </w:rPr>
        <w:t>5</w:t>
      </w:r>
      <w:r>
        <w:rPr>
          <w:spacing w:val="-6"/>
        </w:rPr>
        <w:t>层</w:t>
      </w:r>
      <w:r>
        <w:rPr>
          <w:rFonts w:ascii="宋体" w:hAnsi="宋体" w:cs="宋体" w:eastAsia="宋体" w:hint="default"/>
          <w:spacing w:val="-6"/>
        </w:rPr>
        <w:t>501</w:t>
      </w:r>
      <w:r>
        <w:rPr>
          <w:spacing w:val="-6"/>
        </w:rPr>
        <w:t>－</w:t>
      </w:r>
      <w:r>
        <w:rPr>
          <w:rFonts w:ascii="宋体" w:hAnsi="宋体" w:cs="宋体" w:eastAsia="宋体" w:hint="default"/>
          <w:spacing w:val="-6"/>
        </w:rPr>
        <w:t>510</w:t>
      </w:r>
      <w:r>
        <w:rPr>
          <w:spacing w:val="-6"/>
        </w:rPr>
        <w:t>的物业，租期三年，交易金额为：</w:t>
      </w:r>
      <w:r>
        <w:rPr>
          <w:rFonts w:ascii="宋体" w:hAnsi="宋体" w:cs="宋体" w:eastAsia="宋体" w:hint="default"/>
          <w:spacing w:val="-6"/>
        </w:rPr>
        <w:t>5,740,731.33</w:t>
      </w:r>
      <w:r>
        <w:rPr>
          <w:spacing w:val="-6"/>
        </w:rPr>
        <w:t>元。（公告编号：</w:t>
      </w:r>
      <w:r>
        <w:rPr>
          <w:rFonts w:ascii="宋体" w:hAnsi="宋体" w:cs="宋体" w:eastAsia="宋体" w:hint="default"/>
          <w:spacing w:val="-6"/>
        </w:rPr>
        <w:t>2017-093</w:t>
      </w:r>
      <w:r>
        <w:rPr>
          <w:spacing w:val="-6"/>
        </w:rPr>
        <w:t>）</w:t>
      </w:r>
    </w:p>
    <w:p>
      <w:pPr>
        <w:pStyle w:val="BodyText"/>
        <w:spacing w:line="273" w:lineRule="auto" w:before="127"/>
        <w:ind w:right="1026" w:firstLine="420"/>
        <w:jc w:val="both"/>
      </w:pPr>
      <w:r>
        <w:rPr/>
        <w:t>本次会议同时审议通过了《关于向朱锦女士租用办公场地暨关联交易的议案》。（</w:t>
      </w:r>
      <w:r>
        <w:rPr>
          <w:rFonts w:ascii="宋体" w:hAnsi="宋体" w:cs="宋体" w:eastAsia="宋体" w:hint="default"/>
        </w:rPr>
        <w:t>1</w:t>
      </w:r>
      <w:r>
        <w:rPr/>
        <w:t>）公司向朱锦女 士租用其所持有的位于北京市丰台区广安路</w:t>
      </w:r>
      <w:r>
        <w:rPr>
          <w:rFonts w:ascii="宋体" w:hAnsi="宋体" w:cs="宋体" w:eastAsia="宋体" w:hint="default"/>
        </w:rPr>
        <w:t>9</w:t>
      </w:r>
      <w:r>
        <w:rPr/>
        <w:t>号国投财富广场</w:t>
      </w:r>
      <w:r>
        <w:rPr>
          <w:rFonts w:ascii="宋体" w:hAnsi="宋体" w:cs="宋体" w:eastAsia="宋体" w:hint="default"/>
        </w:rPr>
        <w:t>3</w:t>
      </w:r>
      <w:r>
        <w:rPr/>
        <w:t>号楼</w:t>
      </w:r>
      <w:r>
        <w:rPr>
          <w:rFonts w:ascii="宋体" w:hAnsi="宋体" w:cs="宋体" w:eastAsia="宋体" w:hint="default"/>
        </w:rPr>
        <w:t>5</w:t>
      </w:r>
      <w:r>
        <w:rPr/>
        <w:t>层</w:t>
      </w:r>
      <w:r>
        <w:rPr>
          <w:rFonts w:ascii="宋体" w:hAnsi="宋体" w:cs="宋体" w:eastAsia="宋体" w:hint="default"/>
        </w:rPr>
        <w:t>514</w:t>
      </w:r>
      <w:r>
        <w:rPr/>
        <w:t>－</w:t>
      </w:r>
      <w:r>
        <w:rPr>
          <w:rFonts w:ascii="宋体" w:hAnsi="宋体" w:cs="宋体" w:eastAsia="宋体" w:hint="default"/>
        </w:rPr>
        <w:t>520</w:t>
      </w:r>
      <w:r>
        <w:rPr/>
        <w:t>的物业，租期三年。交易</w:t>
      </w:r>
      <w:r>
        <w:rPr>
          <w:spacing w:val="-30"/>
        </w:rPr>
        <w:t> </w:t>
      </w:r>
      <w:r>
        <w:rPr>
          <w:spacing w:val="-30"/>
        </w:rPr>
      </w:r>
      <w:r>
        <w:rPr/>
        <w:t>金额为：</w:t>
      </w:r>
      <w:r>
        <w:rPr>
          <w:rFonts w:ascii="宋体" w:hAnsi="宋体" w:cs="宋体" w:eastAsia="宋体" w:hint="default"/>
        </w:rPr>
        <w:t>4,188,053.07</w:t>
      </w:r>
      <w:r>
        <w:rPr/>
        <w:t>元。（</w:t>
      </w:r>
      <w:r>
        <w:rPr>
          <w:rFonts w:ascii="宋体" w:hAnsi="宋体" w:cs="宋体" w:eastAsia="宋体" w:hint="default"/>
        </w:rPr>
        <w:t>2</w:t>
      </w:r>
      <w:r>
        <w:rPr/>
        <w:t>）公司分公司向朱锦女士租用其所持有的位于北京市丰台区广安路</w:t>
      </w:r>
      <w:r>
        <w:rPr>
          <w:rFonts w:ascii="宋体" w:hAnsi="宋体" w:cs="宋体" w:eastAsia="宋体" w:hint="default"/>
        </w:rPr>
        <w:t>9</w:t>
      </w:r>
      <w:r>
        <w:rPr/>
        <w:t>号国投 财富广场</w:t>
      </w:r>
      <w:r>
        <w:rPr>
          <w:rFonts w:ascii="宋体" w:hAnsi="宋体" w:cs="宋体" w:eastAsia="宋体" w:hint="default"/>
        </w:rPr>
        <w:t>3</w:t>
      </w:r>
      <w:r>
        <w:rPr/>
        <w:t>号楼</w:t>
      </w:r>
      <w:r>
        <w:rPr>
          <w:rFonts w:ascii="宋体" w:hAnsi="宋体" w:cs="宋体" w:eastAsia="宋体" w:hint="default"/>
        </w:rPr>
        <w:t>5</w:t>
      </w:r>
      <w:r>
        <w:rPr/>
        <w:t>层</w:t>
      </w:r>
      <w:r>
        <w:rPr>
          <w:rFonts w:ascii="宋体" w:hAnsi="宋体" w:cs="宋体" w:eastAsia="宋体" w:hint="default"/>
        </w:rPr>
        <w:t>512</w:t>
      </w:r>
      <w:r>
        <w:rPr/>
        <w:t>的物业，租期三年。交易金额为：</w:t>
      </w:r>
      <w:r>
        <w:rPr>
          <w:rFonts w:ascii="宋体" w:hAnsi="宋体" w:cs="宋体" w:eastAsia="宋体" w:hint="default"/>
        </w:rPr>
        <w:t>503,545.62</w:t>
      </w:r>
      <w:r>
        <w:rPr/>
        <w:t>元。（</w:t>
      </w:r>
      <w:r>
        <w:rPr>
          <w:rFonts w:ascii="宋体" w:hAnsi="宋体" w:cs="宋体" w:eastAsia="宋体" w:hint="default"/>
        </w:rPr>
        <w:t>3</w:t>
      </w:r>
      <w:r>
        <w:rPr/>
        <w:t>）公司下属公司京蓝能科向朱 锦女士租用其所持有的位于北京市丰台区广安路</w:t>
      </w:r>
      <w:r>
        <w:rPr>
          <w:rFonts w:ascii="宋体" w:hAnsi="宋体" w:cs="宋体" w:eastAsia="宋体" w:hint="default"/>
        </w:rPr>
        <w:t>9</w:t>
      </w:r>
      <w:r>
        <w:rPr/>
        <w:t>号国投财富广场</w:t>
      </w:r>
      <w:r>
        <w:rPr>
          <w:rFonts w:ascii="宋体" w:hAnsi="宋体" w:cs="宋体" w:eastAsia="宋体" w:hint="default"/>
        </w:rPr>
        <w:t>3</w:t>
      </w:r>
      <w:r>
        <w:rPr/>
        <w:t>号楼</w:t>
      </w:r>
      <w:r>
        <w:rPr>
          <w:rFonts w:ascii="宋体" w:hAnsi="宋体" w:cs="宋体" w:eastAsia="宋体" w:hint="default"/>
        </w:rPr>
        <w:t>5</w:t>
      </w:r>
      <w:r>
        <w:rPr/>
        <w:t>层</w:t>
      </w:r>
      <w:r>
        <w:rPr>
          <w:rFonts w:ascii="宋体" w:hAnsi="宋体" w:cs="宋体" w:eastAsia="宋体" w:hint="default"/>
        </w:rPr>
        <w:t>513</w:t>
      </w:r>
      <w:r>
        <w:rPr/>
        <w:t>的物业，租期三年。交易金 额为：</w:t>
      </w:r>
      <w:r>
        <w:rPr>
          <w:rFonts w:ascii="宋体" w:hAnsi="宋体" w:cs="宋体" w:eastAsia="宋体" w:hint="default"/>
        </w:rPr>
        <w:t>504,064.65</w:t>
      </w:r>
      <w:r>
        <w:rPr/>
        <w:t>元。（</w:t>
      </w:r>
      <w:r>
        <w:rPr>
          <w:rFonts w:ascii="宋体" w:hAnsi="宋体" w:cs="宋体" w:eastAsia="宋体" w:hint="default"/>
        </w:rPr>
        <w:t>4</w:t>
      </w:r>
      <w:r>
        <w:rPr/>
        <w:t>）公司下属公司固安京蓝云向朱锦女士租用其所持有的位于北京市丰台区广安</w:t>
      </w:r>
      <w:r>
        <w:rPr>
          <w:spacing w:val="-36"/>
        </w:rPr>
        <w:t> </w:t>
      </w:r>
      <w:r>
        <w:rPr>
          <w:spacing w:val="-36"/>
        </w:rPr>
      </w:r>
      <w:r>
        <w:rPr>
          <w:spacing w:val="-3"/>
        </w:rPr>
        <w:t>路</w:t>
      </w:r>
      <w:r>
        <w:rPr>
          <w:rFonts w:ascii="宋体" w:hAnsi="宋体" w:cs="宋体" w:eastAsia="宋体" w:hint="default"/>
          <w:spacing w:val="-3"/>
        </w:rPr>
        <w:t>9</w:t>
      </w:r>
      <w:r>
        <w:rPr>
          <w:spacing w:val="-3"/>
        </w:rPr>
        <w:t>号国投财富广场</w:t>
      </w:r>
      <w:r>
        <w:rPr>
          <w:rFonts w:ascii="宋体" w:hAnsi="宋体" w:cs="宋体" w:eastAsia="宋体" w:hint="default"/>
          <w:spacing w:val="-3"/>
        </w:rPr>
        <w:t>3</w:t>
      </w:r>
      <w:r>
        <w:rPr>
          <w:spacing w:val="-3"/>
        </w:rPr>
        <w:t>号楼</w:t>
      </w:r>
      <w:r>
        <w:rPr>
          <w:rFonts w:ascii="宋体" w:hAnsi="宋体" w:cs="宋体" w:eastAsia="宋体" w:hint="default"/>
          <w:spacing w:val="-3"/>
        </w:rPr>
        <w:t>5</w:t>
      </w:r>
      <w:r>
        <w:rPr>
          <w:spacing w:val="-3"/>
        </w:rPr>
        <w:t>层</w:t>
      </w:r>
      <w:r>
        <w:rPr>
          <w:rFonts w:ascii="宋体" w:hAnsi="宋体" w:cs="宋体" w:eastAsia="宋体" w:hint="default"/>
          <w:spacing w:val="-3"/>
        </w:rPr>
        <w:t>511</w:t>
      </w:r>
      <w:r>
        <w:rPr>
          <w:spacing w:val="-3"/>
        </w:rPr>
        <w:t>的物业，租期三年。交易金额为：</w:t>
      </w:r>
      <w:r>
        <w:rPr>
          <w:rFonts w:ascii="宋体" w:hAnsi="宋体" w:cs="宋体" w:eastAsia="宋体" w:hint="default"/>
          <w:spacing w:val="-3"/>
        </w:rPr>
        <w:t>545,068.02</w:t>
      </w:r>
      <w:r>
        <w:rPr>
          <w:spacing w:val="-3"/>
        </w:rPr>
        <w:t>元。（公告编号：</w:t>
      </w:r>
      <w:r>
        <w:rPr>
          <w:rFonts w:ascii="宋体" w:hAnsi="宋体" w:cs="宋体" w:eastAsia="宋体" w:hint="default"/>
          <w:spacing w:val="-3"/>
        </w:rPr>
        <w:t>2017-094</w:t>
      </w:r>
      <w:r>
        <w:rPr>
          <w:spacing w:val="-3"/>
        </w:rPr>
        <w:t>）</w:t>
      </w:r>
    </w:p>
    <w:p>
      <w:pPr>
        <w:spacing w:before="154"/>
        <w:ind w:left="154"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重大担保" w:id="93"/>
      <w:bookmarkEnd w:id="93"/>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1）担保情况" w:id="94"/>
      <w:bookmarkEnd w:id="94"/>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30"/>
        <w:gridCol w:w="920"/>
        <w:gridCol w:w="1296"/>
        <w:gridCol w:w="1063"/>
        <w:gridCol w:w="1034"/>
        <w:gridCol w:w="1053"/>
        <w:gridCol w:w="788"/>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9"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8"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京蓝园林</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150,000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2017.9.12-20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19-10.13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2017.9.12-20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20.9.12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2017.9.12-20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20.9.12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2017.9.15-20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20.9.15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2017/9/11-20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22/8/14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2017.5.9-202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0.5.9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11,497.2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2017/11/20-2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020/11/20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2017/9/11-20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22/8/14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2017/11/21-2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018/11/21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2017/11/29-2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018/11/29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2017/11/29-2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020/11/28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3,643.6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2017/12/1-20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20/12/1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2017/12/1-20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20/11/30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15"/>
        <w:gridCol w:w="916"/>
        <w:gridCol w:w="929"/>
        <w:gridCol w:w="1302"/>
        <w:gridCol w:w="1052"/>
        <w:gridCol w:w="1040"/>
        <w:gridCol w:w="1055"/>
        <w:gridCol w:w="787"/>
        <w:gridCol w:w="780"/>
      </w:tblGrid>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5" w:space="0" w:color="000000"/>
            </w:tcBorders>
          </w:tcPr>
          <w:p>
            <w:pPr/>
          </w:p>
        </w:tc>
        <w:tc>
          <w:tcPr>
            <w:tcW w:w="929" w:type="dxa"/>
            <w:tcBorders>
              <w:top w:val="single" w:sz="4" w:space="0" w:color="000000"/>
              <w:left w:val="single" w:sz="5"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8"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2017/12/19-2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018/12/18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5" w:space="0" w:color="000000"/>
            </w:tcBorders>
          </w:tcPr>
          <w:p>
            <w:pPr/>
          </w:p>
        </w:tc>
        <w:tc>
          <w:tcPr>
            <w:tcW w:w="929" w:type="dxa"/>
            <w:tcBorders>
              <w:top w:val="single" w:sz="4" w:space="0" w:color="000000"/>
              <w:left w:val="single" w:sz="5"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8"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2017/12/22-2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018/12/21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5" w:space="0" w:color="000000"/>
            </w:tcBorders>
          </w:tcPr>
          <w:p>
            <w:pPr/>
          </w:p>
        </w:tc>
        <w:tc>
          <w:tcPr>
            <w:tcW w:w="929" w:type="dxa"/>
            <w:tcBorders>
              <w:top w:val="single" w:sz="4" w:space="0" w:color="000000"/>
              <w:left w:val="single" w:sz="5"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4,959</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8"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2018/1/15-20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21/1/15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5" w:space="0" w:color="000000"/>
            </w:tcBorders>
          </w:tcPr>
          <w:p>
            <w:pPr/>
          </w:p>
        </w:tc>
        <w:tc>
          <w:tcPr>
            <w:tcW w:w="929" w:type="dxa"/>
            <w:tcBorders>
              <w:top w:val="single" w:sz="4" w:space="0" w:color="000000"/>
              <w:left w:val="single" w:sz="5"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8"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2018/1/15-20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21/1/15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5" w:space="0" w:color="000000"/>
            </w:tcBorders>
          </w:tcPr>
          <w:p>
            <w:pPr/>
          </w:p>
        </w:tc>
        <w:tc>
          <w:tcPr>
            <w:tcW w:w="929" w:type="dxa"/>
            <w:tcBorders>
              <w:top w:val="single" w:sz="4" w:space="0" w:color="000000"/>
              <w:left w:val="single" w:sz="5"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8"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2018/2/13-20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19/2/12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5" w:space="0" w:color="000000"/>
            </w:tcBorders>
          </w:tcPr>
          <w:p>
            <w:pPr/>
          </w:p>
        </w:tc>
        <w:tc>
          <w:tcPr>
            <w:tcW w:w="929" w:type="dxa"/>
            <w:tcBorders>
              <w:top w:val="single" w:sz="4" w:space="0" w:color="000000"/>
              <w:left w:val="single" w:sz="5"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24,500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8"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2018/03/12-2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019/03/11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5" w:space="0" w:color="000000"/>
            </w:tcBorders>
          </w:tcPr>
          <w:p>
            <w:pPr/>
          </w:p>
        </w:tc>
        <w:tc>
          <w:tcPr>
            <w:tcW w:w="929" w:type="dxa"/>
            <w:tcBorders>
              <w:top w:val="single" w:sz="4" w:space="0" w:color="000000"/>
              <w:left w:val="single" w:sz="5"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8"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2018/4/2-201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9/3/27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5" w:space="0" w:color="000000"/>
            </w:tcBorders>
          </w:tcPr>
          <w:p>
            <w:pPr/>
          </w:p>
        </w:tc>
        <w:tc>
          <w:tcPr>
            <w:tcW w:w="929" w:type="dxa"/>
            <w:tcBorders>
              <w:top w:val="single" w:sz="4" w:space="0" w:color="000000"/>
              <w:left w:val="single" w:sz="5"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3,500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8"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2018/4/28-20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19/4/28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5" w:space="0" w:color="000000"/>
            </w:tcBorders>
          </w:tcPr>
          <w:p>
            <w:pPr/>
          </w:p>
        </w:tc>
        <w:tc>
          <w:tcPr>
            <w:tcW w:w="929" w:type="dxa"/>
            <w:tcBorders>
              <w:top w:val="single" w:sz="4" w:space="0" w:color="000000"/>
              <w:left w:val="single" w:sz="5"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8"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2017/9/11-20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22/8/14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5" w:space="0" w:color="000000"/>
            </w:tcBorders>
          </w:tcPr>
          <w:p>
            <w:pPr/>
          </w:p>
        </w:tc>
        <w:tc>
          <w:tcPr>
            <w:tcW w:w="929" w:type="dxa"/>
            <w:tcBorders>
              <w:top w:val="single" w:sz="4" w:space="0" w:color="000000"/>
              <w:left w:val="single" w:sz="5"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8"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2018/5/22-20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19/5/20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5" w:space="0" w:color="000000"/>
            </w:tcBorders>
          </w:tcPr>
          <w:p>
            <w:pPr/>
          </w:p>
        </w:tc>
        <w:tc>
          <w:tcPr>
            <w:tcW w:w="929" w:type="dxa"/>
            <w:tcBorders>
              <w:top w:val="single" w:sz="4" w:space="0" w:color="000000"/>
              <w:left w:val="single" w:sz="5"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3,500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8"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2018/5/25-20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19/5/25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5" w:space="0" w:color="000000"/>
            </w:tcBorders>
          </w:tcPr>
          <w:p>
            <w:pPr/>
          </w:p>
        </w:tc>
        <w:tc>
          <w:tcPr>
            <w:tcW w:w="929" w:type="dxa"/>
            <w:tcBorders>
              <w:top w:val="single" w:sz="4" w:space="0" w:color="000000"/>
              <w:left w:val="single" w:sz="5"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8"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2017/9/11-20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22/8/14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5" w:space="0" w:color="000000"/>
            </w:tcBorders>
          </w:tcPr>
          <w:p>
            <w:pPr/>
          </w:p>
        </w:tc>
        <w:tc>
          <w:tcPr>
            <w:tcW w:w="929" w:type="dxa"/>
            <w:tcBorders>
              <w:top w:val="single" w:sz="4" w:space="0" w:color="000000"/>
              <w:left w:val="single" w:sz="5"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8"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2018.11.19-2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019.5.18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5" w:space="0" w:color="000000"/>
            </w:tcBorders>
          </w:tcPr>
          <w:p>
            <w:pPr/>
          </w:p>
        </w:tc>
        <w:tc>
          <w:tcPr>
            <w:tcW w:w="929" w:type="dxa"/>
            <w:tcBorders>
              <w:top w:val="single" w:sz="4" w:space="0" w:color="000000"/>
              <w:left w:val="single" w:sz="5"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8"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2018.12.27-2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019.12.27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北创建设</w:t>
            </w:r>
          </w:p>
        </w:tc>
        <w:tc>
          <w:tcPr>
            <w:tcW w:w="916"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9" w:right="0"/>
              <w:jc w:val="left"/>
              <w:rPr>
                <w:rFonts w:ascii="Times New Roman" w:hAnsi="Times New Roman" w:cs="Times New Roman" w:eastAsia="Times New Roman" w:hint="default"/>
                <w:sz w:val="18"/>
                <w:szCs w:val="18"/>
              </w:rPr>
            </w:pPr>
            <w:r>
              <w:rPr>
                <w:rFonts w:ascii="Times New Roman"/>
                <w:sz w:val="18"/>
              </w:rPr>
              <w:t>22,728</w:t>
            </w:r>
          </w:p>
        </w:tc>
        <w:tc>
          <w:tcPr>
            <w:tcW w:w="130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8"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31"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22,728</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 w:right="83"/>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73,459</w:t>
            </w:r>
          </w:p>
        </w:tc>
      </w:tr>
      <w:tr>
        <w:trPr>
          <w:trHeight w:val="719"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31"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172,728</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 w:right="83"/>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144,400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1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90"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302"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0"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302"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9" w:right="7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0"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3"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6"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2" w:type="dxa"/>
            <w:vMerge/>
            <w:tcBorders>
              <w:left w:val="single" w:sz="4" w:space="0" w:color="000000"/>
              <w:right w:val="single" w:sz="4" w:space="0" w:color="000000"/>
            </w:tcBorders>
            <w:shd w:val="clear" w:color="auto" w:fill="D2D2D2"/>
          </w:tcPr>
          <w:p>
            <w:pPr/>
          </w:p>
        </w:tc>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
        </w:tc>
        <w:tc>
          <w:tcPr>
            <w:tcW w:w="1302"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1040"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16"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302"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8"/>
        <w:gridCol w:w="1296"/>
        <w:gridCol w:w="1063"/>
        <w:gridCol w:w="1034"/>
        <w:gridCol w:w="1046"/>
        <w:gridCol w:w="796"/>
        <w:gridCol w:w="780"/>
      </w:tblGrid>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京蓝能科</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2017/06/29-2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018/06/28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2017/07/21-2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018/06/28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2018/1/19-20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19/1/18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2018/6/20-20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19/6/19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京蓝能科</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670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2017/07/19-2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020/07/19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2018/1/29-20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21/2/15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京蓝云智</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京蓝生态</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2017/11/17-2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018/11/16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2018/10/30-2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021/10/29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2018/10/30-2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021/10/29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京蓝生态</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京蓝沐禾</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2017/04/20-2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018/04/01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2017/4/1-201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8/4/1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2017/05/15-2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018/04/01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2017/05/24-2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018/05/23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2017/06/29-2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018/06/18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2017/06/30-2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018/06/28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2017/07/03-2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018/06/28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2017/08/03-2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018/08/02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8"/>
        <w:gridCol w:w="1296"/>
        <w:gridCol w:w="1063"/>
        <w:gridCol w:w="1034"/>
        <w:gridCol w:w="1046"/>
        <w:gridCol w:w="796"/>
        <w:gridCol w:w="780"/>
      </w:tblGrid>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2017/08/24-2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017/12/24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2017/12/12-2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018/11/12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2017/12/29-2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018/12/28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2018/06/20-2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019/06/19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京蓝沐禾</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150,000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2017/08/23-2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020/08/22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2017/7/3-201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8/7/2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630.43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2017/8/23-20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20/8/22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2017/10/25-2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020/10/24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2017/11/09-2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019/11/09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2017/12/15-2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019/10/31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2017/12/19-2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019/12/19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526.42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2017/12/19-2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019/12/19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526.45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2017/12/22-2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019/12/22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2017/12/22-2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019/12/22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2017.12.25-2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018.7.27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2,370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2018/1/5-201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9/10/31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2018/01/09-2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021/01/08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8,120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2018/01/12-2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019/10/31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2018.4.20-20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18.9.9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8"/>
        <w:gridCol w:w="1296"/>
        <w:gridCol w:w="1063"/>
        <w:gridCol w:w="1034"/>
        <w:gridCol w:w="1046"/>
        <w:gridCol w:w="796"/>
        <w:gridCol w:w="780"/>
      </w:tblGrid>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2018/05/18-2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019/05/17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2018/06/13-2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019/05/24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2018/06/15-2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023/06/15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2018/6/20-20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19/6/20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9,270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2018/8/3-201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9/8/2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14,250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2018/06/22-2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019/05/15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2018.6.28-20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18.9.25?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2018/08/03-2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019/08/02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730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2018/7/3-201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9/8/2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2018/09/21-2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019/09/03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2018.10.31-2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019.10.30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2018.11.13-2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019.11.12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2018.11.12-2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019.11.12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2018.11.22-2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019.5.22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2018/11/30-2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019/11/30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2018.12.14-2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019.6.14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2018.12.28-2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019.02.26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巴林右旗京蓝沐禾生 态环境治理有限公司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2018/01/23-2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024/01/23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京蓝科技</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2018/03/16-2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019/03/15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17"/>
        <w:gridCol w:w="925"/>
        <w:gridCol w:w="1305"/>
        <w:gridCol w:w="1054"/>
        <w:gridCol w:w="1040"/>
        <w:gridCol w:w="1049"/>
        <w:gridCol w:w="791"/>
        <w:gridCol w:w="785"/>
      </w:tblGrid>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京蓝科技</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9,102</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9,102</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2018/10/29-2</w:t>
            </w:r>
          </w:p>
          <w:p>
            <w:pPr>
              <w:pStyle w:val="TableParagraph"/>
              <w:spacing w:line="240" w:lineRule="auto" w:before="106"/>
              <w:ind w:left="26" w:right="0"/>
              <w:jc w:val="left"/>
              <w:rPr>
                <w:rFonts w:ascii="Times New Roman" w:hAnsi="Times New Roman" w:cs="Times New Roman" w:eastAsia="Times New Roman" w:hint="default"/>
                <w:sz w:val="18"/>
                <w:szCs w:val="18"/>
              </w:rPr>
            </w:pPr>
            <w:r>
              <w:rPr>
                <w:rFonts w:ascii="Times New Roman"/>
                <w:sz w:val="18"/>
              </w:rPr>
              <w:t>020/4/29</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京蓝科技</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7,300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7,300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2018/10/31-2</w:t>
            </w:r>
          </w:p>
          <w:p>
            <w:pPr>
              <w:pStyle w:val="TableParagraph"/>
              <w:spacing w:line="240" w:lineRule="auto" w:before="106"/>
              <w:ind w:left="26" w:right="0"/>
              <w:jc w:val="left"/>
              <w:rPr>
                <w:rFonts w:ascii="Times New Roman" w:hAnsi="Times New Roman" w:cs="Times New Roman" w:eastAsia="Times New Roman" w:hint="default"/>
                <w:sz w:val="18"/>
                <w:szCs w:val="18"/>
              </w:rPr>
            </w:pPr>
            <w:r>
              <w:rPr>
                <w:rFonts w:ascii="Times New Roman"/>
                <w:sz w:val="18"/>
              </w:rPr>
              <w:t>019/10/31</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京蓝科技</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100,000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50,000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2018/11/29-2</w:t>
            </w:r>
          </w:p>
          <w:p>
            <w:pPr>
              <w:pStyle w:val="TableParagraph"/>
              <w:spacing w:line="240" w:lineRule="auto" w:before="106"/>
              <w:ind w:left="26" w:right="0"/>
              <w:jc w:val="left"/>
              <w:rPr>
                <w:rFonts w:ascii="Times New Roman" w:hAnsi="Times New Roman" w:cs="Times New Roman" w:eastAsia="Times New Roman" w:hint="default"/>
                <w:sz w:val="18"/>
                <w:szCs w:val="18"/>
              </w:rPr>
            </w:pPr>
            <w:r>
              <w:rPr>
                <w:rFonts w:ascii="Times New Roman"/>
                <w:sz w:val="18"/>
              </w:rPr>
              <w:t>019/04/26</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40,000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2018/11/29-2</w:t>
            </w:r>
          </w:p>
          <w:p>
            <w:pPr>
              <w:pStyle w:val="TableParagraph"/>
              <w:spacing w:line="240" w:lineRule="auto" w:before="106"/>
              <w:ind w:left="26" w:right="0"/>
              <w:jc w:val="left"/>
              <w:rPr>
                <w:rFonts w:ascii="Times New Roman" w:hAnsi="Times New Roman" w:cs="Times New Roman" w:eastAsia="Times New Roman" w:hint="default"/>
                <w:sz w:val="18"/>
                <w:szCs w:val="18"/>
              </w:rPr>
            </w:pPr>
            <w:r>
              <w:rPr>
                <w:rFonts w:ascii="Times New Roman"/>
                <w:sz w:val="18"/>
              </w:rPr>
              <w:t>019/11/20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敖汉旗沐禾生态环境 治理有限公司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2018/10/29-2</w:t>
            </w:r>
          </w:p>
          <w:p>
            <w:pPr>
              <w:pStyle w:val="TableParagraph"/>
              <w:spacing w:line="240" w:lineRule="auto" w:before="106"/>
              <w:ind w:left="26" w:right="0"/>
              <w:jc w:val="left"/>
              <w:rPr>
                <w:rFonts w:ascii="Times New Roman" w:hAnsi="Times New Roman" w:cs="Times New Roman" w:eastAsia="Times New Roman" w:hint="default"/>
                <w:sz w:val="18"/>
                <w:szCs w:val="18"/>
              </w:rPr>
            </w:pPr>
            <w:r>
              <w:rPr>
                <w:rFonts w:ascii="Times New Roman"/>
                <w:sz w:val="18"/>
              </w:rPr>
              <w:t>019/10/29</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呼伦贝尔京蓝沐禾节 水装备有限公司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c>
          <w:tcPr>
            <w:tcW w:w="1040"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222,402</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287,342</w:t>
            </w:r>
          </w:p>
        </w:tc>
      </w:tr>
      <w:tr>
        <w:trPr>
          <w:trHeight w:val="719"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647,602</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411,625</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92" w:right="9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vMerge w:val="restart"/>
            <w:tcBorders>
              <w:top w:val="single" w:sz="4" w:space="0" w:color="000000"/>
              <w:left w:val="single" w:sz="4" w:space="0" w:color="000000"/>
              <w:right w:val="single" w:sz="4" w:space="0" w:color="000000"/>
            </w:tcBorders>
            <w:shd w:val="clear" w:color="auto" w:fill="D2D2D2"/>
          </w:tcPr>
          <w:p>
            <w:pPr/>
          </w:p>
        </w:tc>
        <w:tc>
          <w:tcPr>
            <w:tcW w:w="1305" w:type="dxa"/>
            <w:vMerge w:val="restart"/>
            <w:tcBorders>
              <w:top w:val="single" w:sz="4" w:space="0" w:color="000000"/>
              <w:left w:val="single" w:sz="4" w:space="0" w:color="000000"/>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0" w:type="dxa"/>
            <w:vMerge w:val="restart"/>
            <w:tcBorders>
              <w:top w:val="single" w:sz="4" w:space="0" w:color="000000"/>
              <w:left w:val="single" w:sz="4" w:space="0" w:color="000000"/>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000000"/>
            </w:tcBorders>
            <w:shd w:val="clear" w:color="auto" w:fill="D2D2D2"/>
          </w:tcPr>
          <w:p>
            <w:pPr/>
          </w:p>
        </w:tc>
        <w:tc>
          <w:tcPr>
            <w:tcW w:w="7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17" w:type="dxa"/>
            <w:vMerge/>
            <w:tcBorders>
              <w:left w:val="single" w:sz="4" w:space="0" w:color="000000"/>
              <w:right w:val="single" w:sz="4" w:space="0" w:color="000000"/>
            </w:tcBorders>
            <w:shd w:val="clear" w:color="auto" w:fill="D2D2D2"/>
          </w:tcPr>
          <w:p>
            <w:pPr/>
          </w:p>
        </w:tc>
        <w:tc>
          <w:tcPr>
            <w:tcW w:w="925" w:type="dxa"/>
            <w:vMerge/>
            <w:tcBorders>
              <w:left w:val="single" w:sz="4" w:space="0" w:color="000000"/>
              <w:bottom w:val="nil" w:sz="6" w:space="0" w:color="auto"/>
              <w:right w:val="single" w:sz="4" w:space="0" w:color="000000"/>
            </w:tcBorders>
            <w:shd w:val="clear" w:color="auto" w:fill="D2D2D2"/>
          </w:tcPr>
          <w:p>
            <w:pPr/>
          </w:p>
        </w:tc>
        <w:tc>
          <w:tcPr>
            <w:tcW w:w="1305" w:type="dxa"/>
            <w:vMerge/>
            <w:tcBorders>
              <w:left w:val="single" w:sz="4" w:space="0" w:color="000000"/>
              <w:bottom w:val="nil" w:sz="6" w:space="0" w:color="auto"/>
              <w:right w:val="single" w:sz="4" w:space="0" w:color="000000"/>
            </w:tcBorders>
            <w:shd w:val="clear" w:color="auto" w:fill="D2D2D2"/>
          </w:tcPr>
          <w:p>
            <w:pP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6"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0"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79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7"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7" w:type="dxa"/>
            <w:vMerge/>
            <w:tcBorders>
              <w:left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vMerge/>
            <w:tcBorders>
              <w:left w:val="single" w:sz="4" w:space="0" w:color="000000"/>
              <w:right w:val="single" w:sz="4" w:space="0" w:color="000000"/>
            </w:tcBorders>
            <w:shd w:val="clear" w:color="auto" w:fill="D2D2D2"/>
          </w:tcPr>
          <w:p>
            <w:pPr/>
          </w:p>
        </w:tc>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1"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17" w:type="dxa"/>
            <w:vMerge/>
            <w:tcBorders>
              <w:left w:val="single" w:sz="4" w:space="0" w:color="000000"/>
              <w:right w:val="single" w:sz="4" w:space="0" w:color="000000"/>
            </w:tcBorders>
            <w:shd w:val="clear" w:color="auto" w:fill="D2D2D2"/>
          </w:tcPr>
          <w:p>
            <w:pPr/>
          </w:p>
        </w:tc>
        <w:tc>
          <w:tcPr>
            <w:tcW w:w="925" w:type="dxa"/>
            <w:vMerge w:val="restart"/>
            <w:tcBorders>
              <w:top w:val="nil" w:sz="6" w:space="0" w:color="auto"/>
              <w:left w:val="single" w:sz="4" w:space="0" w:color="000000"/>
              <w:right w:val="single" w:sz="4" w:space="0" w:color="000000"/>
            </w:tcBorders>
            <w:shd w:val="clear" w:color="auto" w:fill="D2D2D2"/>
          </w:tcPr>
          <w:p>
            <w:pPr/>
          </w:p>
        </w:tc>
        <w:tc>
          <w:tcPr>
            <w:tcW w:w="1305" w:type="dxa"/>
            <w:vMerge w:val="restart"/>
            <w:tcBorders>
              <w:top w:val="nil" w:sz="6" w:space="0" w:color="auto"/>
              <w:left w:val="single" w:sz="4" w:space="0" w:color="000000"/>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1040" w:type="dxa"/>
            <w:vMerge w:val="restart"/>
            <w:tcBorders>
              <w:top w:val="nil" w:sz="6" w:space="0" w:color="auto"/>
              <w:left w:val="single" w:sz="4" w:space="0" w:color="000000"/>
              <w:right w:val="single" w:sz="4" w:space="0" w:color="000000"/>
            </w:tcBorders>
            <w:shd w:val="clear" w:color="auto" w:fill="D2D2D2"/>
          </w:tcPr>
          <w:p>
            <w:pPr/>
          </w:p>
        </w:tc>
        <w:tc>
          <w:tcPr>
            <w:tcW w:w="1049" w:type="dxa"/>
            <w:vMerge w:val="restart"/>
            <w:tcBorders>
              <w:top w:val="nil" w:sz="6" w:space="0" w:color="auto"/>
              <w:left w:val="single" w:sz="4" w:space="0" w:color="000000"/>
              <w:right w:val="single" w:sz="4" w:space="0" w:color="000000"/>
            </w:tcBorders>
            <w:shd w:val="clear" w:color="auto" w:fill="D2D2D2"/>
          </w:tcPr>
          <w:p>
            <w:pPr/>
          </w:p>
        </w:tc>
        <w:tc>
          <w:tcPr>
            <w:tcW w:w="791"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925" w:type="dxa"/>
            <w:vMerge/>
            <w:tcBorders>
              <w:left w:val="single" w:sz="4" w:space="0" w:color="000000"/>
              <w:bottom w:val="single" w:sz="4" w:space="0" w:color="000000"/>
              <w:right w:val="single" w:sz="4" w:space="0" w:color="000000"/>
            </w:tcBorders>
            <w:shd w:val="clear" w:color="auto" w:fill="D2D2D2"/>
          </w:tcPr>
          <w:p>
            <w:pPr/>
          </w:p>
        </w:tc>
        <w:tc>
          <w:tcPr>
            <w:tcW w:w="1305" w:type="dxa"/>
            <w:vMerge/>
            <w:tcBorders>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7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衡水沐禾</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300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3" w:right="11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2017/09/20-2</w:t>
            </w:r>
          </w:p>
          <w:p>
            <w:pPr>
              <w:pStyle w:val="TableParagraph"/>
              <w:spacing w:line="240" w:lineRule="auto" w:before="106"/>
              <w:ind w:left="26" w:right="0"/>
              <w:jc w:val="left"/>
              <w:rPr>
                <w:rFonts w:ascii="Times New Roman" w:hAnsi="Times New Roman" w:cs="Times New Roman" w:eastAsia="Times New Roman" w:hint="default"/>
                <w:sz w:val="18"/>
                <w:szCs w:val="18"/>
              </w:rPr>
            </w:pPr>
            <w:r>
              <w:rPr>
                <w:rFonts w:ascii="Times New Roman"/>
                <w:sz w:val="18"/>
              </w:rPr>
              <w:t>017/12/19</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京蓝生态</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10,000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3" w:right="11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2017/11/17-2</w:t>
            </w:r>
          </w:p>
          <w:p>
            <w:pPr>
              <w:pStyle w:val="TableParagraph"/>
              <w:spacing w:line="240" w:lineRule="auto" w:before="106"/>
              <w:ind w:left="26" w:right="0"/>
              <w:jc w:val="left"/>
              <w:rPr>
                <w:rFonts w:ascii="Times New Roman" w:hAnsi="Times New Roman" w:cs="Times New Roman" w:eastAsia="Times New Roman" w:hint="default"/>
                <w:sz w:val="18"/>
                <w:szCs w:val="18"/>
              </w:rPr>
            </w:pPr>
            <w:r>
              <w:rPr>
                <w:rFonts w:ascii="Times New Roman"/>
                <w:sz w:val="18"/>
              </w:rPr>
              <w:t>018/11/16</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55,000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10,300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245,130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2" w:right="79"/>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360,801</w:t>
            </w:r>
          </w:p>
        </w:tc>
      </w:tr>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875,330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566,325</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130.39%</w:t>
            </w:r>
          </w:p>
        </w:tc>
      </w:tr>
      <w:tr>
        <w:trPr>
          <w:trHeight w:val="39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149,600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856"/>
        <w:gridCol w:w="4719"/>
      </w:tblGrid>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349,154.17</w:t>
            </w:r>
          </w:p>
        </w:tc>
      </w:tr>
      <w:tr>
        <w:trPr>
          <w:trHeight w:val="714"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300" w:lineRule="auto" w:before="116"/>
        <w:ind w:left="154" w:right="1132" w:firstLine="0"/>
        <w:jc w:val="both"/>
        <w:rPr>
          <w:rFonts w:ascii="宋体" w:hAnsi="宋体" w:cs="宋体" w:eastAsia="宋体" w:hint="default"/>
          <w:sz w:val="18"/>
          <w:szCs w:val="18"/>
        </w:rPr>
      </w:pPr>
      <w:r>
        <w:rPr>
          <w:rFonts w:ascii="宋体" w:hAnsi="宋体" w:cs="宋体" w:eastAsia="宋体" w:hint="default"/>
          <w:spacing w:val="-4"/>
          <w:sz w:val="18"/>
          <w:szCs w:val="18"/>
        </w:rPr>
        <w:t>注：（</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）公司及其子公司对外担保情况（不包括对子公司的担保）中担保对象为北方园林，公司审议该事项时北方园林尚未</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纳入公司体系，因此纳入对外担保。截至目前，公司持有北方园林</w:t>
      </w:r>
      <w:r>
        <w:rPr>
          <w:rFonts w:ascii="宋体" w:hAnsi="宋体" w:cs="宋体" w:eastAsia="宋体" w:hint="default"/>
          <w:spacing w:val="-39"/>
          <w:sz w:val="18"/>
          <w:szCs w:val="18"/>
        </w:rPr>
        <w:t> </w:t>
      </w:r>
      <w:r>
        <w:rPr>
          <w:rFonts w:ascii="Times New Roman" w:hAnsi="Times New Roman" w:cs="Times New Roman" w:eastAsia="Times New Roman" w:hint="default"/>
          <w:spacing w:val="-4"/>
          <w:sz w:val="18"/>
          <w:szCs w:val="18"/>
        </w:rPr>
        <w:t>90.11%</w:t>
      </w:r>
      <w:r>
        <w:rPr>
          <w:rFonts w:ascii="宋体" w:hAnsi="宋体" w:cs="宋体" w:eastAsia="宋体" w:hint="default"/>
          <w:spacing w:val="-4"/>
          <w:sz w:val="18"/>
          <w:szCs w:val="18"/>
        </w:rPr>
        <w:t>的股权，其为公司的控股子公司。（</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）公司对子</w:t>
      </w:r>
      <w:r>
        <w:rPr>
          <w:rFonts w:ascii="宋体" w:hAnsi="宋体" w:cs="宋体" w:eastAsia="宋体" w:hint="default"/>
          <w:spacing w:val="-83"/>
          <w:sz w:val="18"/>
          <w:szCs w:val="18"/>
        </w:rPr>
        <w:t> </w:t>
      </w:r>
      <w:r>
        <w:rPr>
          <w:rFonts w:ascii="宋体" w:hAnsi="宋体" w:cs="宋体" w:eastAsia="宋体" w:hint="default"/>
          <w:sz w:val="18"/>
          <w:szCs w:val="18"/>
        </w:rPr>
        <w:t>公司的担保情况统计表中，同时包含子公司为上市公司担保的情况。</w:t>
      </w:r>
    </w:p>
    <w:p>
      <w:pPr>
        <w:spacing w:line="240" w:lineRule="auto" w:before="4"/>
        <w:rPr>
          <w:rFonts w:ascii="宋体" w:hAnsi="宋体" w:cs="宋体" w:eastAsia="宋体" w:hint="default"/>
          <w:sz w:val="23"/>
          <w:szCs w:val="23"/>
        </w:rPr>
      </w:pPr>
    </w:p>
    <w:p>
      <w:pPr>
        <w:pStyle w:val="Heading4"/>
        <w:spacing w:line="240" w:lineRule="auto"/>
        <w:ind w:right="0"/>
        <w:jc w:val="both"/>
        <w:rPr>
          <w:b w:val="0"/>
          <w:bCs w:val="0"/>
        </w:rPr>
      </w:pPr>
      <w:bookmarkStart w:name="（2）违规对外担保情况" w:id="95"/>
      <w:bookmarkEnd w:id="95"/>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2"/>
        <w:rPr>
          <w:rFonts w:ascii="宋体" w:hAnsi="宋体" w:cs="宋体" w:eastAsia="宋体" w:hint="default"/>
          <w:sz w:val="21"/>
          <w:szCs w:val="21"/>
        </w:rPr>
      </w:pPr>
    </w:p>
    <w:p>
      <w:pPr>
        <w:pStyle w:val="Heading4"/>
        <w:spacing w:line="240" w:lineRule="auto"/>
        <w:ind w:right="0"/>
        <w:jc w:val="both"/>
        <w:rPr>
          <w:b w:val="0"/>
          <w:bCs w:val="0"/>
        </w:rPr>
      </w:pPr>
      <w:bookmarkStart w:name="3、委托他人进行现金资产管理情况" w:id="96"/>
      <w:bookmarkEnd w:id="96"/>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委托理财情况" w:id="97"/>
      <w:bookmarkEnd w:id="97"/>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公司报告期不存在委托理财。</w:t>
      </w:r>
    </w:p>
    <w:p>
      <w:pPr>
        <w:spacing w:line="240" w:lineRule="auto" w:before="2"/>
        <w:rPr>
          <w:rFonts w:ascii="宋体" w:hAnsi="宋体" w:cs="宋体" w:eastAsia="宋体" w:hint="default"/>
          <w:sz w:val="21"/>
          <w:szCs w:val="21"/>
        </w:rPr>
      </w:pPr>
    </w:p>
    <w:p>
      <w:pPr>
        <w:pStyle w:val="Heading4"/>
        <w:spacing w:line="240" w:lineRule="auto"/>
        <w:ind w:right="0"/>
        <w:jc w:val="both"/>
        <w:rPr>
          <w:b w:val="0"/>
          <w:bCs w:val="0"/>
        </w:rPr>
      </w:pPr>
      <w:bookmarkStart w:name="（2）委托贷款情况" w:id="98"/>
      <w:bookmarkEnd w:id="98"/>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2"/>
        <w:rPr>
          <w:rFonts w:ascii="宋体" w:hAnsi="宋体" w:cs="宋体" w:eastAsia="宋体" w:hint="default"/>
          <w:sz w:val="21"/>
          <w:szCs w:val="21"/>
        </w:rPr>
      </w:pPr>
    </w:p>
    <w:p>
      <w:pPr>
        <w:pStyle w:val="Heading4"/>
        <w:spacing w:line="240" w:lineRule="auto"/>
        <w:ind w:right="0"/>
        <w:jc w:val="both"/>
        <w:rPr>
          <w:b w:val="0"/>
          <w:bCs w:val="0"/>
        </w:rPr>
      </w:pPr>
      <w:bookmarkStart w:name="4、其他重大合同" w:id="99"/>
      <w:bookmarkEnd w:id="99"/>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80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十八、社会责任情况" w:id="100"/>
      <w:bookmarkEnd w:id="100"/>
      <w:r>
        <w:rPr>
          <w:b w:val="0"/>
          <w:bCs w:val="0"/>
        </w:rPr>
      </w:r>
      <w:r>
        <w:rPr/>
        <w:t>十八、社会责任情况</w:t>
      </w:r>
      <w:r>
        <w:rPr>
          <w:b w:val="0"/>
          <w:bCs w:val="0"/>
        </w:rPr>
      </w:r>
    </w:p>
    <w:p>
      <w:pPr>
        <w:pStyle w:val="BodyText"/>
        <w:spacing w:line="610" w:lineRule="atLeast" w:before="4"/>
        <w:ind w:left="574" w:right="1114" w:hanging="420"/>
        <w:jc w:val="left"/>
      </w:pPr>
      <w:bookmarkStart w:name="1、履行社会责任情况" w:id="101"/>
      <w:bookmarkEnd w:id="101"/>
      <w:r>
        <w:rPr/>
      </w:r>
      <w:r>
        <w:rPr>
          <w:rFonts w:ascii="Times New Roman" w:hAnsi="Times New Roman" w:cs="Times New Roman" w:eastAsia="Times New Roman" w:hint="default"/>
          <w:b/>
          <w:bCs/>
        </w:rPr>
        <w:t>1</w:t>
      </w:r>
      <w:r>
        <w:rPr>
          <w:rFonts w:ascii="宋体" w:hAnsi="宋体" w:cs="宋体" w:eastAsia="宋体" w:hint="default"/>
          <w:b/>
          <w:bCs/>
        </w:rPr>
        <w:t>、履行社会责任情况</w:t>
      </w:r>
      <w:r>
        <w:rPr>
          <w:rFonts w:ascii="宋体" w:hAnsi="宋体" w:cs="宋体" w:eastAsia="宋体" w:hint="default"/>
          <w:b/>
          <w:bCs/>
          <w:w w:val="99"/>
        </w:rPr>
        <w:t> </w:t>
      </w:r>
      <w:r>
        <w:rPr/>
        <w:t>公司践行</w:t>
      </w:r>
      <w:r>
        <w:rPr>
          <w:rFonts w:ascii="Times New Roman" w:hAnsi="Times New Roman" w:cs="Times New Roman" w:eastAsia="Times New Roman" w:hint="default"/>
        </w:rPr>
        <w:t>“</w:t>
      </w:r>
      <w:r>
        <w:rPr/>
        <w:t>青山绿水蓝天情，基业长青中国梦</w:t>
      </w:r>
      <w:r>
        <w:rPr>
          <w:rFonts w:ascii="Times New Roman" w:hAnsi="Times New Roman" w:cs="Times New Roman" w:eastAsia="Times New Roman" w:hint="default"/>
        </w:rPr>
        <w:t>”</w:t>
      </w:r>
      <w:r>
        <w:rPr/>
        <w:t>的长远发展使命，以</w:t>
      </w:r>
      <w:r>
        <w:rPr>
          <w:rFonts w:ascii="Times New Roman" w:hAnsi="Times New Roman" w:cs="Times New Roman" w:eastAsia="Times New Roman" w:hint="default"/>
        </w:rPr>
        <w:t>“</w:t>
      </w:r>
      <w:r>
        <w:rPr/>
        <w:t>生态环境</w:t>
      </w:r>
      <w:r>
        <w:rPr>
          <w:rFonts w:ascii="Times New Roman" w:hAnsi="Times New Roman" w:cs="Times New Roman" w:eastAsia="Times New Roman" w:hint="default"/>
        </w:rPr>
        <w:t>+</w:t>
      </w:r>
      <w:r>
        <w:rPr/>
        <w:t>大数据、移动互联、云</w:t>
      </w:r>
    </w:p>
    <w:p>
      <w:pPr>
        <w:pStyle w:val="BodyText"/>
        <w:spacing w:line="266" w:lineRule="auto" w:before="21"/>
        <w:ind w:right="1132"/>
        <w:jc w:val="both"/>
      </w:pPr>
      <w:r>
        <w:rPr/>
        <w:t>计算</w:t>
      </w:r>
      <w:r>
        <w:rPr>
          <w:rFonts w:ascii="Times New Roman" w:hAnsi="Times New Roman" w:cs="Times New Roman" w:eastAsia="Times New Roman" w:hint="default"/>
        </w:rPr>
        <w:t>”</w:t>
      </w:r>
      <w:r>
        <w:rPr/>
        <w:t>为基础，利用互联网和信息技术，专注于生态环境领域，致力于成为国际领先的</w:t>
      </w:r>
      <w:r>
        <w:rPr>
          <w:rFonts w:ascii="Times New Roman" w:hAnsi="Times New Roman" w:cs="Times New Roman" w:eastAsia="Times New Roman" w:hint="default"/>
        </w:rPr>
        <w:t>“</w:t>
      </w:r>
      <w:r>
        <w:rPr/>
        <w:t>生态环境领域综合 </w:t>
      </w:r>
      <w:r>
        <w:rPr>
          <w:spacing w:val="-1"/>
        </w:rPr>
        <w:t>治理解决方案供应商和投资运营商。公司以生态环境为核心，形成节水灌溉、园林绿化、土壤修复等核心</w:t>
      </w:r>
      <w:r>
        <w:rPr>
          <w:spacing w:val="-86"/>
        </w:rPr>
        <w:t> </w:t>
      </w:r>
      <w:r>
        <w:rPr>
          <w:spacing w:val="-86"/>
        </w:rPr>
      </w:r>
      <w:r>
        <w:rPr>
          <w:spacing w:val="-1"/>
        </w:rPr>
        <w:t>业务，为生态环境保护尽一份责任；公司积极开拓市场、不断提高营收，降低运营成本，为股东创造丰厚</w:t>
      </w:r>
      <w:r>
        <w:rPr>
          <w:spacing w:val="-83"/>
        </w:rPr>
        <w:t> </w:t>
      </w:r>
      <w:r>
        <w:rPr>
          <w:spacing w:val="-83"/>
        </w:rPr>
      </w:r>
      <w:r>
        <w:rPr/>
        <w:t>的回报；公司坚持诚信经营，贯彻</w:t>
      </w:r>
      <w:r>
        <w:rPr>
          <w:rFonts w:ascii="Times New Roman" w:hAnsi="Times New Roman" w:cs="Times New Roman" w:eastAsia="Times New Roman" w:hint="default"/>
        </w:rPr>
        <w:t>”</w:t>
      </w:r>
      <w:r>
        <w:rPr/>
        <w:t>优势互补、资源共享、互利共赢</w:t>
      </w:r>
      <w:r>
        <w:rPr>
          <w:rFonts w:ascii="Times New Roman" w:hAnsi="Times New Roman" w:cs="Times New Roman" w:eastAsia="Times New Roman" w:hint="default"/>
        </w:rPr>
        <w:t>”</w:t>
      </w:r>
      <w:r>
        <w:rPr/>
        <w:t>的合作理念，切实维护供应商及客户 </w:t>
      </w:r>
      <w:r>
        <w:rPr>
          <w:spacing w:val="-1"/>
        </w:rPr>
        <w:t>的利益；公司不断开拓与广大投资者沟通交流的机会，组织项目实地调研、高管交流、路演等不断完善投</w:t>
      </w:r>
      <w:r>
        <w:rPr>
          <w:spacing w:val="-86"/>
        </w:rPr>
        <w:t> </w:t>
      </w:r>
      <w:r>
        <w:rPr>
          <w:spacing w:val="-86"/>
        </w:rPr>
      </w:r>
      <w:r>
        <w:rPr>
          <w:spacing w:val="-1"/>
        </w:rPr>
        <w:t>资者关系管理，切实保障投资者的合法权益。同时公司积极开展扶贫工作，切实响应党和国家的号召，切</w:t>
      </w:r>
      <w:r>
        <w:rPr>
          <w:spacing w:val="-85"/>
        </w:rPr>
        <w:t> </w:t>
      </w:r>
      <w:r>
        <w:rPr>
          <w:spacing w:val="-85"/>
        </w:rPr>
      </w:r>
      <w:r>
        <w:rPr/>
        <w:t>实履行企业的社会责任，为困难群体提供生活、教育、工作等方面的帮助。</w:t>
      </w:r>
    </w:p>
    <w:p>
      <w:pPr>
        <w:spacing w:after="0" w:line="266"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履行精准扶贫社会责任情况" w:id="102"/>
      <w:bookmarkEnd w:id="102"/>
      <w:r>
        <w:rPr>
          <w:b w:val="0"/>
          <w:bCs w:val="0"/>
        </w:rPr>
      </w:r>
      <w:r>
        <w:rPr>
          <w:rFonts w:ascii="Times New Roman" w:hAnsi="Times New Roman" w:cs="Times New Roman" w:eastAsia="Times New Roman" w:hint="default"/>
        </w:rPr>
        <w:t>2</w:t>
      </w:r>
      <w:r>
        <w:rPr/>
        <w:t>、履行精准扶贫社会责任情况</w:t>
      </w:r>
      <w:r>
        <w:rPr>
          <w:b w:val="0"/>
          <w:bCs w:val="0"/>
        </w:rPr>
      </w:r>
    </w:p>
    <w:p>
      <w:pPr>
        <w:pStyle w:val="BodyText"/>
        <w:spacing w:line="590" w:lineRule="atLeast" w:before="23"/>
        <w:ind w:left="574" w:right="1092" w:hanging="420"/>
        <w:jc w:val="left"/>
      </w:pPr>
      <w:bookmarkStart w:name="（1）精准扶贫规划" w:id="103"/>
      <w:bookmarkEnd w:id="103"/>
      <w:r>
        <w:rPr/>
      </w: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）精准扶贫规划</w:t>
      </w:r>
      <w:r>
        <w:rPr>
          <w:rFonts w:ascii="宋体" w:hAnsi="宋体" w:cs="宋体" w:eastAsia="宋体" w:hint="default"/>
          <w:b/>
          <w:bCs/>
          <w:w w:val="99"/>
        </w:rPr>
        <w:t> </w:t>
      </w:r>
      <w:r>
        <w:rPr/>
        <w:t>公司及下属公司积极响应党中央、国务院以及证监会关于扶贫工作的部署，结合企业自身实际情况，</w:t>
      </w:r>
    </w:p>
    <w:p>
      <w:pPr>
        <w:pStyle w:val="BodyText"/>
        <w:spacing w:line="273" w:lineRule="auto" w:before="37"/>
        <w:ind w:right="1131"/>
        <w:jc w:val="both"/>
      </w:pPr>
      <w:r>
        <w:rPr>
          <w:spacing w:val="-1"/>
        </w:rPr>
        <w:t>切实履行企业社会责任。报告期内公司开展了教育扶贫以及生活保障扶贫，为困难人群提供了一些基本的</w:t>
      </w:r>
      <w:r>
        <w:rPr>
          <w:spacing w:val="-81"/>
        </w:rPr>
        <w:t> </w:t>
      </w:r>
      <w:r>
        <w:rPr>
          <w:spacing w:val="-81"/>
        </w:rPr>
      </w:r>
      <w:r>
        <w:rPr>
          <w:spacing w:val="-1"/>
        </w:rPr>
        <w:t>保障。未来公司仍会积极开展扶贫工作，计划在创造就业、产业扶贫、生活保障扶贫等方面，有计划、有</w:t>
      </w:r>
      <w:r>
        <w:rPr>
          <w:spacing w:val="-83"/>
        </w:rPr>
        <w:t> </w:t>
      </w:r>
      <w:r>
        <w:rPr>
          <w:spacing w:val="-83"/>
        </w:rPr>
      </w:r>
      <w:r>
        <w:rPr/>
        <w:t>层次、有深度的做好扶贫攻坚工作。</w:t>
      </w:r>
    </w:p>
    <w:p>
      <w:pPr>
        <w:spacing w:line="590" w:lineRule="atLeast" w:before="9"/>
        <w:ind w:left="574" w:right="1197" w:hanging="420"/>
        <w:jc w:val="left"/>
        <w:rPr>
          <w:rFonts w:ascii="宋体" w:hAnsi="宋体" w:cs="宋体" w:eastAsia="宋体" w:hint="default"/>
          <w:sz w:val="21"/>
          <w:szCs w:val="21"/>
        </w:rPr>
      </w:pPr>
      <w:bookmarkStart w:name="（2）年度精准扶贫概要" w:id="104"/>
      <w:bookmarkEnd w:id="1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）年度精准扶贫概要</w:t>
      </w:r>
      <w:r>
        <w:rPr>
          <w:rFonts w:ascii="宋体" w:hAnsi="宋体" w:cs="宋体" w:eastAsia="宋体" w:hint="default"/>
          <w:b/>
          <w:bCs/>
          <w:w w:val="99"/>
          <w:sz w:val="21"/>
          <w:szCs w:val="21"/>
        </w:rPr>
        <w:t> </w:t>
      </w:r>
      <w:r>
        <w:rPr>
          <w:rFonts w:ascii="宋体" w:hAnsi="宋体" w:cs="宋体" w:eastAsia="宋体" w:hint="default"/>
          <w:sz w:val="21"/>
          <w:szCs w:val="21"/>
        </w:rPr>
        <w:t>公司下属公司京蓝沐禾积极响应政府号召开展扶贫工作，报告期内开展的扶贫工作有：</w:t>
      </w:r>
      <w:r>
        <w:rPr>
          <w:rFonts w:ascii="宋体" w:hAnsi="宋体" w:cs="宋体" w:eastAsia="宋体" w:hint="default"/>
          <w:sz w:val="21"/>
          <w:szCs w:val="21"/>
        </w:rPr>
        <w:t>1</w:t>
      </w:r>
      <w:r>
        <w:rPr>
          <w:rFonts w:ascii="宋体" w:hAnsi="宋体" w:cs="宋体" w:eastAsia="宋体" w:hint="default"/>
          <w:sz w:val="21"/>
          <w:szCs w:val="21"/>
        </w:rPr>
        <w:t>、在翁牛特</w:t>
      </w:r>
    </w:p>
    <w:p>
      <w:pPr>
        <w:pStyle w:val="BodyText"/>
        <w:spacing w:line="273" w:lineRule="auto" w:before="37"/>
        <w:ind w:right="0"/>
        <w:jc w:val="left"/>
      </w:pPr>
      <w:r>
        <w:rPr>
          <w:spacing w:val="-1"/>
        </w:rPr>
        <w:t>旗紫城社会扶贫攻坚会上捐款</w:t>
      </w:r>
      <w:r>
        <w:rPr>
          <w:rFonts w:ascii="宋体" w:hAnsi="宋体" w:cs="宋体" w:eastAsia="宋体" w:hint="default"/>
          <w:spacing w:val="-1"/>
        </w:rPr>
        <w:t>2</w:t>
      </w:r>
      <w:r>
        <w:rPr>
          <w:spacing w:val="-1"/>
        </w:rPr>
        <w:t>万元；</w:t>
      </w:r>
      <w:r>
        <w:rPr>
          <w:rFonts w:ascii="宋体" w:hAnsi="宋体" w:cs="宋体" w:eastAsia="宋体" w:hint="default"/>
          <w:spacing w:val="-1"/>
        </w:rPr>
        <w:t>2</w:t>
      </w:r>
      <w:r>
        <w:rPr>
          <w:spacing w:val="-1"/>
        </w:rPr>
        <w:t>、分别为巴林右旗查干沐沦中心小学、益和诺尔小学各捐款</w:t>
      </w:r>
      <w:r>
        <w:rPr>
          <w:rFonts w:ascii="宋体" w:hAnsi="宋体" w:cs="宋体" w:eastAsia="宋体" w:hint="default"/>
          <w:spacing w:val="-1"/>
        </w:rPr>
        <w:t>5</w:t>
      </w:r>
      <w:r>
        <w:rPr>
          <w:spacing w:val="-1"/>
        </w:rPr>
        <w:t>万元，</w:t>
      </w:r>
      <w:r>
        <w:rPr>
          <w:spacing w:val="-85"/>
        </w:rPr>
        <w:t> </w:t>
      </w:r>
      <w:r>
        <w:rPr/>
        <w:t>为这两所小学的师生们送去了物质上的支持和精神上的鼓励。</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3）精准扶贫成效" w:id="105"/>
      <w:bookmarkEnd w:id="105"/>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572"/>
        <w:gridCol w:w="1473"/>
        <w:gridCol w:w="4512"/>
      </w:tblGrid>
      <w:tr>
        <w:trPr>
          <w:trHeight w:val="403"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35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改善贫困地区教育资源投入金</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73" w:type="dxa"/>
            <w:tcBorders>
              <w:top w:val="single" w:sz="4" w:space="0" w:color="000000"/>
              <w:left w:val="single" w:sz="4" w:space="0" w:color="000000"/>
              <w:bottom w:val="nil" w:sz="6" w:space="0" w:color="auto"/>
              <w:right w:val="single" w:sz="4" w:space="0" w:color="000000"/>
            </w:tcBorders>
            <w:shd w:val="clear" w:color="auto" w:fill="D2D2D2"/>
          </w:tcPr>
          <w:p>
            <w:pPr/>
          </w:p>
        </w:tc>
        <w:tc>
          <w:tcPr>
            <w:tcW w:w="4512"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w:t>
            </w:r>
          </w:p>
        </w:tc>
      </w:tr>
      <w:tr>
        <w:trPr>
          <w:trHeight w:val="391" w:hRule="exact"/>
        </w:trPr>
        <w:tc>
          <w:tcPr>
            <w:tcW w:w="3572" w:type="dxa"/>
            <w:vMerge/>
            <w:tcBorders>
              <w:left w:val="single" w:sz="4" w:space="0" w:color="000000"/>
              <w:right w:val="single" w:sz="4" w:space="0" w:color="000000"/>
            </w:tcBorders>
            <w:shd w:val="clear" w:color="auto" w:fill="D2D2D2"/>
          </w:tcPr>
          <w:p>
            <w:pPr/>
          </w:p>
        </w:tc>
        <w:tc>
          <w:tcPr>
            <w:tcW w:w="14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2" w:type="dxa"/>
            <w:vMerge/>
            <w:tcBorders>
              <w:left w:val="single" w:sz="9" w:space="0" w:color="D2D2D2"/>
              <w:right w:val="single" w:sz="4" w:space="0" w:color="000000"/>
            </w:tcBorders>
          </w:tcPr>
          <w:p>
            <w:pPr/>
          </w:p>
        </w:tc>
      </w:tr>
      <w:tr>
        <w:trPr>
          <w:trHeight w:val="161" w:hRule="exact"/>
        </w:trPr>
        <w:tc>
          <w:tcPr>
            <w:tcW w:w="3572" w:type="dxa"/>
            <w:vMerge/>
            <w:tcBorders>
              <w:left w:val="single" w:sz="4" w:space="0" w:color="000000"/>
              <w:bottom w:val="single" w:sz="4" w:space="0" w:color="000000"/>
              <w:right w:val="single" w:sz="4" w:space="0" w:color="000000"/>
            </w:tcBorders>
            <w:shd w:val="clear" w:color="auto" w:fill="D2D2D2"/>
          </w:tcPr>
          <w:p>
            <w:pPr/>
          </w:p>
        </w:tc>
        <w:tc>
          <w:tcPr>
            <w:tcW w:w="1473" w:type="dxa"/>
            <w:tcBorders>
              <w:top w:val="nil" w:sz="6" w:space="0" w:color="auto"/>
              <w:left w:val="single" w:sz="4" w:space="0" w:color="000000"/>
              <w:bottom w:val="single" w:sz="4" w:space="0" w:color="000000"/>
              <w:right w:val="single" w:sz="4" w:space="0" w:color="000000"/>
            </w:tcBorders>
            <w:shd w:val="clear" w:color="auto" w:fill="D2D2D2"/>
          </w:tcPr>
          <w:p>
            <w:pPr/>
          </w:p>
        </w:tc>
        <w:tc>
          <w:tcPr>
            <w:tcW w:w="4512" w:type="dxa"/>
            <w:vMerge/>
            <w:tcBorders>
              <w:left w:val="single" w:sz="9" w:space="0" w:color="D2D2D2"/>
              <w:bottom w:val="single" w:sz="4" w:space="0" w:color="000000"/>
              <w:right w:val="single" w:sz="4" w:space="0" w:color="000000"/>
            </w:tcBorders>
          </w:tcPr>
          <w:p>
            <w:pP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贫困残疾人投入金额</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4）后续精准扶贫计划" w:id="106"/>
      <w:bookmarkEnd w:id="106"/>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0" w:firstLine="420"/>
        <w:jc w:val="left"/>
      </w:pPr>
      <w:r>
        <w:rPr>
          <w:spacing w:val="-1"/>
        </w:rPr>
        <w:t>公司将根据实际需求，积极通过创造就业、安置残障人员、以主营业务为基础开展实施产业扶贫等践</w:t>
      </w:r>
      <w:r>
        <w:rPr/>
        <w:t> 行企业的社会责任，开展精准扶贫。</w:t>
      </w:r>
    </w:p>
    <w:p>
      <w:pPr>
        <w:spacing w:after="0" w:line="273"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both"/>
        <w:rPr>
          <w:b w:val="0"/>
          <w:bCs w:val="0"/>
        </w:rPr>
      </w:pPr>
      <w:bookmarkStart w:name="3、环境保护相关的情况" w:id="107"/>
      <w:bookmarkEnd w:id="107"/>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5712"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spacing w:before="28"/>
        <w:ind w:left="154" w:right="0" w:firstLine="0"/>
        <w:jc w:val="both"/>
        <w:rPr>
          <w:rFonts w:ascii="宋体" w:hAnsi="宋体" w:cs="宋体" w:eastAsia="宋体" w:hint="default"/>
          <w:sz w:val="18"/>
          <w:szCs w:val="18"/>
        </w:rPr>
      </w:pPr>
      <w:r>
        <w:rPr>
          <w:rFonts w:ascii="宋体" w:hAnsi="宋体" w:cs="宋体" w:eastAsia="宋体" w:hint="default"/>
          <w:sz w:val="18"/>
          <w:szCs w:val="18"/>
        </w:rPr>
        <w:t>上市公司及子公司不属于环境保护部门公布的重点排污单位。</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bookmarkStart w:name="十九、其他重大事项的说明" w:id="108"/>
      <w:bookmarkEnd w:id="108"/>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68" w:lineRule="exact" w:before="63"/>
        <w:ind w:left="574" w:right="0"/>
        <w:jc w:val="left"/>
      </w:pPr>
      <w:bookmarkStart w:name="(一)对外投资" w:id="109"/>
      <w:bookmarkEnd w:id="109"/>
      <w:r>
        <w:rPr/>
      </w:r>
      <w:r>
        <w:rPr>
          <w:rFonts w:ascii="宋体" w:hAnsi="宋体" w:cs="宋体" w:eastAsia="宋体" w:hint="default"/>
        </w:rPr>
        <w:t>(</w:t>
      </w:r>
      <w:r>
        <w:rPr/>
        <w:t>一</w:t>
      </w:r>
      <w:r>
        <w:rPr>
          <w:rFonts w:ascii="宋体" w:hAnsi="宋体" w:cs="宋体" w:eastAsia="宋体" w:hint="default"/>
        </w:rPr>
        <w:t>)</w:t>
      </w:r>
      <w:r>
        <w:rPr/>
        <w:t>对外投资 </w:t>
      </w:r>
      <w:bookmarkStart w:name="本报告期，根据公司经营发展战略，结合公司实际情况，公司对外投资设立了两个全资子公" w:id="110"/>
      <w:bookmarkEnd w:id="110"/>
      <w:r>
        <w:rPr>
          <w:spacing w:val="-1"/>
        </w:rPr>
        <w:t>本报告期</w:t>
      </w:r>
      <w:r>
        <w:rPr>
          <w:spacing w:val="-1"/>
        </w:rPr>
        <w:t>，根据公司经营发展战略，结合公司实际情况，公司对外投资设立了两个全资子公司、为子</w:t>
      </w:r>
    </w:p>
    <w:p>
      <w:pPr>
        <w:pStyle w:val="BodyText"/>
        <w:spacing w:line="248" w:lineRule="exact"/>
        <w:ind w:right="0"/>
        <w:jc w:val="both"/>
      </w:pPr>
      <w:r>
        <w:rPr/>
        <w:t>公司增资、参与产业并购基金，公司下属公司为开展项目的需要设立项目公司等，具体投资情况详见第四</w:t>
      </w:r>
    </w:p>
    <w:p>
      <w:pPr>
        <w:pStyle w:val="BodyText"/>
        <w:spacing w:line="240" w:lineRule="auto" w:before="37"/>
        <w:ind w:right="0"/>
        <w:jc w:val="both"/>
      </w:pPr>
      <w:r>
        <w:rPr/>
        <w:t>节</w:t>
      </w:r>
      <w:r>
        <w:rPr>
          <w:spacing w:val="-38"/>
        </w:rPr>
        <w:t> </w:t>
      </w:r>
      <w:r>
        <w:rPr/>
        <w:t>经营情况讨论与分析</w:t>
      </w:r>
      <w:r>
        <w:rPr>
          <w:rFonts w:ascii="Times New Roman" w:hAnsi="Times New Roman" w:cs="Times New Roman" w:eastAsia="Times New Roman" w:hint="default"/>
        </w:rPr>
        <w:t>/</w:t>
      </w:r>
      <w:r>
        <w:rPr/>
        <w:t>五、投资状况</w:t>
      </w:r>
      <w:r>
        <w:rPr>
          <w:rFonts w:ascii="Times New Roman" w:hAnsi="Times New Roman" w:cs="Times New Roman" w:eastAsia="Times New Roman" w:hint="default"/>
        </w:rPr>
        <w:t>/2</w:t>
      </w:r>
      <w:r>
        <w:rPr/>
        <w:t>、报告期内获取的重大的股权投资情况章节。本节不再重复赘述。</w:t>
      </w:r>
    </w:p>
    <w:p>
      <w:pPr>
        <w:pStyle w:val="BodyText"/>
        <w:spacing w:line="468" w:lineRule="exact" w:before="48"/>
        <w:ind w:left="574" w:right="1115"/>
        <w:jc w:val="left"/>
      </w:pPr>
      <w:bookmarkStart w:name="（二）发行股份购买资产" w:id="111"/>
      <w:bookmarkEnd w:id="111"/>
      <w:r>
        <w:rPr/>
      </w:r>
      <w:r>
        <w:rPr/>
        <w:t>（二）发行股份购买资产 </w:t>
      </w:r>
      <w:bookmarkStart w:name="根据公司发展战略规划及业务布局，本报告期公司完成了以支付现金方式收购中科鼎实21" w:id="112"/>
      <w:bookmarkEnd w:id="112"/>
      <w:r>
        <w:rPr/>
        <w:t>根据公司发展战略规划及业务布局</w:t>
      </w:r>
      <w:r>
        <w:rPr/>
        <w:t>，本报告期公司完成了以支付现金方式收购中科鼎实</w:t>
      </w:r>
      <w:r>
        <w:rPr>
          <w:spacing w:val="-72"/>
        </w:rPr>
        <w:t> </w:t>
      </w:r>
      <w:r>
        <w:rPr>
          <w:rFonts w:ascii="Times New Roman" w:hAnsi="Times New Roman" w:cs="Times New Roman" w:eastAsia="Times New Roman" w:hint="default"/>
          <w:spacing w:val="-3"/>
        </w:rPr>
        <w:t>21%</w:t>
      </w:r>
      <w:r>
        <w:rPr>
          <w:spacing w:val="-3"/>
        </w:rPr>
        <w:t>股权，同</w:t>
      </w:r>
    </w:p>
    <w:p>
      <w:pPr>
        <w:pStyle w:val="BodyText"/>
        <w:spacing w:line="264" w:lineRule="exact"/>
        <w:ind w:right="0"/>
        <w:jc w:val="both"/>
      </w:pPr>
      <w:r>
        <w:rPr/>
        <w:t>时积极推进以发行股份的方式收购中科鼎实 </w:t>
      </w:r>
      <w:r>
        <w:rPr>
          <w:rFonts w:ascii="Times New Roman" w:hAnsi="Times New Roman" w:cs="Times New Roman" w:eastAsia="Times New Roman" w:hint="default"/>
        </w:rPr>
        <w:t>56.7152%</w:t>
      </w:r>
      <w:r>
        <w:rPr/>
        <w:t>股权，收购完成后公司将持有其</w:t>
      </w:r>
      <w:r>
        <w:rPr>
          <w:spacing w:val="-58"/>
        </w:rPr>
        <w:t> </w:t>
      </w:r>
      <w:r>
        <w:rPr>
          <w:rFonts w:ascii="Times New Roman" w:hAnsi="Times New Roman" w:cs="Times New Roman" w:eastAsia="Times New Roman" w:hint="default"/>
        </w:rPr>
        <w:t>77.7152%</w:t>
      </w:r>
      <w:r>
        <w:rPr/>
        <w:t>股权。中</w:t>
      </w:r>
    </w:p>
    <w:p>
      <w:pPr>
        <w:pStyle w:val="BodyText"/>
        <w:spacing w:line="261" w:lineRule="auto" w:before="21"/>
        <w:ind w:right="1130"/>
        <w:jc w:val="both"/>
      </w:pPr>
      <w:r>
        <w:rPr>
          <w:spacing w:val="-1"/>
        </w:rPr>
        <w:t>科鼎实主营业务为环境修复工程服务，在土壤修复业务领域具有较强优势。本次交易的完成，促使中科鼎</w:t>
      </w:r>
      <w:r>
        <w:rPr>
          <w:spacing w:val="-83"/>
        </w:rPr>
        <w:t> </w:t>
      </w:r>
      <w:r>
        <w:rPr>
          <w:spacing w:val="-83"/>
        </w:rPr>
      </w:r>
      <w:r>
        <w:rPr>
          <w:w w:val="100"/>
        </w:rPr>
        <w:t>实的土壤修复业务实现了对上市公司</w:t>
      </w:r>
      <w:r>
        <w:rPr>
          <w:rFonts w:ascii="Times New Roman" w:hAnsi="Times New Roman" w:cs="Times New Roman" w:eastAsia="Times New Roman" w:hint="default"/>
          <w:w w:val="100"/>
        </w:rPr>
        <w:t>“</w:t>
      </w:r>
      <w:r>
        <w:rPr>
          <w:w w:val="100"/>
        </w:rPr>
        <w:t>土壤修复运营服务</w:t>
      </w:r>
      <w:r>
        <w:rPr>
          <w:rFonts w:ascii="Times New Roman" w:hAnsi="Times New Roman" w:cs="Times New Roman" w:eastAsia="Times New Roman" w:hint="default"/>
          <w:w w:val="100"/>
        </w:rPr>
        <w:t>”</w:t>
      </w:r>
      <w:r>
        <w:rPr>
          <w:rFonts w:ascii="Times New Roman" w:hAnsi="Times New Roman" w:cs="Times New Roman" w:eastAsia="Times New Roman" w:hint="default"/>
          <w:spacing w:val="52"/>
          <w:w w:val="100"/>
        </w:rPr>
        <w:t> </w:t>
      </w:r>
      <w:r>
        <w:rPr>
          <w:spacing w:val="-5"/>
        </w:rPr>
        <w:t>业务战略板块的有效升级，助力上市公司成为国</w:t>
      </w:r>
      <w:r>
        <w:rPr/>
        <w:t> 际领先的</w:t>
      </w:r>
      <w:r>
        <w:rPr>
          <w:rFonts w:ascii="Times New Roman" w:hAnsi="Times New Roman" w:cs="Times New Roman" w:eastAsia="Times New Roman" w:hint="default"/>
        </w:rPr>
        <w:t>“</w:t>
      </w:r>
      <w:r>
        <w:rPr/>
        <w:t>生态环境领域解决方案供应商和投资运营商</w:t>
      </w:r>
      <w:r>
        <w:rPr>
          <w:rFonts w:ascii="Times New Roman" w:hAnsi="Times New Roman" w:cs="Times New Roman" w:eastAsia="Times New Roman" w:hint="default"/>
        </w:rPr>
        <w:t>”</w:t>
      </w:r>
      <w:r>
        <w:rPr/>
        <w:t>。详见公司于</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日、</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w:t>
      </w:r>
      <w:r>
        <w:rPr>
          <w:spacing w:val="-48"/>
        </w:rPr>
        <w:t> </w:t>
      </w:r>
      <w:r>
        <w:rPr>
          <w:rFonts w:ascii="Times New Roman" w:hAnsi="Times New Roman" w:cs="Times New Roman" w:eastAsia="Times New Roman" w:hint="default"/>
        </w:rPr>
        <w:t>25</w:t>
      </w:r>
      <w:r>
        <w:rPr>
          <w:rFonts w:ascii="Times New Roman" w:hAnsi="Times New Roman" w:cs="Times New Roman" w:eastAsia="Times New Roman" w:hint="default"/>
          <w:spacing w:val="5"/>
        </w:rPr>
        <w:t> </w:t>
      </w:r>
      <w:r>
        <w:rPr/>
        <w:t>日分别披 露的相关公告（公告编号：</w:t>
      </w:r>
      <w:r>
        <w:rPr>
          <w:rFonts w:ascii="Times New Roman" w:hAnsi="Times New Roman" w:cs="Times New Roman" w:eastAsia="Times New Roman" w:hint="default"/>
        </w:rPr>
        <w:t>2018-063/106</w:t>
      </w:r>
      <w:r>
        <w:rPr/>
        <w:t>）</w:t>
      </w:r>
    </w:p>
    <w:p>
      <w:pPr>
        <w:pStyle w:val="BodyText"/>
        <w:spacing w:line="240" w:lineRule="auto" w:before="156"/>
        <w:ind w:left="574" w:right="0"/>
        <w:jc w:val="left"/>
      </w:pPr>
      <w:bookmarkStart w:name="（三）股份回购" w:id="113"/>
      <w:bookmarkEnd w:id="113"/>
      <w:r>
        <w:rPr/>
      </w:r>
      <w:r>
        <w:rPr/>
        <w:t>（三）股份回购</w:t>
      </w:r>
    </w:p>
    <w:p>
      <w:pPr>
        <w:spacing w:line="240" w:lineRule="auto" w:before="10"/>
        <w:rPr>
          <w:rFonts w:ascii="宋体" w:hAnsi="宋体" w:cs="宋体" w:eastAsia="宋体" w:hint="default"/>
          <w:sz w:val="14"/>
          <w:szCs w:val="14"/>
        </w:rPr>
      </w:pPr>
    </w:p>
    <w:p>
      <w:pPr>
        <w:pStyle w:val="BodyText"/>
        <w:spacing w:line="240" w:lineRule="auto"/>
        <w:ind w:left="574" w:right="0"/>
        <w:jc w:val="left"/>
      </w:pPr>
      <w:bookmarkStart w:name="公司分别于2018年11月15日、11月29日召开第八届董事会第六十二次会议，2" w:id="114"/>
      <w:bookmarkEnd w:id="114"/>
      <w:r>
        <w:rPr/>
      </w:r>
      <w:r>
        <w:rPr/>
        <w:t>公司分别于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8"/>
        </w:rPr>
        <w:t> </w:t>
      </w:r>
      <w:r>
        <w:rPr/>
        <w:t>日、</w:t>
      </w:r>
      <w:r>
        <w:rPr>
          <w:rFonts w:ascii="Times New Roman" w:hAnsi="Times New Roman" w:cs="Times New Roman" w:eastAsia="Times New Roman" w:hint="default"/>
        </w:rPr>
        <w:t>11</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29</w:t>
      </w:r>
      <w:r>
        <w:rPr>
          <w:rFonts w:ascii="Times New Roman" w:hAnsi="Times New Roman" w:cs="Times New Roman" w:eastAsia="Times New Roman" w:hint="default"/>
          <w:spacing w:val="8"/>
        </w:rPr>
        <w:t> </w:t>
      </w:r>
      <w:r>
        <w:rPr/>
        <w:t>日召开第八届董事会第六十二次会议，</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年第六次临时</w:t>
      </w:r>
    </w:p>
    <w:p>
      <w:pPr>
        <w:pStyle w:val="BodyText"/>
        <w:spacing w:line="256" w:lineRule="auto" w:before="21"/>
        <w:ind w:right="1130"/>
        <w:jc w:val="both"/>
        <w:rPr>
          <w:rFonts w:ascii="Times New Roman" w:hAnsi="Times New Roman" w:cs="Times New Roman" w:eastAsia="Times New Roman" w:hint="default"/>
        </w:rPr>
      </w:pPr>
      <w:r>
        <w:rPr>
          <w:spacing w:val="-3"/>
        </w:rPr>
        <w:t>股东大会审议通过了《关于股份回购公司股份预案的议案》；</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日召开第九届董事会第二次会 </w:t>
      </w:r>
      <w:r>
        <w:rPr>
          <w:spacing w:val="-2"/>
        </w:rPr>
        <w:t>议，审议通过了《关于调整</w:t>
      </w:r>
      <w:r>
        <w:rPr>
          <w:rFonts w:ascii="Times New Roman" w:hAnsi="Times New Roman" w:cs="Times New Roman" w:eastAsia="Times New Roman" w:hint="default"/>
          <w:spacing w:val="-2"/>
        </w:rPr>
        <w:t>&lt;</w:t>
      </w:r>
      <w:r>
        <w:rPr>
          <w:spacing w:val="-2"/>
        </w:rPr>
        <w:t>回购公司股份预案</w:t>
      </w:r>
      <w:r>
        <w:rPr>
          <w:rFonts w:ascii="Times New Roman" w:hAnsi="Times New Roman" w:cs="Times New Roman" w:eastAsia="Times New Roman" w:hint="default"/>
          <w:spacing w:val="-2"/>
        </w:rPr>
        <w:t>&gt;</w:t>
      </w:r>
      <w:r>
        <w:rPr>
          <w:spacing w:val="-2"/>
        </w:rPr>
        <w:t>的议案》。公司拟进行股份回购，回购资金总额为人民币</w:t>
      </w:r>
      <w:r>
        <w:rPr>
          <w:spacing w:val="-61"/>
        </w:rPr>
        <w:t> </w:t>
      </w:r>
      <w:r>
        <w:rPr>
          <w:spacing w:val="-61"/>
        </w:rPr>
      </w:r>
      <w:r>
        <w:rPr>
          <w:rFonts w:ascii="Times New Roman" w:hAnsi="Times New Roman" w:cs="Times New Roman" w:eastAsia="Times New Roman" w:hint="default"/>
        </w:rPr>
        <w:t>3,000</w:t>
      </w:r>
      <w:r>
        <w:rPr>
          <w:rFonts w:ascii="Times New Roman" w:hAnsi="Times New Roman" w:cs="Times New Roman" w:eastAsia="Times New Roman" w:hint="default"/>
          <w:spacing w:val="2"/>
        </w:rPr>
        <w:t> </w:t>
      </w:r>
      <w:r>
        <w:rPr/>
        <w:t>万元至</w:t>
      </w:r>
      <w:r>
        <w:rPr>
          <w:spacing w:val="-52"/>
        </w:rPr>
        <w:t> </w:t>
      </w:r>
      <w:r>
        <w:rPr>
          <w:rFonts w:ascii="Times New Roman" w:hAnsi="Times New Roman" w:cs="Times New Roman" w:eastAsia="Times New Roman" w:hint="default"/>
        </w:rPr>
        <w:t>6,000</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w:t>
      </w:r>
      <w:r>
        <w:rPr/>
        <w:t>按照回购价格上限</w:t>
      </w:r>
      <w:r>
        <w:rPr>
          <w:spacing w:val="-51"/>
        </w:rPr>
        <w:t> </w:t>
      </w:r>
      <w:r>
        <w:rPr>
          <w:rFonts w:ascii="Times New Roman" w:hAnsi="Times New Roman" w:cs="Times New Roman" w:eastAsia="Times New Roman" w:hint="default"/>
        </w:rPr>
        <w:t>9.44</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股计算，预计回购股份数量为</w:t>
      </w:r>
      <w:r>
        <w:rPr>
          <w:spacing w:val="-51"/>
        </w:rPr>
        <w:t> </w:t>
      </w:r>
      <w:r>
        <w:rPr>
          <w:rFonts w:ascii="Times New Roman" w:hAnsi="Times New Roman" w:cs="Times New Roman" w:eastAsia="Times New Roman" w:hint="default"/>
        </w:rPr>
        <w:t>3,177,966</w:t>
      </w:r>
      <w:r>
        <w:rPr>
          <w:rFonts w:ascii="Times New Roman" w:hAnsi="Times New Roman" w:cs="Times New Roman" w:eastAsia="Times New Roman" w:hint="default"/>
          <w:spacing w:val="2"/>
        </w:rPr>
        <w:t> </w:t>
      </w:r>
      <w:r>
        <w:rPr/>
        <w:t>股至</w:t>
      </w:r>
      <w:r>
        <w:rPr>
          <w:spacing w:val="-51"/>
        </w:rPr>
        <w:t> </w:t>
      </w:r>
      <w:r>
        <w:rPr>
          <w:rFonts w:ascii="Times New Roman" w:hAnsi="Times New Roman" w:cs="Times New Roman" w:eastAsia="Times New Roman" w:hint="default"/>
        </w:rPr>
        <w:t>6,355,932</w:t>
      </w:r>
    </w:p>
    <w:p>
      <w:pPr>
        <w:pStyle w:val="BodyText"/>
        <w:spacing w:line="266" w:lineRule="auto" w:before="5"/>
        <w:ind w:right="1023"/>
        <w:jc w:val="left"/>
      </w:pPr>
      <w:r>
        <w:rPr/>
        <w:t>股。本次回购的实施期限为自公司股东大会审议通过回购股份方案之后 </w:t>
      </w:r>
      <w:r>
        <w:rPr>
          <w:rFonts w:ascii="Times New Roman" w:hAnsi="Times New Roman" w:cs="Times New Roman" w:eastAsia="Times New Roman" w:hint="default"/>
        </w:rPr>
        <w:t>12</w:t>
      </w:r>
      <w:r>
        <w:rPr>
          <w:rFonts w:ascii="Times New Roman" w:hAnsi="Times New Roman" w:cs="Times New Roman" w:eastAsia="Times New Roman" w:hint="default"/>
          <w:spacing w:val="30"/>
        </w:rPr>
        <w:t> </w:t>
      </w:r>
      <w:r>
        <w:rPr/>
        <w:t>个月内，实施起始日预定为公 司完成收购中科鼎实部分股权并募集配套资金事项的发行股份结束之后。本次回购的资金来源为公司自有 </w:t>
      </w:r>
      <w:r>
        <w:rPr>
          <w:spacing w:val="-3"/>
        </w:rPr>
        <w:t>或自筹资金，以集中竞价交易方式回购，回购的股份拟作为公司后期股权激励或员工持股计划之标的股份，</w:t>
      </w:r>
      <w:r>
        <w:rPr>
          <w:spacing w:val="-92"/>
        </w:rPr>
        <w:t> </w:t>
      </w:r>
      <w:r>
        <w:rPr>
          <w:spacing w:val="-92"/>
        </w:rPr>
      </w:r>
      <w:r>
        <w:rPr/>
        <w:t>如后续未能实施股权激励或员工持股计划，则将已回购股份予以注销，详见公司于</w:t>
      </w:r>
      <w:r>
        <w:rPr>
          <w:spacing w:val="-3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w:t>
      </w:r>
      <w:r>
        <w:rPr>
          <w:spacing w:val="-42"/>
        </w:rPr>
        <w:t> </w:t>
      </w:r>
      <w:r>
        <w:rPr>
          <w:rFonts w:ascii="Times New Roman" w:hAnsi="Times New Roman" w:cs="Times New Roman" w:eastAsia="Times New Roman" w:hint="default"/>
        </w:rPr>
        <w:t>11</w:t>
      </w:r>
      <w:r>
        <w:rPr>
          <w:rFonts w:ascii="Times New Roman" w:hAnsi="Times New Roman" w:cs="Times New Roman" w:eastAsia="Times New Roman" w:hint="default"/>
          <w:spacing w:val="13"/>
        </w:rPr>
        <w:t> </w:t>
      </w:r>
      <w:r>
        <w:rPr/>
        <w:t>月</w:t>
      </w:r>
      <w:r>
        <w:rPr>
          <w:spacing w:val="-40"/>
        </w:rPr>
        <w:t> </w:t>
      </w:r>
      <w:r>
        <w:rPr>
          <w:rFonts w:ascii="Times New Roman" w:hAnsi="Times New Roman" w:cs="Times New Roman" w:eastAsia="Times New Roman" w:hint="default"/>
        </w:rPr>
        <w:t>16</w:t>
      </w:r>
      <w:r>
        <w:rPr>
          <w:rFonts w:ascii="Times New Roman" w:hAnsi="Times New Roman" w:cs="Times New Roman" w:eastAsia="Times New Roman" w:hint="default"/>
          <w:spacing w:val="13"/>
        </w:rPr>
        <w:t> </w:t>
      </w:r>
      <w:r>
        <w:rPr/>
        <w:t>日、</w:t>
      </w:r>
    </w:p>
    <w:p>
      <w:pPr>
        <w:pStyle w:val="BodyText"/>
        <w:spacing w:line="256" w:lineRule="auto"/>
        <w:ind w:right="1128"/>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3"/>
        </w:rPr>
        <w:t>日、</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8"/>
        </w:rPr>
        <w:t> </w:t>
      </w:r>
      <w:r>
        <w:rPr/>
        <w:t>年</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日分别披露的相关公告（公告编号：</w:t>
      </w:r>
      <w:r>
        <w:rPr>
          <w:rFonts w:ascii="Times New Roman" w:hAnsi="Times New Roman" w:cs="Times New Roman" w:eastAsia="Times New Roman" w:hint="default"/>
        </w:rPr>
        <w:t>2018-176/193/2019-031</w:t>
      </w:r>
      <w:r>
        <w:rPr/>
        <w:t>）。公司将积极推进 回购股份事宜，并尽快制定回购股份作为股权激励或员工持股计划的方案。</w:t>
      </w:r>
    </w:p>
    <w:p>
      <w:pPr>
        <w:spacing w:line="240" w:lineRule="auto" w:before="13"/>
        <w:rPr>
          <w:rFonts w:ascii="宋体" w:hAnsi="宋体" w:cs="宋体" w:eastAsia="宋体" w:hint="default"/>
          <w:sz w:val="22"/>
          <w:szCs w:val="22"/>
        </w:rPr>
      </w:pPr>
    </w:p>
    <w:p>
      <w:pPr>
        <w:pStyle w:val="Heading2"/>
        <w:spacing w:line="240" w:lineRule="auto"/>
        <w:ind w:right="0"/>
        <w:jc w:val="both"/>
        <w:rPr>
          <w:b w:val="0"/>
          <w:bCs w:val="0"/>
        </w:rPr>
      </w:pPr>
      <w:bookmarkStart w:name="二十、公司子公司重大事项" w:id="115"/>
      <w:bookmarkEnd w:id="115"/>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tabs>
          <w:tab w:pos="9583" w:val="left" w:leader="none"/>
        </w:tabs>
        <w:spacing w:line="240" w:lineRule="auto" w:before="35"/>
        <w:ind w:left="574" w:right="0"/>
        <w:jc w:val="left"/>
      </w:pPr>
      <w:bookmarkStart w:name="1、公司于2018年8月23日披露了《关于对京蓝生态科技有限公司增资的公告》（公" w:id="116"/>
      <w:bookmarkEnd w:id="116"/>
      <w:r>
        <w:rPr/>
      </w:r>
      <w:r>
        <w:rPr>
          <w:rFonts w:ascii="Times New Roman" w:hAnsi="Times New Roman" w:cs="Times New Roman" w:eastAsia="Times New Roman" w:hint="default"/>
        </w:rPr>
        <w:t>1</w:t>
      </w:r>
      <w:r>
        <w:rPr/>
        <w:t>、公司于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23</w:t>
      </w:r>
      <w:r>
        <w:rPr>
          <w:rFonts w:ascii="Times New Roman" w:hAnsi="Times New Roman" w:cs="Times New Roman" w:eastAsia="Times New Roman" w:hint="default"/>
          <w:spacing w:val="26"/>
        </w:rPr>
        <w:t> </w:t>
      </w:r>
      <w:r>
        <w:rPr/>
        <w:t>日披露了《关于对京蓝生态科技有限公司增资的公告》（公告编号</w:t>
        <w:tab/>
        <w:t>：</w:t>
      </w:r>
    </w:p>
    <w:p>
      <w:pPr>
        <w:pStyle w:val="BodyText"/>
        <w:spacing w:line="256" w:lineRule="auto" w:before="21"/>
        <w:ind w:right="1129"/>
        <w:jc w:val="both"/>
      </w:pPr>
      <w:r>
        <w:rPr>
          <w:rFonts w:ascii="Times New Roman" w:hAnsi="Times New Roman" w:cs="Times New Roman" w:eastAsia="Times New Roman" w:hint="default"/>
        </w:rPr>
        <w:t>2018-096</w:t>
      </w:r>
      <w:r>
        <w:rPr/>
        <w:t>）、《关于京蓝生态科技有限公司对其全资子公司增资的公告》（公告编号</w:t>
      </w:r>
      <w:r>
        <w:rPr>
          <w:spacing w:val="-57"/>
        </w:rPr>
        <w:t> </w:t>
      </w:r>
      <w:r>
        <w:rPr>
          <w:rFonts w:ascii="Times New Roman" w:hAnsi="Times New Roman" w:cs="Times New Roman" w:eastAsia="Times New Roman" w:hint="default"/>
        </w:rPr>
        <w:t>2018-097</w:t>
      </w:r>
      <w:r>
        <w:rPr/>
        <w:t>）、《关于 对京蓝北方园林（天津）有限公司实施债转股的公告》（公告编号：</w:t>
      </w:r>
      <w:r>
        <w:rPr>
          <w:rFonts w:ascii="Times New Roman" w:hAnsi="Times New Roman" w:cs="Times New Roman" w:eastAsia="Times New Roman" w:hint="default"/>
        </w:rPr>
        <w:t>2019-098</w:t>
      </w:r>
      <w:r>
        <w:rPr/>
        <w:t>），上述事宜完成后，京蓝</w:t>
      </w:r>
      <w:r>
        <w:rPr>
          <w:spacing w:val="-99"/>
        </w:rPr>
        <w:t> </w:t>
      </w:r>
      <w:r>
        <w:rPr>
          <w:spacing w:val="-99"/>
        </w:rPr>
      </w:r>
      <w:r>
        <w:rPr/>
        <w:t>生态、京蓝沐禾、京蓝园林的注册资本将分别增加至</w:t>
      </w:r>
      <w:r>
        <w:rPr>
          <w:spacing w:val="-55"/>
        </w:rPr>
        <w:t> </w:t>
      </w:r>
      <w:r>
        <w:rPr>
          <w:rFonts w:ascii="Times New Roman" w:hAnsi="Times New Roman" w:cs="Times New Roman" w:eastAsia="Times New Roman" w:hint="default"/>
        </w:rPr>
        <w:t>90,000</w:t>
      </w:r>
      <w:r>
        <w:rPr>
          <w:rFonts w:ascii="Times New Roman" w:hAnsi="Times New Roman" w:cs="Times New Roman" w:eastAsia="Times New Roman" w:hint="default"/>
          <w:spacing w:val="-3"/>
        </w:rPr>
        <w:t> </w:t>
      </w:r>
      <w:r>
        <w:rPr/>
        <w:t>万元、</w:t>
      </w:r>
      <w:r>
        <w:rPr>
          <w:rFonts w:ascii="Times New Roman" w:hAnsi="Times New Roman" w:cs="Times New Roman" w:eastAsia="Times New Roman" w:hint="default"/>
        </w:rPr>
        <w:t>10,0000</w:t>
      </w:r>
      <w:r>
        <w:rPr>
          <w:rFonts w:ascii="Times New Roman" w:hAnsi="Times New Roman" w:cs="Times New Roman" w:eastAsia="Times New Roman" w:hint="default"/>
          <w:spacing w:val="-3"/>
        </w:rPr>
        <w:t> </w:t>
      </w:r>
      <w:r>
        <w:rPr/>
        <w:t>万元、</w:t>
      </w:r>
      <w:r>
        <w:rPr>
          <w:rFonts w:ascii="Times New Roman" w:hAnsi="Times New Roman" w:cs="Times New Roman" w:eastAsia="Times New Roman" w:hint="default"/>
        </w:rPr>
        <w:t>137,805,739</w:t>
      </w:r>
      <w:r>
        <w:rPr>
          <w:rFonts w:ascii="Times New Roman" w:hAnsi="Times New Roman" w:cs="Times New Roman" w:eastAsia="Times New Roman" w:hint="default"/>
          <w:spacing w:val="-2"/>
        </w:rPr>
        <w:t> </w:t>
      </w:r>
      <w:r>
        <w:rPr/>
        <w:t>元。</w:t>
      </w:r>
    </w:p>
    <w:p>
      <w:pPr>
        <w:pStyle w:val="BodyText"/>
        <w:spacing w:line="256" w:lineRule="auto" w:before="161"/>
        <w:ind w:right="1130" w:firstLine="420"/>
        <w:jc w:val="both"/>
      </w:pPr>
      <w:bookmarkStart w:name="2、公司下属公司京蓝沐禾、京蓝园林在报告期内为了项目的开展，均对外投资设立了项目" w:id="117"/>
      <w:bookmarkEnd w:id="117"/>
      <w:r>
        <w:rPr/>
      </w:r>
      <w:r>
        <w:rPr>
          <w:rFonts w:ascii="Times New Roman" w:hAnsi="Times New Roman" w:cs="Times New Roman" w:eastAsia="Times New Roman" w:hint="default"/>
        </w:rPr>
        <w:t>2</w:t>
      </w:r>
      <w:r>
        <w:rPr/>
        <w:t>、公司下属公司京蓝沐禾、京蓝园林在报告期内为了项目的开展，均对外投资设立了项目公司，京 蓝环境为了开展业务的需要以交易作价人民币</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元收购了乾正保禾（北京）企业管理有限公司持有的中鑫 通源（北京）建设有限公司持有的</w:t>
      </w:r>
      <w:r>
        <w:rPr>
          <w:spacing w:val="9"/>
        </w:rPr>
        <w:t> </w:t>
      </w:r>
      <w:r>
        <w:rPr>
          <w:rFonts w:ascii="Times New Roman" w:hAnsi="Times New Roman" w:cs="Times New Roman" w:eastAsia="Times New Roman" w:hint="default"/>
        </w:rPr>
        <w:t>100%</w:t>
      </w:r>
      <w:r>
        <w:rPr/>
        <w:t>股份股权，并将其更为名为京蓝环境建设（北京）有限公司。具 </w:t>
      </w:r>
      <w:r>
        <w:rPr>
          <w:spacing w:val="-12"/>
        </w:rPr>
        <w:t>体内容，详见公司于</w:t>
      </w:r>
      <w:r>
        <w:rPr>
          <w:spacing w:val="-51"/>
        </w:rPr>
        <w:t> </w:t>
      </w:r>
      <w:r>
        <w:rPr>
          <w:rFonts w:ascii="Times New Roman" w:hAnsi="Times New Roman" w:cs="Times New Roman" w:eastAsia="Times New Roman" w:hint="default"/>
        </w:rPr>
        <w:t>2018 </w:t>
      </w:r>
      <w:r>
        <w:rPr/>
        <w:t>年</w:t>
      </w:r>
      <w:r>
        <w:rPr>
          <w:spacing w:val="-52"/>
        </w:rPr>
        <w:t> </w:t>
      </w:r>
      <w:r>
        <w:rPr>
          <w:rFonts w:ascii="Times New Roman" w:hAnsi="Times New Roman" w:cs="Times New Roman" w:eastAsia="Times New Roman" w:hint="default"/>
          <w:spacing w:val="-1"/>
        </w:rPr>
        <w:t>11</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spacing w:val="-1"/>
        </w:rPr>
        <w:t>14</w:t>
      </w:r>
      <w:r>
        <w:rPr>
          <w:rFonts w:ascii="Times New Roman" w:hAnsi="Times New Roman" w:cs="Times New Roman" w:eastAsia="Times New Roman" w:hint="default"/>
        </w:rPr>
        <w:t> </w:t>
      </w:r>
      <w:r>
        <w:rPr>
          <w:spacing w:val="-22"/>
        </w:rPr>
        <w:t>日披露的《关于下属公司对外投资的公告（一）》（公告编号：</w:t>
      </w:r>
      <w:r>
        <w:rPr>
          <w:rFonts w:ascii="Times New Roman" w:hAnsi="Times New Roman" w:cs="Times New Roman" w:eastAsia="Times New Roman" w:hint="default"/>
          <w:spacing w:val="-22"/>
        </w:rPr>
        <w:t>2018-164</w:t>
      </w:r>
      <w:r>
        <w:rPr>
          <w:spacing w:val="-22"/>
        </w:rPr>
        <w:t>）、</w:t>
      </w:r>
      <w:r>
        <w:rPr/>
      </w:r>
    </w:p>
    <w:p>
      <w:pPr>
        <w:pStyle w:val="BodyText"/>
        <w:spacing w:line="240" w:lineRule="auto" w:before="5"/>
        <w:ind w:right="0"/>
        <w:jc w:val="both"/>
      </w:pPr>
      <w:r>
        <w:rPr>
          <w:spacing w:val="-6"/>
        </w:rPr>
        <w:t>《关于下属公司对外投资的公告（二）》（公告编号：</w:t>
      </w:r>
      <w:r>
        <w:rPr>
          <w:rFonts w:ascii="Times New Roman" w:hAnsi="Times New Roman" w:cs="Times New Roman" w:eastAsia="Times New Roman" w:hint="default"/>
          <w:spacing w:val="-6"/>
        </w:rPr>
        <w:t>2018-165</w:t>
      </w:r>
      <w:r>
        <w:rPr>
          <w:spacing w:val="-6"/>
        </w:rPr>
        <w:t>）、《关于下属公司对外投资的公告（三）》</w:t>
      </w:r>
    </w:p>
    <w:p>
      <w:pPr>
        <w:pStyle w:val="BodyText"/>
        <w:spacing w:line="240" w:lineRule="auto" w:before="21"/>
        <w:ind w:right="0"/>
        <w:jc w:val="both"/>
      </w:pPr>
      <w:r>
        <w:rPr/>
        <w:t>（公告编号</w:t>
      </w:r>
      <w:r>
        <w:rPr>
          <w:spacing w:val="-92"/>
        </w:rPr>
        <w:t>：</w:t>
      </w:r>
      <w:r>
        <w:rPr>
          <w:rFonts w:ascii="Times New Roman" w:hAnsi="Times New Roman" w:cs="Times New Roman" w:eastAsia="Times New Roman" w:hint="default"/>
        </w:rPr>
        <w:t>201</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1"/>
        </w:rPr>
        <w:t>-</w:t>
      </w:r>
      <w:r>
        <w:rPr>
          <w:rFonts w:ascii="Times New Roman" w:hAnsi="Times New Roman" w:cs="Times New Roman" w:eastAsia="Times New Roman" w:hint="default"/>
        </w:rPr>
        <w:t>166</w:t>
      </w:r>
      <w:r>
        <w:rPr>
          <w:spacing w:val="-93"/>
        </w:rPr>
        <w:t>）</w:t>
      </w:r>
      <w:r>
        <w:rPr>
          <w:spacing w:val="-94"/>
        </w:rPr>
        <w:t>；</w:t>
      </w:r>
      <w:r>
        <w:rPr>
          <w:rFonts w:ascii="Times New Roman" w:hAnsi="Times New Roman" w:cs="Times New Roman" w:eastAsia="Times New Roman" w:hint="default"/>
        </w:rPr>
        <w:t>2018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11 </w:t>
      </w:r>
      <w:r>
        <w:rPr/>
        <w:t>日披露</w:t>
      </w:r>
      <w:r>
        <w:rPr>
          <w:spacing w:val="-93"/>
        </w:rPr>
        <w:t>的</w:t>
      </w:r>
      <w:r>
        <w:rPr>
          <w:spacing w:val="-2"/>
        </w:rPr>
        <w:t>《</w:t>
      </w:r>
      <w:r>
        <w:rPr/>
        <w:t>关于下属公司对外投资的公告</w:t>
      </w:r>
      <w:r>
        <w:rPr>
          <w:spacing w:val="-185"/>
        </w:rPr>
        <w:t>》</w:t>
      </w:r>
      <w:r>
        <w:rPr/>
        <w:t>（公告编号</w:t>
      </w:r>
      <w:r>
        <w:rPr>
          <w:spacing w:val="-92"/>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w:t>
      </w:r>
      <w:r>
        <w:rPr>
          <w:rFonts w:ascii="Times New Roman" w:hAnsi="Times New Roman" w:cs="Times New Roman" w:eastAsia="Times New Roman" w:hint="default"/>
        </w:rPr>
        <w:t>133</w:t>
      </w:r>
      <w:r>
        <w:rPr>
          <w:spacing w:val="-94"/>
        </w:rPr>
        <w:t>）；</w:t>
      </w:r>
      <w:r>
        <w:rPr/>
      </w:r>
    </w:p>
    <w:p>
      <w:pPr>
        <w:pStyle w:val="BodyText"/>
        <w:spacing w:line="256" w:lineRule="auto" w:before="21"/>
        <w:ind w:right="1133"/>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月</w:t>
      </w:r>
      <w:r>
        <w:rPr>
          <w:spacing w:val="-62"/>
        </w:rPr>
        <w:t> </w:t>
      </w:r>
      <w:r>
        <w:rPr>
          <w:rFonts w:ascii="Times New Roman" w:hAnsi="Times New Roman" w:cs="Times New Roman" w:eastAsia="Times New Roman" w:hint="default"/>
        </w:rPr>
        <w:t>30</w:t>
      </w:r>
      <w:r>
        <w:rPr>
          <w:rFonts w:ascii="Times New Roman" w:hAnsi="Times New Roman" w:cs="Times New Roman" w:eastAsia="Times New Roman" w:hint="default"/>
          <w:spacing w:val="-9"/>
        </w:rPr>
        <w:t> </w:t>
      </w:r>
      <w:r>
        <w:rPr/>
        <w:t>日披露的《关于下属公司对外投资暨关联交易的公告》（公告编号：</w:t>
      </w:r>
      <w:r>
        <w:rPr>
          <w:rFonts w:ascii="Times New Roman" w:hAnsi="Times New Roman" w:cs="Times New Roman" w:eastAsia="Times New Roman" w:hint="default"/>
        </w:rPr>
        <w:t>2018-151</w:t>
      </w:r>
      <w:r>
        <w:rPr/>
        <w:t>）、《关于 下属公司对外投资暨关联交易的公告》（公告编号：</w:t>
      </w:r>
      <w:r>
        <w:rPr>
          <w:rFonts w:ascii="Times New Roman" w:hAnsi="Times New Roman" w:cs="Times New Roman" w:eastAsia="Times New Roman" w:hint="default"/>
        </w:rPr>
        <w:t>2018-152</w:t>
      </w:r>
      <w:r>
        <w:rPr/>
        <w:t>）。</w:t>
      </w:r>
    </w:p>
    <w:p>
      <w:pPr>
        <w:pStyle w:val="BodyText"/>
        <w:spacing w:line="261" w:lineRule="auto" w:before="161"/>
        <w:ind w:right="1013" w:firstLine="420"/>
        <w:jc w:val="left"/>
      </w:pPr>
      <w:bookmarkStart w:name="3、公司下属公司京蓝能科技术有限公司于 2016 年与林州凤宝管业有限公司（以下" w:id="118"/>
      <w:bookmarkEnd w:id="118"/>
      <w:r>
        <w:rPr/>
      </w:r>
      <w:r>
        <w:rPr>
          <w:rFonts w:ascii="Times New Roman" w:hAnsi="Times New Roman" w:cs="Times New Roman" w:eastAsia="Times New Roman" w:hint="default"/>
        </w:rPr>
        <w:t>3</w:t>
      </w:r>
      <w:r>
        <w:rPr/>
        <w:t>、公司下属公司京蓝能科技术有限公司于 </w:t>
      </w:r>
      <w:r>
        <w:rPr>
          <w:rFonts w:ascii="Times New Roman" w:hAnsi="Times New Roman" w:cs="Times New Roman" w:eastAsia="Times New Roman" w:hint="default"/>
        </w:rPr>
        <w:t>2016</w:t>
      </w:r>
      <w:r>
        <w:rPr>
          <w:rFonts w:ascii="Times New Roman" w:hAnsi="Times New Roman" w:cs="Times New Roman" w:eastAsia="Times New Roman" w:hint="default"/>
          <w:spacing w:val="50"/>
        </w:rPr>
        <w:t> </w:t>
      </w:r>
      <w:r>
        <w:rPr/>
        <w:t>年与林州凤宝管业有限公司（以下简称</w:t>
      </w:r>
      <w:r>
        <w:rPr>
          <w:rFonts w:ascii="Times New Roman" w:hAnsi="Times New Roman" w:cs="Times New Roman" w:eastAsia="Times New Roman" w:hint="default"/>
        </w:rPr>
        <w:t>“</w:t>
      </w:r>
      <w:r>
        <w:rPr/>
        <w:t>凤宝管业</w:t>
      </w:r>
      <w:r>
        <w:rPr>
          <w:rFonts w:ascii="Times New Roman" w:hAnsi="Times New Roman" w:cs="Times New Roman" w:eastAsia="Times New Roman" w:hint="default"/>
        </w:rPr>
        <w:t>”</w:t>
      </w:r>
      <w:r>
        <w:rPr/>
        <w:t>） 达成协议，承接林州凤宝管业环形加热炉余热发电项目，并组建持股 </w:t>
      </w:r>
      <w:r>
        <w:rPr>
          <w:rFonts w:ascii="Times New Roman" w:hAnsi="Times New Roman" w:cs="Times New Roman" w:eastAsia="Times New Roman" w:hint="default"/>
        </w:rPr>
        <w:t>100%</w:t>
      </w:r>
      <w:r>
        <w:rPr/>
        <w:t>的项目公司林州京蓝能科余热</w:t>
      </w:r>
      <w:r>
        <w:rPr>
          <w:spacing w:val="-96"/>
        </w:rPr>
        <w:t> </w:t>
      </w:r>
      <w:r>
        <w:rPr>
          <w:spacing w:val="-96"/>
        </w:rPr>
      </w:r>
      <w:r>
        <w:rPr/>
        <w:t>发电有限公司（以下简称</w:t>
      </w:r>
      <w:r>
        <w:rPr>
          <w:rFonts w:ascii="Times New Roman" w:hAnsi="Times New Roman" w:cs="Times New Roman" w:eastAsia="Times New Roman" w:hint="default"/>
        </w:rPr>
        <w:t>“</w:t>
      </w:r>
      <w:r>
        <w:rPr/>
        <w:t>林州能科</w:t>
      </w:r>
      <w:r>
        <w:rPr>
          <w:rFonts w:ascii="Times New Roman" w:hAnsi="Times New Roman" w:cs="Times New Roman" w:eastAsia="Times New Roman" w:hint="default"/>
        </w:rPr>
        <w:t>”</w:t>
      </w:r>
      <w:r>
        <w:rPr/>
        <w:t>），目前该项目已基本建成，进入最后并网调试阶段。为尽快收回项 目投资，京蓝能科与凤宝管业、付晓军、及林州能科共同签署《林州凤宝管业环形加热炉余热发电项目在 建工程移交协议》，将该项目移交暨所持资产进行出售。京蓝能科将所持项目公司即林州能科 </w:t>
      </w:r>
      <w:r>
        <w:rPr>
          <w:rFonts w:ascii="Times New Roman" w:hAnsi="Times New Roman" w:cs="Times New Roman" w:eastAsia="Times New Roman" w:hint="default"/>
        </w:rPr>
        <w:t>100%</w:t>
      </w:r>
      <w:r>
        <w:rPr/>
        <w:t>股权</w:t>
      </w:r>
      <w:r>
        <w:rPr>
          <w:spacing w:val="-93"/>
        </w:rPr>
        <w:t> </w:t>
      </w:r>
      <w:r>
        <w:rPr/>
        <w:t>转让给付晓军，交易价款为人民币 </w:t>
      </w:r>
      <w:r>
        <w:rPr>
          <w:rFonts w:ascii="Times New Roman" w:hAnsi="Times New Roman" w:cs="Times New Roman" w:eastAsia="Times New Roman" w:hint="default"/>
        </w:rPr>
        <w:t>1,500 </w:t>
      </w:r>
      <w:r>
        <w:rPr/>
        <w:t>万元；凤宝管业向林州能科支付人民币 </w:t>
      </w:r>
      <w:r>
        <w:rPr>
          <w:rFonts w:ascii="Times New Roman" w:hAnsi="Times New Roman" w:cs="Times New Roman" w:eastAsia="Times New Roman" w:hint="default"/>
        </w:rPr>
        <w:t>1,988</w:t>
      </w:r>
      <w:r>
        <w:rPr>
          <w:rFonts w:ascii="Times New Roman" w:hAnsi="Times New Roman" w:cs="Times New Roman" w:eastAsia="Times New Roman" w:hint="default"/>
          <w:spacing w:val="4"/>
        </w:rPr>
        <w:t> </w:t>
      </w:r>
      <w:r>
        <w:rPr>
          <w:spacing w:val="-4"/>
        </w:rPr>
        <w:t>万元，用于置换对</w:t>
      </w:r>
    </w:p>
    <w:p>
      <w:pPr>
        <w:pStyle w:val="BodyText"/>
        <w:spacing w:line="240" w:lineRule="auto"/>
        <w:ind w:right="0"/>
        <w:jc w:val="both"/>
      </w:pPr>
      <w:r>
        <w:rPr/>
        <w:t>京蓝能科及其他供应商的往来款；京蓝能科最终应收到上述两项价款共计 </w:t>
      </w:r>
      <w:r>
        <w:rPr>
          <w:rFonts w:ascii="Times New Roman" w:hAnsi="Times New Roman" w:cs="Times New Roman" w:eastAsia="Times New Roman" w:hint="default"/>
        </w:rPr>
        <w:t>3,488</w:t>
      </w:r>
      <w:r>
        <w:rPr>
          <w:rFonts w:ascii="Times New Roman" w:hAnsi="Times New Roman" w:cs="Times New Roman" w:eastAsia="Times New Roman" w:hint="default"/>
          <w:spacing w:val="20"/>
        </w:rPr>
        <w:t> </w:t>
      </w:r>
      <w:r>
        <w:rPr>
          <w:spacing w:val="-4"/>
        </w:rPr>
        <w:t>万元，具体内容详见公司</w:t>
      </w:r>
    </w:p>
    <w:p>
      <w:pPr>
        <w:pStyle w:val="BodyText"/>
        <w:spacing w:line="240" w:lineRule="auto" w:before="21"/>
        <w:ind w:right="0"/>
        <w:jc w:val="both"/>
      </w:pPr>
      <w:r>
        <w:rPr/>
        <w:t>于</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日披露的《关于下属公司出售资产的公告》</w:t>
      </w:r>
      <w:r>
        <w:rPr>
          <w:rFonts w:ascii="宋体" w:hAnsi="宋体" w:cs="宋体" w:eastAsia="宋体" w:hint="default"/>
        </w:rPr>
        <w:t>(</w:t>
      </w:r>
      <w:r>
        <w:rPr/>
        <w:t>公告编号：</w:t>
      </w:r>
      <w:r>
        <w:rPr>
          <w:rFonts w:ascii="Times New Roman" w:hAnsi="Times New Roman" w:cs="Times New Roman" w:eastAsia="Times New Roman" w:hint="default"/>
        </w:rPr>
        <w:t>2018-168</w:t>
      </w:r>
      <w:r>
        <w:rPr/>
        <w:t>）。</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386" w:right="1120"/>
        <w:jc w:val="left"/>
        <w:rPr>
          <w:b w:val="0"/>
          <w:bCs w:val="0"/>
        </w:rPr>
      </w:pPr>
      <w:bookmarkStart w:name="第六节 股份变动及股东情况" w:id="119"/>
      <w:bookmarkEnd w:id="119"/>
      <w:r>
        <w:rPr>
          <w:b w:val="0"/>
          <w:bCs w:val="0"/>
        </w:rPr>
      </w:r>
      <w:bookmarkStart w:name="_bookmark4" w:id="120"/>
      <w:bookmarkEnd w:id="120"/>
      <w:r>
        <w:rPr>
          <w:b w:val="0"/>
          <w:bCs w:val="0"/>
        </w:rPr>
      </w:r>
      <w:r>
        <w:rPr/>
        <w:t>第六节</w:t>
      </w:r>
      <w:r>
        <w:rPr>
          <w:spacing w:val="-9"/>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574" w:right="1120"/>
        <w:jc w:val="left"/>
        <w:rPr>
          <w:b w:val="0"/>
          <w:bCs w:val="0"/>
        </w:rPr>
      </w:pPr>
      <w:bookmarkStart w:name="一、股份变动情况" w:id="121"/>
      <w:bookmarkEnd w:id="121"/>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574" w:right="1120"/>
        <w:jc w:val="left"/>
        <w:rPr>
          <w:b w:val="0"/>
          <w:bCs w:val="0"/>
        </w:rPr>
      </w:pPr>
      <w:bookmarkStart w:name="1、股份变动情况" w:id="122"/>
      <w:bookmarkEnd w:id="122"/>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2154"/>
        <w:gridCol w:w="1204"/>
        <w:gridCol w:w="910"/>
        <w:gridCol w:w="908"/>
        <w:gridCol w:w="821"/>
        <w:gridCol w:w="995"/>
        <w:gridCol w:w="909"/>
        <w:gridCol w:w="914"/>
        <w:gridCol w:w="1009"/>
        <w:gridCol w:w="746"/>
      </w:tblGrid>
      <w:tr>
        <w:trPr>
          <w:trHeight w:val="407" w:hRule="exact"/>
        </w:trPr>
        <w:tc>
          <w:tcPr>
            <w:tcW w:w="2154" w:type="dxa"/>
            <w:tcBorders>
              <w:top w:val="single" w:sz="4" w:space="0" w:color="000000"/>
              <w:left w:val="single" w:sz="4" w:space="0" w:color="000000"/>
              <w:bottom w:val="nil" w:sz="6" w:space="0" w:color="auto"/>
              <w:right w:val="single" w:sz="4" w:space="0" w:color="000000"/>
            </w:tcBorders>
            <w:shd w:val="clear" w:color="auto" w:fill="D2D2D2"/>
          </w:tcPr>
          <w:p>
            <w:pPr/>
          </w:p>
        </w:tc>
        <w:tc>
          <w:tcPr>
            <w:tcW w:w="21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54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7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45" w:hRule="exact"/>
        </w:trPr>
        <w:tc>
          <w:tcPr>
            <w:tcW w:w="2154" w:type="dxa"/>
            <w:vMerge w:val="restart"/>
            <w:tcBorders>
              <w:top w:val="nil" w:sz="6" w:space="0" w:color="auto"/>
              <w:left w:val="single" w:sz="4" w:space="0" w:color="000000"/>
              <w:right w:val="single" w:sz="4" w:space="0" w:color="000000"/>
            </w:tcBorders>
            <w:shd w:val="clear" w:color="auto" w:fill="D2D2D2"/>
          </w:tcPr>
          <w:p>
            <w:pPr/>
          </w:p>
        </w:tc>
        <w:tc>
          <w:tcPr>
            <w:tcW w:w="1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910" w:type="dxa"/>
            <w:tcBorders>
              <w:top w:val="single" w:sz="4" w:space="0" w:color="000000"/>
              <w:left w:val="single" w:sz="4" w:space="0" w:color="000000"/>
              <w:bottom w:val="nil" w:sz="6" w:space="0" w:color="auto"/>
              <w:right w:val="single" w:sz="4" w:space="0" w:color="000000"/>
            </w:tcBorders>
            <w:shd w:val="clear" w:color="auto" w:fill="D2D2D2"/>
          </w:tcPr>
          <w:p>
            <w:pPr/>
          </w:p>
        </w:tc>
        <w:tc>
          <w:tcPr>
            <w:tcW w:w="90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909" w:type="dxa"/>
            <w:tcBorders>
              <w:top w:val="single" w:sz="4" w:space="0" w:color="000000"/>
              <w:left w:val="single" w:sz="4" w:space="0" w:color="000000"/>
              <w:bottom w:val="nil" w:sz="6" w:space="0" w:color="auto"/>
              <w:right w:val="single" w:sz="4" w:space="0" w:color="000000"/>
            </w:tcBorders>
            <w:shd w:val="clear" w:color="auto" w:fill="D2D2D2"/>
          </w:tcPr>
          <w:p>
            <w:pPr/>
          </w:p>
        </w:tc>
        <w:tc>
          <w:tcPr>
            <w:tcW w:w="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4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154" w:type="dxa"/>
            <w:vMerge/>
            <w:tcBorders>
              <w:left w:val="single" w:sz="4" w:space="0" w:color="000000"/>
              <w:bottom w:val="nil" w:sz="6" w:space="0" w:color="auto"/>
              <w:right w:val="single" w:sz="4" w:space="0" w:color="000000"/>
            </w:tcBorders>
            <w:shd w:val="clear" w:color="auto" w:fill="D2D2D2"/>
          </w:tcPr>
          <w:p>
            <w:pPr/>
          </w:p>
        </w:tc>
        <w:tc>
          <w:tcPr>
            <w:tcW w:w="12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6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154" w:type="dxa"/>
            <w:vMerge w:val="restart"/>
            <w:tcBorders>
              <w:top w:val="nil" w:sz="6" w:space="0" w:color="auto"/>
              <w:left w:val="single" w:sz="4" w:space="0" w:color="000000"/>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910" w:type="dxa"/>
            <w:vMerge/>
            <w:tcBorders>
              <w:left w:val="single" w:sz="4" w:space="0" w:color="000000"/>
              <w:bottom w:val="nil" w:sz="6" w:space="0" w:color="auto"/>
              <w:right w:val="single" w:sz="4" w:space="0" w:color="000000"/>
            </w:tcBorders>
            <w:shd w:val="clear" w:color="auto" w:fill="D2D2D2"/>
          </w:tcPr>
          <w:p>
            <w:pPr/>
          </w:p>
        </w:tc>
        <w:tc>
          <w:tcPr>
            <w:tcW w:w="908"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995" w:type="dxa"/>
            <w:vMerge/>
            <w:tcBorders>
              <w:left w:val="single" w:sz="4" w:space="0" w:color="000000"/>
              <w:bottom w:val="nil" w:sz="6" w:space="0" w:color="auto"/>
              <w:right w:val="single" w:sz="4" w:space="0" w:color="000000"/>
            </w:tcBorders>
            <w:shd w:val="clear" w:color="auto" w:fill="D2D2D2"/>
          </w:tcPr>
          <w:p>
            <w:pPr/>
          </w:p>
        </w:tc>
        <w:tc>
          <w:tcPr>
            <w:tcW w:w="909" w:type="dxa"/>
            <w:vMerge/>
            <w:tcBorders>
              <w:left w:val="single" w:sz="4" w:space="0" w:color="000000"/>
              <w:bottom w:val="nil" w:sz="6" w:space="0" w:color="auto"/>
              <w:right w:val="single" w:sz="4" w:space="0" w:color="000000"/>
            </w:tcBorders>
            <w:shd w:val="clear" w:color="auto" w:fill="D2D2D2"/>
          </w:tcPr>
          <w:p>
            <w:pPr/>
          </w:p>
        </w:tc>
        <w:tc>
          <w:tcPr>
            <w:tcW w:w="914" w:type="dxa"/>
            <w:vMerge/>
            <w:tcBorders>
              <w:left w:val="single" w:sz="4" w:space="0" w:color="000000"/>
              <w:bottom w:val="nil" w:sz="6" w:space="0" w:color="auto"/>
              <w:right w:val="single" w:sz="4" w:space="0" w:color="000000"/>
            </w:tcBorders>
            <w:shd w:val="clear" w:color="auto" w:fill="D2D2D2"/>
          </w:tcPr>
          <w:p>
            <w:pPr/>
          </w:p>
        </w:tc>
        <w:tc>
          <w:tcPr>
            <w:tcW w:w="1009" w:type="dxa"/>
            <w:vMerge/>
            <w:tcBorders>
              <w:left w:val="single" w:sz="4" w:space="0" w:color="000000"/>
              <w:bottom w:val="nil" w:sz="6" w:space="0" w:color="auto"/>
              <w:right w:val="single" w:sz="4" w:space="0" w:color="000000"/>
            </w:tcBorders>
            <w:shd w:val="clear" w:color="auto" w:fill="D2D2D2"/>
          </w:tcPr>
          <w:p>
            <w:pPr/>
          </w:p>
        </w:tc>
        <w:tc>
          <w:tcPr>
            <w:tcW w:w="746" w:type="dxa"/>
            <w:vMerge/>
            <w:tcBorders>
              <w:left w:val="single" w:sz="4" w:space="0" w:color="000000"/>
              <w:bottom w:val="nil" w:sz="6" w:space="0" w:color="auto"/>
              <w:right w:val="single" w:sz="4" w:space="0" w:color="000000"/>
            </w:tcBorders>
            <w:shd w:val="clear" w:color="auto" w:fill="D2D2D2"/>
          </w:tcPr>
          <w:p>
            <w:pPr/>
          </w:p>
        </w:tc>
      </w:tr>
      <w:tr>
        <w:trPr>
          <w:trHeight w:val="150" w:hRule="exact"/>
        </w:trPr>
        <w:tc>
          <w:tcPr>
            <w:tcW w:w="2154" w:type="dxa"/>
            <w:vMerge/>
            <w:tcBorders>
              <w:left w:val="single" w:sz="4" w:space="0" w:color="000000"/>
              <w:bottom w:val="single" w:sz="4" w:space="0" w:color="000000"/>
              <w:right w:val="single" w:sz="4" w:space="0" w:color="000000"/>
            </w:tcBorders>
            <w:shd w:val="clear" w:color="auto" w:fill="D2D2D2"/>
          </w:tcPr>
          <w:p>
            <w:pPr/>
          </w:p>
        </w:tc>
        <w:tc>
          <w:tcPr>
            <w:tcW w:w="1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910" w:type="dxa"/>
            <w:tcBorders>
              <w:top w:val="nil" w:sz="6" w:space="0" w:color="auto"/>
              <w:left w:val="single" w:sz="4" w:space="0" w:color="000000"/>
              <w:bottom w:val="single" w:sz="4" w:space="0" w:color="000000"/>
              <w:right w:val="single" w:sz="4" w:space="0" w:color="000000"/>
            </w:tcBorders>
            <w:shd w:val="clear" w:color="auto" w:fill="D2D2D2"/>
          </w:tcPr>
          <w:p>
            <w:pPr/>
          </w:p>
        </w:tc>
        <w:tc>
          <w:tcPr>
            <w:tcW w:w="90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909" w:type="dxa"/>
            <w:tcBorders>
              <w:top w:val="nil" w:sz="6" w:space="0" w:color="auto"/>
              <w:left w:val="single" w:sz="4" w:space="0" w:color="000000"/>
              <w:bottom w:val="single" w:sz="4" w:space="0" w:color="000000"/>
              <w:right w:val="single" w:sz="4" w:space="0" w:color="000000"/>
            </w:tcBorders>
            <w:shd w:val="clear" w:color="auto" w:fill="D2D2D2"/>
          </w:tcPr>
          <w:p>
            <w:pPr/>
          </w:p>
        </w:tc>
        <w:tc>
          <w:tcPr>
            <w:tcW w:w="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4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50" w:hRule="exact"/>
        </w:trPr>
        <w:tc>
          <w:tcPr>
            <w:tcW w:w="21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4" w:type="dxa"/>
            <w:vMerge w:val="restart"/>
            <w:tcBorders>
              <w:top w:val="single" w:sz="4" w:space="0" w:color="000000"/>
              <w:left w:val="single" w:sz="13" w:space="0" w:color="D2D2D2"/>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393,668,089</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53.89%</w:t>
            </w:r>
          </w:p>
        </w:tc>
        <w:tc>
          <w:tcPr>
            <w:tcW w:w="90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78,733,618</w:t>
            </w:r>
          </w:p>
        </w:tc>
        <w:tc>
          <w:tcPr>
            <w:tcW w:w="90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-2,025,790</w:t>
            </w:r>
          </w:p>
        </w:tc>
        <w:tc>
          <w:tcPr>
            <w:tcW w:w="91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76,707,828</w:t>
            </w:r>
          </w:p>
        </w:tc>
        <w:tc>
          <w:tcPr>
            <w:tcW w:w="100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470,375,917</w:t>
            </w:r>
          </w:p>
        </w:tc>
        <w:tc>
          <w:tcPr>
            <w:tcW w:w="74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53.66%</w:t>
            </w:r>
          </w:p>
        </w:tc>
      </w:tr>
      <w:tr>
        <w:trPr>
          <w:trHeight w:val="391" w:hRule="exact"/>
        </w:trPr>
        <w:tc>
          <w:tcPr>
            <w:tcW w:w="21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04" w:type="dxa"/>
            <w:vMerge/>
            <w:tcBorders>
              <w:left w:val="single" w:sz="13" w:space="0" w:color="D2D2D2"/>
              <w:right w:val="single" w:sz="4" w:space="0" w:color="000000"/>
            </w:tcBorders>
          </w:tcPr>
          <w:p>
            <w:pPr/>
          </w:p>
        </w:tc>
        <w:tc>
          <w:tcPr>
            <w:tcW w:w="910" w:type="dxa"/>
            <w:vMerge/>
            <w:tcBorders>
              <w:left w:val="single" w:sz="4" w:space="0" w:color="000000"/>
              <w:right w:val="single" w:sz="4" w:space="0" w:color="000000"/>
            </w:tcBorders>
          </w:tcPr>
          <w:p>
            <w:pPr/>
          </w:p>
        </w:tc>
        <w:tc>
          <w:tcPr>
            <w:tcW w:w="908"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995" w:type="dxa"/>
            <w:vMerge/>
            <w:tcBorders>
              <w:left w:val="single" w:sz="4" w:space="0" w:color="000000"/>
              <w:right w:val="single" w:sz="4" w:space="0" w:color="000000"/>
            </w:tcBorders>
          </w:tcPr>
          <w:p>
            <w:pPr/>
          </w:p>
        </w:tc>
        <w:tc>
          <w:tcPr>
            <w:tcW w:w="909" w:type="dxa"/>
            <w:vMerge/>
            <w:tcBorders>
              <w:left w:val="single" w:sz="4" w:space="0" w:color="000000"/>
              <w:right w:val="single" w:sz="4" w:space="0" w:color="000000"/>
            </w:tcBorders>
          </w:tcPr>
          <w:p>
            <w:pPr/>
          </w:p>
        </w:tc>
        <w:tc>
          <w:tcPr>
            <w:tcW w:w="914"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746" w:type="dxa"/>
            <w:vMerge/>
            <w:tcBorders>
              <w:left w:val="single" w:sz="4" w:space="0" w:color="000000"/>
              <w:right w:val="single" w:sz="4" w:space="0" w:color="000000"/>
            </w:tcBorders>
          </w:tcPr>
          <w:p>
            <w:pPr/>
          </w:p>
        </w:tc>
      </w:tr>
      <w:tr>
        <w:trPr>
          <w:trHeight w:val="150" w:hRule="exact"/>
        </w:trPr>
        <w:tc>
          <w:tcPr>
            <w:tcW w:w="21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4" w:type="dxa"/>
            <w:vMerge/>
            <w:tcBorders>
              <w:left w:val="single" w:sz="13" w:space="0" w:color="D2D2D2"/>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08"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995" w:type="dxa"/>
            <w:vMerge/>
            <w:tcBorders>
              <w:left w:val="single" w:sz="4" w:space="0" w:color="000000"/>
              <w:bottom w:val="single" w:sz="4" w:space="0" w:color="000000"/>
              <w:right w:val="single" w:sz="4" w:space="0" w:color="000000"/>
            </w:tcBorders>
          </w:tcPr>
          <w:p>
            <w:pPr/>
          </w:p>
        </w:tc>
        <w:tc>
          <w:tcPr>
            <w:tcW w:w="909" w:type="dxa"/>
            <w:vMerge/>
            <w:tcBorders>
              <w:left w:val="single" w:sz="4" w:space="0" w:color="000000"/>
              <w:bottom w:val="single" w:sz="4" w:space="0" w:color="000000"/>
              <w:right w:val="single" w:sz="4" w:space="0" w:color="000000"/>
            </w:tcBorders>
          </w:tcPr>
          <w:p>
            <w:pPr/>
          </w:p>
        </w:tc>
        <w:tc>
          <w:tcPr>
            <w:tcW w:w="914"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746" w:type="dxa"/>
            <w:vMerge/>
            <w:tcBorders>
              <w:left w:val="single" w:sz="4" w:space="0" w:color="000000"/>
              <w:bottom w:val="single" w:sz="4" w:space="0" w:color="000000"/>
              <w:right w:val="single" w:sz="4" w:space="0" w:color="000000"/>
            </w:tcBorders>
          </w:tcPr>
          <w:p>
            <w:pPr/>
          </w:p>
        </w:tc>
      </w:tr>
      <w:tr>
        <w:trPr>
          <w:trHeight w:val="402" w:hRule="exact"/>
        </w:trPr>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143" w:hRule="exact"/>
        </w:trPr>
        <w:tc>
          <w:tcPr>
            <w:tcW w:w="21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4" w:type="dxa"/>
            <w:vMerge w:val="restart"/>
            <w:tcBorders>
              <w:top w:val="single" w:sz="4" w:space="0" w:color="000000"/>
              <w:left w:val="single" w:sz="13" w:space="0" w:color="D2D2D2"/>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393,668,089</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53.89%</w:t>
            </w:r>
          </w:p>
        </w:tc>
        <w:tc>
          <w:tcPr>
            <w:tcW w:w="90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78,733,618</w:t>
            </w:r>
          </w:p>
        </w:tc>
        <w:tc>
          <w:tcPr>
            <w:tcW w:w="90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-2,025,790</w:t>
            </w:r>
          </w:p>
        </w:tc>
        <w:tc>
          <w:tcPr>
            <w:tcW w:w="91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76,707,828</w:t>
            </w:r>
          </w:p>
        </w:tc>
        <w:tc>
          <w:tcPr>
            <w:tcW w:w="100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470,375,917</w:t>
            </w:r>
          </w:p>
        </w:tc>
        <w:tc>
          <w:tcPr>
            <w:tcW w:w="74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53.66%</w:t>
            </w:r>
          </w:p>
        </w:tc>
      </w:tr>
      <w:tr>
        <w:trPr>
          <w:trHeight w:val="392" w:hRule="exact"/>
        </w:trPr>
        <w:tc>
          <w:tcPr>
            <w:tcW w:w="21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204" w:type="dxa"/>
            <w:vMerge/>
            <w:tcBorders>
              <w:left w:val="single" w:sz="13" w:space="0" w:color="D2D2D2"/>
              <w:right w:val="single" w:sz="4" w:space="0" w:color="000000"/>
            </w:tcBorders>
          </w:tcPr>
          <w:p>
            <w:pPr/>
          </w:p>
        </w:tc>
        <w:tc>
          <w:tcPr>
            <w:tcW w:w="910" w:type="dxa"/>
            <w:vMerge/>
            <w:tcBorders>
              <w:left w:val="single" w:sz="4" w:space="0" w:color="000000"/>
              <w:right w:val="single" w:sz="4" w:space="0" w:color="000000"/>
            </w:tcBorders>
          </w:tcPr>
          <w:p>
            <w:pPr/>
          </w:p>
        </w:tc>
        <w:tc>
          <w:tcPr>
            <w:tcW w:w="908"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995" w:type="dxa"/>
            <w:vMerge/>
            <w:tcBorders>
              <w:left w:val="single" w:sz="4" w:space="0" w:color="000000"/>
              <w:right w:val="single" w:sz="4" w:space="0" w:color="000000"/>
            </w:tcBorders>
          </w:tcPr>
          <w:p>
            <w:pPr/>
          </w:p>
        </w:tc>
        <w:tc>
          <w:tcPr>
            <w:tcW w:w="909" w:type="dxa"/>
            <w:vMerge/>
            <w:tcBorders>
              <w:left w:val="single" w:sz="4" w:space="0" w:color="000000"/>
              <w:right w:val="single" w:sz="4" w:space="0" w:color="000000"/>
            </w:tcBorders>
          </w:tcPr>
          <w:p>
            <w:pPr/>
          </w:p>
        </w:tc>
        <w:tc>
          <w:tcPr>
            <w:tcW w:w="914"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746" w:type="dxa"/>
            <w:vMerge/>
            <w:tcBorders>
              <w:left w:val="single" w:sz="4" w:space="0" w:color="000000"/>
              <w:right w:val="single" w:sz="4" w:space="0" w:color="000000"/>
            </w:tcBorders>
          </w:tcPr>
          <w:p>
            <w:pPr/>
          </w:p>
        </w:tc>
      </w:tr>
      <w:tr>
        <w:trPr>
          <w:trHeight w:val="142" w:hRule="exact"/>
        </w:trPr>
        <w:tc>
          <w:tcPr>
            <w:tcW w:w="21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4" w:type="dxa"/>
            <w:vMerge/>
            <w:tcBorders>
              <w:left w:val="single" w:sz="13" w:space="0" w:color="D2D2D2"/>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08"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995" w:type="dxa"/>
            <w:vMerge/>
            <w:tcBorders>
              <w:left w:val="single" w:sz="4" w:space="0" w:color="000000"/>
              <w:bottom w:val="single" w:sz="4" w:space="0" w:color="000000"/>
              <w:right w:val="single" w:sz="4" w:space="0" w:color="000000"/>
            </w:tcBorders>
          </w:tcPr>
          <w:p>
            <w:pPr/>
          </w:p>
        </w:tc>
        <w:tc>
          <w:tcPr>
            <w:tcW w:w="909" w:type="dxa"/>
            <w:vMerge/>
            <w:tcBorders>
              <w:left w:val="single" w:sz="4" w:space="0" w:color="000000"/>
              <w:bottom w:val="single" w:sz="4" w:space="0" w:color="000000"/>
              <w:right w:val="single" w:sz="4" w:space="0" w:color="000000"/>
            </w:tcBorders>
          </w:tcPr>
          <w:p>
            <w:pPr/>
          </w:p>
        </w:tc>
        <w:tc>
          <w:tcPr>
            <w:tcW w:w="914"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746" w:type="dxa"/>
            <w:vMerge/>
            <w:tcBorders>
              <w:left w:val="single" w:sz="4" w:space="0" w:color="000000"/>
              <w:bottom w:val="single" w:sz="4" w:space="0" w:color="000000"/>
              <w:right w:val="single" w:sz="4" w:space="0" w:color="000000"/>
            </w:tcBorders>
          </w:tcPr>
          <w:p>
            <w:pPr/>
          </w:p>
        </w:tc>
      </w:tr>
      <w:tr>
        <w:trPr>
          <w:trHeight w:val="151" w:hRule="exact"/>
        </w:trPr>
        <w:tc>
          <w:tcPr>
            <w:tcW w:w="21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4" w:type="dxa"/>
            <w:vMerge w:val="restart"/>
            <w:tcBorders>
              <w:top w:val="single" w:sz="4" w:space="0" w:color="000000"/>
              <w:left w:val="single" w:sz="13" w:space="0" w:color="D2D2D2"/>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328,742,004</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45.00%</w:t>
            </w:r>
          </w:p>
        </w:tc>
        <w:tc>
          <w:tcPr>
            <w:tcW w:w="90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65,748,402</w:t>
            </w:r>
          </w:p>
        </w:tc>
        <w:tc>
          <w:tcPr>
            <w:tcW w:w="90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65,748,402</w:t>
            </w:r>
          </w:p>
        </w:tc>
        <w:tc>
          <w:tcPr>
            <w:tcW w:w="100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394,490,406</w:t>
            </w:r>
          </w:p>
        </w:tc>
        <w:tc>
          <w:tcPr>
            <w:tcW w:w="74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45.00%</w:t>
            </w:r>
          </w:p>
        </w:tc>
      </w:tr>
      <w:tr>
        <w:trPr>
          <w:trHeight w:val="391" w:hRule="exact"/>
        </w:trPr>
        <w:tc>
          <w:tcPr>
            <w:tcW w:w="21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04" w:type="dxa"/>
            <w:vMerge/>
            <w:tcBorders>
              <w:left w:val="single" w:sz="13" w:space="0" w:color="D2D2D2"/>
              <w:right w:val="single" w:sz="4" w:space="0" w:color="000000"/>
            </w:tcBorders>
          </w:tcPr>
          <w:p>
            <w:pPr/>
          </w:p>
        </w:tc>
        <w:tc>
          <w:tcPr>
            <w:tcW w:w="910" w:type="dxa"/>
            <w:vMerge/>
            <w:tcBorders>
              <w:left w:val="single" w:sz="4" w:space="0" w:color="000000"/>
              <w:right w:val="single" w:sz="4" w:space="0" w:color="000000"/>
            </w:tcBorders>
          </w:tcPr>
          <w:p>
            <w:pPr/>
          </w:p>
        </w:tc>
        <w:tc>
          <w:tcPr>
            <w:tcW w:w="908"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995" w:type="dxa"/>
            <w:vMerge/>
            <w:tcBorders>
              <w:left w:val="single" w:sz="4" w:space="0" w:color="000000"/>
              <w:right w:val="single" w:sz="4" w:space="0" w:color="000000"/>
            </w:tcBorders>
          </w:tcPr>
          <w:p>
            <w:pPr/>
          </w:p>
        </w:tc>
        <w:tc>
          <w:tcPr>
            <w:tcW w:w="909" w:type="dxa"/>
            <w:vMerge/>
            <w:tcBorders>
              <w:left w:val="single" w:sz="4" w:space="0" w:color="000000"/>
              <w:right w:val="single" w:sz="4" w:space="0" w:color="000000"/>
            </w:tcBorders>
          </w:tcPr>
          <w:p>
            <w:pPr/>
          </w:p>
        </w:tc>
        <w:tc>
          <w:tcPr>
            <w:tcW w:w="914"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746" w:type="dxa"/>
            <w:vMerge/>
            <w:tcBorders>
              <w:left w:val="single" w:sz="4" w:space="0" w:color="000000"/>
              <w:right w:val="single" w:sz="4" w:space="0" w:color="000000"/>
            </w:tcBorders>
          </w:tcPr>
          <w:p>
            <w:pPr/>
          </w:p>
        </w:tc>
      </w:tr>
      <w:tr>
        <w:trPr>
          <w:trHeight w:val="150" w:hRule="exact"/>
        </w:trPr>
        <w:tc>
          <w:tcPr>
            <w:tcW w:w="21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4" w:type="dxa"/>
            <w:vMerge/>
            <w:tcBorders>
              <w:left w:val="single" w:sz="13" w:space="0" w:color="D2D2D2"/>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08"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995" w:type="dxa"/>
            <w:vMerge/>
            <w:tcBorders>
              <w:left w:val="single" w:sz="4" w:space="0" w:color="000000"/>
              <w:bottom w:val="single" w:sz="4" w:space="0" w:color="000000"/>
              <w:right w:val="single" w:sz="4" w:space="0" w:color="000000"/>
            </w:tcBorders>
          </w:tcPr>
          <w:p>
            <w:pPr/>
          </w:p>
        </w:tc>
        <w:tc>
          <w:tcPr>
            <w:tcW w:w="909" w:type="dxa"/>
            <w:vMerge/>
            <w:tcBorders>
              <w:left w:val="single" w:sz="4" w:space="0" w:color="000000"/>
              <w:bottom w:val="single" w:sz="4" w:space="0" w:color="000000"/>
              <w:right w:val="single" w:sz="4" w:space="0" w:color="000000"/>
            </w:tcBorders>
          </w:tcPr>
          <w:p>
            <w:pPr/>
          </w:p>
        </w:tc>
        <w:tc>
          <w:tcPr>
            <w:tcW w:w="914"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746" w:type="dxa"/>
            <w:vMerge/>
            <w:tcBorders>
              <w:left w:val="single" w:sz="4" w:space="0" w:color="000000"/>
              <w:bottom w:val="single" w:sz="4" w:space="0" w:color="000000"/>
              <w:right w:val="single" w:sz="4" w:space="0" w:color="000000"/>
            </w:tcBorders>
          </w:tcPr>
          <w:p>
            <w:pPr/>
          </w:p>
        </w:tc>
      </w:tr>
      <w:tr>
        <w:trPr>
          <w:trHeight w:val="143" w:hRule="exact"/>
        </w:trPr>
        <w:tc>
          <w:tcPr>
            <w:tcW w:w="21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4" w:type="dxa"/>
            <w:vMerge w:val="restart"/>
            <w:tcBorders>
              <w:top w:val="single" w:sz="4" w:space="0" w:color="000000"/>
              <w:left w:val="single" w:sz="13" w:space="0" w:color="D2D2D2"/>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49" w:right="0"/>
              <w:jc w:val="left"/>
              <w:rPr>
                <w:rFonts w:ascii="Times New Roman" w:hAnsi="Times New Roman" w:cs="Times New Roman" w:eastAsia="Times New Roman" w:hint="default"/>
                <w:sz w:val="18"/>
                <w:szCs w:val="18"/>
              </w:rPr>
            </w:pPr>
            <w:r>
              <w:rPr>
                <w:rFonts w:ascii="Times New Roman"/>
                <w:sz w:val="18"/>
              </w:rPr>
              <w:t>64,926,085</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8.89%</w:t>
            </w:r>
          </w:p>
        </w:tc>
        <w:tc>
          <w:tcPr>
            <w:tcW w:w="90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12,985,216</w:t>
            </w:r>
          </w:p>
        </w:tc>
        <w:tc>
          <w:tcPr>
            <w:tcW w:w="90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-2,025,790</w:t>
            </w:r>
          </w:p>
        </w:tc>
        <w:tc>
          <w:tcPr>
            <w:tcW w:w="91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10,959,426</w:t>
            </w:r>
          </w:p>
        </w:tc>
        <w:tc>
          <w:tcPr>
            <w:tcW w:w="100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75,885,511</w:t>
            </w:r>
          </w:p>
        </w:tc>
        <w:tc>
          <w:tcPr>
            <w:tcW w:w="74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8.66%</w:t>
            </w:r>
          </w:p>
        </w:tc>
      </w:tr>
      <w:tr>
        <w:trPr>
          <w:trHeight w:val="392" w:hRule="exact"/>
        </w:trPr>
        <w:tc>
          <w:tcPr>
            <w:tcW w:w="21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28"/>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204" w:type="dxa"/>
            <w:vMerge/>
            <w:tcBorders>
              <w:left w:val="single" w:sz="13" w:space="0" w:color="D2D2D2"/>
              <w:right w:val="single" w:sz="4" w:space="0" w:color="000000"/>
            </w:tcBorders>
          </w:tcPr>
          <w:p>
            <w:pPr/>
          </w:p>
        </w:tc>
        <w:tc>
          <w:tcPr>
            <w:tcW w:w="910" w:type="dxa"/>
            <w:vMerge/>
            <w:tcBorders>
              <w:left w:val="single" w:sz="4" w:space="0" w:color="000000"/>
              <w:right w:val="single" w:sz="4" w:space="0" w:color="000000"/>
            </w:tcBorders>
          </w:tcPr>
          <w:p>
            <w:pPr/>
          </w:p>
        </w:tc>
        <w:tc>
          <w:tcPr>
            <w:tcW w:w="908"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995" w:type="dxa"/>
            <w:vMerge/>
            <w:tcBorders>
              <w:left w:val="single" w:sz="4" w:space="0" w:color="000000"/>
              <w:right w:val="single" w:sz="4" w:space="0" w:color="000000"/>
            </w:tcBorders>
          </w:tcPr>
          <w:p>
            <w:pPr/>
          </w:p>
        </w:tc>
        <w:tc>
          <w:tcPr>
            <w:tcW w:w="909" w:type="dxa"/>
            <w:vMerge/>
            <w:tcBorders>
              <w:left w:val="single" w:sz="4" w:space="0" w:color="000000"/>
              <w:right w:val="single" w:sz="4" w:space="0" w:color="000000"/>
            </w:tcBorders>
          </w:tcPr>
          <w:p>
            <w:pPr/>
          </w:p>
        </w:tc>
        <w:tc>
          <w:tcPr>
            <w:tcW w:w="914"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746" w:type="dxa"/>
            <w:vMerge/>
            <w:tcBorders>
              <w:left w:val="single" w:sz="4" w:space="0" w:color="000000"/>
              <w:right w:val="single" w:sz="4" w:space="0" w:color="000000"/>
            </w:tcBorders>
          </w:tcPr>
          <w:p>
            <w:pPr/>
          </w:p>
        </w:tc>
      </w:tr>
      <w:tr>
        <w:trPr>
          <w:trHeight w:val="142" w:hRule="exact"/>
        </w:trPr>
        <w:tc>
          <w:tcPr>
            <w:tcW w:w="21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4" w:type="dxa"/>
            <w:vMerge/>
            <w:tcBorders>
              <w:left w:val="single" w:sz="13" w:space="0" w:color="D2D2D2"/>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08"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995" w:type="dxa"/>
            <w:vMerge/>
            <w:tcBorders>
              <w:left w:val="single" w:sz="4" w:space="0" w:color="000000"/>
              <w:bottom w:val="single" w:sz="4" w:space="0" w:color="000000"/>
              <w:right w:val="single" w:sz="4" w:space="0" w:color="000000"/>
            </w:tcBorders>
          </w:tcPr>
          <w:p>
            <w:pPr/>
          </w:p>
        </w:tc>
        <w:tc>
          <w:tcPr>
            <w:tcW w:w="909" w:type="dxa"/>
            <w:vMerge/>
            <w:tcBorders>
              <w:left w:val="single" w:sz="4" w:space="0" w:color="000000"/>
              <w:bottom w:val="single" w:sz="4" w:space="0" w:color="000000"/>
              <w:right w:val="single" w:sz="4" w:space="0" w:color="000000"/>
            </w:tcBorders>
          </w:tcPr>
          <w:p>
            <w:pPr/>
          </w:p>
        </w:tc>
        <w:tc>
          <w:tcPr>
            <w:tcW w:w="914"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746" w:type="dxa"/>
            <w:vMerge/>
            <w:tcBorders>
              <w:left w:val="single" w:sz="4" w:space="0" w:color="000000"/>
              <w:bottom w:val="single" w:sz="4" w:space="0" w:color="000000"/>
              <w:right w:val="single" w:sz="4" w:space="0" w:color="000000"/>
            </w:tcBorders>
          </w:tcPr>
          <w:p>
            <w:pPr/>
          </w:p>
        </w:tc>
      </w:tr>
      <w:tr>
        <w:trPr>
          <w:trHeight w:val="402" w:hRule="exact"/>
        </w:trPr>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28"/>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143" w:hRule="exact"/>
        </w:trPr>
        <w:tc>
          <w:tcPr>
            <w:tcW w:w="21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4" w:type="dxa"/>
            <w:vMerge w:val="restart"/>
            <w:tcBorders>
              <w:top w:val="single" w:sz="4" w:space="0" w:color="000000"/>
              <w:left w:val="single" w:sz="13" w:space="0" w:color="D2D2D2"/>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336,877,796</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46.11%</w:t>
            </w:r>
          </w:p>
        </w:tc>
        <w:tc>
          <w:tcPr>
            <w:tcW w:w="90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67,375,559</w:t>
            </w:r>
          </w:p>
        </w:tc>
        <w:tc>
          <w:tcPr>
            <w:tcW w:w="90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2,025,790</w:t>
            </w:r>
          </w:p>
        </w:tc>
        <w:tc>
          <w:tcPr>
            <w:tcW w:w="91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69,401,349</w:t>
            </w:r>
          </w:p>
        </w:tc>
        <w:tc>
          <w:tcPr>
            <w:tcW w:w="100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406,279,145</w:t>
            </w:r>
          </w:p>
        </w:tc>
        <w:tc>
          <w:tcPr>
            <w:tcW w:w="74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46.34%</w:t>
            </w:r>
          </w:p>
        </w:tc>
      </w:tr>
      <w:tr>
        <w:trPr>
          <w:trHeight w:val="392" w:hRule="exact"/>
        </w:trPr>
        <w:tc>
          <w:tcPr>
            <w:tcW w:w="21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04" w:type="dxa"/>
            <w:vMerge/>
            <w:tcBorders>
              <w:left w:val="single" w:sz="13" w:space="0" w:color="D2D2D2"/>
              <w:right w:val="single" w:sz="4" w:space="0" w:color="000000"/>
            </w:tcBorders>
          </w:tcPr>
          <w:p>
            <w:pPr/>
          </w:p>
        </w:tc>
        <w:tc>
          <w:tcPr>
            <w:tcW w:w="910" w:type="dxa"/>
            <w:vMerge/>
            <w:tcBorders>
              <w:left w:val="single" w:sz="4" w:space="0" w:color="000000"/>
              <w:right w:val="single" w:sz="4" w:space="0" w:color="000000"/>
            </w:tcBorders>
          </w:tcPr>
          <w:p>
            <w:pPr/>
          </w:p>
        </w:tc>
        <w:tc>
          <w:tcPr>
            <w:tcW w:w="908"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995" w:type="dxa"/>
            <w:vMerge/>
            <w:tcBorders>
              <w:left w:val="single" w:sz="4" w:space="0" w:color="000000"/>
              <w:right w:val="single" w:sz="4" w:space="0" w:color="000000"/>
            </w:tcBorders>
          </w:tcPr>
          <w:p>
            <w:pPr/>
          </w:p>
        </w:tc>
        <w:tc>
          <w:tcPr>
            <w:tcW w:w="909" w:type="dxa"/>
            <w:vMerge/>
            <w:tcBorders>
              <w:left w:val="single" w:sz="4" w:space="0" w:color="000000"/>
              <w:right w:val="single" w:sz="4" w:space="0" w:color="000000"/>
            </w:tcBorders>
          </w:tcPr>
          <w:p>
            <w:pPr/>
          </w:p>
        </w:tc>
        <w:tc>
          <w:tcPr>
            <w:tcW w:w="914"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746" w:type="dxa"/>
            <w:vMerge/>
            <w:tcBorders>
              <w:left w:val="single" w:sz="4" w:space="0" w:color="000000"/>
              <w:right w:val="single" w:sz="4" w:space="0" w:color="000000"/>
            </w:tcBorders>
          </w:tcPr>
          <w:p>
            <w:pPr/>
          </w:p>
        </w:tc>
      </w:tr>
      <w:tr>
        <w:trPr>
          <w:trHeight w:val="142" w:hRule="exact"/>
        </w:trPr>
        <w:tc>
          <w:tcPr>
            <w:tcW w:w="21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4" w:type="dxa"/>
            <w:vMerge/>
            <w:tcBorders>
              <w:left w:val="single" w:sz="13" w:space="0" w:color="D2D2D2"/>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08"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995" w:type="dxa"/>
            <w:vMerge/>
            <w:tcBorders>
              <w:left w:val="single" w:sz="4" w:space="0" w:color="000000"/>
              <w:bottom w:val="single" w:sz="4" w:space="0" w:color="000000"/>
              <w:right w:val="single" w:sz="4" w:space="0" w:color="000000"/>
            </w:tcBorders>
          </w:tcPr>
          <w:p>
            <w:pPr/>
          </w:p>
        </w:tc>
        <w:tc>
          <w:tcPr>
            <w:tcW w:w="909" w:type="dxa"/>
            <w:vMerge/>
            <w:tcBorders>
              <w:left w:val="single" w:sz="4" w:space="0" w:color="000000"/>
              <w:bottom w:val="single" w:sz="4" w:space="0" w:color="000000"/>
              <w:right w:val="single" w:sz="4" w:space="0" w:color="000000"/>
            </w:tcBorders>
          </w:tcPr>
          <w:p>
            <w:pPr/>
          </w:p>
        </w:tc>
        <w:tc>
          <w:tcPr>
            <w:tcW w:w="914"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746" w:type="dxa"/>
            <w:vMerge/>
            <w:tcBorders>
              <w:left w:val="single" w:sz="4" w:space="0" w:color="000000"/>
              <w:bottom w:val="single" w:sz="4" w:space="0" w:color="000000"/>
              <w:right w:val="single" w:sz="4" w:space="0" w:color="000000"/>
            </w:tcBorders>
          </w:tcPr>
          <w:p>
            <w:pPr/>
          </w:p>
        </w:tc>
      </w:tr>
      <w:tr>
        <w:trPr>
          <w:trHeight w:val="151" w:hRule="exact"/>
        </w:trPr>
        <w:tc>
          <w:tcPr>
            <w:tcW w:w="21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4" w:type="dxa"/>
            <w:vMerge w:val="restart"/>
            <w:tcBorders>
              <w:top w:val="single" w:sz="4" w:space="0" w:color="000000"/>
              <w:left w:val="single" w:sz="13" w:space="0" w:color="D2D2D2"/>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336,877,796</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46.11%</w:t>
            </w:r>
          </w:p>
        </w:tc>
        <w:tc>
          <w:tcPr>
            <w:tcW w:w="90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67,375,559</w:t>
            </w:r>
          </w:p>
        </w:tc>
        <w:tc>
          <w:tcPr>
            <w:tcW w:w="90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2,025,790</w:t>
            </w:r>
          </w:p>
        </w:tc>
        <w:tc>
          <w:tcPr>
            <w:tcW w:w="91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69,401,349</w:t>
            </w:r>
          </w:p>
        </w:tc>
        <w:tc>
          <w:tcPr>
            <w:tcW w:w="100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406,279,145</w:t>
            </w:r>
          </w:p>
        </w:tc>
        <w:tc>
          <w:tcPr>
            <w:tcW w:w="74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46.34%</w:t>
            </w:r>
          </w:p>
        </w:tc>
      </w:tr>
      <w:tr>
        <w:trPr>
          <w:trHeight w:val="391" w:hRule="exact"/>
        </w:trPr>
        <w:tc>
          <w:tcPr>
            <w:tcW w:w="21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04" w:type="dxa"/>
            <w:vMerge/>
            <w:tcBorders>
              <w:left w:val="single" w:sz="13" w:space="0" w:color="D2D2D2"/>
              <w:right w:val="single" w:sz="4" w:space="0" w:color="000000"/>
            </w:tcBorders>
          </w:tcPr>
          <w:p>
            <w:pPr/>
          </w:p>
        </w:tc>
        <w:tc>
          <w:tcPr>
            <w:tcW w:w="910" w:type="dxa"/>
            <w:vMerge/>
            <w:tcBorders>
              <w:left w:val="single" w:sz="4" w:space="0" w:color="000000"/>
              <w:right w:val="single" w:sz="4" w:space="0" w:color="000000"/>
            </w:tcBorders>
          </w:tcPr>
          <w:p>
            <w:pPr/>
          </w:p>
        </w:tc>
        <w:tc>
          <w:tcPr>
            <w:tcW w:w="908"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995" w:type="dxa"/>
            <w:vMerge/>
            <w:tcBorders>
              <w:left w:val="single" w:sz="4" w:space="0" w:color="000000"/>
              <w:right w:val="single" w:sz="4" w:space="0" w:color="000000"/>
            </w:tcBorders>
          </w:tcPr>
          <w:p>
            <w:pPr/>
          </w:p>
        </w:tc>
        <w:tc>
          <w:tcPr>
            <w:tcW w:w="909" w:type="dxa"/>
            <w:vMerge/>
            <w:tcBorders>
              <w:left w:val="single" w:sz="4" w:space="0" w:color="000000"/>
              <w:right w:val="single" w:sz="4" w:space="0" w:color="000000"/>
            </w:tcBorders>
          </w:tcPr>
          <w:p>
            <w:pPr/>
          </w:p>
        </w:tc>
        <w:tc>
          <w:tcPr>
            <w:tcW w:w="914"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746" w:type="dxa"/>
            <w:vMerge/>
            <w:tcBorders>
              <w:left w:val="single" w:sz="4" w:space="0" w:color="000000"/>
              <w:right w:val="single" w:sz="4" w:space="0" w:color="000000"/>
            </w:tcBorders>
          </w:tcPr>
          <w:p>
            <w:pPr/>
          </w:p>
        </w:tc>
      </w:tr>
      <w:tr>
        <w:trPr>
          <w:trHeight w:val="150" w:hRule="exact"/>
        </w:trPr>
        <w:tc>
          <w:tcPr>
            <w:tcW w:w="21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4" w:type="dxa"/>
            <w:vMerge/>
            <w:tcBorders>
              <w:left w:val="single" w:sz="13" w:space="0" w:color="D2D2D2"/>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08"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995" w:type="dxa"/>
            <w:vMerge/>
            <w:tcBorders>
              <w:left w:val="single" w:sz="4" w:space="0" w:color="000000"/>
              <w:bottom w:val="single" w:sz="4" w:space="0" w:color="000000"/>
              <w:right w:val="single" w:sz="4" w:space="0" w:color="000000"/>
            </w:tcBorders>
          </w:tcPr>
          <w:p>
            <w:pPr/>
          </w:p>
        </w:tc>
        <w:tc>
          <w:tcPr>
            <w:tcW w:w="909" w:type="dxa"/>
            <w:vMerge/>
            <w:tcBorders>
              <w:left w:val="single" w:sz="4" w:space="0" w:color="000000"/>
              <w:bottom w:val="single" w:sz="4" w:space="0" w:color="000000"/>
              <w:right w:val="single" w:sz="4" w:space="0" w:color="000000"/>
            </w:tcBorders>
          </w:tcPr>
          <w:p>
            <w:pPr/>
          </w:p>
        </w:tc>
        <w:tc>
          <w:tcPr>
            <w:tcW w:w="914"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746" w:type="dxa"/>
            <w:vMerge/>
            <w:tcBorders>
              <w:left w:val="single" w:sz="4" w:space="0" w:color="000000"/>
              <w:bottom w:val="single" w:sz="4" w:space="0" w:color="000000"/>
              <w:right w:val="single" w:sz="4" w:space="0" w:color="000000"/>
            </w:tcBorders>
          </w:tcPr>
          <w:p>
            <w:pPr/>
          </w:p>
        </w:tc>
      </w:tr>
      <w:tr>
        <w:trPr>
          <w:trHeight w:val="402" w:hRule="exact"/>
        </w:trPr>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1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4"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730,545,885</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100.00%</w:t>
            </w:r>
          </w:p>
        </w:tc>
        <w:tc>
          <w:tcPr>
            <w:tcW w:w="9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146,109,177</w:t>
            </w:r>
          </w:p>
        </w:tc>
        <w:tc>
          <w:tcPr>
            <w:tcW w:w="90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146,109,17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0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876,655,062</w:t>
            </w:r>
          </w:p>
        </w:tc>
        <w:tc>
          <w:tcPr>
            <w:tcW w:w="74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1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04" w:type="dxa"/>
            <w:vMerge/>
            <w:tcBorders>
              <w:left w:val="single" w:sz="10" w:space="0" w:color="D2D2D2"/>
              <w:right w:val="single" w:sz="4" w:space="0" w:color="000000"/>
            </w:tcBorders>
          </w:tcPr>
          <w:p>
            <w:pPr/>
          </w:p>
        </w:tc>
        <w:tc>
          <w:tcPr>
            <w:tcW w:w="910" w:type="dxa"/>
            <w:vMerge/>
            <w:tcBorders>
              <w:left w:val="single" w:sz="4" w:space="0" w:color="000000"/>
              <w:right w:val="single" w:sz="4" w:space="0" w:color="000000"/>
            </w:tcBorders>
          </w:tcPr>
          <w:p>
            <w:pPr/>
          </w:p>
        </w:tc>
        <w:tc>
          <w:tcPr>
            <w:tcW w:w="908"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995" w:type="dxa"/>
            <w:vMerge/>
            <w:tcBorders>
              <w:left w:val="single" w:sz="4" w:space="0" w:color="000000"/>
              <w:right w:val="single" w:sz="4" w:space="0" w:color="000000"/>
            </w:tcBorders>
          </w:tcPr>
          <w:p>
            <w:pPr/>
          </w:p>
        </w:tc>
        <w:tc>
          <w:tcPr>
            <w:tcW w:w="909" w:type="dxa"/>
            <w:vMerge/>
            <w:tcBorders>
              <w:left w:val="single" w:sz="4" w:space="0" w:color="000000"/>
              <w:right w:val="single" w:sz="4" w:space="0" w:color="000000"/>
            </w:tcBorders>
          </w:tcPr>
          <w:p>
            <w:pPr/>
          </w:p>
        </w:tc>
        <w:tc>
          <w:tcPr>
            <w:tcW w:w="914"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746" w:type="dxa"/>
            <w:vMerge/>
            <w:tcBorders>
              <w:left w:val="single" w:sz="4" w:space="0" w:color="000000"/>
              <w:right w:val="single" w:sz="4" w:space="0" w:color="000000"/>
            </w:tcBorders>
          </w:tcPr>
          <w:p>
            <w:pPr/>
          </w:p>
        </w:tc>
      </w:tr>
      <w:tr>
        <w:trPr>
          <w:trHeight w:val="161" w:hRule="exact"/>
        </w:trPr>
        <w:tc>
          <w:tcPr>
            <w:tcW w:w="21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4" w:type="dxa"/>
            <w:vMerge/>
            <w:tcBorders>
              <w:left w:val="single" w:sz="10" w:space="0" w:color="D2D2D2"/>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08"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995" w:type="dxa"/>
            <w:vMerge/>
            <w:tcBorders>
              <w:left w:val="single" w:sz="4" w:space="0" w:color="000000"/>
              <w:bottom w:val="single" w:sz="4" w:space="0" w:color="000000"/>
              <w:right w:val="single" w:sz="4" w:space="0" w:color="000000"/>
            </w:tcBorders>
          </w:tcPr>
          <w:p>
            <w:pPr/>
          </w:p>
        </w:tc>
        <w:tc>
          <w:tcPr>
            <w:tcW w:w="909" w:type="dxa"/>
            <w:vMerge/>
            <w:tcBorders>
              <w:left w:val="single" w:sz="4" w:space="0" w:color="000000"/>
              <w:bottom w:val="single" w:sz="4" w:space="0" w:color="000000"/>
              <w:right w:val="single" w:sz="4" w:space="0" w:color="000000"/>
            </w:tcBorders>
          </w:tcPr>
          <w:p>
            <w:pPr/>
          </w:p>
        </w:tc>
        <w:tc>
          <w:tcPr>
            <w:tcW w:w="914"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746" w:type="dxa"/>
            <w:vMerge/>
            <w:tcBorders>
              <w:left w:val="single" w:sz="4" w:space="0" w:color="000000"/>
              <w:bottom w:val="single" w:sz="4" w:space="0" w:color="000000"/>
              <w:right w:val="single" w:sz="4" w:space="0" w:color="000000"/>
            </w:tcBorders>
          </w:tcPr>
          <w:p>
            <w:pPr/>
          </w:p>
        </w:tc>
      </w:tr>
    </w:tbl>
    <w:p>
      <w:pPr>
        <w:spacing w:before="51"/>
        <w:ind w:left="574" w:right="112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574" w:right="11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0" w:lineRule="auto" w:before="101"/>
        <w:ind w:left="574" w:right="112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27"/>
          <w:sz w:val="18"/>
          <w:szCs w:val="18"/>
        </w:rPr>
        <w:t> </w:t>
      </w:r>
      <w:r>
        <w:rPr>
          <w:rFonts w:ascii="宋体" w:hAnsi="宋体" w:cs="宋体" w:eastAsia="宋体" w:hint="default"/>
          <w:spacing w:val="-1"/>
          <w:sz w:val="18"/>
          <w:szCs w:val="18"/>
        </w:rPr>
        <w:t>报告期内，公司完成了</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年度利润分配及资本公积金转增股本方案，公司以</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年末公司总股本</w:t>
      </w:r>
      <w:r>
        <w:rPr>
          <w:rFonts w:ascii="Times New Roman" w:hAnsi="Times New Roman" w:cs="Times New Roman" w:eastAsia="Times New Roman" w:hint="default"/>
          <w:spacing w:val="-1"/>
          <w:sz w:val="18"/>
          <w:szCs w:val="18"/>
        </w:rPr>
        <w:t>730,545,885</w:t>
      </w:r>
      <w:r>
        <w:rPr>
          <w:rFonts w:ascii="宋体" w:hAnsi="宋体" w:cs="宋体" w:eastAsia="宋体" w:hint="default"/>
          <w:spacing w:val="-1"/>
          <w:sz w:val="18"/>
          <w:szCs w:val="18"/>
        </w:rPr>
        <w:t>股为基</w:t>
      </w:r>
      <w:r>
        <w:rPr>
          <w:rFonts w:ascii="宋体" w:hAnsi="宋体" w:cs="宋体" w:eastAsia="宋体" w:hint="default"/>
          <w:spacing w:val="-88"/>
          <w:sz w:val="18"/>
          <w:szCs w:val="18"/>
        </w:rPr>
        <w:t> </w:t>
      </w:r>
      <w:r>
        <w:rPr>
          <w:rFonts w:ascii="宋体" w:hAnsi="宋体" w:cs="宋体" w:eastAsia="宋体" w:hint="default"/>
          <w:sz w:val="18"/>
          <w:szCs w:val="18"/>
        </w:rPr>
        <w:t>数，以资本公积向全体股东每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2</w:t>
      </w:r>
      <w:r>
        <w:rPr>
          <w:rFonts w:ascii="宋体" w:hAnsi="宋体" w:cs="宋体" w:eastAsia="宋体" w:hint="default"/>
          <w:sz w:val="18"/>
          <w:szCs w:val="18"/>
        </w:rPr>
        <w:t>股，共计转增</w:t>
      </w:r>
      <w:r>
        <w:rPr>
          <w:rFonts w:ascii="Times New Roman" w:hAnsi="Times New Roman" w:cs="Times New Roman" w:eastAsia="Times New Roman" w:hint="default"/>
          <w:sz w:val="18"/>
          <w:szCs w:val="18"/>
        </w:rPr>
        <w:t>146,109,177</w:t>
      </w:r>
      <w:r>
        <w:rPr>
          <w:rFonts w:ascii="宋体" w:hAnsi="宋体" w:cs="宋体" w:eastAsia="宋体" w:hint="default"/>
          <w:sz w:val="18"/>
          <w:szCs w:val="18"/>
        </w:rPr>
        <w:t>股，转增后公司总股本增加至</w:t>
      </w:r>
      <w:r>
        <w:rPr>
          <w:rFonts w:ascii="Times New Roman" w:hAnsi="Times New Roman" w:cs="Times New Roman" w:eastAsia="Times New Roman" w:hint="default"/>
          <w:sz w:val="18"/>
          <w:szCs w:val="18"/>
        </w:rPr>
        <w:t>876,655,062</w:t>
      </w:r>
      <w:r>
        <w:rPr>
          <w:rFonts w:ascii="宋体" w:hAnsi="宋体" w:cs="宋体" w:eastAsia="宋体" w:hint="default"/>
          <w:sz w:val="18"/>
          <w:szCs w:val="18"/>
        </w:rPr>
        <w:t>股。</w:t>
      </w:r>
    </w:p>
    <w:p>
      <w:pPr>
        <w:spacing w:before="13"/>
        <w:ind w:left="57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）上述有限售条件股份包括公司董事、高级管理人员所持有的高管锁定股，公司原执行总经理高伟先生离职已满</w:t>
      </w: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p>
    <w:p>
      <w:pPr>
        <w:spacing w:after="0"/>
        <w:jc w:val="left"/>
        <w:rPr>
          <w:rFonts w:ascii="宋体" w:hAnsi="宋体" w:cs="宋体" w:eastAsia="宋体" w:hint="default"/>
          <w:sz w:val="18"/>
          <w:szCs w:val="18"/>
        </w:rPr>
        <w:sectPr>
          <w:pgSz w:w="11910" w:h="16840"/>
          <w:pgMar w:header="747" w:footer="979" w:top="1060" w:bottom="1160" w:left="560" w:right="0"/>
        </w:sectPr>
      </w:pPr>
    </w:p>
    <w:p>
      <w:pPr>
        <w:spacing w:line="240" w:lineRule="auto" w:before="12"/>
        <w:rPr>
          <w:rFonts w:ascii="宋体" w:hAnsi="宋体" w:cs="宋体" w:eastAsia="宋体" w:hint="default"/>
          <w:sz w:val="25"/>
          <w:szCs w:val="25"/>
        </w:rPr>
      </w:pPr>
    </w:p>
    <w:p>
      <w:pPr>
        <w:spacing w:line="300" w:lineRule="auto" w:before="44"/>
        <w:ind w:left="254" w:right="1117" w:firstLine="0"/>
        <w:jc w:val="left"/>
        <w:rPr>
          <w:rFonts w:ascii="宋体" w:hAnsi="宋体" w:cs="宋体" w:eastAsia="宋体" w:hint="default"/>
          <w:sz w:val="18"/>
          <w:szCs w:val="18"/>
        </w:rPr>
      </w:pPr>
      <w:r>
        <w:rPr>
          <w:rFonts w:ascii="宋体" w:hAnsi="宋体" w:cs="宋体" w:eastAsia="宋体" w:hint="default"/>
          <w:spacing w:val="-1"/>
          <w:sz w:val="18"/>
          <w:szCs w:val="18"/>
        </w:rPr>
        <w:t>因此其在报告期末锁定的股份数为其持股总数的</w:t>
      </w:r>
      <w:r>
        <w:rPr>
          <w:rFonts w:ascii="Times New Roman" w:hAnsi="Times New Roman" w:cs="Times New Roman" w:eastAsia="Times New Roman" w:hint="default"/>
          <w:spacing w:val="-1"/>
          <w:sz w:val="18"/>
          <w:szCs w:val="18"/>
        </w:rPr>
        <w:t>75%</w:t>
      </w:r>
      <w:r>
        <w:rPr>
          <w:rFonts w:ascii="宋体" w:hAnsi="宋体" w:cs="宋体" w:eastAsia="宋体" w:hint="default"/>
          <w:spacing w:val="-1"/>
          <w:sz w:val="18"/>
          <w:szCs w:val="18"/>
        </w:rPr>
        <w:t>，公司副总裁、财务负责人郭源源女士与董事、副总裁、董事会秘书刘</w:t>
      </w:r>
      <w:r>
        <w:rPr>
          <w:rFonts w:ascii="宋体" w:hAnsi="宋体" w:cs="宋体" w:eastAsia="宋体" w:hint="default"/>
          <w:sz w:val="18"/>
          <w:szCs w:val="18"/>
        </w:rPr>
        <w:t> 欣女士按照相关规定锁定其持股总数的</w:t>
      </w:r>
      <w:r>
        <w:rPr>
          <w:rFonts w:ascii="Times New Roman" w:hAnsi="Times New Roman" w:cs="Times New Roman" w:eastAsia="Times New Roman" w:hint="default"/>
          <w:sz w:val="18"/>
          <w:szCs w:val="18"/>
        </w:rPr>
        <w:t>75%</w:t>
      </w:r>
      <w:r>
        <w:rPr>
          <w:rFonts w:ascii="宋体" w:hAnsi="宋体" w:cs="宋体" w:eastAsia="宋体" w:hint="default"/>
          <w:sz w:val="18"/>
          <w:szCs w:val="18"/>
        </w:rPr>
        <w:t>。截至报告期末，公司高管锁定股合计为</w:t>
      </w:r>
      <w:r>
        <w:rPr>
          <w:rFonts w:ascii="Times New Roman" w:hAnsi="Times New Roman" w:cs="Times New Roman" w:eastAsia="Times New Roman" w:hint="default"/>
          <w:sz w:val="18"/>
          <w:szCs w:val="18"/>
        </w:rPr>
        <w:t>691,289</w:t>
      </w:r>
      <w:r>
        <w:rPr>
          <w:rFonts w:ascii="宋体" w:hAnsi="宋体" w:cs="宋体" w:eastAsia="宋体" w:hint="default"/>
          <w:sz w:val="18"/>
          <w:szCs w:val="18"/>
        </w:rPr>
        <w:t>股（本数据不包含公司副总裁 乌力吉先生、副总裁高学刚先生所持有的首发后限售股）。</w:t>
      </w:r>
    </w:p>
    <w:p>
      <w:pPr>
        <w:spacing w:before="72"/>
        <w:ind w:left="254" w:right="1117"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38" w:lineRule="auto" w:before="117"/>
        <w:ind w:left="2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经公司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年年度股东大会审议通过。 股份变动的过户情况</w:t>
      </w:r>
    </w:p>
    <w:p>
      <w:pPr>
        <w:spacing w:line="338" w:lineRule="auto" w:before="43"/>
        <w:ind w:left="254" w:right="87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股份回购的实施进展情况</w:t>
      </w:r>
    </w:p>
    <w:p>
      <w:pPr>
        <w:spacing w:line="340" w:lineRule="auto" w:before="42"/>
        <w:ind w:left="25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采用集中竞价方式减持回购股份的实施进展情况</w:t>
      </w:r>
    </w:p>
    <w:p>
      <w:pPr>
        <w:spacing w:line="338" w:lineRule="auto" w:before="40"/>
        <w:ind w:left="254" w:right="1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before="43"/>
        <w:ind w:left="2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1"/>
          <w:szCs w:val="11"/>
        </w:rPr>
      </w:pPr>
    </w:p>
    <w:p>
      <w:pPr>
        <w:spacing w:line="1440" w:lineRule="exact"/>
        <w:ind w:left="873" w:right="0" w:firstLine="0"/>
        <w:rPr>
          <w:rFonts w:ascii="宋体" w:hAnsi="宋体" w:cs="宋体" w:eastAsia="宋体" w:hint="default"/>
          <w:sz w:val="20"/>
          <w:szCs w:val="20"/>
        </w:rPr>
      </w:pPr>
      <w:r>
        <w:rPr>
          <w:rFonts w:ascii="宋体" w:hAnsi="宋体" w:cs="宋体" w:eastAsia="宋体" w:hint="default"/>
          <w:position w:val="-28"/>
          <w:sz w:val="20"/>
          <w:szCs w:val="20"/>
        </w:rPr>
        <w:drawing>
          <wp:inline distT="0" distB="0" distL="0" distR="0">
            <wp:extent cx="5334000" cy="91440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3" cstate="print"/>
                    <a:stretch>
                      <a:fillRect/>
                    </a:stretch>
                  </pic:blipFill>
                  <pic:spPr>
                    <a:xfrm>
                      <a:off x="0" y="0"/>
                      <a:ext cx="5334000" cy="914400"/>
                    </a:xfrm>
                    <a:prstGeom prst="rect">
                      <a:avLst/>
                    </a:prstGeom>
                  </pic:spPr>
                </pic:pic>
              </a:graphicData>
            </a:graphic>
          </wp:inline>
        </w:drawing>
      </w:r>
      <w:r>
        <w:rPr>
          <w:rFonts w:ascii="宋体" w:hAnsi="宋体" w:cs="宋体" w:eastAsia="宋体" w:hint="default"/>
          <w:position w:val="-28"/>
          <w:sz w:val="20"/>
          <w:szCs w:val="20"/>
        </w:rPr>
      </w:r>
    </w:p>
    <w:p>
      <w:pPr>
        <w:spacing w:before="111"/>
        <w:ind w:left="254" w:right="1117"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2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254" w:right="1117"/>
        <w:jc w:val="left"/>
        <w:rPr>
          <w:b w:val="0"/>
          <w:bCs w:val="0"/>
        </w:rPr>
      </w:pPr>
      <w:bookmarkStart w:name="2、限售股份变动情况" w:id="123"/>
      <w:bookmarkEnd w:id="123"/>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spacing w:before="44"/>
        <w:ind w:left="25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620"/>
        <w:gridCol w:w="1349"/>
        <w:gridCol w:w="859"/>
        <w:gridCol w:w="1134"/>
        <w:gridCol w:w="1700"/>
        <w:gridCol w:w="1703"/>
        <w:gridCol w:w="1558"/>
      </w:tblGrid>
      <w:tr>
        <w:trPr>
          <w:trHeight w:val="713"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3" w:right="65"/>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7"/>
              <w:jc w:val="left"/>
              <w:rPr>
                <w:rFonts w:ascii="宋体" w:hAnsi="宋体" w:cs="宋体" w:eastAsia="宋体" w:hint="default"/>
                <w:sz w:val="18"/>
                <w:szCs w:val="18"/>
              </w:rPr>
            </w:pPr>
            <w:r>
              <w:rPr>
                <w:rFonts w:ascii="宋体" w:hAnsi="宋体" w:cs="宋体" w:eastAsia="宋体" w:hint="default"/>
                <w:sz w:val="18"/>
                <w:szCs w:val="18"/>
              </w:rPr>
              <w:t>北京杨树蓝天投资 中心（有限合伙）</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129,279,440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25,855,888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155,135,328</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center"/>
              <w:rPr>
                <w:rFonts w:ascii="宋体" w:hAnsi="宋体" w:cs="宋体" w:eastAsia="宋体" w:hint="default"/>
                <w:sz w:val="18"/>
                <w:szCs w:val="18"/>
              </w:rPr>
            </w:pPr>
            <w:r>
              <w:rPr>
                <w:rFonts w:ascii="宋体" w:hAnsi="宋体" w:cs="宋体" w:eastAsia="宋体" w:hint="default"/>
                <w:sz w:val="18"/>
                <w:szCs w:val="18"/>
              </w:rPr>
              <w:t>资本公积金转增股本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7"/>
              <w:jc w:val="left"/>
              <w:rPr>
                <w:rFonts w:ascii="宋体" w:hAnsi="宋体" w:cs="宋体" w:eastAsia="宋体" w:hint="default"/>
                <w:sz w:val="18"/>
                <w:szCs w:val="18"/>
              </w:rPr>
            </w:pPr>
            <w:r>
              <w:rPr>
                <w:rFonts w:ascii="宋体" w:hAnsi="宋体" w:cs="宋体" w:eastAsia="宋体" w:hint="default"/>
                <w:sz w:val="18"/>
                <w:szCs w:val="18"/>
              </w:rPr>
              <w:t>北京杨树嘉业投资 中心（有限合伙）</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78,597,338</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15,719,468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94,316,806</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center"/>
              <w:rPr>
                <w:rFonts w:ascii="宋体" w:hAnsi="宋体" w:cs="宋体" w:eastAsia="宋体" w:hint="default"/>
                <w:sz w:val="18"/>
                <w:szCs w:val="18"/>
              </w:rPr>
            </w:pPr>
            <w:r>
              <w:rPr>
                <w:rFonts w:ascii="宋体" w:hAnsi="宋体" w:cs="宋体" w:eastAsia="宋体" w:hint="default"/>
                <w:sz w:val="18"/>
                <w:szCs w:val="18"/>
              </w:rPr>
              <w:t>资本公积金转增股本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乌力吉</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48,178,972</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9,635,794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57,814,766</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center"/>
              <w:rPr>
                <w:rFonts w:ascii="宋体" w:hAnsi="宋体" w:cs="宋体" w:eastAsia="宋体" w:hint="default"/>
                <w:sz w:val="18"/>
                <w:szCs w:val="18"/>
              </w:rPr>
            </w:pPr>
            <w:r>
              <w:rPr>
                <w:rFonts w:ascii="宋体" w:hAnsi="宋体" w:cs="宋体" w:eastAsia="宋体" w:hint="default"/>
                <w:sz w:val="18"/>
                <w:szCs w:val="18"/>
              </w:rPr>
              <w:t>资本公积金转增股本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半丁资产</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40,118,110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8,023,622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48,141,732</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center"/>
              <w:rPr>
                <w:rFonts w:ascii="宋体" w:hAnsi="宋体" w:cs="宋体" w:eastAsia="宋体" w:hint="default"/>
                <w:sz w:val="18"/>
                <w:szCs w:val="18"/>
              </w:rPr>
            </w:pPr>
            <w:r>
              <w:rPr>
                <w:rFonts w:ascii="宋体" w:hAnsi="宋体" w:cs="宋体" w:eastAsia="宋体" w:hint="default"/>
                <w:sz w:val="18"/>
                <w:szCs w:val="18"/>
              </w:rPr>
              <w:t>资本公积金转增股本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7"/>
                <w:sz w:val="18"/>
                <w:szCs w:val="18"/>
              </w:rPr>
              <w:t>融通资本（固安）投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资管理有限公司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25,031,288</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5,006,258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30,037,546</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center"/>
              <w:rPr>
                <w:rFonts w:ascii="宋体" w:hAnsi="宋体" w:cs="宋体" w:eastAsia="宋体" w:hint="default"/>
                <w:sz w:val="18"/>
                <w:szCs w:val="18"/>
              </w:rPr>
            </w:pPr>
            <w:r>
              <w:rPr>
                <w:rFonts w:ascii="宋体" w:hAnsi="宋体" w:cs="宋体" w:eastAsia="宋体" w:hint="default"/>
                <w:sz w:val="18"/>
                <w:szCs w:val="18"/>
              </w:rPr>
              <w:t>资本公积金转增股本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47"/>
              <w:jc w:val="left"/>
              <w:rPr>
                <w:rFonts w:ascii="宋体" w:hAnsi="宋体" w:cs="宋体" w:eastAsia="宋体" w:hint="default"/>
                <w:sz w:val="18"/>
                <w:szCs w:val="18"/>
              </w:rPr>
            </w:pPr>
            <w:r>
              <w:rPr>
                <w:rFonts w:ascii="宋体" w:hAnsi="宋体" w:cs="宋体" w:eastAsia="宋体" w:hint="default"/>
                <w:sz w:val="18"/>
                <w:szCs w:val="18"/>
              </w:rPr>
              <w:t>朗森汽车产业园开 发有限公司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24,183,796</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4,836,759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29,020,555</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center"/>
              <w:rPr>
                <w:rFonts w:ascii="宋体" w:hAnsi="宋体" w:cs="宋体" w:eastAsia="宋体" w:hint="default"/>
                <w:sz w:val="18"/>
                <w:szCs w:val="18"/>
              </w:rPr>
            </w:pPr>
            <w:r>
              <w:rPr>
                <w:rFonts w:ascii="宋体" w:hAnsi="宋体" w:cs="宋体" w:eastAsia="宋体" w:hint="default"/>
                <w:sz w:val="18"/>
                <w:szCs w:val="18"/>
              </w:rPr>
              <w:t>资本公积金转增股本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7"/>
              <w:jc w:val="left"/>
              <w:rPr>
                <w:rFonts w:ascii="宋体" w:hAnsi="宋体" w:cs="宋体" w:eastAsia="宋体" w:hint="default"/>
                <w:sz w:val="18"/>
                <w:szCs w:val="18"/>
              </w:rPr>
            </w:pPr>
            <w:r>
              <w:rPr>
                <w:rFonts w:ascii="宋体" w:hAnsi="宋体" w:cs="宋体" w:eastAsia="宋体" w:hint="default"/>
                <w:sz w:val="18"/>
                <w:szCs w:val="18"/>
              </w:rPr>
              <w:t>天津北控工程管理 咨询有限公司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18,835,961</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3,767,192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22,603,153</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47"/>
              <w:jc w:val="left"/>
              <w:rPr>
                <w:rFonts w:ascii="宋体" w:hAnsi="宋体" w:cs="宋体" w:eastAsia="宋体" w:hint="default"/>
                <w:sz w:val="18"/>
                <w:szCs w:val="18"/>
              </w:rPr>
            </w:pPr>
            <w:r>
              <w:rPr>
                <w:rFonts w:ascii="宋体" w:hAnsi="宋体" w:cs="宋体" w:eastAsia="宋体" w:hint="default"/>
                <w:sz w:val="18"/>
                <w:szCs w:val="18"/>
              </w:rPr>
              <w:t>受让限售股份；资本 公积金转增股本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747" w:footer="979" w:top="1060" w:bottom="1160" w:left="880" w:right="0"/>
        </w:sectPr>
      </w:pPr>
    </w:p>
    <w:p>
      <w:pPr>
        <w:spacing w:line="240" w:lineRule="auto" w:before="6"/>
        <w:rPr>
          <w:rFonts w:ascii="宋体" w:hAnsi="宋体" w:cs="宋体" w:eastAsia="宋体" w:hint="default"/>
          <w:sz w:val="28"/>
          <w:szCs w:val="28"/>
        </w:rPr>
      </w:pPr>
    </w:p>
    <w:tbl>
      <w:tblPr>
        <w:tblW w:w="0" w:type="auto"/>
        <w:jc w:val="left"/>
        <w:tblInd w:w="206" w:type="dxa"/>
        <w:tblLayout w:type="fixed"/>
        <w:tblCellMar>
          <w:top w:w="0" w:type="dxa"/>
          <w:left w:w="0" w:type="dxa"/>
          <w:bottom w:w="0" w:type="dxa"/>
          <w:right w:w="0" w:type="dxa"/>
        </w:tblCellMar>
        <w:tblLook w:val="01E0"/>
      </w:tblPr>
      <w:tblGrid>
        <w:gridCol w:w="1620"/>
        <w:gridCol w:w="1349"/>
        <w:gridCol w:w="859"/>
        <w:gridCol w:w="1134"/>
        <w:gridCol w:w="1700"/>
        <w:gridCol w:w="1703"/>
        <w:gridCol w:w="1558"/>
      </w:tblGrid>
      <w:tr>
        <w:trPr>
          <w:trHeight w:val="1026"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张家港保税区京蓝 智享资产管理合伙 企业（有限合伙）</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8,464,328</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1,692,866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10,157,194</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center"/>
              <w:rPr>
                <w:rFonts w:ascii="宋体" w:hAnsi="宋体" w:cs="宋体" w:eastAsia="宋体" w:hint="default"/>
                <w:sz w:val="18"/>
                <w:szCs w:val="18"/>
              </w:rPr>
            </w:pPr>
            <w:r>
              <w:rPr>
                <w:rFonts w:ascii="宋体" w:hAnsi="宋体" w:cs="宋体" w:eastAsia="宋体" w:hint="default"/>
                <w:sz w:val="18"/>
                <w:szCs w:val="18"/>
              </w:rPr>
              <w:t>资本公积金转增股本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高学刚</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5,938,547</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1,187,709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7,126,256</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center"/>
              <w:rPr>
                <w:rFonts w:ascii="宋体" w:hAnsi="宋体" w:cs="宋体" w:eastAsia="宋体" w:hint="default"/>
                <w:sz w:val="18"/>
                <w:szCs w:val="18"/>
              </w:rPr>
            </w:pPr>
            <w:r>
              <w:rPr>
                <w:rFonts w:ascii="宋体" w:hAnsi="宋体" w:cs="宋体" w:eastAsia="宋体" w:hint="default"/>
                <w:sz w:val="18"/>
                <w:szCs w:val="18"/>
              </w:rPr>
              <w:t>资本公积金转增股本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固安县益昌电子科 技有限公司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4,231,743</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846,349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5,078,092</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center"/>
              <w:rPr>
                <w:rFonts w:ascii="宋体" w:hAnsi="宋体" w:cs="宋体" w:eastAsia="宋体" w:hint="default"/>
                <w:sz w:val="18"/>
                <w:szCs w:val="18"/>
              </w:rPr>
            </w:pPr>
            <w:r>
              <w:rPr>
                <w:rFonts w:ascii="宋体" w:hAnsi="宋体" w:cs="宋体" w:eastAsia="宋体" w:hint="default"/>
                <w:sz w:val="18"/>
                <w:szCs w:val="18"/>
              </w:rPr>
              <w:t>资本公积金转增股本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10,808,566</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2,025,790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135,923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10,944,489</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27"/>
              <w:jc w:val="left"/>
              <w:rPr>
                <w:rFonts w:ascii="宋体" w:hAnsi="宋体" w:cs="宋体" w:eastAsia="宋体" w:hint="default"/>
                <w:sz w:val="18"/>
                <w:szCs w:val="18"/>
              </w:rPr>
            </w:pPr>
            <w:r>
              <w:rPr>
                <w:rFonts w:ascii="宋体" w:hAnsi="宋体" w:cs="宋体" w:eastAsia="宋体" w:hint="default"/>
                <w:sz w:val="18"/>
                <w:szCs w:val="18"/>
              </w:rPr>
              <w:t>资本公积金转增股 本；到期解除限售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393,668,089</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2,025,790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76,707,828</w:t>
            </w:r>
          </w:p>
        </w:tc>
        <w:tc>
          <w:tcPr>
            <w:tcW w:w="17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470,375,917</w:t>
            </w:r>
          </w:p>
        </w:tc>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354" w:right="1197"/>
        <w:jc w:val="left"/>
        <w:rPr>
          <w:b w:val="0"/>
          <w:bCs w:val="0"/>
        </w:rPr>
      </w:pPr>
      <w:bookmarkStart w:name="二、证券发行与上市情况" w:id="124"/>
      <w:bookmarkEnd w:id="124"/>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354" w:right="1197"/>
        <w:jc w:val="left"/>
        <w:rPr>
          <w:b w:val="0"/>
          <w:bCs w:val="0"/>
        </w:rPr>
      </w:pPr>
      <w:bookmarkStart w:name="1、报告期内证券发行（不含优先股）情况" w:id="125"/>
      <w:bookmarkEnd w:id="125"/>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354"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left="354" w:right="1197"/>
        <w:jc w:val="left"/>
        <w:rPr>
          <w:b w:val="0"/>
          <w:bCs w:val="0"/>
        </w:rPr>
      </w:pPr>
      <w:bookmarkStart w:name="2、公司股份总数及股东结构的变动、公司资产和负债结构的变动情况说明" w:id="126"/>
      <w:bookmarkEnd w:id="126"/>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before="0"/>
        <w:ind w:left="354"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4"/>
          <w:szCs w:val="14"/>
        </w:rPr>
      </w:pPr>
    </w:p>
    <w:p>
      <w:pPr>
        <w:pStyle w:val="BodyText"/>
        <w:spacing w:line="256" w:lineRule="auto"/>
        <w:ind w:left="354" w:right="1197" w:firstLine="360"/>
        <w:jc w:val="left"/>
      </w:pPr>
      <w:r>
        <w:rPr/>
        <w:t>报告期内，公司完成了</w:t>
      </w:r>
      <w:r>
        <w:rPr>
          <w:rFonts w:ascii="Times New Roman" w:hAnsi="Times New Roman" w:cs="Times New Roman" w:eastAsia="Times New Roman" w:hint="default"/>
        </w:rPr>
        <w:t>2017</w:t>
      </w:r>
      <w:r>
        <w:rPr/>
        <w:t>年度利润分配及资本公积金转增股本方案，公司以</w:t>
      </w:r>
      <w:r>
        <w:rPr>
          <w:rFonts w:ascii="Times New Roman" w:hAnsi="Times New Roman" w:cs="Times New Roman" w:eastAsia="Times New Roman" w:hint="default"/>
        </w:rPr>
        <w:t>2017</w:t>
      </w:r>
      <w:r>
        <w:rPr/>
        <w:t>年末公司总股本 </w:t>
      </w:r>
      <w:r>
        <w:rPr>
          <w:rFonts w:ascii="Times New Roman" w:hAnsi="Times New Roman" w:cs="Times New Roman" w:eastAsia="Times New Roman" w:hint="default"/>
        </w:rPr>
        <w:t>730,545,885</w:t>
      </w:r>
      <w:r>
        <w:rPr/>
        <w:t>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股，共计转增</w:t>
      </w:r>
      <w:r>
        <w:rPr>
          <w:rFonts w:ascii="Times New Roman" w:hAnsi="Times New Roman" w:cs="Times New Roman" w:eastAsia="Times New Roman" w:hint="default"/>
        </w:rPr>
        <w:t>146,109,177</w:t>
      </w:r>
      <w:r>
        <w:rPr/>
        <w:t>股，转增后公司总股 本增加至</w:t>
      </w:r>
      <w:r>
        <w:rPr>
          <w:rFonts w:ascii="Times New Roman" w:hAnsi="Times New Roman" w:cs="Times New Roman" w:eastAsia="Times New Roman" w:hint="default"/>
        </w:rPr>
        <w:t>876,655,062</w:t>
      </w:r>
      <w:r>
        <w:rPr/>
        <w:t>股。</w:t>
      </w:r>
    </w:p>
    <w:p>
      <w:pPr>
        <w:spacing w:line="240" w:lineRule="auto" w:before="5"/>
        <w:rPr>
          <w:rFonts w:ascii="宋体" w:hAnsi="宋体" w:cs="宋体" w:eastAsia="宋体" w:hint="default"/>
          <w:sz w:val="23"/>
          <w:szCs w:val="23"/>
        </w:rPr>
      </w:pPr>
    </w:p>
    <w:p>
      <w:pPr>
        <w:pStyle w:val="Heading4"/>
        <w:spacing w:line="240" w:lineRule="auto"/>
        <w:ind w:left="354" w:right="1197"/>
        <w:jc w:val="left"/>
        <w:rPr>
          <w:b w:val="0"/>
          <w:bCs w:val="0"/>
        </w:rPr>
      </w:pPr>
      <w:bookmarkStart w:name="3、现存的内部职工股情况" w:id="127"/>
      <w:bookmarkEnd w:id="127"/>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354" w:right="11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left="354" w:right="1197"/>
        <w:jc w:val="left"/>
        <w:rPr>
          <w:b w:val="0"/>
          <w:bCs w:val="0"/>
        </w:rPr>
      </w:pPr>
      <w:bookmarkStart w:name="三、股东和实际控制人情况" w:id="128"/>
      <w:bookmarkEnd w:id="128"/>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354" w:right="1197"/>
        <w:jc w:val="left"/>
        <w:rPr>
          <w:b w:val="0"/>
          <w:bCs w:val="0"/>
        </w:rPr>
      </w:pPr>
      <w:bookmarkStart w:name="1、公司股东数量及持股情况" w:id="129"/>
      <w:bookmarkEnd w:id="129"/>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pict>
          <v:shape style="position:absolute;margin-left:433.019989pt;margin-top:68.291718pt;width:117.85pt;height:31.2pt;mso-position-horizontal-relative:page;mso-position-vertical-relative:paragraph;z-index:-1541152"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股东总数（如有）</w:t>
                  </w:r>
                </w:p>
              </w:txbxContent>
            </v:textbox>
            <w10:wrap type="none"/>
          </v:shape>
        </w:pict>
      </w:r>
      <w:r>
        <w:rPr/>
        <w:pict>
          <v:group style="position:absolute;margin-left:502.26001pt;margin-top:68.291718pt;width:48.6pt;height:31.2pt;mso-position-horizontal-relative:page;mso-position-vertical-relative:paragraph;z-index:-1541128" coordorigin="10045,1366" coordsize="972,624">
            <v:shape style="position:absolute;left:10045;top:1366;width:972;height:624" coordorigin="10045,1366" coordsize="972,624" path="m10045,1990l11017,1990,11017,1366,10045,1366,10045,1990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1261"/>
        <w:gridCol w:w="283"/>
        <w:gridCol w:w="995"/>
        <w:gridCol w:w="284"/>
        <w:gridCol w:w="851"/>
        <w:gridCol w:w="248"/>
        <w:gridCol w:w="784"/>
        <w:gridCol w:w="365"/>
        <w:gridCol w:w="586"/>
        <w:gridCol w:w="966"/>
        <w:gridCol w:w="1136"/>
        <w:gridCol w:w="935"/>
        <w:gridCol w:w="437"/>
        <w:gridCol w:w="473"/>
        <w:gridCol w:w="520"/>
      </w:tblGrid>
      <w:tr>
        <w:trPr>
          <w:trHeight w:val="161" w:hRule="exact"/>
        </w:trPr>
        <w:tc>
          <w:tcPr>
            <w:tcW w:w="1261" w:type="dxa"/>
            <w:vMerge w:val="restart"/>
            <w:tcBorders>
              <w:top w:val="single" w:sz="4" w:space="0" w:color="000000"/>
              <w:left w:val="single" w:sz="4" w:space="0" w:color="000000"/>
              <w:right w:val="single" w:sz="4" w:space="0" w:color="000000"/>
            </w:tcBorders>
            <w:shd w:val="clear" w:color="auto" w:fill="D2D2D2"/>
          </w:tcPr>
          <w:p>
            <w:pPr/>
          </w:p>
        </w:tc>
        <w:tc>
          <w:tcPr>
            <w:tcW w:w="1279"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1" w:right="0"/>
              <w:jc w:val="left"/>
              <w:rPr>
                <w:rFonts w:ascii="Times New Roman" w:hAnsi="Times New Roman" w:cs="Times New Roman" w:eastAsia="Times New Roman" w:hint="default"/>
                <w:sz w:val="18"/>
                <w:szCs w:val="18"/>
              </w:rPr>
            </w:pPr>
            <w:r>
              <w:rPr>
                <w:rFonts w:ascii="Times New Roman"/>
                <w:sz w:val="18"/>
              </w:rPr>
              <w:t>39,440</w:t>
            </w:r>
          </w:p>
        </w:tc>
        <w:tc>
          <w:tcPr>
            <w:tcW w:w="1384" w:type="dxa"/>
            <w:gridSpan w:val="3"/>
            <w:vMerge w:val="restart"/>
            <w:tcBorders>
              <w:top w:val="single" w:sz="4" w:space="0" w:color="000000"/>
              <w:left w:val="single" w:sz="4" w:space="0" w:color="000000"/>
              <w:right w:val="single" w:sz="4" w:space="0" w:color="000000"/>
            </w:tcBorders>
            <w:shd w:val="clear" w:color="auto" w:fill="D2D2D2"/>
          </w:tcPr>
          <w:p>
            <w:pPr/>
          </w:p>
        </w:tc>
        <w:tc>
          <w:tcPr>
            <w:tcW w:w="1149"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04" w:right="0"/>
              <w:jc w:val="left"/>
              <w:rPr>
                <w:rFonts w:ascii="Times New Roman" w:hAnsi="Times New Roman" w:cs="Times New Roman" w:eastAsia="Times New Roman" w:hint="default"/>
                <w:sz w:val="18"/>
                <w:szCs w:val="18"/>
              </w:rPr>
            </w:pPr>
            <w:r>
              <w:rPr>
                <w:rFonts w:ascii="Times New Roman"/>
                <w:sz w:val="18"/>
              </w:rPr>
              <w:t>45,989</w:t>
            </w:r>
          </w:p>
        </w:tc>
        <w:tc>
          <w:tcPr>
            <w:tcW w:w="155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40"/>
              <w:jc w:val="right"/>
              <w:rPr>
                <w:rFonts w:ascii="Times New Roman" w:hAnsi="Times New Roman" w:cs="Times New Roman" w:eastAsia="Times New Roman" w:hint="default"/>
                <w:sz w:val="18"/>
                <w:szCs w:val="18"/>
              </w:rPr>
            </w:pPr>
            <w:r>
              <w:rPr>
                <w:rFonts w:ascii="Times New Roman"/>
                <w:sz w:val="18"/>
              </w:rPr>
              <w:t>0</w:t>
            </w:r>
          </w:p>
        </w:tc>
        <w:tc>
          <w:tcPr>
            <w:tcW w:w="13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 w:right="101"/>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w:t>
            </w: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473" w:type="dxa"/>
            <w:tcBorders>
              <w:top w:val="single" w:sz="4" w:space="0" w:color="000000"/>
              <w:left w:val="single" w:sz="13" w:space="0" w:color="D2D2D2"/>
              <w:bottom w:val="nil" w:sz="6" w:space="0" w:color="auto"/>
              <w:right w:val="nil" w:sz="6" w:space="0" w:color="auto"/>
            </w:tcBorders>
          </w:tcPr>
          <w:p>
            <w:pPr/>
          </w:p>
        </w:tc>
        <w:tc>
          <w:tcPr>
            <w:tcW w:w="520"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261" w:type="dxa"/>
            <w:vMerge/>
            <w:tcBorders>
              <w:left w:val="single" w:sz="4" w:space="0" w:color="000000"/>
              <w:right w:val="single" w:sz="4" w:space="0" w:color="000000"/>
            </w:tcBorders>
            <w:shd w:val="clear" w:color="auto" w:fill="D2D2D2"/>
          </w:tcPr>
          <w:p>
            <w:pPr/>
          </w:p>
        </w:tc>
        <w:tc>
          <w:tcPr>
            <w:tcW w:w="1279" w:type="dxa"/>
            <w:gridSpan w:val="2"/>
            <w:vMerge/>
            <w:tcBorders>
              <w:left w:val="single" w:sz="10" w:space="0" w:color="D2D2D2"/>
              <w:right w:val="single" w:sz="9" w:space="0" w:color="D2D2D2"/>
            </w:tcBorders>
          </w:tcPr>
          <w:p>
            <w:pPr/>
          </w:p>
        </w:tc>
        <w:tc>
          <w:tcPr>
            <w:tcW w:w="1384" w:type="dxa"/>
            <w:gridSpan w:val="3"/>
            <w:vMerge/>
            <w:tcBorders>
              <w:left w:val="single" w:sz="4" w:space="0" w:color="000000"/>
              <w:bottom w:val="nil" w:sz="6" w:space="0" w:color="auto"/>
              <w:right w:val="single" w:sz="4" w:space="0" w:color="000000"/>
            </w:tcBorders>
            <w:shd w:val="clear" w:color="auto" w:fill="D2D2D2"/>
          </w:tcPr>
          <w:p>
            <w:pPr/>
          </w:p>
        </w:tc>
        <w:tc>
          <w:tcPr>
            <w:tcW w:w="1149" w:type="dxa"/>
            <w:gridSpan w:val="2"/>
            <w:vMerge/>
            <w:tcBorders>
              <w:left w:val="single" w:sz="9" w:space="0" w:color="D2D2D2"/>
              <w:right w:val="single" w:sz="9" w:space="0" w:color="D2D2D2"/>
            </w:tcBorders>
          </w:tcPr>
          <w:p>
            <w:pPr/>
          </w:p>
        </w:tc>
        <w:tc>
          <w:tcPr>
            <w:tcW w:w="155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36"/>
              <w:jc w:val="both"/>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5"/>
                <w:sz w:val="18"/>
                <w:szCs w:val="18"/>
              </w:rPr>
              <w:t>数（如有）（参见注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36" w:type="dxa"/>
            <w:vMerge/>
            <w:tcBorders>
              <w:left w:val="single" w:sz="9" w:space="0" w:color="D2D2D2"/>
              <w:right w:val="single" w:sz="9" w:space="0" w:color="D2D2D2"/>
            </w:tcBorders>
          </w:tcPr>
          <w:p>
            <w:pPr/>
          </w:p>
        </w:tc>
        <w:tc>
          <w:tcPr>
            <w:tcW w:w="1372" w:type="dxa"/>
            <w:gridSpan w:val="2"/>
            <w:vMerge/>
            <w:tcBorders>
              <w:left w:val="single" w:sz="4" w:space="0" w:color="000000"/>
              <w:right w:val="single" w:sz="4" w:space="0" w:color="000000"/>
            </w:tcBorders>
            <w:shd w:val="clear" w:color="auto" w:fill="D2D2D2"/>
          </w:tcPr>
          <w:p>
            <w:pPr/>
          </w:p>
        </w:tc>
        <w:tc>
          <w:tcPr>
            <w:tcW w:w="473" w:type="dxa"/>
            <w:vMerge w:val="restart"/>
            <w:tcBorders>
              <w:top w:val="nil" w:sz="6" w:space="0" w:color="auto"/>
              <w:left w:val="single" w:sz="13" w:space="0" w:color="D2D2D2"/>
              <w:right w:val="nil" w:sz="6" w:space="0" w:color="auto"/>
            </w:tcBorders>
          </w:tcPr>
          <w:p>
            <w:pPr/>
          </w:p>
        </w:tc>
        <w:tc>
          <w:tcPr>
            <w:tcW w:w="520"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261" w:type="dxa"/>
            <w:vMerge/>
            <w:tcBorders>
              <w:left w:val="single" w:sz="4" w:space="0" w:color="000000"/>
              <w:bottom w:val="nil" w:sz="6" w:space="0" w:color="auto"/>
              <w:right w:val="single" w:sz="4" w:space="0" w:color="000000"/>
            </w:tcBorders>
            <w:shd w:val="clear" w:color="auto" w:fill="D2D2D2"/>
          </w:tcPr>
          <w:p>
            <w:pPr/>
          </w:p>
        </w:tc>
        <w:tc>
          <w:tcPr>
            <w:tcW w:w="1279" w:type="dxa"/>
            <w:gridSpan w:val="2"/>
            <w:vMerge/>
            <w:tcBorders>
              <w:left w:val="single" w:sz="10" w:space="0" w:color="D2D2D2"/>
              <w:right w:val="single" w:sz="9" w:space="0" w:color="D2D2D2"/>
            </w:tcBorders>
          </w:tcPr>
          <w:p>
            <w:pPr/>
          </w:p>
        </w:tc>
        <w:tc>
          <w:tcPr>
            <w:tcW w:w="1384"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00"/>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49" w:type="dxa"/>
            <w:gridSpan w:val="2"/>
            <w:vMerge/>
            <w:tcBorders>
              <w:left w:val="single" w:sz="9" w:space="0" w:color="D2D2D2"/>
              <w:right w:val="single" w:sz="9" w:space="0" w:color="D2D2D2"/>
            </w:tcBorders>
          </w:tcPr>
          <w:p>
            <w:pPr/>
          </w:p>
        </w:tc>
        <w:tc>
          <w:tcPr>
            <w:tcW w:w="1553" w:type="dxa"/>
            <w:gridSpan w:val="2"/>
            <w:vMerge/>
            <w:tcBorders>
              <w:left w:val="single" w:sz="4" w:space="0" w:color="000000"/>
              <w:right w:val="single" w:sz="4" w:space="0" w:color="000000"/>
            </w:tcBorders>
            <w:shd w:val="clear" w:color="auto" w:fill="D2D2D2"/>
          </w:tcPr>
          <w:p>
            <w:pPr/>
          </w:p>
        </w:tc>
        <w:tc>
          <w:tcPr>
            <w:tcW w:w="1136" w:type="dxa"/>
            <w:vMerge/>
            <w:tcBorders>
              <w:left w:val="single" w:sz="9" w:space="0" w:color="D2D2D2"/>
              <w:right w:val="single" w:sz="9" w:space="0" w:color="D2D2D2"/>
            </w:tcBorders>
          </w:tcPr>
          <w:p>
            <w:pPr/>
          </w:p>
        </w:tc>
        <w:tc>
          <w:tcPr>
            <w:tcW w:w="1372" w:type="dxa"/>
            <w:gridSpan w:val="2"/>
            <w:vMerge/>
            <w:tcBorders>
              <w:left w:val="single" w:sz="4" w:space="0" w:color="000000"/>
              <w:right w:val="single" w:sz="4" w:space="0" w:color="000000"/>
            </w:tcBorders>
            <w:shd w:val="clear" w:color="auto" w:fill="D2D2D2"/>
          </w:tcPr>
          <w:p>
            <w:pPr/>
          </w:p>
        </w:tc>
        <w:tc>
          <w:tcPr>
            <w:tcW w:w="473" w:type="dxa"/>
            <w:vMerge/>
            <w:tcBorders>
              <w:left w:val="single" w:sz="13" w:space="0" w:color="D2D2D2"/>
              <w:right w:val="nil" w:sz="6" w:space="0" w:color="auto"/>
            </w:tcBorders>
          </w:tcPr>
          <w:p>
            <w:pPr/>
          </w:p>
        </w:tc>
        <w:tc>
          <w:tcPr>
            <w:tcW w:w="520"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2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159"/>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79" w:type="dxa"/>
            <w:gridSpan w:val="2"/>
            <w:vMerge/>
            <w:tcBorders>
              <w:left w:val="single" w:sz="10" w:space="0" w:color="D2D2D2"/>
              <w:right w:val="single" w:sz="9" w:space="0" w:color="D2D2D2"/>
            </w:tcBorders>
          </w:tcPr>
          <w:p>
            <w:pPr/>
          </w:p>
        </w:tc>
        <w:tc>
          <w:tcPr>
            <w:tcW w:w="1384" w:type="dxa"/>
            <w:gridSpan w:val="3"/>
            <w:vMerge/>
            <w:tcBorders>
              <w:left w:val="single" w:sz="4" w:space="0" w:color="000000"/>
              <w:right w:val="single" w:sz="4" w:space="0" w:color="000000"/>
            </w:tcBorders>
            <w:shd w:val="clear" w:color="auto" w:fill="D2D2D2"/>
          </w:tcPr>
          <w:p>
            <w:pPr/>
          </w:p>
        </w:tc>
        <w:tc>
          <w:tcPr>
            <w:tcW w:w="1149" w:type="dxa"/>
            <w:gridSpan w:val="2"/>
            <w:vMerge/>
            <w:tcBorders>
              <w:left w:val="single" w:sz="9" w:space="0" w:color="D2D2D2"/>
              <w:right w:val="single" w:sz="9" w:space="0" w:color="D2D2D2"/>
            </w:tcBorders>
          </w:tcPr>
          <w:p>
            <w:pPr/>
          </w:p>
        </w:tc>
        <w:tc>
          <w:tcPr>
            <w:tcW w:w="1553" w:type="dxa"/>
            <w:gridSpan w:val="2"/>
            <w:vMerge/>
            <w:tcBorders>
              <w:left w:val="single" w:sz="4" w:space="0" w:color="000000"/>
              <w:right w:val="single" w:sz="4" w:space="0" w:color="000000"/>
            </w:tcBorders>
            <w:shd w:val="clear" w:color="auto" w:fill="D2D2D2"/>
          </w:tcPr>
          <w:p>
            <w:pPr/>
          </w:p>
        </w:tc>
        <w:tc>
          <w:tcPr>
            <w:tcW w:w="1136" w:type="dxa"/>
            <w:vMerge/>
            <w:tcBorders>
              <w:left w:val="single" w:sz="9" w:space="0" w:color="D2D2D2"/>
              <w:right w:val="single" w:sz="9" w:space="0" w:color="D2D2D2"/>
            </w:tcBorders>
          </w:tcPr>
          <w:p>
            <w:pPr/>
          </w:p>
        </w:tc>
        <w:tc>
          <w:tcPr>
            <w:tcW w:w="1372" w:type="dxa"/>
            <w:gridSpan w:val="2"/>
            <w:vMerge/>
            <w:tcBorders>
              <w:left w:val="single" w:sz="4" w:space="0" w:color="000000"/>
              <w:right w:val="single" w:sz="4" w:space="0" w:color="000000"/>
            </w:tcBorders>
            <w:shd w:val="clear" w:color="auto" w:fill="D2D2D2"/>
          </w:tcPr>
          <w:p>
            <w:pPr/>
          </w:p>
        </w:tc>
        <w:tc>
          <w:tcPr>
            <w:tcW w:w="473" w:type="dxa"/>
            <w:vMerge/>
            <w:tcBorders>
              <w:left w:val="single" w:sz="13" w:space="0" w:color="D2D2D2"/>
              <w:right w:val="nil" w:sz="6" w:space="0" w:color="auto"/>
            </w:tcBorders>
          </w:tcPr>
          <w:p>
            <w:pPr/>
          </w:p>
        </w:tc>
        <w:tc>
          <w:tcPr>
            <w:tcW w:w="520"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261" w:type="dxa"/>
            <w:vMerge w:val="restart"/>
            <w:tcBorders>
              <w:top w:val="nil" w:sz="6" w:space="0" w:color="auto"/>
              <w:left w:val="single" w:sz="4" w:space="0" w:color="000000"/>
              <w:right w:val="single" w:sz="4" w:space="0" w:color="000000"/>
            </w:tcBorders>
            <w:shd w:val="clear" w:color="auto" w:fill="D2D2D2"/>
          </w:tcPr>
          <w:p>
            <w:pPr/>
          </w:p>
        </w:tc>
        <w:tc>
          <w:tcPr>
            <w:tcW w:w="1279" w:type="dxa"/>
            <w:gridSpan w:val="2"/>
            <w:vMerge/>
            <w:tcBorders>
              <w:left w:val="single" w:sz="10" w:space="0" w:color="D2D2D2"/>
              <w:right w:val="single" w:sz="9" w:space="0" w:color="D2D2D2"/>
            </w:tcBorders>
          </w:tcPr>
          <w:p>
            <w:pPr/>
          </w:p>
        </w:tc>
        <w:tc>
          <w:tcPr>
            <w:tcW w:w="1384" w:type="dxa"/>
            <w:gridSpan w:val="3"/>
            <w:vMerge/>
            <w:tcBorders>
              <w:left w:val="single" w:sz="4" w:space="0" w:color="000000"/>
              <w:bottom w:val="nil" w:sz="6" w:space="0" w:color="auto"/>
              <w:right w:val="single" w:sz="4" w:space="0" w:color="000000"/>
            </w:tcBorders>
            <w:shd w:val="clear" w:color="auto" w:fill="D2D2D2"/>
          </w:tcPr>
          <w:p>
            <w:pPr/>
          </w:p>
        </w:tc>
        <w:tc>
          <w:tcPr>
            <w:tcW w:w="1149" w:type="dxa"/>
            <w:gridSpan w:val="2"/>
            <w:vMerge/>
            <w:tcBorders>
              <w:left w:val="single" w:sz="9" w:space="0" w:color="D2D2D2"/>
              <w:right w:val="single" w:sz="9" w:space="0" w:color="D2D2D2"/>
            </w:tcBorders>
          </w:tcPr>
          <w:p>
            <w:pPr/>
          </w:p>
        </w:tc>
        <w:tc>
          <w:tcPr>
            <w:tcW w:w="1553" w:type="dxa"/>
            <w:gridSpan w:val="2"/>
            <w:vMerge/>
            <w:tcBorders>
              <w:left w:val="single" w:sz="4" w:space="0" w:color="000000"/>
              <w:right w:val="single" w:sz="4" w:space="0" w:color="000000"/>
            </w:tcBorders>
            <w:shd w:val="clear" w:color="auto" w:fill="D2D2D2"/>
          </w:tcPr>
          <w:p>
            <w:pPr/>
          </w:p>
        </w:tc>
        <w:tc>
          <w:tcPr>
            <w:tcW w:w="1136" w:type="dxa"/>
            <w:vMerge/>
            <w:tcBorders>
              <w:left w:val="single" w:sz="9" w:space="0" w:color="D2D2D2"/>
              <w:right w:val="single" w:sz="9" w:space="0" w:color="D2D2D2"/>
            </w:tcBorders>
          </w:tcPr>
          <w:p>
            <w:pPr/>
          </w:p>
        </w:tc>
        <w:tc>
          <w:tcPr>
            <w:tcW w:w="1372" w:type="dxa"/>
            <w:gridSpan w:val="2"/>
            <w:vMerge/>
            <w:tcBorders>
              <w:left w:val="single" w:sz="4" w:space="0" w:color="000000"/>
              <w:right w:val="single" w:sz="4" w:space="0" w:color="000000"/>
            </w:tcBorders>
            <w:shd w:val="clear" w:color="auto" w:fill="D2D2D2"/>
          </w:tcPr>
          <w:p>
            <w:pPr/>
          </w:p>
        </w:tc>
        <w:tc>
          <w:tcPr>
            <w:tcW w:w="473" w:type="dxa"/>
            <w:vMerge/>
            <w:tcBorders>
              <w:left w:val="single" w:sz="13" w:space="0" w:color="D2D2D2"/>
              <w:right w:val="nil" w:sz="6" w:space="0" w:color="auto"/>
            </w:tcBorders>
          </w:tcPr>
          <w:p>
            <w:pPr/>
          </w:p>
        </w:tc>
        <w:tc>
          <w:tcPr>
            <w:tcW w:w="520"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261" w:type="dxa"/>
            <w:vMerge/>
            <w:tcBorders>
              <w:left w:val="single" w:sz="4" w:space="0" w:color="000000"/>
              <w:right w:val="single" w:sz="4" w:space="0" w:color="000000"/>
            </w:tcBorders>
            <w:shd w:val="clear" w:color="auto" w:fill="D2D2D2"/>
          </w:tcPr>
          <w:p>
            <w:pPr/>
          </w:p>
        </w:tc>
        <w:tc>
          <w:tcPr>
            <w:tcW w:w="1279" w:type="dxa"/>
            <w:gridSpan w:val="2"/>
            <w:vMerge/>
            <w:tcBorders>
              <w:left w:val="single" w:sz="10" w:space="0" w:color="D2D2D2"/>
              <w:right w:val="single" w:sz="9" w:space="0" w:color="D2D2D2"/>
            </w:tcBorders>
          </w:tcPr>
          <w:p>
            <w:pPr/>
          </w:p>
        </w:tc>
        <w:tc>
          <w:tcPr>
            <w:tcW w:w="1384" w:type="dxa"/>
            <w:gridSpan w:val="3"/>
            <w:vMerge w:val="restart"/>
            <w:tcBorders>
              <w:top w:val="nil" w:sz="6" w:space="0" w:color="auto"/>
              <w:left w:val="single" w:sz="4" w:space="0" w:color="000000"/>
              <w:right w:val="single" w:sz="4" w:space="0" w:color="000000"/>
            </w:tcBorders>
            <w:shd w:val="clear" w:color="auto" w:fill="D2D2D2"/>
          </w:tcPr>
          <w:p>
            <w:pPr/>
          </w:p>
        </w:tc>
        <w:tc>
          <w:tcPr>
            <w:tcW w:w="1149" w:type="dxa"/>
            <w:gridSpan w:val="2"/>
            <w:vMerge/>
            <w:tcBorders>
              <w:left w:val="single" w:sz="9" w:space="0" w:color="D2D2D2"/>
              <w:right w:val="single" w:sz="9" w:space="0" w:color="D2D2D2"/>
            </w:tcBorders>
          </w:tcPr>
          <w:p>
            <w:pPr/>
          </w:p>
        </w:tc>
        <w:tc>
          <w:tcPr>
            <w:tcW w:w="1553" w:type="dxa"/>
            <w:gridSpan w:val="2"/>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9" w:space="0" w:color="D2D2D2"/>
              <w:right w:val="single" w:sz="9" w:space="0" w:color="D2D2D2"/>
            </w:tcBorders>
          </w:tcPr>
          <w:p>
            <w:pPr/>
          </w:p>
        </w:tc>
        <w:tc>
          <w:tcPr>
            <w:tcW w:w="1372" w:type="dxa"/>
            <w:gridSpan w:val="2"/>
            <w:vMerge/>
            <w:tcBorders>
              <w:left w:val="single" w:sz="4" w:space="0" w:color="000000"/>
              <w:right w:val="single" w:sz="4" w:space="0" w:color="000000"/>
            </w:tcBorders>
            <w:shd w:val="clear" w:color="auto" w:fill="D2D2D2"/>
          </w:tcPr>
          <w:p>
            <w:pPr/>
          </w:p>
        </w:tc>
        <w:tc>
          <w:tcPr>
            <w:tcW w:w="473" w:type="dxa"/>
            <w:vMerge/>
            <w:tcBorders>
              <w:left w:val="single" w:sz="13" w:space="0" w:color="D2D2D2"/>
              <w:right w:val="nil" w:sz="6" w:space="0" w:color="auto"/>
            </w:tcBorders>
          </w:tcPr>
          <w:p>
            <w:pPr/>
          </w:p>
        </w:tc>
        <w:tc>
          <w:tcPr>
            <w:tcW w:w="520"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261" w:type="dxa"/>
            <w:vMerge/>
            <w:tcBorders>
              <w:left w:val="single" w:sz="4" w:space="0" w:color="000000"/>
              <w:bottom w:val="single" w:sz="4" w:space="0" w:color="000000"/>
              <w:right w:val="single" w:sz="4" w:space="0" w:color="000000"/>
            </w:tcBorders>
            <w:shd w:val="clear" w:color="auto" w:fill="D2D2D2"/>
          </w:tcPr>
          <w:p>
            <w:pPr/>
          </w:p>
        </w:tc>
        <w:tc>
          <w:tcPr>
            <w:tcW w:w="1279" w:type="dxa"/>
            <w:gridSpan w:val="2"/>
            <w:vMerge/>
            <w:tcBorders>
              <w:left w:val="single" w:sz="10" w:space="0" w:color="D2D2D2"/>
              <w:bottom w:val="single" w:sz="4" w:space="0" w:color="000000"/>
              <w:right w:val="single" w:sz="9" w:space="0" w:color="D2D2D2"/>
            </w:tcBorders>
          </w:tcPr>
          <w:p>
            <w:pPr/>
          </w:p>
        </w:tc>
        <w:tc>
          <w:tcPr>
            <w:tcW w:w="1384" w:type="dxa"/>
            <w:gridSpan w:val="3"/>
            <w:vMerge/>
            <w:tcBorders>
              <w:left w:val="single" w:sz="4" w:space="0" w:color="000000"/>
              <w:bottom w:val="single" w:sz="4" w:space="0" w:color="000000"/>
              <w:right w:val="single" w:sz="4" w:space="0" w:color="000000"/>
            </w:tcBorders>
            <w:shd w:val="clear" w:color="auto" w:fill="D2D2D2"/>
          </w:tcPr>
          <w:p>
            <w:pPr/>
          </w:p>
        </w:tc>
        <w:tc>
          <w:tcPr>
            <w:tcW w:w="1149" w:type="dxa"/>
            <w:gridSpan w:val="2"/>
            <w:vMerge/>
            <w:tcBorders>
              <w:left w:val="single" w:sz="9" w:space="0" w:color="D2D2D2"/>
              <w:bottom w:val="single" w:sz="4" w:space="0" w:color="000000"/>
              <w:right w:val="single" w:sz="9" w:space="0" w:color="D2D2D2"/>
            </w:tcBorders>
          </w:tcPr>
          <w:p>
            <w:pPr/>
          </w:p>
        </w:tc>
        <w:tc>
          <w:tcPr>
            <w:tcW w:w="155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vMerge/>
            <w:tcBorders>
              <w:left w:val="single" w:sz="9" w:space="0" w:color="D2D2D2"/>
              <w:bottom w:val="single" w:sz="4" w:space="0" w:color="000000"/>
              <w:right w:val="single" w:sz="9" w:space="0" w:color="D2D2D2"/>
            </w:tcBorders>
          </w:tcPr>
          <w:p>
            <w:pPr/>
          </w:p>
        </w:tc>
        <w:tc>
          <w:tcPr>
            <w:tcW w:w="1372" w:type="dxa"/>
            <w:gridSpan w:val="2"/>
            <w:vMerge/>
            <w:tcBorders>
              <w:left w:val="single" w:sz="4" w:space="0" w:color="000000"/>
              <w:bottom w:val="single" w:sz="4" w:space="0" w:color="000000"/>
              <w:right w:val="single" w:sz="4" w:space="0" w:color="000000"/>
            </w:tcBorders>
            <w:shd w:val="clear" w:color="auto" w:fill="D2D2D2"/>
          </w:tcPr>
          <w:p>
            <w:pPr/>
          </w:p>
        </w:tc>
        <w:tc>
          <w:tcPr>
            <w:tcW w:w="473" w:type="dxa"/>
            <w:vMerge/>
            <w:tcBorders>
              <w:left w:val="single" w:sz="13" w:space="0" w:color="D2D2D2"/>
              <w:bottom w:val="single" w:sz="4" w:space="0" w:color="000000"/>
              <w:right w:val="nil" w:sz="6" w:space="0" w:color="auto"/>
            </w:tcBorders>
          </w:tcPr>
          <w:p>
            <w:pPr/>
          </w:p>
        </w:tc>
        <w:tc>
          <w:tcPr>
            <w:tcW w:w="520" w:type="dxa"/>
            <w:tcBorders>
              <w:top w:val="nil" w:sz="6" w:space="0" w:color="auto"/>
              <w:left w:val="nil" w:sz="6" w:space="0" w:color="auto"/>
              <w:bottom w:val="single" w:sz="4" w:space="0" w:color="000000"/>
              <w:right w:val="single" w:sz="4" w:space="0" w:color="000000"/>
            </w:tcBorders>
          </w:tcPr>
          <w:p>
            <w:pPr/>
          </w:p>
        </w:tc>
      </w:tr>
      <w:tr>
        <w:trPr>
          <w:trHeight w:val="393" w:hRule="exact"/>
        </w:trPr>
        <w:tc>
          <w:tcPr>
            <w:tcW w:w="10126"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33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544" w:type="dxa"/>
            <w:gridSpan w:val="2"/>
            <w:vMerge w:val="restart"/>
            <w:tcBorders>
              <w:top w:val="single" w:sz="4" w:space="0" w:color="000000"/>
              <w:left w:val="single" w:sz="4" w:space="0" w:color="000000"/>
              <w:right w:val="single" w:sz="4" w:space="0" w:color="000000"/>
            </w:tcBorders>
            <w:shd w:val="clear" w:color="auto" w:fill="D2D2D2"/>
          </w:tcPr>
          <w:p>
            <w:pPr/>
          </w:p>
        </w:tc>
        <w:tc>
          <w:tcPr>
            <w:tcW w:w="1279" w:type="dxa"/>
            <w:gridSpan w:val="2"/>
            <w:vMerge w:val="restart"/>
            <w:tcBorders>
              <w:top w:val="single" w:sz="4" w:space="0" w:color="000000"/>
              <w:left w:val="single" w:sz="4" w:space="0" w:color="000000"/>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
        </w:tc>
        <w:tc>
          <w:tcPr>
            <w:tcW w:w="103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11" w:right="110"/>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41" w:right="13"/>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38" w:right="86"/>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365"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5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544" w:type="dxa"/>
            <w:gridSpan w:val="2"/>
            <w:vMerge/>
            <w:tcBorders>
              <w:left w:val="single" w:sz="4" w:space="0" w:color="000000"/>
              <w:bottom w:val="nil" w:sz="6" w:space="0" w:color="auto"/>
              <w:right w:val="single" w:sz="4" w:space="0" w:color="000000"/>
            </w:tcBorders>
            <w:shd w:val="clear" w:color="auto" w:fill="D2D2D2"/>
          </w:tcPr>
          <w:p>
            <w:pPr/>
          </w:p>
        </w:tc>
        <w:tc>
          <w:tcPr>
            <w:tcW w:w="1279" w:type="dxa"/>
            <w:gridSpan w:val="2"/>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103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40" w:right="6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52" w:type="dxa"/>
            <w:gridSpan w:val="2"/>
            <w:vMerge/>
            <w:tcBorders>
              <w:left w:val="single" w:sz="4" w:space="0" w:color="000000"/>
              <w:right w:val="single" w:sz="4" w:space="0" w:color="000000"/>
            </w:tcBorders>
            <w:shd w:val="clear" w:color="auto" w:fill="D2D2D2"/>
          </w:tcPr>
          <w:p>
            <w:pPr/>
          </w:p>
        </w:tc>
        <w:tc>
          <w:tcPr>
            <w:tcW w:w="966" w:type="dxa"/>
            <w:vMerge/>
            <w:tcBorders>
              <w:left w:val="single" w:sz="4" w:space="0" w:color="000000"/>
              <w:right w:val="single" w:sz="4" w:space="0" w:color="000000"/>
            </w:tcBorders>
            <w:shd w:val="clear" w:color="auto" w:fill="D2D2D2"/>
          </w:tcPr>
          <w:p>
            <w:pPr/>
          </w:p>
        </w:tc>
        <w:tc>
          <w:tcPr>
            <w:tcW w:w="1136" w:type="dxa"/>
            <w:vMerge/>
            <w:tcBorders>
              <w:left w:val="single" w:sz="4" w:space="0" w:color="000000"/>
              <w:right w:val="single" w:sz="4" w:space="0" w:color="000000"/>
            </w:tcBorders>
            <w:shd w:val="clear" w:color="auto" w:fill="D2D2D2"/>
          </w:tcPr>
          <w:p>
            <w:pPr/>
          </w:p>
        </w:tc>
        <w:tc>
          <w:tcPr>
            <w:tcW w:w="2365" w:type="dxa"/>
            <w:gridSpan w:val="4"/>
            <w:vMerge/>
            <w:tcBorders>
              <w:left w:val="single" w:sz="4" w:space="0" w:color="000000"/>
              <w:right w:val="single" w:sz="4" w:space="0" w:color="000000"/>
            </w:tcBorders>
            <w:shd w:val="clear" w:color="auto" w:fill="D2D2D2"/>
          </w:tcPr>
          <w:p>
            <w:pPr/>
          </w:p>
        </w:tc>
      </w:tr>
      <w:tr>
        <w:trPr>
          <w:trHeight w:val="141" w:hRule="exact"/>
        </w:trPr>
        <w:tc>
          <w:tcPr>
            <w:tcW w:w="154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0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32" w:type="dxa"/>
            <w:gridSpan w:val="2"/>
            <w:vMerge/>
            <w:tcBorders>
              <w:left w:val="single" w:sz="4" w:space="0" w:color="000000"/>
              <w:right w:val="single" w:sz="4" w:space="0" w:color="000000"/>
            </w:tcBorders>
            <w:shd w:val="clear" w:color="auto" w:fill="D2D2D2"/>
          </w:tcPr>
          <w:p>
            <w:pPr/>
          </w:p>
        </w:tc>
        <w:tc>
          <w:tcPr>
            <w:tcW w:w="952" w:type="dxa"/>
            <w:gridSpan w:val="2"/>
            <w:vMerge/>
            <w:tcBorders>
              <w:left w:val="single" w:sz="4" w:space="0" w:color="000000"/>
              <w:right w:val="single" w:sz="4" w:space="0" w:color="000000"/>
            </w:tcBorders>
            <w:shd w:val="clear" w:color="auto" w:fill="D2D2D2"/>
          </w:tcPr>
          <w:p>
            <w:pPr/>
          </w:p>
        </w:tc>
        <w:tc>
          <w:tcPr>
            <w:tcW w:w="966" w:type="dxa"/>
            <w:vMerge/>
            <w:tcBorders>
              <w:left w:val="single" w:sz="4" w:space="0" w:color="000000"/>
              <w:right w:val="single" w:sz="4" w:space="0" w:color="000000"/>
            </w:tcBorders>
            <w:shd w:val="clear" w:color="auto" w:fill="D2D2D2"/>
          </w:tcPr>
          <w:p>
            <w:pPr/>
          </w:p>
        </w:tc>
        <w:tc>
          <w:tcPr>
            <w:tcW w:w="1136" w:type="dxa"/>
            <w:vMerge/>
            <w:tcBorders>
              <w:left w:val="single" w:sz="4" w:space="0" w:color="000000"/>
              <w:right w:val="single" w:sz="4" w:space="0" w:color="000000"/>
            </w:tcBorders>
            <w:shd w:val="clear" w:color="auto" w:fill="D2D2D2"/>
          </w:tcPr>
          <w:p>
            <w:pPr/>
          </w:p>
        </w:tc>
        <w:tc>
          <w:tcPr>
            <w:tcW w:w="2365"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544" w:type="dxa"/>
            <w:gridSpan w:val="2"/>
            <w:vMerge/>
            <w:tcBorders>
              <w:left w:val="single" w:sz="4" w:space="0" w:color="000000"/>
              <w:bottom w:val="nil" w:sz="6" w:space="0" w:color="auto"/>
              <w:right w:val="single" w:sz="4" w:space="0" w:color="000000"/>
            </w:tcBorders>
            <w:shd w:val="clear" w:color="auto" w:fill="D2D2D2"/>
          </w:tcPr>
          <w:p>
            <w:pPr/>
          </w:p>
        </w:tc>
        <w:tc>
          <w:tcPr>
            <w:tcW w:w="1279" w:type="dxa"/>
            <w:gridSpan w:val="2"/>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1032" w:type="dxa"/>
            <w:gridSpan w:val="2"/>
            <w:vMerge/>
            <w:tcBorders>
              <w:left w:val="single" w:sz="4" w:space="0" w:color="000000"/>
              <w:right w:val="single" w:sz="4" w:space="0" w:color="000000"/>
            </w:tcBorders>
            <w:shd w:val="clear" w:color="auto" w:fill="D2D2D2"/>
          </w:tcPr>
          <w:p>
            <w:pPr/>
          </w:p>
        </w:tc>
        <w:tc>
          <w:tcPr>
            <w:tcW w:w="952" w:type="dxa"/>
            <w:gridSpan w:val="2"/>
            <w:vMerge/>
            <w:tcBorders>
              <w:left w:val="single" w:sz="4" w:space="0" w:color="000000"/>
              <w:right w:val="single" w:sz="4" w:space="0" w:color="000000"/>
            </w:tcBorders>
            <w:shd w:val="clear" w:color="auto" w:fill="D2D2D2"/>
          </w:tcPr>
          <w:p>
            <w:pPr/>
          </w:p>
        </w:tc>
        <w:tc>
          <w:tcPr>
            <w:tcW w:w="966" w:type="dxa"/>
            <w:vMerge/>
            <w:tcBorders>
              <w:left w:val="single" w:sz="4" w:space="0" w:color="000000"/>
              <w:right w:val="single" w:sz="4" w:space="0" w:color="000000"/>
            </w:tcBorders>
            <w:shd w:val="clear" w:color="auto" w:fill="D2D2D2"/>
          </w:tcPr>
          <w:p>
            <w:pPr/>
          </w:p>
        </w:tc>
        <w:tc>
          <w:tcPr>
            <w:tcW w:w="1136" w:type="dxa"/>
            <w:vMerge/>
            <w:tcBorders>
              <w:left w:val="single" w:sz="4" w:space="0" w:color="000000"/>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114"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43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544" w:type="dxa"/>
            <w:gridSpan w:val="2"/>
            <w:vMerge w:val="restart"/>
            <w:tcBorders>
              <w:top w:val="nil" w:sz="6" w:space="0" w:color="auto"/>
              <w:left w:val="single" w:sz="4" w:space="0" w:color="000000"/>
              <w:right w:val="single" w:sz="4" w:space="0" w:color="000000"/>
            </w:tcBorders>
            <w:shd w:val="clear" w:color="auto" w:fill="D2D2D2"/>
          </w:tcPr>
          <w:p>
            <w:pPr/>
          </w:p>
        </w:tc>
        <w:tc>
          <w:tcPr>
            <w:tcW w:w="1279" w:type="dxa"/>
            <w:gridSpan w:val="2"/>
            <w:vMerge w:val="restart"/>
            <w:tcBorders>
              <w:top w:val="nil" w:sz="6" w:space="0" w:color="auto"/>
              <w:left w:val="single" w:sz="4" w:space="0" w:color="000000"/>
              <w:right w:val="single" w:sz="4" w:space="0" w:color="000000"/>
            </w:tcBorders>
            <w:shd w:val="clear" w:color="auto" w:fill="D2D2D2"/>
          </w:tcPr>
          <w:p>
            <w:pPr/>
          </w:p>
        </w:tc>
        <w:tc>
          <w:tcPr>
            <w:tcW w:w="851" w:type="dxa"/>
            <w:vMerge w:val="restart"/>
            <w:tcBorders>
              <w:top w:val="nil" w:sz="6" w:space="0" w:color="auto"/>
              <w:left w:val="single" w:sz="4" w:space="0" w:color="000000"/>
              <w:right w:val="single" w:sz="4" w:space="0" w:color="000000"/>
            </w:tcBorders>
            <w:shd w:val="clear" w:color="auto" w:fill="D2D2D2"/>
          </w:tcPr>
          <w:p>
            <w:pPr/>
          </w:p>
        </w:tc>
        <w:tc>
          <w:tcPr>
            <w:tcW w:w="1032" w:type="dxa"/>
            <w:gridSpan w:val="2"/>
            <w:vMerge/>
            <w:tcBorders>
              <w:left w:val="single" w:sz="4" w:space="0" w:color="000000"/>
              <w:bottom w:val="nil" w:sz="6" w:space="0" w:color="auto"/>
              <w:right w:val="single" w:sz="4" w:space="0" w:color="000000"/>
            </w:tcBorders>
            <w:shd w:val="clear" w:color="auto" w:fill="D2D2D2"/>
          </w:tcPr>
          <w:p>
            <w:pPr/>
          </w:p>
        </w:tc>
        <w:tc>
          <w:tcPr>
            <w:tcW w:w="952" w:type="dxa"/>
            <w:gridSpan w:val="2"/>
            <w:vMerge/>
            <w:tcBorders>
              <w:left w:val="single" w:sz="4" w:space="0" w:color="000000"/>
              <w:right w:val="single" w:sz="4" w:space="0" w:color="000000"/>
            </w:tcBorders>
            <w:shd w:val="clear" w:color="auto" w:fill="D2D2D2"/>
          </w:tcPr>
          <w:p>
            <w:pPr/>
          </w:p>
        </w:tc>
        <w:tc>
          <w:tcPr>
            <w:tcW w:w="966" w:type="dxa"/>
            <w:vMerge/>
            <w:tcBorders>
              <w:left w:val="single" w:sz="4" w:space="0" w:color="000000"/>
              <w:right w:val="single" w:sz="4" w:space="0" w:color="000000"/>
            </w:tcBorders>
            <w:shd w:val="clear" w:color="auto" w:fill="D2D2D2"/>
          </w:tcPr>
          <w:p>
            <w:pPr/>
          </w:p>
        </w:tc>
        <w:tc>
          <w:tcPr>
            <w:tcW w:w="1136" w:type="dxa"/>
            <w:vMerge/>
            <w:tcBorders>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430" w:type="dxa"/>
            <w:gridSpan w:val="3"/>
            <w:vMerge/>
            <w:tcBorders>
              <w:left w:val="single" w:sz="4" w:space="0" w:color="000000"/>
              <w:right w:val="single" w:sz="4" w:space="0" w:color="000000"/>
            </w:tcBorders>
            <w:shd w:val="clear" w:color="auto" w:fill="D2D2D2"/>
          </w:tcPr>
          <w:p>
            <w:pPr/>
          </w:p>
        </w:tc>
      </w:tr>
      <w:tr>
        <w:trPr>
          <w:trHeight w:val="161" w:hRule="exact"/>
        </w:trPr>
        <w:tc>
          <w:tcPr>
            <w:tcW w:w="1544" w:type="dxa"/>
            <w:gridSpan w:val="2"/>
            <w:vMerge/>
            <w:tcBorders>
              <w:left w:val="single" w:sz="4" w:space="0" w:color="000000"/>
              <w:bottom w:val="single" w:sz="4" w:space="0" w:color="000000"/>
              <w:right w:val="single" w:sz="4" w:space="0" w:color="000000"/>
            </w:tcBorders>
            <w:shd w:val="clear" w:color="auto" w:fill="D2D2D2"/>
          </w:tcPr>
          <w:p>
            <w:pPr/>
          </w:p>
        </w:tc>
        <w:tc>
          <w:tcPr>
            <w:tcW w:w="1279" w:type="dxa"/>
            <w:gridSpan w:val="2"/>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03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52" w:type="dxa"/>
            <w:gridSpan w:val="2"/>
            <w:vMerge/>
            <w:tcBorders>
              <w:left w:val="single" w:sz="4" w:space="0" w:color="000000"/>
              <w:bottom w:val="single" w:sz="4" w:space="0" w:color="000000"/>
              <w:right w:val="single" w:sz="4" w:space="0" w:color="000000"/>
            </w:tcBorders>
            <w:shd w:val="clear" w:color="auto" w:fill="D2D2D2"/>
          </w:tcPr>
          <w:p>
            <w:pPr/>
          </w:p>
        </w:tc>
        <w:tc>
          <w:tcPr>
            <w:tcW w:w="966"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430" w:type="dxa"/>
            <w:gridSpan w:val="3"/>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7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556"/>
        <w:gridCol w:w="1279"/>
        <w:gridCol w:w="851"/>
        <w:gridCol w:w="1032"/>
        <w:gridCol w:w="953"/>
        <w:gridCol w:w="992"/>
        <w:gridCol w:w="1134"/>
        <w:gridCol w:w="911"/>
        <w:gridCol w:w="1429"/>
      </w:tblGrid>
      <w:tr>
        <w:trPr>
          <w:trHeight w:val="1010"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16" w:lineRule="auto"/>
              <w:ind w:left="22" w:right="81"/>
              <w:jc w:val="left"/>
              <w:rPr>
                <w:rFonts w:ascii="宋体" w:hAnsi="宋体" w:cs="宋体" w:eastAsia="宋体" w:hint="default"/>
                <w:sz w:val="18"/>
                <w:szCs w:val="18"/>
              </w:rPr>
            </w:pPr>
            <w:r>
              <w:rPr>
                <w:rFonts w:ascii="宋体" w:hAnsi="宋体" w:cs="宋体" w:eastAsia="宋体" w:hint="default"/>
                <w:sz w:val="18"/>
                <w:szCs w:val="18"/>
              </w:rPr>
              <w:t>北京杨树蓝天投资 中心（有限合伙）</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16" w:lineRule="auto"/>
              <w:ind w:left="23" w:right="163"/>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19.48%</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170,763,781</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28,460,630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155,135,328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15,628,453</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170,735,328</w:t>
            </w:r>
          </w:p>
        </w:tc>
      </w:tr>
      <w:tr>
        <w:trPr>
          <w:trHeight w:val="714"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北京杨树嘉业投资 中心（有限合伙）</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63"/>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10.76%</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94,316,806</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15,719,468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94,316,806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94,316,806</w:t>
            </w:r>
          </w:p>
        </w:tc>
      </w:tr>
      <w:tr>
        <w:trPr>
          <w:trHeight w:val="714"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3"/>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8.21%</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72,000,000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12,000,000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72,000,000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50,026,701</w:t>
            </w:r>
          </w:p>
        </w:tc>
      </w:tr>
      <w:tr>
        <w:trPr>
          <w:trHeight w:val="402"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乌力吉</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6.59%</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57,814,766</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9,635,794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57,814,766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47,999,998</w:t>
            </w:r>
          </w:p>
        </w:tc>
      </w:tr>
      <w:tr>
        <w:trPr>
          <w:trHeight w:val="1026"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半丁（厦门）资产 管理合伙企业（有 限合伙）</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63"/>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5.49%</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48,141,732</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8,023,622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48,141,732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36,330,708</w:t>
            </w:r>
          </w:p>
        </w:tc>
      </w:tr>
      <w:tr>
        <w:trPr>
          <w:trHeight w:val="714"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融通资本（固安） 投资管理有限公司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3"/>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3.43%</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30,037,546</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5,006,258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30,037,546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30,037,546</w:t>
            </w:r>
          </w:p>
        </w:tc>
      </w:tr>
      <w:tr>
        <w:trPr>
          <w:trHeight w:val="714"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朗森汽车产业园开 发有限公司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3"/>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3.31%</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29,020,555</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4,836,759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29,020,555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29,020,555</w:t>
            </w:r>
          </w:p>
        </w:tc>
      </w:tr>
      <w:tr>
        <w:trPr>
          <w:trHeight w:val="1026"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太平人寿保险有限 公司－分红－团险 分红</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2.66%</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23,309,334</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23,309,334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23,309,334</w:t>
            </w:r>
          </w:p>
        </w:tc>
        <w:tc>
          <w:tcPr>
            <w:tcW w:w="911"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天津北控工程管理 咨询有限公司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3"/>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2.58%</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22,603,153</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22,603,153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22,603,153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22,603,153</w:t>
            </w:r>
          </w:p>
        </w:tc>
      </w:tr>
      <w:tr>
        <w:trPr>
          <w:trHeight w:val="1026"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张家港保税区京蓝 智享资产管理合伙 企业（有限合伙）</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63"/>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1.16%</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10,157,194</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1,692,866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10,157,194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7,255,137</w:t>
            </w:r>
          </w:p>
        </w:tc>
      </w:tr>
      <w:tr>
        <w:trPr>
          <w:trHeight w:val="1026" w:hRule="exact"/>
        </w:trPr>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16"/>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303"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7303" w:type="dxa"/>
            <w:gridSpan w:val="7"/>
            <w:tcBorders>
              <w:top w:val="single" w:sz="4" w:space="0" w:color="000000"/>
              <w:left w:val="single" w:sz="9" w:space="0" w:color="D2D2D2"/>
              <w:bottom w:val="single" w:sz="4" w:space="0" w:color="000000"/>
              <w:right w:val="single" w:sz="4" w:space="0" w:color="000000"/>
            </w:tcBorders>
          </w:tcPr>
          <w:p>
            <w:pPr>
              <w:pStyle w:val="TableParagraph"/>
              <w:spacing w:line="316" w:lineRule="auto" w:before="51"/>
              <w:ind w:left="16" w:right="68"/>
              <w:jc w:val="left"/>
              <w:rPr>
                <w:rFonts w:ascii="宋体" w:hAnsi="宋体" w:cs="宋体" w:eastAsia="宋体" w:hint="default"/>
                <w:sz w:val="18"/>
                <w:szCs w:val="18"/>
              </w:rPr>
            </w:pPr>
            <w:r>
              <w:rPr>
                <w:rFonts w:ascii="宋体" w:hAnsi="宋体" w:cs="宋体" w:eastAsia="宋体" w:hint="default"/>
                <w:sz w:val="18"/>
                <w:szCs w:val="18"/>
              </w:rPr>
              <w:t>杨树蓝天、杨树嘉业、京蓝控股、融通资本、京蓝智享互为一致行动人。未知其他股东之间 是否存在关联关系和是否属于《上市公司收购管理办法》中规定的一致行动人。</w:t>
            </w:r>
          </w:p>
        </w:tc>
      </w:tr>
      <w:tr>
        <w:trPr>
          <w:trHeight w:val="402" w:hRule="exact"/>
        </w:trPr>
        <w:tc>
          <w:tcPr>
            <w:tcW w:w="1013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963"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3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83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963"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25"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34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835" w:type="dxa"/>
            <w:gridSpan w:val="2"/>
            <w:vMerge/>
            <w:tcBorders>
              <w:left w:val="single" w:sz="4" w:space="0" w:color="000000"/>
              <w:bottom w:val="nil" w:sz="6" w:space="0" w:color="auto"/>
              <w:right w:val="single" w:sz="4" w:space="0" w:color="000000"/>
            </w:tcBorders>
            <w:shd w:val="clear" w:color="auto" w:fill="D2D2D2"/>
          </w:tcPr>
          <w:p>
            <w:pPr/>
          </w:p>
        </w:tc>
        <w:tc>
          <w:tcPr>
            <w:tcW w:w="4963" w:type="dxa"/>
            <w:gridSpan w:val="5"/>
            <w:vMerge/>
            <w:tcBorders>
              <w:left w:val="single" w:sz="4" w:space="0" w:color="000000"/>
              <w:bottom w:val="nil" w:sz="6" w:space="0" w:color="auto"/>
              <w:right w:val="single" w:sz="4" w:space="0" w:color="000000"/>
            </w:tcBorders>
            <w:shd w:val="clear" w:color="auto" w:fill="D2D2D2"/>
          </w:tcPr>
          <w:p>
            <w:pPr/>
          </w:p>
        </w:tc>
        <w:tc>
          <w:tcPr>
            <w:tcW w:w="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4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963"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911" w:type="dxa"/>
            <w:vMerge/>
            <w:tcBorders>
              <w:left w:val="single" w:sz="4" w:space="0" w:color="000000"/>
              <w:bottom w:val="single" w:sz="4" w:space="0" w:color="000000"/>
              <w:right w:val="single" w:sz="4" w:space="0" w:color="000000"/>
            </w:tcBorders>
            <w:shd w:val="clear" w:color="auto" w:fill="D2D2D2"/>
          </w:tcPr>
          <w:p>
            <w:pPr/>
          </w:p>
        </w:tc>
        <w:tc>
          <w:tcPr>
            <w:tcW w:w="1429"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49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72,000,000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72,000,000</w:t>
            </w:r>
          </w:p>
        </w:tc>
      </w:tr>
      <w:tr>
        <w:trPr>
          <w:trHeight w:val="714" w:hRule="exact"/>
        </w:trPr>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太平人寿保险有限公司－分红－团 险分红</w:t>
            </w:r>
          </w:p>
        </w:tc>
        <w:tc>
          <w:tcPr>
            <w:tcW w:w="49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23,309,334</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23,309,334</w:t>
            </w:r>
          </w:p>
        </w:tc>
      </w:tr>
      <w:tr>
        <w:trPr>
          <w:trHeight w:val="714" w:hRule="exact"/>
        </w:trPr>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北京杨树蓝天投资中心（有限合伙</w:t>
            </w:r>
          </w:p>
        </w:tc>
        <w:tc>
          <w:tcPr>
            <w:tcW w:w="8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032" w:type="dxa"/>
            <w:tcBorders>
              <w:top w:val="single" w:sz="4" w:space="0" w:color="000000"/>
              <w:left w:val="nil" w:sz="6" w:space="0" w:color="auto"/>
              <w:bottom w:val="single" w:sz="4" w:space="0" w:color="000000"/>
              <w:right w:val="nil" w:sz="6" w:space="0" w:color="auto"/>
            </w:tcBorders>
          </w:tcPr>
          <w:p>
            <w:pPr/>
          </w:p>
        </w:tc>
        <w:tc>
          <w:tcPr>
            <w:tcW w:w="953" w:type="dxa"/>
            <w:tcBorders>
              <w:top w:val="single" w:sz="4" w:space="0" w:color="000000"/>
              <w:left w:val="nil" w:sz="6" w:space="0" w:color="auto"/>
              <w:bottom w:val="single" w:sz="4" w:space="0" w:color="000000"/>
              <w:right w:val="nil" w:sz="6" w:space="0" w:color="auto"/>
            </w:tcBorders>
          </w:tcPr>
          <w:p>
            <w:pPr/>
          </w:p>
        </w:tc>
        <w:tc>
          <w:tcPr>
            <w:tcW w:w="992" w:type="dxa"/>
            <w:tcBorders>
              <w:top w:val="single" w:sz="4" w:space="0" w:color="000000"/>
              <w:left w:val="nil" w:sz="6" w:space="0" w:color="auto"/>
              <w:bottom w:val="single" w:sz="4" w:space="0" w:color="000000"/>
              <w:right w:val="nil" w:sz="6" w:space="0" w:color="auto"/>
            </w:tcBorders>
          </w:tcPr>
          <w:p>
            <w:pPr/>
          </w:p>
        </w:tc>
        <w:tc>
          <w:tcPr>
            <w:tcW w:w="11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15,628,453</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15,628,453</w:t>
            </w:r>
          </w:p>
        </w:tc>
      </w:tr>
      <w:tr>
        <w:trPr>
          <w:trHeight w:val="714" w:hRule="exact"/>
        </w:trPr>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彭玉森</w:t>
            </w:r>
          </w:p>
        </w:tc>
        <w:tc>
          <w:tcPr>
            <w:tcW w:w="49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6,971,725</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6,971,725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7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p>
      <w:pPr>
        <w:spacing w:before="44"/>
        <w:ind w:left="0" w:right="821" w:firstLine="0"/>
        <w:jc w:val="right"/>
        <w:rPr>
          <w:rFonts w:ascii="宋体" w:hAnsi="宋体" w:cs="宋体" w:eastAsia="宋体" w:hint="default"/>
          <w:sz w:val="18"/>
          <w:szCs w:val="18"/>
        </w:rPr>
      </w:pPr>
      <w:r>
        <w:rPr/>
        <w:pict>
          <v:shape style="position:absolute;margin-left:43.98pt;margin-top:-246.26828pt;width:507.6pt;height:332.9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5"/>
                    <w:gridCol w:w="4963"/>
                    <w:gridCol w:w="911"/>
                    <w:gridCol w:w="1429"/>
                  </w:tblGrid>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浙银合一（杭州）资产管理有限公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太平养老保险股份有限公司－自有 资金</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4,199,960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4,199,960</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长城人寿保险股份有限公司－自有 资金</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3,093,720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3,093,720</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杨积顺</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2,160,000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2,160,000</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李劲霆</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2,127,659</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2,127,659</w:t>
                        </w:r>
                      </w:p>
                    </w:tc>
                  </w:tr>
                  <w:tr>
                    <w:trPr>
                      <w:trHeight w:val="1026"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0"/>
                          <w:jc w:val="both"/>
                          <w:rPr>
                            <w:rFonts w:ascii="宋体" w:hAnsi="宋体" w:cs="宋体" w:eastAsia="宋体" w:hint="default"/>
                            <w:sz w:val="18"/>
                            <w:szCs w:val="18"/>
                          </w:rPr>
                        </w:pPr>
                        <w:r>
                          <w:rPr>
                            <w:rFonts w:ascii="宋体" w:hAnsi="宋体" w:cs="宋体" w:eastAsia="宋体" w:hint="default"/>
                            <w:sz w:val="18"/>
                            <w:szCs w:val="18"/>
                          </w:rPr>
                          <w:t>中国银行股份有限公司－广发中证 环保产业交易型开放式指数证券投 资基金</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1,990,850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56"/>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1,990,850</w:t>
                        </w:r>
                      </w:p>
                    </w:tc>
                  </w:tr>
                  <w:tr>
                    <w:trPr>
                      <w:trHeight w:val="1338"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7303" w:type="dxa"/>
                        <w:gridSpan w:val="3"/>
                        <w:tcBorders>
                          <w:top w:val="single" w:sz="4" w:space="0" w:color="000000"/>
                          <w:left w:val="single" w:sz="9" w:space="0" w:color="D2D2D2"/>
                          <w:bottom w:val="single" w:sz="4" w:space="0" w:color="000000"/>
                          <w:right w:val="single" w:sz="4" w:space="0" w:color="000000"/>
                        </w:tcBorders>
                      </w:tcPr>
                      <w:p>
                        <w:pPr>
                          <w:pStyle w:val="TableParagraph"/>
                          <w:spacing w:line="300"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 或一致行动说明</w:t>
                        </w:r>
                        <w:r>
                          <w:rPr>
                            <w:rFonts w:ascii="宋体" w:hAnsi="宋体" w:cs="宋体" w:eastAsia="宋体" w:hint="default"/>
                            <w:spacing w:val="-46"/>
                            <w:sz w:val="18"/>
                            <w:szCs w:val="18"/>
                          </w:rPr>
                          <w:t> </w:t>
                        </w:r>
                        <w:r>
                          <w:rPr>
                            <w:rFonts w:ascii="Times New Roman" w:hAnsi="Times New Roman" w:cs="Times New Roman" w:eastAsia="Times New Roman" w:hint="default"/>
                            <w:spacing w:val="-18"/>
                            <w:sz w:val="18"/>
                            <w:szCs w:val="18"/>
                          </w:rPr>
                          <w:t>1</w:t>
                        </w:r>
                        <w:r>
                          <w:rPr>
                            <w:rFonts w:ascii="宋体" w:hAnsi="宋体" w:cs="宋体" w:eastAsia="宋体" w:hint="default"/>
                            <w:spacing w:val="-18"/>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名无限售流通股股东中京蓝控股与杨树蓝天互为一致行动关系 </w:t>
                        </w:r>
                        <w:r>
                          <w:rPr>
                            <w:rFonts w:ascii="Times New Roman" w:hAnsi="Times New Roman" w:cs="Times New Roman" w:eastAsia="Times New Roman" w:hint="default"/>
                            <w:sz w:val="18"/>
                            <w:szCs w:val="18"/>
                          </w:rPr>
                          <w:t>2</w:t>
                        </w: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名无限售流通股股东中京蓝控股与前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名股东中杨树蓝天、杨树嘉业、融通资本、 京蓝智享互为一致行动人。</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303"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0"/>
        <w:ind w:left="37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4"/>
        <w:ind w:left="37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37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4"/>
        <w:spacing w:line="240" w:lineRule="auto"/>
        <w:ind w:left="374" w:right="0"/>
        <w:jc w:val="left"/>
        <w:rPr>
          <w:b w:val="0"/>
          <w:bCs w:val="0"/>
        </w:rPr>
      </w:pPr>
      <w:bookmarkStart w:name="2、公司控股股东情况" w:id="130"/>
      <w:bookmarkEnd w:id="130"/>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374" w:right="8592"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控股股东类型：法人</w:t>
      </w:r>
    </w:p>
    <w:tbl>
      <w:tblPr>
        <w:tblW w:w="0" w:type="auto"/>
        <w:jc w:val="left"/>
        <w:tblInd w:w="369" w:type="dxa"/>
        <w:tblLayout w:type="fixed"/>
        <w:tblCellMar>
          <w:top w:w="0" w:type="dxa"/>
          <w:left w:w="0" w:type="dxa"/>
          <w:bottom w:w="0" w:type="dxa"/>
          <w:right w:w="0" w:type="dxa"/>
        </w:tblCellMar>
        <w:tblLook w:val="01E0"/>
      </w:tblPr>
      <w:tblGrid>
        <w:gridCol w:w="2265"/>
        <w:gridCol w:w="1616"/>
        <w:gridCol w:w="1722"/>
        <w:gridCol w:w="1880"/>
        <w:gridCol w:w="2087"/>
      </w:tblGrid>
      <w:tr>
        <w:trPr>
          <w:trHeight w:val="714"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621" w:right="57" w:hanging="5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8"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北京杨树蓝天投资中心（有 限合伙）</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执行事务合伙人法 定代表人：杨仁贵</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91110108062831205X</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投资管理、资产管理；投 资咨询。</w:t>
            </w:r>
          </w:p>
        </w:tc>
      </w:tr>
      <w:tr>
        <w:trPr>
          <w:trHeight w:val="1026"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0"/>
              <w:jc w:val="both"/>
              <w:rPr>
                <w:rFonts w:ascii="宋体" w:hAnsi="宋体" w:cs="宋体" w:eastAsia="宋体" w:hint="default"/>
                <w:sz w:val="18"/>
                <w:szCs w:val="18"/>
              </w:rPr>
            </w:pPr>
            <w:r>
              <w:rPr>
                <w:rFonts w:ascii="宋体" w:hAnsi="宋体" w:cs="宋体" w:eastAsia="宋体" w:hint="default"/>
                <w:sz w:val="18"/>
                <w:szCs w:val="18"/>
              </w:rPr>
              <w:t>控股股东报告期内控股和参 股的其他境内外上市公司的 股权情况</w:t>
            </w:r>
          </w:p>
        </w:tc>
        <w:tc>
          <w:tcPr>
            <w:tcW w:w="73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65"/>
        <w:ind w:left="37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374" w:right="80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after="0" w:line="338" w:lineRule="auto"/>
        <w:jc w:val="left"/>
        <w:rPr>
          <w:rFonts w:ascii="宋体" w:hAnsi="宋体" w:cs="宋体" w:eastAsia="宋体" w:hint="default"/>
          <w:sz w:val="18"/>
          <w:szCs w:val="18"/>
        </w:rPr>
        <w:sectPr>
          <w:pgSz w:w="11910" w:h="16840"/>
          <w:pgMar w:header="747" w:footer="979" w:top="1060" w:bottom="1160" w:left="76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公司实际控制人及其一致行动人" w:id="131"/>
      <w:bookmarkEnd w:id="131"/>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754"/>
        <w:gridCol w:w="1650"/>
        <w:gridCol w:w="1650"/>
        <w:gridCol w:w="3514"/>
      </w:tblGrid>
      <w:tr>
        <w:trPr>
          <w:trHeight w:val="402" w:hRule="exact"/>
        </w:trPr>
        <w:tc>
          <w:tcPr>
            <w:tcW w:w="2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3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0"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2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郭绍增</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8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未在本公司任职。</w:t>
            </w:r>
          </w:p>
        </w:tc>
      </w:tr>
      <w:tr>
        <w:trPr>
          <w:trHeight w:val="714" w:hRule="exact"/>
        </w:trPr>
        <w:tc>
          <w:tcPr>
            <w:tcW w:w="2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 司情况</w:t>
            </w:r>
          </w:p>
        </w:tc>
        <w:tc>
          <w:tcPr>
            <w:tcW w:w="68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京蓝科技</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11"/>
        <w:rPr>
          <w:rFonts w:ascii="宋体" w:hAnsi="宋体" w:cs="宋体" w:eastAsia="宋体" w:hint="default"/>
          <w:sz w:val="25"/>
          <w:szCs w:val="25"/>
        </w:rPr>
      </w:pPr>
    </w:p>
    <w:p>
      <w:pPr>
        <w:spacing w:line="5616" w:lineRule="exact"/>
        <w:ind w:left="154" w:right="0" w:firstLine="0"/>
        <w:rPr>
          <w:rFonts w:ascii="宋体" w:hAnsi="宋体" w:cs="宋体" w:eastAsia="宋体" w:hint="default"/>
          <w:sz w:val="20"/>
          <w:szCs w:val="20"/>
        </w:rPr>
      </w:pPr>
      <w:r>
        <w:rPr>
          <w:rFonts w:ascii="宋体" w:hAnsi="宋体" w:cs="宋体" w:eastAsia="宋体" w:hint="default"/>
          <w:position w:val="-111"/>
          <w:sz w:val="20"/>
          <w:szCs w:val="20"/>
        </w:rPr>
        <w:drawing>
          <wp:inline distT="0" distB="0" distL="0" distR="0">
            <wp:extent cx="6491777" cy="3566541"/>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4" cstate="print"/>
                    <a:stretch>
                      <a:fillRect/>
                    </a:stretch>
                  </pic:blipFill>
                  <pic:spPr>
                    <a:xfrm>
                      <a:off x="0" y="0"/>
                      <a:ext cx="6491777" cy="3566541"/>
                    </a:xfrm>
                    <a:prstGeom prst="rect">
                      <a:avLst/>
                    </a:prstGeom>
                  </pic:spPr>
                </pic:pic>
              </a:graphicData>
            </a:graphic>
          </wp:inline>
        </w:drawing>
      </w:r>
      <w:r>
        <w:rPr>
          <w:rFonts w:ascii="宋体" w:hAnsi="宋体" w:cs="宋体" w:eastAsia="宋体" w:hint="default"/>
          <w:position w:val="-111"/>
          <w:sz w:val="20"/>
          <w:szCs w:val="20"/>
        </w:rPr>
      </w:r>
    </w:p>
    <w:p>
      <w:pPr>
        <w:spacing w:line="240" w:lineRule="auto" w:before="12"/>
        <w:rPr>
          <w:rFonts w:ascii="宋体" w:hAnsi="宋体" w:cs="宋体" w:eastAsia="宋体" w:hint="default"/>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其他持股在10%以上的法人股东" w:id="132"/>
      <w:bookmarkEnd w:id="132"/>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579"/>
        <w:gridCol w:w="1817"/>
        <w:gridCol w:w="1411"/>
        <w:gridCol w:w="1637"/>
        <w:gridCol w:w="2124"/>
      </w:tblGrid>
      <w:tr>
        <w:trPr>
          <w:trHeight w:val="714" w:hRule="exact"/>
        </w:trPr>
        <w:tc>
          <w:tcPr>
            <w:tcW w:w="2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812" w:right="69"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79"/>
        <w:gridCol w:w="1817"/>
        <w:gridCol w:w="1411"/>
        <w:gridCol w:w="1637"/>
        <w:gridCol w:w="2124"/>
      </w:tblGrid>
      <w:tr>
        <w:trPr>
          <w:trHeight w:val="714"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北京杨树嘉业投资中心（有限合 伙）</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执行事务合伙人法定 代表人：杨仁贵</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投资管理；资产管理。</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控股股东、实际控制人、重组方及其他承诺主体股份限制减持情况" w:id="133"/>
      <w:bookmarkEnd w:id="133"/>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56" w:lineRule="auto" w:before="157"/>
        <w:ind w:right="1134" w:firstLine="42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年公司完成了以发行股份及支付现金购买京蓝沐禾</w:t>
      </w:r>
      <w:r>
        <w:rPr>
          <w:rFonts w:ascii="Times New Roman" w:hAnsi="Times New Roman" w:cs="Times New Roman" w:eastAsia="Times New Roman" w:hint="default"/>
        </w:rPr>
        <w:t>100%</w:t>
      </w:r>
      <w:r>
        <w:rPr/>
        <w:t>股权同时募集配套资金项目，除已 解除限售股东外的其他交易对方</w:t>
      </w:r>
      <w:r>
        <w:rPr>
          <w:rFonts w:ascii="Times New Roman" w:hAnsi="Times New Roman" w:cs="Times New Roman" w:eastAsia="Times New Roman" w:hint="default"/>
        </w:rPr>
        <w:t>/</w:t>
      </w:r>
      <w:r>
        <w:rPr/>
        <w:t>募集资金认购方在本项目中所获股份减持情况如下：</w:t>
      </w:r>
    </w:p>
    <w:p>
      <w:pPr>
        <w:pStyle w:val="BodyText"/>
        <w:spacing w:line="264" w:lineRule="auto" w:before="125"/>
        <w:ind w:right="1131" w:firstLine="420"/>
        <w:jc w:val="both"/>
      </w:pPr>
      <w:r>
        <w:rPr>
          <w:spacing w:val="-1"/>
        </w:rPr>
        <w:t>杨树蓝天、杨树嘉业、乌力吉、融通资本、京蓝智享、朗森汽车在重大资产重组发行中认购取得的对</w:t>
      </w:r>
      <w:r>
        <w:rPr/>
        <w:t> </w:t>
      </w:r>
      <w:r>
        <w:rPr>
          <w:spacing w:val="-1"/>
        </w:rPr>
        <w:t>价股份，自新增股份上市日起</w:t>
      </w:r>
      <w:r>
        <w:rPr>
          <w:rFonts w:ascii="Times New Roman" w:hAnsi="Times New Roman" w:cs="Times New Roman" w:eastAsia="Times New Roman" w:hint="default"/>
          <w:spacing w:val="-1"/>
        </w:rPr>
        <w:t>36</w:t>
      </w:r>
      <w:r>
        <w:rPr>
          <w:spacing w:val="-1"/>
        </w:rPr>
        <w:t>个月内不得转让，即限售期为</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16</w:t>
      </w:r>
      <w:r>
        <w:rPr>
          <w:spacing w:val="-1"/>
        </w:rPr>
        <w:t>日至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15</w:t>
      </w:r>
      <w:r>
        <w:rPr>
          <w:spacing w:val="-1"/>
        </w:rPr>
        <w:t>日。截至目</w:t>
      </w:r>
      <w:r>
        <w:rPr>
          <w:spacing w:val="-85"/>
        </w:rPr>
        <w:t> </w:t>
      </w:r>
      <w:r>
        <w:rPr>
          <w:spacing w:val="-85"/>
        </w:rPr>
      </w:r>
      <w:r>
        <w:rPr/>
        <w:t>前，各方未出现违背承诺情况。</w:t>
      </w:r>
    </w:p>
    <w:p>
      <w:pPr>
        <w:pStyle w:val="BodyText"/>
        <w:spacing w:line="256" w:lineRule="auto" w:before="136"/>
        <w:ind w:right="1133" w:firstLine="42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年公司完成了以发行股份及支付现金购买京蓝园林</w:t>
      </w:r>
      <w:r>
        <w:rPr>
          <w:rFonts w:ascii="Times New Roman" w:hAnsi="Times New Roman" w:cs="Times New Roman" w:eastAsia="Times New Roman" w:hint="default"/>
        </w:rPr>
        <w:t>90.11%</w:t>
      </w:r>
      <w:r>
        <w:rPr/>
        <w:t>股权同时募集配套基金项目，除 已解除限售股东外的其他交易对方</w:t>
      </w:r>
      <w:r>
        <w:rPr>
          <w:rFonts w:ascii="Times New Roman" w:hAnsi="Times New Roman" w:cs="Times New Roman" w:eastAsia="Times New Roman" w:hint="default"/>
        </w:rPr>
        <w:t>/</w:t>
      </w:r>
      <w:r>
        <w:rPr/>
        <w:t>募集资金认购方在本项目中所获股份减持情况如下：</w:t>
      </w:r>
    </w:p>
    <w:p>
      <w:pPr>
        <w:spacing w:line="240" w:lineRule="auto" w:before="4"/>
        <w:rPr>
          <w:rFonts w:ascii="宋体" w:hAnsi="宋体" w:cs="宋体" w:eastAsia="宋体" w:hint="default"/>
          <w:sz w:val="14"/>
          <w:szCs w:val="14"/>
        </w:rPr>
      </w:pPr>
    </w:p>
    <w:p>
      <w:pPr>
        <w:spacing w:line="3960" w:lineRule="exact"/>
        <w:ind w:left="154" w:right="0" w:firstLine="0"/>
        <w:rPr>
          <w:rFonts w:ascii="宋体" w:hAnsi="宋体" w:cs="宋体" w:eastAsia="宋体" w:hint="default"/>
          <w:sz w:val="20"/>
          <w:szCs w:val="20"/>
        </w:rPr>
      </w:pPr>
      <w:r>
        <w:rPr>
          <w:rFonts w:ascii="宋体" w:hAnsi="宋体" w:cs="宋体" w:eastAsia="宋体" w:hint="default"/>
          <w:position w:val="-78"/>
          <w:sz w:val="20"/>
          <w:szCs w:val="20"/>
        </w:rPr>
        <w:drawing>
          <wp:inline distT="0" distB="0" distL="0" distR="0">
            <wp:extent cx="6332699" cy="2514790"/>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15" cstate="print"/>
                    <a:stretch>
                      <a:fillRect/>
                    </a:stretch>
                  </pic:blipFill>
                  <pic:spPr>
                    <a:xfrm>
                      <a:off x="0" y="0"/>
                      <a:ext cx="6332699" cy="2514790"/>
                    </a:xfrm>
                    <a:prstGeom prst="rect">
                      <a:avLst/>
                    </a:prstGeom>
                  </pic:spPr>
                </pic:pic>
              </a:graphicData>
            </a:graphic>
          </wp:inline>
        </w:drawing>
      </w:r>
      <w:r>
        <w:rPr>
          <w:rFonts w:ascii="宋体" w:hAnsi="宋体" w:cs="宋体" w:eastAsia="宋体" w:hint="default"/>
          <w:position w:val="-78"/>
          <w:sz w:val="20"/>
          <w:szCs w:val="20"/>
        </w:rPr>
      </w:r>
    </w:p>
    <w:p>
      <w:pPr>
        <w:pStyle w:val="BodyText"/>
        <w:spacing w:line="256" w:lineRule="auto" w:before="153"/>
        <w:ind w:right="1130" w:firstLine="420"/>
        <w:jc w:val="both"/>
      </w:pPr>
      <w:r>
        <w:rPr>
          <w:spacing w:val="-1"/>
        </w:rPr>
        <w:t>本次交易中，周海峰等</w:t>
      </w:r>
      <w:r>
        <w:rPr>
          <w:rFonts w:ascii="Times New Roman" w:hAnsi="Times New Roman" w:cs="Times New Roman" w:eastAsia="Times New Roman" w:hint="default"/>
          <w:spacing w:val="-1"/>
        </w:rPr>
        <w:t>25</w:t>
      </w:r>
      <w:r>
        <w:rPr>
          <w:spacing w:val="-1"/>
        </w:rPr>
        <w:t>名自然人认购的本次发行股份自新股上市之日起</w:t>
      </w:r>
      <w:r>
        <w:rPr>
          <w:rFonts w:ascii="Times New Roman" w:hAnsi="Times New Roman" w:cs="Times New Roman" w:eastAsia="Times New Roman" w:hint="default"/>
          <w:spacing w:val="-1"/>
        </w:rPr>
        <w:t>12</w:t>
      </w:r>
      <w:r>
        <w:rPr>
          <w:spacing w:val="-1"/>
        </w:rPr>
        <w:t>个月内不得转让，即限售</w:t>
      </w:r>
      <w:r>
        <w:rPr/>
        <w:t> 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日公司实施完成了</w:t>
      </w:r>
      <w:r>
        <w:rPr>
          <w:rFonts w:ascii="Times New Roman" w:hAnsi="Times New Roman" w:cs="Times New Roman" w:eastAsia="Times New Roman" w:hint="default"/>
        </w:rPr>
        <w:t>2017</w:t>
      </w:r>
      <w:r>
        <w:rPr/>
        <w:t>年度利润分配及资本公积金</w:t>
      </w:r>
      <w:r>
        <w:rPr>
          <w:spacing w:val="-37"/>
        </w:rPr>
        <w:t> </w:t>
      </w:r>
      <w:r>
        <w:rPr>
          <w:spacing w:val="-37"/>
        </w:rPr>
      </w:r>
      <w:r>
        <w:rPr>
          <w:spacing w:val="-1"/>
        </w:rPr>
        <w:t>转增股本方案，周海峰等</w:t>
      </w:r>
      <w:r>
        <w:rPr>
          <w:rFonts w:ascii="Times New Roman" w:hAnsi="Times New Roman" w:cs="Times New Roman" w:eastAsia="Times New Roman" w:hint="default"/>
          <w:spacing w:val="-1"/>
        </w:rPr>
        <w:t>25</w:t>
      </w:r>
      <w:r>
        <w:rPr>
          <w:spacing w:val="-1"/>
        </w:rPr>
        <w:t>名自然人合计持有的本次有限售条件流通股由</w:t>
      </w:r>
      <w:r>
        <w:rPr>
          <w:rFonts w:ascii="Times New Roman" w:hAnsi="Times New Roman" w:cs="Times New Roman" w:eastAsia="Times New Roman" w:hint="default"/>
          <w:spacing w:val="-1"/>
        </w:rPr>
        <w:t>1,688,158</w:t>
      </w:r>
      <w:r>
        <w:rPr>
          <w:spacing w:val="-1"/>
        </w:rPr>
        <w:t>股增至</w:t>
      </w:r>
      <w:r>
        <w:rPr>
          <w:rFonts w:ascii="Times New Roman" w:hAnsi="Times New Roman" w:cs="Times New Roman" w:eastAsia="Times New Roman" w:hint="default"/>
          <w:spacing w:val="-1"/>
        </w:rPr>
        <w:t>2,025,790</w:t>
      </w:r>
      <w:r>
        <w:rPr>
          <w:spacing w:val="-1"/>
        </w:rPr>
        <w:t>股，该</w:t>
      </w:r>
      <w:r>
        <w:rPr>
          <w:spacing w:val="-74"/>
        </w:rPr>
        <w:t> </w:t>
      </w:r>
      <w:r>
        <w:rPr>
          <w:spacing w:val="-74"/>
        </w:rPr>
      </w:r>
      <w:r>
        <w:rPr>
          <w:rFonts w:ascii="Times New Roman" w:hAnsi="Times New Roman" w:cs="Times New Roman" w:eastAsia="Times New Roman" w:hint="default"/>
        </w:rPr>
        <w:t>2,025,790</w:t>
      </w:r>
      <w:r>
        <w:rPr/>
        <w:t>股股份于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日上市流通。</w:t>
      </w:r>
    </w:p>
    <w:p>
      <w:pPr>
        <w:spacing w:after="0" w:line="25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0"/>
        <w:jc w:val="left"/>
        <w:rPr>
          <w:b w:val="0"/>
          <w:bCs w:val="0"/>
        </w:rPr>
      </w:pPr>
      <w:bookmarkStart w:name="第七节 优先股相关情况" w:id="134"/>
      <w:bookmarkEnd w:id="134"/>
      <w:r>
        <w:rPr>
          <w:b w:val="0"/>
          <w:bCs w:val="0"/>
        </w:rPr>
      </w:r>
      <w:bookmarkStart w:name="_bookmark5" w:id="135"/>
      <w:bookmarkEnd w:id="135"/>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40" w:lineRule="auto" w:before="44"/>
        <w:ind w:left="154" w:right="85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860" w:right="0"/>
        <w:jc w:val="left"/>
        <w:rPr>
          <w:b w:val="0"/>
          <w:bCs w:val="0"/>
        </w:rPr>
      </w:pPr>
      <w:bookmarkStart w:name="第八节 董事、监事、高级管理人员和员工情况" w:id="136"/>
      <w:bookmarkEnd w:id="136"/>
      <w:r>
        <w:rPr>
          <w:b w:val="0"/>
          <w:bCs w:val="0"/>
        </w:rPr>
      </w:r>
      <w:bookmarkStart w:name="_bookmark6" w:id="137"/>
      <w:bookmarkEnd w:id="137"/>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334" w:right="0"/>
        <w:jc w:val="left"/>
        <w:rPr>
          <w:b w:val="0"/>
          <w:bCs w:val="0"/>
        </w:rPr>
      </w:pPr>
      <w:bookmarkStart w:name="一、董事、监事和高级管理人员持股变动" w:id="138"/>
      <w:bookmarkEnd w:id="138"/>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5" w:type="dxa"/>
        <w:tblLayout w:type="fixed"/>
        <w:tblCellMar>
          <w:top w:w="0" w:type="dxa"/>
          <w:left w:w="0" w:type="dxa"/>
          <w:bottom w:w="0" w:type="dxa"/>
          <w:right w:w="0" w:type="dxa"/>
        </w:tblCellMar>
        <w:tblLook w:val="01E0"/>
      </w:tblPr>
      <w:tblGrid>
        <w:gridCol w:w="815"/>
        <w:gridCol w:w="814"/>
        <w:gridCol w:w="815"/>
        <w:gridCol w:w="814"/>
        <w:gridCol w:w="653"/>
        <w:gridCol w:w="976"/>
        <w:gridCol w:w="1050"/>
        <w:gridCol w:w="869"/>
        <w:gridCol w:w="527"/>
        <w:gridCol w:w="749"/>
        <w:gridCol w:w="992"/>
        <w:gridCol w:w="992"/>
      </w:tblGrid>
      <w:tr>
        <w:trPr>
          <w:trHeight w:val="1649" w:hRule="exact"/>
        </w:trPr>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360" w:lineRule="auto"/>
              <w:ind w:left="302" w:right="12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360" w:lineRule="auto"/>
              <w:ind w:left="340" w:right="15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 w:right="77"/>
              <w:jc w:val="both"/>
              <w:rPr>
                <w:rFonts w:ascii="宋体" w:hAnsi="宋体" w:cs="宋体" w:eastAsia="宋体" w:hint="default"/>
                <w:sz w:val="18"/>
                <w:szCs w:val="18"/>
              </w:rPr>
            </w:pPr>
            <w:r>
              <w:rPr>
                <w:rFonts w:ascii="宋体" w:hAnsi="宋体" w:cs="宋体" w:eastAsia="宋体" w:hint="default"/>
                <w:sz w:val="18"/>
                <w:szCs w:val="18"/>
              </w:rPr>
              <w:t>本期 增持 股份 数量</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98" w:right="98"/>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98" w:right="0"/>
              <w:jc w:val="both"/>
              <w:rPr>
                <w:rFonts w:ascii="宋体" w:hAnsi="宋体" w:cs="宋体" w:eastAsia="宋体" w:hint="default"/>
                <w:sz w:val="18"/>
                <w:szCs w:val="18"/>
              </w:rPr>
            </w:pPr>
            <w:r>
              <w:rPr>
                <w:rFonts w:ascii="宋体" w:hAnsi="宋体" w:cs="宋体" w:eastAsia="宋体" w:hint="default"/>
                <w:sz w:val="18"/>
                <w:szCs w:val="18"/>
              </w:rPr>
              <w:t>（股）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130" w:right="41" w:hanging="90"/>
              <w:jc w:val="left"/>
              <w:rPr>
                <w:rFonts w:ascii="宋体" w:hAnsi="宋体" w:cs="宋体" w:eastAsia="宋体" w:hint="default"/>
                <w:sz w:val="18"/>
                <w:szCs w:val="18"/>
              </w:rPr>
            </w:pPr>
            <w:r>
              <w:rPr>
                <w:rFonts w:ascii="宋体" w:hAnsi="宋体" w:cs="宋体" w:eastAsia="宋体" w:hint="default"/>
                <w:sz w:val="18"/>
                <w:szCs w:val="18"/>
              </w:rPr>
              <w:t>其他增减变 动（股）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4" w:hRule="exact"/>
        </w:trPr>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杨仁贵</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6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阎涛</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6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吴春军</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1" w:right="41"/>
              <w:jc w:val="left"/>
              <w:rPr>
                <w:rFonts w:ascii="宋体" w:hAnsi="宋体" w:cs="宋体" w:eastAsia="宋体" w:hint="default"/>
                <w:sz w:val="18"/>
                <w:szCs w:val="18"/>
              </w:rPr>
            </w:pPr>
            <w:r>
              <w:rPr>
                <w:rFonts w:ascii="宋体" w:hAnsi="宋体" w:cs="宋体" w:eastAsia="宋体" w:hint="default"/>
                <w:sz w:val="18"/>
                <w:szCs w:val="18"/>
              </w:rPr>
              <w:t>董事、首 席执行官</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6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姜俐赜</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11" w:right="41" w:hanging="270"/>
              <w:jc w:val="left"/>
              <w:rPr>
                <w:rFonts w:ascii="宋体" w:hAnsi="宋体" w:cs="宋体" w:eastAsia="宋体" w:hint="default"/>
                <w:sz w:val="18"/>
                <w:szCs w:val="18"/>
              </w:rPr>
            </w:pPr>
            <w:r>
              <w:rPr>
                <w:rFonts w:ascii="宋体" w:hAnsi="宋体" w:cs="宋体" w:eastAsia="宋体" w:hint="default"/>
                <w:sz w:val="18"/>
                <w:szCs w:val="18"/>
              </w:rPr>
              <w:t>董事、总 裁</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56</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6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韩志权</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41" w:right="41"/>
              <w:jc w:val="left"/>
              <w:rPr>
                <w:rFonts w:ascii="宋体" w:hAnsi="宋体" w:cs="宋体" w:eastAsia="宋体" w:hint="default"/>
                <w:sz w:val="18"/>
                <w:szCs w:val="18"/>
              </w:rPr>
            </w:pPr>
            <w:r>
              <w:rPr>
                <w:rFonts w:ascii="宋体" w:hAnsi="宋体" w:cs="宋体" w:eastAsia="宋体" w:hint="default"/>
                <w:sz w:val="18"/>
                <w:szCs w:val="18"/>
              </w:rPr>
              <w:t>董事、常 务副总裁</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6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刘欣</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1" w:right="41"/>
              <w:jc w:val="both"/>
              <w:rPr>
                <w:rFonts w:ascii="宋体" w:hAnsi="宋体" w:cs="宋体" w:eastAsia="宋体" w:hint="default"/>
                <w:sz w:val="18"/>
                <w:szCs w:val="18"/>
              </w:rPr>
            </w:pPr>
            <w:r>
              <w:rPr>
                <w:rFonts w:ascii="宋体" w:hAnsi="宋体" w:cs="宋体" w:eastAsia="宋体" w:hint="default"/>
                <w:sz w:val="18"/>
                <w:szCs w:val="18"/>
              </w:rPr>
              <w:t>董事、副 总裁、董 事会秘书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6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103,999</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124,799</w:t>
            </w:r>
          </w:p>
        </w:tc>
      </w:tr>
      <w:tr>
        <w:trPr>
          <w:trHeight w:val="714" w:hRule="exact"/>
        </w:trPr>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陈方清</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67</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6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聂兴凯</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6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尹洲澄</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11" w:right="41" w:hanging="270"/>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77</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6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孟陈</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33</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6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张世玉</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1" w:right="41" w:hanging="180"/>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7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郭源源</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41" w:right="41"/>
              <w:jc w:val="center"/>
              <w:rPr>
                <w:rFonts w:ascii="宋体" w:hAnsi="宋体" w:cs="宋体" w:eastAsia="宋体" w:hint="default"/>
                <w:sz w:val="18"/>
                <w:szCs w:val="18"/>
              </w:rPr>
            </w:pPr>
            <w:r>
              <w:rPr>
                <w:rFonts w:ascii="宋体" w:hAnsi="宋体" w:cs="宋体" w:eastAsia="宋体" w:hint="default"/>
                <w:sz w:val="18"/>
                <w:szCs w:val="18"/>
              </w:rPr>
              <w:t>副总裁、 财务负责 人</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6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414,500</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82,900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497,400</w:t>
            </w:r>
          </w:p>
        </w:tc>
      </w:tr>
      <w:tr>
        <w:trPr>
          <w:trHeight w:val="715" w:hRule="exact"/>
        </w:trPr>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李文明</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6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800" w:right="0"/>
        </w:sectPr>
      </w:pPr>
    </w:p>
    <w:p>
      <w:pPr>
        <w:spacing w:line="240" w:lineRule="auto" w:before="6"/>
        <w:rPr>
          <w:rFonts w:ascii="宋体" w:hAnsi="宋体" w:cs="宋体" w:eastAsia="宋体" w:hint="default"/>
          <w:b/>
          <w:bCs/>
          <w:sz w:val="28"/>
          <w:szCs w:val="28"/>
        </w:rPr>
      </w:pPr>
    </w:p>
    <w:tbl>
      <w:tblPr>
        <w:tblW w:w="0" w:type="auto"/>
        <w:jc w:val="left"/>
        <w:tblInd w:w="115" w:type="dxa"/>
        <w:tblLayout w:type="fixed"/>
        <w:tblCellMar>
          <w:top w:w="0" w:type="dxa"/>
          <w:left w:w="0" w:type="dxa"/>
          <w:bottom w:w="0" w:type="dxa"/>
          <w:right w:w="0" w:type="dxa"/>
        </w:tblCellMar>
        <w:tblLook w:val="01E0"/>
      </w:tblPr>
      <w:tblGrid>
        <w:gridCol w:w="815"/>
        <w:gridCol w:w="814"/>
        <w:gridCol w:w="815"/>
        <w:gridCol w:w="814"/>
        <w:gridCol w:w="653"/>
        <w:gridCol w:w="976"/>
        <w:gridCol w:w="1050"/>
        <w:gridCol w:w="869"/>
        <w:gridCol w:w="527"/>
        <w:gridCol w:w="749"/>
        <w:gridCol w:w="992"/>
        <w:gridCol w:w="992"/>
      </w:tblGrid>
      <w:tr>
        <w:trPr>
          <w:trHeight w:val="714" w:hRule="exact"/>
        </w:trPr>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冯玉禄</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56</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6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乌力吉</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6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48,178,972</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9,635,794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57,814,766</w:t>
            </w:r>
          </w:p>
        </w:tc>
      </w:tr>
      <w:tr>
        <w:trPr>
          <w:trHeight w:val="714" w:hRule="exact"/>
        </w:trPr>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高学刚</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58</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6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5,938,547</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1,187,709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7,126,256</w:t>
            </w:r>
          </w:p>
        </w:tc>
      </w:tr>
      <w:tr>
        <w:trPr>
          <w:trHeight w:val="714" w:hRule="exact"/>
        </w:trPr>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郭绍全</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6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石英</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56</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6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高伟</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11" w:right="41" w:hanging="270"/>
              <w:jc w:val="left"/>
              <w:rPr>
                <w:rFonts w:ascii="宋体" w:hAnsi="宋体" w:cs="宋体" w:eastAsia="宋体" w:hint="default"/>
                <w:sz w:val="18"/>
                <w:szCs w:val="18"/>
              </w:rPr>
            </w:pPr>
            <w:r>
              <w:rPr>
                <w:rFonts w:ascii="宋体" w:hAnsi="宋体" w:cs="宋体" w:eastAsia="宋体" w:hint="default"/>
                <w:sz w:val="18"/>
                <w:szCs w:val="18"/>
              </w:rPr>
              <w:t>执行总经 理</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6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249,600</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49,920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299,520</w:t>
            </w:r>
          </w:p>
        </w:tc>
      </w:tr>
      <w:tr>
        <w:trPr>
          <w:trHeight w:val="714" w:hRule="exact"/>
        </w:trPr>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张菁桦</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16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蒋琳瑗</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6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r>
      <w:tr>
        <w:trPr>
          <w:trHeight w:val="727" w:hRule="exact"/>
        </w:trPr>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54,885,618</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10,977,123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65,862,741</w:t>
            </w:r>
          </w:p>
        </w:tc>
      </w:tr>
    </w:tbl>
    <w:p>
      <w:pPr>
        <w:spacing w:line="240" w:lineRule="auto" w:before="2"/>
        <w:rPr>
          <w:rFonts w:ascii="宋体" w:hAnsi="宋体" w:cs="宋体" w:eastAsia="宋体" w:hint="default"/>
          <w:b/>
          <w:bCs/>
          <w:sz w:val="18"/>
          <w:szCs w:val="18"/>
        </w:rPr>
      </w:pPr>
    </w:p>
    <w:p>
      <w:pPr>
        <w:pStyle w:val="Heading2"/>
        <w:spacing w:line="240" w:lineRule="auto" w:before="26"/>
        <w:ind w:left="334" w:right="0"/>
        <w:jc w:val="left"/>
        <w:rPr>
          <w:b w:val="0"/>
          <w:bCs w:val="0"/>
        </w:rPr>
      </w:pPr>
      <w:bookmarkStart w:name="二、公司董事、监事、高级管理人员变动情况" w:id="139"/>
      <w:bookmarkEnd w:id="139"/>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spacing w:before="0"/>
        <w:ind w:left="3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364" w:type="dxa"/>
        <w:tblLayout w:type="fixed"/>
        <w:tblCellMar>
          <w:top w:w="0" w:type="dxa"/>
          <w:left w:w="0" w:type="dxa"/>
          <w:bottom w:w="0" w:type="dxa"/>
          <w:right w:w="0" w:type="dxa"/>
        </w:tblCellMar>
        <w:tblLook w:val="01E0"/>
      </w:tblPr>
      <w:tblGrid>
        <w:gridCol w:w="1331"/>
        <w:gridCol w:w="1330"/>
        <w:gridCol w:w="1330"/>
        <w:gridCol w:w="2106"/>
        <w:gridCol w:w="3472"/>
      </w:tblGrid>
      <w:tr>
        <w:trPr>
          <w:trHeight w:val="402" w:hRule="exact"/>
        </w:trPr>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刘欣</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公司股东大会聘任</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蒋琳瑗</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个人原因，主动辞职</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杨仁贵</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解聘</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职务变更</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姜俐赜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公司董事会聘任</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姜俐赜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常务副总裁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解聘</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职务变更</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张菁桦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解聘</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个人原因，主动辞职</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韩志权</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常务副总裁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公司董事会聘任</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韩志权</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解聘</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职务变更</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执行总经理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解聘</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个人原因，主动辞职</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李文明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公司董事会聘任</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吴春军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首席执行官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公司董事会聘任</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冯玉禄</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公司董事会聘任</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韩志权</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公司股东大会聘任</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吴春军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公司股东大会聘任</w:t>
            </w:r>
          </w:p>
        </w:tc>
      </w:tr>
    </w:tbl>
    <w:p>
      <w:pPr>
        <w:spacing w:after="0" w:line="240" w:lineRule="auto"/>
        <w:jc w:val="left"/>
        <w:rPr>
          <w:rFonts w:ascii="宋体" w:hAnsi="宋体" w:cs="宋体" w:eastAsia="宋体" w:hint="default"/>
          <w:sz w:val="18"/>
          <w:szCs w:val="18"/>
        </w:rPr>
        <w:sectPr>
          <w:pgSz w:w="11910" w:h="16840"/>
          <w:pgMar w:header="747" w:footer="979" w:top="1060" w:bottom="1160" w:left="800" w:right="0"/>
        </w:sectPr>
      </w:pPr>
    </w:p>
    <w:p>
      <w:pPr>
        <w:spacing w:line="240" w:lineRule="auto" w:before="6"/>
        <w:rPr>
          <w:rFonts w:ascii="宋体" w:hAnsi="宋体" w:cs="宋体" w:eastAsia="宋体" w:hint="default"/>
          <w:sz w:val="28"/>
          <w:szCs w:val="28"/>
        </w:rPr>
      </w:pPr>
    </w:p>
    <w:tbl>
      <w:tblPr>
        <w:tblW w:w="0" w:type="auto"/>
        <w:jc w:val="left"/>
        <w:tblInd w:w="183" w:type="dxa"/>
        <w:tblLayout w:type="fixed"/>
        <w:tblCellMar>
          <w:top w:w="0" w:type="dxa"/>
          <w:left w:w="0" w:type="dxa"/>
          <w:bottom w:w="0" w:type="dxa"/>
          <w:right w:w="0" w:type="dxa"/>
        </w:tblCellMar>
        <w:tblLook w:val="01E0"/>
      </w:tblPr>
      <w:tblGrid>
        <w:gridCol w:w="1331"/>
        <w:gridCol w:w="1330"/>
        <w:gridCol w:w="1330"/>
        <w:gridCol w:w="2106"/>
        <w:gridCol w:w="3472"/>
      </w:tblGrid>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公司股东大会聘任</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郭绍全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任期届满，不再任职</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石英</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任期届满，不再任职</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姜俐赜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公司股东大会聘任</w:t>
            </w:r>
          </w:p>
        </w:tc>
      </w:tr>
      <w:tr>
        <w:trPr>
          <w:trHeight w:val="40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殷晓东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公司董事会聘任</w:t>
            </w:r>
          </w:p>
        </w:tc>
      </w:tr>
    </w:tbl>
    <w:p>
      <w:pPr>
        <w:spacing w:line="240" w:lineRule="auto" w:before="2"/>
        <w:rPr>
          <w:rFonts w:ascii="宋体" w:hAnsi="宋体" w:cs="宋体" w:eastAsia="宋体" w:hint="default"/>
          <w:sz w:val="18"/>
          <w:szCs w:val="18"/>
        </w:rPr>
      </w:pPr>
    </w:p>
    <w:p>
      <w:pPr>
        <w:pStyle w:val="Heading2"/>
        <w:spacing w:line="240" w:lineRule="auto" w:before="26"/>
        <w:ind w:right="0"/>
        <w:jc w:val="both"/>
        <w:rPr>
          <w:b w:val="0"/>
          <w:bCs w:val="0"/>
        </w:rPr>
      </w:pPr>
      <w:bookmarkStart w:name="三、任职情况" w:id="140"/>
      <w:bookmarkEnd w:id="140"/>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pStyle w:val="BodyText"/>
        <w:spacing w:line="430" w:lineRule="atLeast" w:before="31"/>
        <w:ind w:left="574" w:right="0"/>
        <w:jc w:val="left"/>
      </w:pPr>
      <w:r>
        <w:rPr>
          <w:rFonts w:ascii="Times New Roman" w:hAnsi="Times New Roman" w:cs="Times New Roman" w:eastAsia="Times New Roman" w:hint="default"/>
        </w:rPr>
        <w:t>1</w:t>
      </w:r>
      <w:r>
        <w:rPr/>
        <w:t>、董事会成员 </w:t>
      </w:r>
      <w:r>
        <w:rPr>
          <w:spacing w:val="-1"/>
        </w:rPr>
        <w:t>董事长：杨仁贵，男，</w:t>
      </w:r>
      <w:r>
        <w:rPr>
          <w:rFonts w:ascii="Times New Roman" w:hAnsi="Times New Roman" w:cs="Times New Roman" w:eastAsia="Times New Roman" w:hint="default"/>
          <w:spacing w:val="-1"/>
        </w:rPr>
        <w:t>1966</w:t>
      </w:r>
      <w:r>
        <w:rPr>
          <w:spacing w:val="-1"/>
        </w:rPr>
        <w:t>年出生，金融博士（在读），清华大学高级工商管理硕士，清华大学五道</w:t>
      </w:r>
    </w:p>
    <w:p>
      <w:pPr>
        <w:pStyle w:val="BodyText"/>
        <w:spacing w:line="266" w:lineRule="auto" w:before="21"/>
        <w:ind w:right="1110"/>
        <w:jc w:val="both"/>
      </w:pPr>
      <w:r>
        <w:rPr>
          <w:spacing w:val="-1"/>
        </w:rPr>
        <w:t>口金融学院高级工商管理硕士。清华大学经管学院北美校友会副会长，清华大学五道口金融学院创业领袖</w:t>
      </w:r>
      <w:r>
        <w:rPr>
          <w:spacing w:val="-81"/>
        </w:rPr>
        <w:t> </w:t>
      </w:r>
      <w:r>
        <w:rPr>
          <w:spacing w:val="-81"/>
        </w:rPr>
      </w:r>
      <w:r>
        <w:rPr>
          <w:spacing w:val="-6"/>
          <w:w w:val="99"/>
        </w:rPr>
        <w:t>项目特聘导师，</w:t>
      </w:r>
      <w:r>
        <w:rPr>
          <w:rFonts w:ascii="Times New Roman" w:hAnsi="Times New Roman" w:cs="Times New Roman" w:eastAsia="Times New Roman" w:hint="default"/>
          <w:spacing w:val="-6"/>
          <w:w w:val="99"/>
        </w:rPr>
        <w:t>2011</w:t>
      </w:r>
      <w:r>
        <w:rPr>
          <w:spacing w:val="-6"/>
          <w:w w:val="99"/>
        </w:rPr>
        <w:t>年</w:t>
      </w:r>
      <w:r>
        <w:rPr>
          <w:rFonts w:ascii="Times New Roman" w:hAnsi="Times New Roman" w:cs="Times New Roman" w:eastAsia="Times New Roman" w:hint="default"/>
          <w:spacing w:val="-6"/>
          <w:w w:val="99"/>
        </w:rPr>
        <w:t>“</w:t>
      </w:r>
      <w:r>
        <w:rPr>
          <w:spacing w:val="-6"/>
          <w:w w:val="99"/>
        </w:rPr>
        <w:t>中国软件产业十年功勋人物</w:t>
      </w:r>
      <w:r>
        <w:rPr>
          <w:rFonts w:ascii="Times New Roman" w:hAnsi="Times New Roman" w:cs="Times New Roman" w:eastAsia="Times New Roman" w:hint="default"/>
          <w:spacing w:val="-6"/>
          <w:w w:val="99"/>
        </w:rPr>
        <w:t>”</w:t>
      </w:r>
      <w:r>
        <w:rPr>
          <w:spacing w:val="-6"/>
          <w:w w:val="99"/>
        </w:rPr>
        <w:t>。曾任博雅软件集团董事长兼总裁，法国</w:t>
      </w:r>
      <w:r>
        <w:rPr>
          <w:rFonts w:ascii="Times New Roman" w:hAnsi="Times New Roman" w:cs="Times New Roman" w:eastAsia="Times New Roman" w:hint="default"/>
          <w:spacing w:val="-6"/>
          <w:w w:val="99"/>
        </w:rPr>
        <w:t>ATOS</w:t>
      </w:r>
      <w:r>
        <w:rPr>
          <w:rFonts w:ascii="Times New Roman" w:hAnsi="Times New Roman" w:cs="Times New Roman" w:eastAsia="Times New Roman" w:hint="default"/>
          <w:spacing w:val="-5"/>
          <w:w w:val="99"/>
        </w:rPr>
        <w:t> </w:t>
      </w:r>
      <w:r>
        <w:rPr>
          <w:rFonts w:ascii="Times New Roman" w:hAnsi="Times New Roman" w:cs="Times New Roman" w:eastAsia="Times New Roman" w:hint="default"/>
          <w:w w:val="99"/>
        </w:rPr>
        <w:t>ORIGIN</w:t>
      </w:r>
      <w:r>
        <w:rPr>
          <w:rFonts w:ascii="Times New Roman" w:hAnsi="Times New Roman" w:cs="Times New Roman" w:eastAsia="Times New Roman" w:hint="default"/>
          <w:spacing w:val="-48"/>
          <w:w w:val="99"/>
        </w:rPr>
        <w:t> </w:t>
      </w:r>
      <w:r>
        <w:rPr>
          <w:rFonts w:ascii="Times New Roman" w:hAnsi="Times New Roman" w:cs="Times New Roman" w:eastAsia="Times New Roman" w:hint="default"/>
          <w:spacing w:val="-48"/>
          <w:w w:val="99"/>
        </w:rPr>
      </w:r>
      <w:r>
        <w:rPr/>
        <w:t>集团中国区资深副总裁、</w:t>
      </w:r>
      <w:r>
        <w:rPr>
          <w:rFonts w:ascii="Times New Roman" w:hAnsi="Times New Roman" w:cs="Times New Roman" w:eastAsia="Times New Roman" w:hint="default"/>
        </w:rPr>
        <w:t>ATOS</w:t>
      </w:r>
      <w:r>
        <w:rPr>
          <w:rFonts w:ascii="Times New Roman" w:hAnsi="Times New Roman" w:cs="Times New Roman" w:eastAsia="Times New Roman" w:hint="default"/>
          <w:spacing w:val="28"/>
        </w:rPr>
        <w:t> </w:t>
      </w:r>
      <w:r>
        <w:rPr>
          <w:rFonts w:ascii="Times New Roman" w:hAnsi="Times New Roman" w:cs="Times New Roman" w:eastAsia="Times New Roman" w:hint="default"/>
        </w:rPr>
        <w:t>KPMG</w:t>
      </w:r>
      <w:r>
        <w:rPr/>
        <w:t>亚太区高级咨询顾问。现任京蓝控股有限公司董事长，杨树常青投 资管理有限公司执行董事、经理，杨树成长投资（北京）有限公司董事长、经理，杨树时代投资（北京） </w:t>
      </w:r>
      <w:r>
        <w:rPr>
          <w:spacing w:val="-1"/>
        </w:rPr>
        <w:t>有限公司执行董事、经理，长江润发医药股份有限公司副董事长，新天科技股份有限公司董事。现任公司</w:t>
      </w:r>
      <w:r>
        <w:rPr>
          <w:spacing w:val="-86"/>
        </w:rPr>
        <w:t> </w:t>
      </w:r>
      <w:r>
        <w:rPr>
          <w:spacing w:val="-86"/>
        </w:rPr>
      </w:r>
      <w:r>
        <w:rPr/>
        <w:t>第九届董事会董事、董事长。</w:t>
      </w:r>
    </w:p>
    <w:p>
      <w:pPr>
        <w:pStyle w:val="BodyText"/>
        <w:spacing w:line="261" w:lineRule="auto" w:before="134"/>
        <w:ind w:right="1132" w:firstLine="420"/>
        <w:jc w:val="both"/>
      </w:pPr>
      <w:r>
        <w:rPr>
          <w:spacing w:val="-1"/>
        </w:rPr>
        <w:t>董事：阎涛，男，</w:t>
      </w:r>
      <w:r>
        <w:rPr>
          <w:rFonts w:ascii="Times New Roman" w:hAnsi="Times New Roman" w:cs="Times New Roman" w:eastAsia="Times New Roman" w:hint="default"/>
          <w:spacing w:val="-1"/>
        </w:rPr>
        <w:t>1969</w:t>
      </w:r>
      <w:r>
        <w:rPr>
          <w:spacing w:val="-1"/>
        </w:rPr>
        <w:t>年出生，清华大学高级工商管理硕士，清华大学五道口金融学院高级工商管理</w:t>
      </w:r>
      <w:r>
        <w:rPr/>
        <w:t> 硕士（在读）。曾获</w:t>
      </w:r>
      <w:r>
        <w:rPr>
          <w:rFonts w:ascii="Times New Roman" w:hAnsi="Times New Roman" w:cs="Times New Roman" w:eastAsia="Times New Roman" w:hint="default"/>
        </w:rPr>
        <w:t>2003</w:t>
      </w:r>
      <w:r>
        <w:rPr>
          <w:rFonts w:ascii="Times New Roman" w:hAnsi="Times New Roman" w:cs="Times New Roman" w:eastAsia="Times New Roman" w:hint="default"/>
          <w:spacing w:val="-9"/>
        </w:rPr>
        <w:t> </w:t>
      </w:r>
      <w:r>
        <w:rPr>
          <w:rFonts w:ascii="Times New Roman" w:hAnsi="Times New Roman" w:cs="Times New Roman" w:eastAsia="Times New Roman" w:hint="default"/>
        </w:rPr>
        <w:t>-2004</w:t>
      </w:r>
      <w:r>
        <w:rPr/>
        <w:t>年度风云人物大奖；</w:t>
      </w:r>
      <w:r>
        <w:rPr>
          <w:rFonts w:ascii="Times New Roman" w:hAnsi="Times New Roman" w:cs="Times New Roman" w:eastAsia="Times New Roman" w:hint="default"/>
        </w:rPr>
        <w:t>2005-2006</w:t>
      </w:r>
      <w:r>
        <w:rPr/>
        <w:t>年荣登河南连锁商业风云榜；</w:t>
      </w:r>
      <w:r>
        <w:rPr>
          <w:rFonts w:ascii="Times New Roman" w:hAnsi="Times New Roman" w:cs="Times New Roman" w:eastAsia="Times New Roman" w:hint="default"/>
        </w:rPr>
        <w:t>2007</w:t>
      </w:r>
      <w:r>
        <w:rPr/>
        <w:t>年荣获第 </w:t>
      </w:r>
      <w:r>
        <w:rPr>
          <w:spacing w:val="-2"/>
        </w:rPr>
        <w:t>十一届河南五四青年奖章；</w:t>
      </w:r>
      <w:r>
        <w:rPr>
          <w:rFonts w:ascii="Times New Roman" w:hAnsi="Times New Roman" w:cs="Times New Roman" w:eastAsia="Times New Roman" w:hint="default"/>
          <w:spacing w:val="-2"/>
        </w:rPr>
        <w:t>2009-2010</w:t>
      </w:r>
      <w:r>
        <w:rPr>
          <w:spacing w:val="-2"/>
        </w:rPr>
        <w:t>年郑州房地产行业年度特别贡献奖。曾任郑州八方电器有限公司董事</w:t>
      </w:r>
      <w:r>
        <w:rPr>
          <w:spacing w:val="-98"/>
        </w:rPr>
        <w:t> </w:t>
      </w:r>
      <w:r>
        <w:rPr>
          <w:spacing w:val="-98"/>
        </w:rPr>
      </w:r>
      <w:r>
        <w:rPr>
          <w:spacing w:val="-1"/>
        </w:rPr>
        <w:t>长，河南省八方和盛电器有限公司董事长、中部大观有限公司（新加坡主板上市）董事长。现任万汇投资</w:t>
      </w:r>
      <w:r>
        <w:rPr>
          <w:spacing w:val="-82"/>
        </w:rPr>
        <w:t> </w:t>
      </w:r>
      <w:r>
        <w:rPr>
          <w:spacing w:val="-82"/>
        </w:rPr>
      </w:r>
      <w:r>
        <w:rPr/>
        <w:t>控股有限公司董事长，公司第九届董事会董事。</w:t>
      </w:r>
    </w:p>
    <w:p>
      <w:pPr>
        <w:pStyle w:val="BodyText"/>
        <w:spacing w:line="256" w:lineRule="auto" w:before="138"/>
        <w:ind w:right="1110" w:firstLine="420"/>
        <w:jc w:val="both"/>
      </w:pPr>
      <w:r>
        <w:rPr>
          <w:spacing w:val="-1"/>
        </w:rPr>
        <w:t>董事：吴春军，男，</w:t>
      </w:r>
      <w:r>
        <w:rPr>
          <w:rFonts w:ascii="Times New Roman" w:hAnsi="Times New Roman" w:cs="Times New Roman" w:eastAsia="Times New Roman" w:hint="default"/>
          <w:spacing w:val="-1"/>
        </w:rPr>
        <w:t>1967</w:t>
      </w:r>
      <w:r>
        <w:rPr>
          <w:spacing w:val="-1"/>
        </w:rPr>
        <w:t>年出生，工商管理硕士学位。</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4</w:t>
      </w:r>
      <w:r>
        <w:rPr>
          <w:spacing w:val="-1"/>
        </w:rPr>
        <w:t>月至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月任中国建筑第六工程局</w:t>
      </w:r>
      <w:r>
        <w:rPr/>
        <w:t> 有限公司董事长、党委书记、法定代表人；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月任中建交通建设集团有限公司董事长、 党委书记、法定代表人；现任京蓝科技首席执行官、第九届董事会董事。</w:t>
      </w:r>
    </w:p>
    <w:p>
      <w:pPr>
        <w:pStyle w:val="BodyText"/>
        <w:spacing w:line="256" w:lineRule="auto" w:before="142"/>
        <w:ind w:right="1133" w:firstLine="420"/>
        <w:jc w:val="both"/>
      </w:pPr>
      <w:r>
        <w:rPr>
          <w:spacing w:val="-1"/>
        </w:rPr>
        <w:t>董事：姜俐赜，</w:t>
      </w:r>
      <w:r>
        <w:rPr>
          <w:rFonts w:ascii="Times New Roman" w:hAnsi="Times New Roman" w:cs="Times New Roman" w:eastAsia="Times New Roman" w:hint="default"/>
          <w:spacing w:val="-1"/>
        </w:rPr>
        <w:t>1963</w:t>
      </w:r>
      <w:r>
        <w:rPr>
          <w:spacing w:val="-1"/>
        </w:rPr>
        <w:t>年出生，经济管理专业，本科学历。曾任国电内蒙古电力（能源）有限公司副总</w:t>
      </w:r>
      <w:r>
        <w:rPr/>
        <w:t> 经理。曾任公司常务副总裁，现任公司总裁，第九届董事会董事。</w:t>
      </w:r>
    </w:p>
    <w:p>
      <w:pPr>
        <w:pStyle w:val="BodyText"/>
        <w:spacing w:line="256" w:lineRule="auto" w:before="142"/>
        <w:ind w:right="1129" w:firstLine="420"/>
        <w:jc w:val="both"/>
      </w:pPr>
      <w:r>
        <w:rPr/>
        <w:t>董事：韩志权，男，</w:t>
      </w:r>
      <w:r>
        <w:rPr>
          <w:rFonts w:ascii="Times New Roman" w:hAnsi="Times New Roman" w:cs="Times New Roman" w:eastAsia="Times New Roman" w:hint="default"/>
        </w:rPr>
        <w:t>1969</w:t>
      </w:r>
      <w:r>
        <w:rPr/>
        <w:t>年出生，金融学硕士学位。</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月任中国银行廊坊分行党 </w:t>
      </w:r>
      <w:r>
        <w:rPr>
          <w:spacing w:val="-1"/>
        </w:rPr>
        <w:t>委委员、副行长；</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4</w:t>
      </w:r>
      <w:r>
        <w:rPr>
          <w:spacing w:val="-1"/>
        </w:rPr>
        <w:t>月至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spacing w:val="-1"/>
        </w:rPr>
        <w:t>月任交通银行廊坊分行党委书记、行长。</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月任</w:t>
      </w:r>
      <w:r>
        <w:rPr>
          <w:spacing w:val="-78"/>
        </w:rPr>
        <w:t> </w:t>
      </w:r>
      <w:r>
        <w:rPr/>
        <w:t>公司副总裁，曾任公司第八届董事会董事，现任公司常务副总裁，第九届董事会董事。</w:t>
      </w:r>
    </w:p>
    <w:p>
      <w:pPr>
        <w:pStyle w:val="BodyText"/>
        <w:spacing w:line="256" w:lineRule="auto" w:before="142"/>
        <w:ind w:right="1132" w:firstLine="420"/>
        <w:jc w:val="both"/>
      </w:pPr>
      <w:r>
        <w:rPr>
          <w:spacing w:val="-1"/>
        </w:rPr>
        <w:t>董事：刘欣，女，</w:t>
      </w:r>
      <w:r>
        <w:rPr>
          <w:rFonts w:ascii="Times New Roman" w:hAnsi="Times New Roman" w:cs="Times New Roman" w:eastAsia="Times New Roman" w:hint="default"/>
          <w:spacing w:val="-1"/>
        </w:rPr>
        <w:t>1981</w:t>
      </w:r>
      <w:r>
        <w:rPr>
          <w:spacing w:val="-1"/>
        </w:rPr>
        <w:t>年出生，大学学历，获董事会秘书资格。曾任公司第七届董事会秘书，第八届</w:t>
      </w:r>
      <w:r>
        <w:rPr/>
        <w:t> 董事会董事，现任公司第九届董事会董事、董事会秘书，公司副总裁。</w:t>
      </w:r>
    </w:p>
    <w:p>
      <w:pPr>
        <w:pStyle w:val="BodyText"/>
        <w:spacing w:line="256" w:lineRule="auto" w:before="142"/>
        <w:ind w:right="1133" w:firstLine="420"/>
        <w:jc w:val="both"/>
      </w:pPr>
      <w:r>
        <w:rPr>
          <w:spacing w:val="-1"/>
        </w:rPr>
        <w:t>独立董事：陈方清，男，</w:t>
      </w:r>
      <w:r>
        <w:rPr>
          <w:rFonts w:ascii="Times New Roman" w:hAnsi="Times New Roman" w:cs="Times New Roman" w:eastAsia="Times New Roman" w:hint="default"/>
          <w:spacing w:val="-1"/>
        </w:rPr>
        <w:t>1952</w:t>
      </w:r>
      <w:r>
        <w:rPr>
          <w:spacing w:val="-1"/>
        </w:rPr>
        <w:t>年出生，毕业于上海交大计算机系。曾任信达财产保险股份有限公司董</w:t>
      </w:r>
      <w:r>
        <w:rPr/>
        <w:t> 事长，党委书记。曾任公司第七、八届董事会独立董事，现任公司第九届董事会独立董事。</w:t>
      </w:r>
    </w:p>
    <w:p>
      <w:pPr>
        <w:pStyle w:val="BodyText"/>
        <w:spacing w:line="256" w:lineRule="auto" w:before="142"/>
        <w:ind w:right="1110" w:firstLine="420"/>
        <w:jc w:val="both"/>
      </w:pPr>
      <w:r>
        <w:rPr/>
        <w:t>独立董事：聂兴凯，男，</w:t>
      </w:r>
      <w:r>
        <w:rPr>
          <w:rFonts w:ascii="Times New Roman" w:hAnsi="Times New Roman" w:cs="Times New Roman" w:eastAsia="Times New Roman" w:hint="default"/>
        </w:rPr>
        <w:t>1974</w:t>
      </w:r>
      <w:r>
        <w:rPr/>
        <w:t>年出生，博士。现任华视娱乐投资集团、中国稀有稀土股份有限公司、 </w:t>
      </w:r>
      <w:r>
        <w:rPr>
          <w:spacing w:val="-2"/>
        </w:rPr>
        <w:t>甘肃酒钢集团宏兴钢铁股份有限公司独立董事；北京国家会计学院研究生部审计系主任</w:t>
      </w:r>
      <w:r>
        <w:rPr>
          <w:rFonts w:ascii="Times New Roman" w:hAnsi="Times New Roman" w:cs="Times New Roman" w:eastAsia="Times New Roman" w:hint="default"/>
          <w:spacing w:val="-2"/>
        </w:rPr>
        <w:t>(</w:t>
      </w:r>
      <w:r>
        <w:rPr>
          <w:spacing w:val="-2"/>
        </w:rPr>
        <w:t>不属于学校党政领</w:t>
      </w:r>
      <w:r>
        <w:rPr/>
        <w:t> 导班子成员和高校处级</w:t>
      </w:r>
      <w:r>
        <w:rPr>
          <w:rFonts w:ascii="Times New Roman" w:hAnsi="Times New Roman" w:cs="Times New Roman" w:eastAsia="Times New Roman" w:hint="default"/>
        </w:rPr>
        <w:t>(</w:t>
      </w:r>
      <w:r>
        <w:rPr/>
        <w:t>中层</w:t>
      </w:r>
      <w:r>
        <w:rPr>
          <w:rFonts w:ascii="Times New Roman" w:hAnsi="Times New Roman" w:cs="Times New Roman" w:eastAsia="Times New Roman" w:hint="default"/>
        </w:rPr>
        <w:t>)</w:t>
      </w:r>
      <w:r>
        <w:rPr/>
        <w:t>）领导干部。曾任公司第八届董事会独立董事，现任公司第八届董事会独立</w:t>
      </w:r>
      <w:r>
        <w:rPr>
          <w:spacing w:val="-66"/>
        </w:rPr>
        <w:t> </w:t>
      </w:r>
      <w:r>
        <w:rPr>
          <w:spacing w:val="-66"/>
        </w:rPr>
      </w:r>
      <w:r>
        <w:rPr/>
        <w:t>董事。</w:t>
      </w:r>
    </w:p>
    <w:p>
      <w:pPr>
        <w:pStyle w:val="BodyText"/>
        <w:spacing w:line="240" w:lineRule="auto" w:before="142"/>
        <w:ind w:left="574" w:right="0"/>
        <w:jc w:val="left"/>
      </w:pPr>
      <w:r>
        <w:rPr/>
        <w:t>独立董事：朱江，男，</w:t>
      </w:r>
      <w:r>
        <w:rPr>
          <w:rFonts w:ascii="Times New Roman" w:hAnsi="Times New Roman" w:cs="Times New Roman" w:eastAsia="Times New Roman" w:hint="default"/>
        </w:rPr>
        <w:t>1982</w:t>
      </w:r>
      <w:r>
        <w:rPr/>
        <w:t>年出生，硕士研究生，</w:t>
      </w:r>
      <w:r>
        <w:rPr>
          <w:rFonts w:ascii="Times New Roman" w:hAnsi="Times New Roman" w:cs="Times New Roman" w:eastAsia="Times New Roman" w:hint="default"/>
        </w:rPr>
        <w:t>CFA</w:t>
      </w:r>
      <w:r>
        <w:rPr/>
        <w:t>，</w:t>
      </w:r>
      <w:r>
        <w:rPr>
          <w:rFonts w:ascii="Times New Roman" w:hAnsi="Times New Roman" w:cs="Times New Roman" w:eastAsia="Times New Roman" w:hint="default"/>
        </w:rPr>
        <w:t>CPA</w:t>
      </w:r>
      <w:r>
        <w:rPr/>
        <w:t>。历任德棉股份董事会秘书、环宇集团</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0"/>
        <w:jc w:val="left"/>
      </w:pPr>
      <w:r>
        <w:rPr>
          <w:spacing w:val="-1"/>
        </w:rPr>
        <w:t>董事会秘书、民生银行项目经理；</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月任公司独立董事；现任民生科技有限责任公司法</w:t>
      </w:r>
      <w:r>
        <w:rPr>
          <w:spacing w:val="-81"/>
        </w:rPr>
        <w:t> </w:t>
      </w:r>
      <w:r>
        <w:rPr>
          <w:spacing w:val="-81"/>
        </w:rPr>
      </w:r>
      <w:r>
        <w:rPr/>
        <w:t>律商务部总监，公司第九届董事会独立董事。</w:t>
      </w:r>
    </w:p>
    <w:p>
      <w:pPr>
        <w:pStyle w:val="BodyText"/>
        <w:spacing w:line="430" w:lineRule="atLeast" w:before="3"/>
        <w:ind w:left="574" w:right="0"/>
        <w:jc w:val="left"/>
      </w:pPr>
      <w:r>
        <w:rPr>
          <w:rFonts w:ascii="Times New Roman" w:hAnsi="Times New Roman" w:cs="Times New Roman" w:eastAsia="Times New Roman" w:hint="default"/>
        </w:rPr>
        <w:t>2</w:t>
      </w:r>
      <w:r>
        <w:rPr/>
        <w:t>、监事会成员 </w:t>
      </w:r>
      <w:r>
        <w:rPr>
          <w:spacing w:val="-1"/>
        </w:rPr>
        <w:t>监事会主席：尹洲澄，男，</w:t>
      </w:r>
      <w:r>
        <w:rPr>
          <w:rFonts w:ascii="Times New Roman" w:hAnsi="Times New Roman" w:cs="Times New Roman" w:eastAsia="Times New Roman" w:hint="default"/>
          <w:spacing w:val="-1"/>
        </w:rPr>
        <w:t>1942</w:t>
      </w:r>
      <w:r>
        <w:rPr>
          <w:spacing w:val="-1"/>
        </w:rPr>
        <w:t>年出生，大学学历，政治经济学讲师，高级经济师。历任江苏省徐州</w:t>
      </w:r>
    </w:p>
    <w:p>
      <w:pPr>
        <w:pStyle w:val="BodyText"/>
        <w:spacing w:line="273" w:lineRule="auto" w:before="21"/>
        <w:ind w:right="1131"/>
        <w:jc w:val="both"/>
      </w:pPr>
      <w:r>
        <w:rPr>
          <w:spacing w:val="-1"/>
        </w:rPr>
        <w:t>供销学校副校长，交通银行徐州分行计划部副主任、国际业务部副主任，江苏省徐州信托投资公司副总经</w:t>
      </w:r>
      <w:r>
        <w:rPr>
          <w:spacing w:val="-83"/>
        </w:rPr>
        <w:t> </w:t>
      </w:r>
      <w:r>
        <w:rPr>
          <w:spacing w:val="-83"/>
        </w:rPr>
      </w:r>
      <w:r>
        <w:rPr>
          <w:spacing w:val="-1"/>
        </w:rPr>
        <w:t>理，吉林省泛亚信托投资公司副总裁、董事长，博雅软件股份有限公司监事。曾任公司第七、八届监事会</w:t>
      </w:r>
      <w:r>
        <w:rPr>
          <w:spacing w:val="-83"/>
        </w:rPr>
        <w:t> </w:t>
      </w:r>
      <w:r>
        <w:rPr>
          <w:spacing w:val="-83"/>
        </w:rPr>
      </w:r>
      <w:r>
        <w:rPr/>
        <w:t>主席，现任公司第九届监事会主席。</w:t>
      </w:r>
    </w:p>
    <w:p>
      <w:pPr>
        <w:pStyle w:val="BodyText"/>
        <w:spacing w:line="264" w:lineRule="auto" w:before="127"/>
        <w:ind w:right="1131" w:firstLine="420"/>
        <w:jc w:val="both"/>
      </w:pPr>
      <w:r>
        <w:rPr>
          <w:spacing w:val="-1"/>
        </w:rPr>
        <w:t>监事：孟陈，女，</w:t>
      </w:r>
      <w:r>
        <w:rPr>
          <w:rFonts w:ascii="Times New Roman" w:hAnsi="Times New Roman" w:cs="Times New Roman" w:eastAsia="Times New Roman" w:hint="default"/>
          <w:spacing w:val="-1"/>
        </w:rPr>
        <w:t>1986</w:t>
      </w:r>
      <w:r>
        <w:rPr>
          <w:spacing w:val="-1"/>
        </w:rPr>
        <w:t>年出生，硕士研究生学历。现任京蓝控股有限公司财务主管、北京杨树蓝天投</w:t>
      </w:r>
      <w:r>
        <w:rPr/>
        <w:t> </w:t>
      </w:r>
      <w:r>
        <w:rPr>
          <w:spacing w:val="-1"/>
        </w:rPr>
        <w:t>资中心（有限合伙）财务主管、杨树时代投资（北京）有限公司财务主管、拜沃特投资管理（北京）有限</w:t>
      </w:r>
      <w:r>
        <w:rPr>
          <w:spacing w:val="-87"/>
        </w:rPr>
        <w:t> </w:t>
      </w:r>
      <w:r>
        <w:rPr>
          <w:spacing w:val="-87"/>
        </w:rPr>
      </w:r>
      <w:r>
        <w:rPr/>
        <w:t>公司执行董事、经理。曾任公司第七、八届监事会监事，现任公司第九届监事会监事。</w:t>
      </w:r>
    </w:p>
    <w:p>
      <w:pPr>
        <w:pStyle w:val="BodyText"/>
        <w:spacing w:line="256" w:lineRule="auto" w:before="136"/>
        <w:ind w:right="1132" w:firstLine="420"/>
        <w:jc w:val="both"/>
      </w:pPr>
      <w:r>
        <w:rPr>
          <w:spacing w:val="-1"/>
        </w:rPr>
        <w:t>职工代表监事：张世玉，女，</w:t>
      </w:r>
      <w:r>
        <w:rPr>
          <w:rFonts w:ascii="Times New Roman" w:hAnsi="Times New Roman" w:cs="Times New Roman" w:eastAsia="Times New Roman" w:hint="default"/>
          <w:spacing w:val="-1"/>
        </w:rPr>
        <w:t>1965</w:t>
      </w:r>
      <w:r>
        <w:rPr>
          <w:spacing w:val="-1"/>
        </w:rPr>
        <w:t>年出生，高级会计师，大专学历。历任公司第七届、第八届监事会</w:t>
      </w:r>
      <w:r>
        <w:rPr/>
        <w:t> 职工代表监事。现任公司审计监察部总经理、第九届监事会职工代表监事。</w:t>
      </w:r>
    </w:p>
    <w:p>
      <w:pPr>
        <w:pStyle w:val="BodyText"/>
        <w:spacing w:line="430" w:lineRule="atLeast" w:before="3"/>
        <w:ind w:left="658" w:right="1128" w:hanging="85"/>
        <w:jc w:val="left"/>
      </w:pPr>
      <w:r>
        <w:rPr>
          <w:rFonts w:ascii="Times New Roman" w:hAnsi="Times New Roman" w:cs="Times New Roman" w:eastAsia="Times New Roman" w:hint="default"/>
        </w:rPr>
        <w:t>3</w:t>
      </w:r>
      <w:r>
        <w:rPr/>
        <w:t>、高级管理人员 </w:t>
      </w:r>
      <w:r>
        <w:rPr>
          <w:spacing w:val="2"/>
        </w:rPr>
        <w:t>副总裁、财务负责人：郭源源：女，</w:t>
      </w:r>
      <w:r>
        <w:rPr>
          <w:rFonts w:ascii="Times New Roman" w:hAnsi="Times New Roman" w:cs="Times New Roman" w:eastAsia="Times New Roman" w:hint="default"/>
          <w:spacing w:val="2"/>
        </w:rPr>
        <w:t>1975</w:t>
      </w:r>
      <w:r>
        <w:rPr>
          <w:spacing w:val="2"/>
        </w:rPr>
        <w:t>年出生，南开大学经济学学士，清华大学经管学院高级工</w:t>
      </w:r>
    </w:p>
    <w:p>
      <w:pPr>
        <w:pStyle w:val="BodyText"/>
        <w:spacing w:line="240" w:lineRule="auto" w:before="21"/>
        <w:ind w:right="0"/>
        <w:jc w:val="both"/>
      </w:pPr>
      <w:r>
        <w:rPr>
          <w:spacing w:val="5"/>
        </w:rPr>
        <w:t>商管理硕士。曾任国药控股股份有限公司（</w:t>
      </w:r>
      <w:r>
        <w:rPr>
          <w:rFonts w:ascii="Times New Roman" w:hAnsi="Times New Roman" w:cs="Times New Roman" w:eastAsia="Times New Roman" w:hint="default"/>
          <w:spacing w:val="5"/>
        </w:rPr>
        <w:t>01099</w:t>
      </w:r>
      <w:r>
        <w:rPr>
          <w:spacing w:val="5"/>
        </w:rPr>
        <w:t>）天津公司部门经理、二六三网络通信股份有限公司</w:t>
      </w:r>
    </w:p>
    <w:p>
      <w:pPr>
        <w:pStyle w:val="BodyText"/>
        <w:spacing w:line="256" w:lineRule="auto" w:before="21"/>
        <w:ind w:right="0"/>
        <w:jc w:val="left"/>
      </w:pPr>
      <w:r>
        <w:rPr>
          <w:spacing w:val="-2"/>
        </w:rPr>
        <w:t>（</w:t>
      </w:r>
      <w:r>
        <w:rPr>
          <w:rFonts w:ascii="Times New Roman" w:hAnsi="Times New Roman" w:cs="Times New Roman" w:eastAsia="Times New Roman" w:hint="default"/>
          <w:spacing w:val="-2"/>
        </w:rPr>
        <w:t>002467</w:t>
      </w:r>
      <w:r>
        <w:rPr>
          <w:spacing w:val="-2"/>
        </w:rPr>
        <w:t>）财务总监、沃德传动</w:t>
      </w:r>
      <w:r>
        <w:rPr>
          <w:rFonts w:ascii="Times New Roman" w:hAnsi="Times New Roman" w:cs="Times New Roman" w:eastAsia="Times New Roman" w:hint="default"/>
          <w:spacing w:val="-2"/>
        </w:rPr>
        <w:t>(</w:t>
      </w:r>
      <w:r>
        <w:rPr>
          <w:spacing w:val="-2"/>
        </w:rPr>
        <w:t>天津</w:t>
      </w:r>
      <w:r>
        <w:rPr>
          <w:rFonts w:ascii="Times New Roman" w:hAnsi="Times New Roman" w:cs="Times New Roman" w:eastAsia="Times New Roman" w:hint="default"/>
          <w:spacing w:val="-2"/>
        </w:rPr>
        <w:t>)</w:t>
      </w:r>
      <w:r>
        <w:rPr>
          <w:spacing w:val="-2"/>
        </w:rPr>
        <w:t>股份有限公司（</w:t>
      </w:r>
      <w:r>
        <w:rPr>
          <w:rFonts w:ascii="Times New Roman" w:hAnsi="Times New Roman" w:cs="Times New Roman" w:eastAsia="Times New Roman" w:hint="default"/>
          <w:spacing w:val="-2"/>
        </w:rPr>
        <w:t>833174</w:t>
      </w:r>
      <w:r>
        <w:rPr>
          <w:spacing w:val="-2"/>
        </w:rPr>
        <w:t>）副总经理、财务负责人。现任公司副总裁、</w:t>
      </w:r>
      <w:r>
        <w:rPr>
          <w:spacing w:val="-59"/>
        </w:rPr>
        <w:t> </w:t>
      </w:r>
      <w:r>
        <w:rPr>
          <w:spacing w:val="-59"/>
        </w:rPr>
      </w:r>
      <w:r>
        <w:rPr/>
        <w:t>财务负责人。</w:t>
      </w:r>
    </w:p>
    <w:p>
      <w:pPr>
        <w:pStyle w:val="BodyText"/>
        <w:spacing w:line="256" w:lineRule="auto" w:before="142"/>
        <w:ind w:right="1132" w:firstLine="420"/>
        <w:jc w:val="both"/>
      </w:pPr>
      <w:r>
        <w:rPr/>
        <w:t>副总裁：李文明，男，</w:t>
      </w:r>
      <w:r>
        <w:rPr>
          <w:rFonts w:ascii="Times New Roman" w:hAnsi="Times New Roman" w:cs="Times New Roman" w:eastAsia="Times New Roman" w:hint="default"/>
        </w:rPr>
        <w:t>1966</w:t>
      </w:r>
      <w:r>
        <w:rPr/>
        <w:t>年出生，大学文化，经济管理专业。</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月在中建一局 </w:t>
      </w:r>
      <w:r>
        <w:rPr>
          <w:spacing w:val="-1"/>
        </w:rPr>
        <w:t>钢结构工程有限公司担任董事长、党委书记；</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月在中建交通建设集团有限公司担任董</w:t>
      </w:r>
      <w:r>
        <w:rPr>
          <w:spacing w:val="-80"/>
        </w:rPr>
        <w:t> </w:t>
      </w:r>
      <w:r>
        <w:rPr>
          <w:spacing w:val="-80"/>
        </w:rPr>
      </w:r>
      <w:r>
        <w:rPr/>
        <w:t>事会秘书兼办公室主任，</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月至今任公司副总裁。</w:t>
      </w:r>
    </w:p>
    <w:p>
      <w:pPr>
        <w:pStyle w:val="BodyText"/>
        <w:spacing w:line="256" w:lineRule="auto" w:before="125"/>
        <w:ind w:right="1130" w:firstLine="420"/>
        <w:jc w:val="both"/>
      </w:pPr>
      <w:r>
        <w:rPr>
          <w:spacing w:val="-1"/>
        </w:rPr>
        <w:t>副总裁；冯玉禄，男，</w:t>
      </w:r>
      <w:r>
        <w:rPr>
          <w:rFonts w:ascii="Times New Roman" w:hAnsi="Times New Roman" w:cs="Times New Roman" w:eastAsia="Times New Roman" w:hint="default"/>
          <w:spacing w:val="-1"/>
        </w:rPr>
        <w:t>1963</w:t>
      </w:r>
      <w:r>
        <w:rPr>
          <w:spacing w:val="-1"/>
        </w:rPr>
        <w:t>年出生，北京大学工商管理硕士学位，研究院职称。</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9</w:t>
      </w:r>
      <w:r>
        <w:rPr>
          <w:spacing w:val="-1"/>
        </w:rPr>
        <w:t>月至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rFonts w:ascii="Times New Roman" w:hAnsi="Times New Roman" w:cs="Times New Roman" w:eastAsia="Times New Roman" w:hint="default"/>
        </w:rPr>
        <w:t> </w:t>
      </w:r>
      <w:r>
        <w:rPr/>
        <w:t>月就职水利部综合事业局（副局级）；</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月兼任中国水利企业协会秘书长；</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spacing w:val="-29"/>
        </w:rPr>
        <w:t> </w:t>
      </w:r>
      <w:r>
        <w:rPr/>
        <w:t>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月兼任中国水利企业协会副会长兼秘书长、法定代表人，现任公司副总裁。</w:t>
      </w:r>
    </w:p>
    <w:p>
      <w:pPr>
        <w:pStyle w:val="BodyText"/>
        <w:spacing w:line="264" w:lineRule="auto" w:before="125"/>
        <w:ind w:right="1129" w:firstLine="420"/>
        <w:jc w:val="both"/>
      </w:pPr>
      <w:r>
        <w:rPr/>
        <w:t>副总裁：乌力吉，男，</w:t>
      </w:r>
      <w:r>
        <w:rPr>
          <w:rFonts w:ascii="Times New Roman" w:hAnsi="Times New Roman" w:cs="Times New Roman" w:eastAsia="Times New Roman" w:hint="default"/>
        </w:rPr>
        <w:t>1964</w:t>
      </w:r>
      <w:r>
        <w:rPr/>
        <w:t>年出生，北大光华</w:t>
      </w:r>
      <w:r>
        <w:rPr>
          <w:rFonts w:ascii="Times New Roman" w:hAnsi="Times New Roman" w:cs="Times New Roman" w:eastAsia="Times New Roman" w:hint="default"/>
        </w:rPr>
        <w:t>EMBA</w:t>
      </w:r>
      <w:r>
        <w:rPr/>
        <w:t>毕业。京蓝沐禾节水装备有限公司创始人，</w:t>
      </w:r>
      <w:r>
        <w:rPr>
          <w:rFonts w:ascii="Times New Roman" w:hAnsi="Times New Roman" w:cs="Times New Roman" w:eastAsia="Times New Roman" w:hint="default"/>
        </w:rPr>
        <w:t>2011 </w:t>
      </w:r>
      <w:r>
        <w:rPr>
          <w:spacing w:val="-1"/>
        </w:rPr>
        <w:t>年至今任职京蓝沐禾节水装备有限公司董事长、现任中国水利企业协会副会长，北京赤峰企业商会副会长</w:t>
      </w:r>
      <w:r>
        <w:rPr>
          <w:spacing w:val="-81"/>
        </w:rPr>
        <w:t> </w:t>
      </w:r>
      <w:r>
        <w:rPr>
          <w:spacing w:val="-81"/>
        </w:rPr>
      </w:r>
      <w:r>
        <w:rPr/>
        <w:t>兼秘书长（法定代表人），现任公司副总裁。</w:t>
      </w:r>
    </w:p>
    <w:p>
      <w:pPr>
        <w:pStyle w:val="BodyText"/>
        <w:spacing w:line="264" w:lineRule="auto" w:before="136"/>
        <w:ind w:right="1131" w:firstLine="420"/>
        <w:jc w:val="both"/>
      </w:pPr>
      <w:r>
        <w:rPr/>
        <w:t>副总裁：高学刚，男，</w:t>
      </w:r>
      <w:r>
        <w:rPr>
          <w:rFonts w:ascii="Times New Roman" w:hAnsi="Times New Roman" w:cs="Times New Roman" w:eastAsia="Times New Roman" w:hint="default"/>
        </w:rPr>
        <w:t>1961</w:t>
      </w:r>
      <w:r>
        <w:rPr/>
        <w:t>年</w:t>
      </w:r>
      <w:r>
        <w:rPr>
          <w:rFonts w:ascii="Times New Roman" w:hAnsi="Times New Roman" w:cs="Times New Roman" w:eastAsia="Times New Roman" w:hint="default"/>
        </w:rPr>
        <w:t>1</w:t>
      </w:r>
      <w:r>
        <w:rPr/>
        <w:t>月出生，文博及文化遗产管理硕士，高级工程师。历任天津北方创业 </w:t>
      </w:r>
      <w:r>
        <w:rPr>
          <w:spacing w:val="-1"/>
        </w:rPr>
        <w:t>市政工程集团有限公司董事长、天津市北方创业园林工程有限公司董事兼总经理；现任天津北方创业市政</w:t>
      </w:r>
      <w:r>
        <w:rPr>
          <w:spacing w:val="-81"/>
        </w:rPr>
        <w:t> </w:t>
      </w:r>
      <w:r>
        <w:rPr>
          <w:spacing w:val="-81"/>
        </w:rPr>
      </w:r>
      <w:r>
        <w:rPr/>
        <w:t>工程集团有限公司董事长、京蓝北方园林（天津）有限公司董事长，公司副总裁。</w:t>
      </w:r>
    </w:p>
    <w:p>
      <w:pPr>
        <w:pStyle w:val="BodyText"/>
        <w:spacing w:line="256" w:lineRule="auto" w:before="136"/>
        <w:ind w:right="1132" w:firstLine="420"/>
        <w:jc w:val="both"/>
      </w:pPr>
      <w:r>
        <w:rPr>
          <w:spacing w:val="-6"/>
        </w:rPr>
        <w:t>副总裁：殷晓东，男，</w:t>
      </w:r>
      <w:r>
        <w:rPr>
          <w:rFonts w:ascii="Times New Roman" w:hAnsi="Times New Roman" w:cs="Times New Roman" w:eastAsia="Times New Roman" w:hint="default"/>
          <w:spacing w:val="-6"/>
        </w:rPr>
        <w:t>1966</w:t>
      </w:r>
      <w:r>
        <w:rPr>
          <w:spacing w:val="-6"/>
        </w:rPr>
        <w:t>年出生，本科学历。现任中科鼎实环境工程有限公司董事长、中科华南（厦</w:t>
      </w:r>
      <w:r>
        <w:rPr/>
        <w:t> 门）环保有限公司董事长、公司副总裁。</w:t>
      </w:r>
    </w:p>
    <w:p>
      <w:pPr>
        <w:spacing w:before="169"/>
        <w:ind w:left="154" w:right="0" w:firstLine="0"/>
        <w:jc w:val="both"/>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6"/>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1217"/>
        <w:gridCol w:w="2895"/>
        <w:gridCol w:w="1414"/>
        <w:gridCol w:w="1706"/>
        <w:gridCol w:w="1276"/>
        <w:gridCol w:w="1063"/>
      </w:tblGrid>
      <w:tr>
        <w:trPr>
          <w:trHeight w:val="1026"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02"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0" w:right="71" w:hanging="360"/>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7"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2"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center"/>
              <w:rPr>
                <w:rFonts w:ascii="宋体" w:hAnsi="宋体" w:cs="宋体" w:eastAsia="宋体" w:hint="default"/>
                <w:sz w:val="18"/>
                <w:szCs w:val="18"/>
              </w:rPr>
            </w:pPr>
            <w:r>
              <w:rPr>
                <w:rFonts w:ascii="宋体" w:hAnsi="宋体" w:cs="宋体" w:eastAsia="宋体" w:hint="default"/>
                <w:sz w:val="18"/>
                <w:szCs w:val="18"/>
              </w:rPr>
              <w:t>在股东单位 是否领取报 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杨仁贵</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孟陈</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财务主管</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1220"/>
        <w:gridCol w:w="2906"/>
        <w:gridCol w:w="1402"/>
        <w:gridCol w:w="1706"/>
        <w:gridCol w:w="1276"/>
        <w:gridCol w:w="1063"/>
      </w:tblGrid>
      <w:tr>
        <w:trPr>
          <w:trHeight w:val="402"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孟陈</w:t>
            </w:r>
          </w:p>
        </w:tc>
        <w:tc>
          <w:tcPr>
            <w:tcW w:w="290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1"/>
              <w:ind w:left="23" w:right="-15"/>
              <w:jc w:val="left"/>
              <w:rPr>
                <w:rFonts w:ascii="宋体" w:hAnsi="宋体" w:cs="宋体" w:eastAsia="宋体" w:hint="default"/>
                <w:sz w:val="18"/>
                <w:szCs w:val="18"/>
              </w:rPr>
            </w:pPr>
            <w:r>
              <w:rPr>
                <w:rFonts w:ascii="宋体" w:hAnsi="宋体" w:cs="宋体" w:eastAsia="宋体" w:hint="default"/>
                <w:sz w:val="18"/>
                <w:szCs w:val="18"/>
              </w:rPr>
              <w:t>北京杨树蓝天投资中心（有限合伙）</w:t>
            </w:r>
          </w:p>
        </w:tc>
        <w:tc>
          <w:tcPr>
            <w:tcW w:w="140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财务主管</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020"/>
        <w:gridCol w:w="1349"/>
        <w:gridCol w:w="1770"/>
        <w:gridCol w:w="82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64"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98" w:right="38"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4" w:right="43"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杨仁贵</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杨树常青投资管理有限公司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杨仁贵</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杨树成长投资（北京）有限公司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董事长、经理</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杨仁贵</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杨树时代投资（北京）有限公司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杨仁贵</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长江润发医药股份有限公司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杨仁贵</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新天科技股份有限公司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阎涛</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万汇投资控股有限公司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执行董事、总经 理</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聂兴凯</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华视娱乐投资集团</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7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聂兴凯</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中国稀有稀土股份有限公司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7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聂兴凯</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北京国家会计学院</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审计系主任</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聂兴凯</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甘肃酒钢集团宏兴钢铁股份有限公司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7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聂兴凯</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中国会计学会企业会计准则委员会</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专家委员</w:t>
            </w:r>
          </w:p>
        </w:tc>
        <w:tc>
          <w:tcPr>
            <w:tcW w:w="1770"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朱江</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民生科技有限责任公司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法律商务部总监</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孟陈</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拜沃特投资管理（北京）有限公司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孟陈</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杨树时代投资（北京）有限公司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财务主管</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乌力吉</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京蓝沐禾节水装备有限公司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高学刚</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天津北方创业控股集团有限公司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高学刚</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天津北方创业市政工程集团有限公司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高学刚</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京蓝北方园林（天津）有限公司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高学刚</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天津滨海联投控股有限公司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高学刚</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天津华明村镇银行股份有限公司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殷晓东</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中科华南（厦门）环保有限公司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董事、监事、高级管理人员报酬情况" w:id="141"/>
      <w:bookmarkEnd w:id="141"/>
      <w:r>
        <w:rPr>
          <w:b w:val="0"/>
          <w:bCs w:val="0"/>
        </w:rPr>
      </w:r>
      <w:r>
        <w:rPr/>
        <w:t>四、董事、监事、高级管理人员报酬情况</w:t>
      </w:r>
      <w:r>
        <w:rPr>
          <w:b w:val="0"/>
          <w:bCs w:val="0"/>
        </w:rPr>
      </w:r>
    </w:p>
    <w:p>
      <w:pPr>
        <w:spacing w:line="480" w:lineRule="atLeast" w:before="113"/>
        <w:ind w:left="665" w:right="0" w:hanging="512"/>
        <w:jc w:val="left"/>
        <w:rPr>
          <w:rFonts w:ascii="宋体" w:hAnsi="宋体" w:cs="宋体" w:eastAsia="宋体" w:hint="default"/>
          <w:sz w:val="20"/>
          <w:szCs w:val="20"/>
        </w:rPr>
      </w:pPr>
      <w:r>
        <w:rPr>
          <w:rFonts w:ascii="宋体" w:hAnsi="宋体" w:cs="宋体" w:eastAsia="宋体" w:hint="default"/>
          <w:sz w:val="20"/>
          <w:szCs w:val="20"/>
        </w:rPr>
        <w:t>董事、监事、高级管理人员报酬的决策程序、确定依据、实际支付情况</w:t>
      </w:r>
      <w:r>
        <w:rPr>
          <w:rFonts w:ascii="宋体" w:hAnsi="宋体" w:cs="宋体" w:eastAsia="宋体" w:hint="default"/>
          <w:w w:val="100"/>
          <w:sz w:val="20"/>
          <w:szCs w:val="20"/>
        </w:rPr>
        <w:t> </w:t>
      </w:r>
      <w:r>
        <w:rPr>
          <w:rFonts w:ascii="宋体" w:hAnsi="宋体" w:cs="宋体" w:eastAsia="宋体" w:hint="default"/>
          <w:spacing w:val="-1"/>
          <w:sz w:val="20"/>
          <w:szCs w:val="20"/>
        </w:rPr>
        <w:t>董事、监事和高级管理人员报酬经公司董事会、股东大会审议确定。</w:t>
      </w:r>
      <w:r>
        <w:rPr>
          <w:rFonts w:ascii="Times New Roman" w:hAnsi="Times New Roman" w:cs="Times New Roman" w:eastAsia="Times New Roman" w:hint="default"/>
          <w:spacing w:val="-1"/>
          <w:sz w:val="20"/>
          <w:szCs w:val="20"/>
        </w:rPr>
        <w:t>2018</w:t>
      </w:r>
      <w:r>
        <w:rPr>
          <w:rFonts w:ascii="宋体" w:hAnsi="宋体" w:cs="宋体" w:eastAsia="宋体" w:hint="default"/>
          <w:spacing w:val="-1"/>
          <w:sz w:val="20"/>
          <w:szCs w:val="20"/>
        </w:rPr>
        <w:t>年度在本公司领取报酬的董事、</w:t>
      </w:r>
    </w:p>
    <w:p>
      <w:pPr>
        <w:spacing w:before="34"/>
        <w:ind w:left="154" w:right="0" w:firstLine="0"/>
        <w:jc w:val="left"/>
        <w:rPr>
          <w:rFonts w:ascii="宋体" w:hAnsi="宋体" w:cs="宋体" w:eastAsia="宋体" w:hint="default"/>
          <w:sz w:val="20"/>
          <w:szCs w:val="20"/>
        </w:rPr>
      </w:pPr>
      <w:r>
        <w:rPr>
          <w:rFonts w:ascii="宋体" w:hAnsi="宋体" w:cs="宋体" w:eastAsia="宋体" w:hint="default"/>
          <w:sz w:val="20"/>
          <w:szCs w:val="20"/>
        </w:rPr>
        <w:t>监事及高级管理人员的年度报酬（包括基本工资、奖金、津贴、补贴、职工福利费和各项保险费、公积金以及</w:t>
      </w:r>
    </w:p>
    <w:p>
      <w:pPr>
        <w:spacing w:after="0"/>
        <w:jc w:val="left"/>
        <w:rPr>
          <w:rFonts w:ascii="宋体" w:hAnsi="宋体" w:cs="宋体" w:eastAsia="宋体" w:hint="default"/>
          <w:sz w:val="20"/>
          <w:szCs w:val="20"/>
        </w:rPr>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spacing w:line="285" w:lineRule="auto" w:before="38"/>
        <w:ind w:left="154" w:right="1135" w:firstLine="0"/>
        <w:jc w:val="both"/>
        <w:rPr>
          <w:rFonts w:ascii="宋体" w:hAnsi="宋体" w:cs="宋体" w:eastAsia="宋体" w:hint="default"/>
          <w:sz w:val="20"/>
          <w:szCs w:val="20"/>
        </w:rPr>
      </w:pPr>
      <w:r>
        <w:rPr>
          <w:rFonts w:ascii="宋体" w:hAnsi="宋体" w:cs="宋体" w:eastAsia="宋体" w:hint="default"/>
          <w:sz w:val="20"/>
          <w:szCs w:val="20"/>
        </w:rPr>
        <w:t>以其他形式从公司获得的税前实发报酬总额）均依据公司岗位职责、绩效考核以及行业相关岗位的薪酬水平制</w:t>
      </w:r>
      <w:r>
        <w:rPr>
          <w:rFonts w:ascii="宋体" w:hAnsi="宋体" w:cs="宋体" w:eastAsia="宋体" w:hint="default"/>
          <w:spacing w:val="-65"/>
          <w:sz w:val="20"/>
          <w:szCs w:val="20"/>
        </w:rPr>
        <w:t> </w:t>
      </w:r>
      <w:r>
        <w:rPr>
          <w:rFonts w:ascii="宋体" w:hAnsi="宋体" w:cs="宋体" w:eastAsia="宋体" w:hint="default"/>
          <w:spacing w:val="-65"/>
          <w:sz w:val="20"/>
          <w:szCs w:val="20"/>
        </w:rPr>
      </w:r>
      <w:r>
        <w:rPr>
          <w:rFonts w:ascii="宋体" w:hAnsi="宋体" w:cs="宋体" w:eastAsia="宋体" w:hint="default"/>
          <w:sz w:val="20"/>
          <w:szCs w:val="20"/>
        </w:rPr>
        <w:t>定的有关薪酬管理和等级标准相关规定进行发放。报告期内，公司董事、监事及高级管理人员的报酬已按月支</w:t>
      </w:r>
      <w:r>
        <w:rPr>
          <w:rFonts w:ascii="宋体" w:hAnsi="宋体" w:cs="宋体" w:eastAsia="宋体" w:hint="default"/>
          <w:spacing w:val="-65"/>
          <w:sz w:val="20"/>
          <w:szCs w:val="20"/>
        </w:rPr>
        <w:t> </w:t>
      </w:r>
      <w:r>
        <w:rPr>
          <w:rFonts w:ascii="宋体" w:hAnsi="宋体" w:cs="宋体" w:eastAsia="宋体" w:hint="default"/>
          <w:spacing w:val="-65"/>
          <w:sz w:val="20"/>
          <w:szCs w:val="20"/>
        </w:rPr>
      </w:r>
      <w:r>
        <w:rPr>
          <w:rFonts w:ascii="宋体" w:hAnsi="宋体" w:cs="宋体" w:eastAsia="宋体" w:hint="default"/>
          <w:sz w:val="20"/>
          <w:szCs w:val="20"/>
        </w:rPr>
        <w:t>付。</w:t>
      </w:r>
    </w:p>
    <w:p>
      <w:pPr>
        <w:spacing w:before="168"/>
        <w:ind w:left="553" w:right="0" w:firstLine="0"/>
        <w:jc w:val="left"/>
        <w:rPr>
          <w:rFonts w:ascii="宋体" w:hAnsi="宋体" w:cs="宋体" w:eastAsia="宋体" w:hint="default"/>
          <w:sz w:val="20"/>
          <w:szCs w:val="20"/>
        </w:rPr>
      </w:pPr>
      <w:r>
        <w:rPr>
          <w:rFonts w:ascii="宋体" w:hAnsi="宋体" w:cs="宋体" w:eastAsia="宋体" w:hint="default"/>
          <w:sz w:val="20"/>
          <w:szCs w:val="20"/>
        </w:rPr>
        <w:t>公司报告期内董事、监事和高级管理人员报酬情况</w:t>
      </w:r>
    </w:p>
    <w:p>
      <w:pPr>
        <w:spacing w:line="240" w:lineRule="auto" w:before="2"/>
        <w:rPr>
          <w:rFonts w:ascii="宋体" w:hAnsi="宋体" w:cs="宋体" w:eastAsia="宋体" w:hint="default"/>
          <w:sz w:val="17"/>
          <w:szCs w:val="1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68"/>
        <w:gridCol w:w="2176"/>
        <w:gridCol w:w="851"/>
        <w:gridCol w:w="1276"/>
        <w:gridCol w:w="1166"/>
        <w:gridCol w:w="1367"/>
        <w:gridCol w:w="1367"/>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杨仁贵</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阎涛</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吴春军</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董事、首席执行官</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135.23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姜俐赜</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董事、总裁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韩志权</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董事、常务副总裁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刘欣</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pacing w:val="-4"/>
                <w:sz w:val="18"/>
                <w:szCs w:val="18"/>
              </w:rPr>
              <w:t>董事、副总裁、董事会秘书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106.01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陈方清</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朱江</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聂兴凯</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尹洲澄</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77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孟陈</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张世玉</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职工代表监事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郭源源</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副总裁、财务负责人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109.21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李文明</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49.38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冯玉禄</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34.33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乌力吉</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高学刚</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殷晓东</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郭绍全</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石英</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高伟</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执行总经理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126.72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张菁桦</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93.17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蒋琳瑗</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left="6" w:right="0"/>
              <w:jc w:val="center"/>
              <w:rPr>
                <w:rFonts w:ascii="Times New Roman" w:hAnsi="Times New Roman" w:cs="Times New Roman" w:eastAsia="Times New Roman" w:hint="default"/>
                <w:sz w:val="18"/>
                <w:szCs w:val="18"/>
              </w:rPr>
            </w:pPr>
            <w:r>
              <w:rPr>
                <w:rFonts w:ascii="Times New Roman"/>
                <w:sz w:val="18"/>
              </w:rPr>
              <w:t>971.95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公司员工情况" w:id="142"/>
      <w:bookmarkEnd w:id="142"/>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43"/>
      <w:bookmarkEnd w:id="143"/>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77"/>
        <w:gridCol w:w="4792"/>
      </w:tblGrid>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115</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1,633</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1,748</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2,654</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1,748</w:t>
            </w:r>
          </w:p>
        </w:tc>
      </w:tr>
      <w:tr>
        <w:trPr>
          <w:trHeight w:val="39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硕士及以下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专科及以下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1,748</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薪酬政策" w:id="144"/>
      <w:bookmarkEnd w:id="144"/>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spacing w:line="316" w:lineRule="auto" w:before="0"/>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总部员工工资结构分为岗位工资和绩效工资。岗位工资是按照员工正常出勤、按时完成所在岗位的工作，及员工所在岗位各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项劳动要素评测结果所确定的工资。绩效工资是根据员工考核周期内的结果，经过相应计算后确定的工资。</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3、培训计划" w:id="145"/>
      <w:bookmarkEnd w:id="145"/>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年培训主要立足于专业能力的提升，采取内部培训为主，外部培训补充的培训实施方式，主要内容包括：</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持续开展针对基础技术岗位的专业资格培训；</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开展特定业务开展过程中的专项培训；</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做好管理变革过程中的培训引导；</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强化各系统专业知识技能及经验的总结传承。</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6" w:lineRule="auto" w:before="44"/>
        <w:ind w:left="154" w:right="1032" w:firstLine="0"/>
        <w:jc w:val="left"/>
        <w:rPr>
          <w:rFonts w:ascii="宋体" w:hAnsi="宋体" w:cs="宋体" w:eastAsia="宋体" w:hint="default"/>
          <w:sz w:val="18"/>
          <w:szCs w:val="18"/>
        </w:rPr>
      </w:pPr>
      <w:r>
        <w:rPr>
          <w:rFonts w:ascii="宋体" w:hAnsi="宋体" w:cs="宋体" w:eastAsia="宋体" w:hint="default"/>
          <w:sz w:val="18"/>
          <w:szCs w:val="18"/>
        </w:rPr>
        <w:t>通过不断提升员工的职业技能培训以及专业素质培训，使全体员工明确工作任务、职责和目标，提高知识技能和综合素质， 为公司的发展培养合格的人才。</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4、劳务外包情况" w:id="146"/>
      <w:bookmarkEnd w:id="146"/>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589"/>
        <w:jc w:val="center"/>
        <w:rPr>
          <w:b w:val="0"/>
          <w:bCs w:val="0"/>
        </w:rPr>
      </w:pPr>
      <w:bookmarkStart w:name="第九节 公司治理" w:id="147"/>
      <w:bookmarkEnd w:id="147"/>
      <w:r>
        <w:rPr>
          <w:b w:val="0"/>
          <w:bCs w:val="0"/>
        </w:rPr>
      </w:r>
      <w:bookmarkStart w:name="_bookmark7" w:id="148"/>
      <w:bookmarkEnd w:id="148"/>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49"/>
      <w:bookmarkEnd w:id="149"/>
      <w:r>
        <w:rPr>
          <w:b w:val="0"/>
          <w:bCs w:val="0"/>
        </w:rPr>
      </w:r>
      <w:r>
        <w:rPr/>
        <w:t>一、公司治理的基本状况</w:t>
      </w:r>
      <w:r>
        <w:rPr>
          <w:b w:val="0"/>
          <w:bCs w:val="0"/>
        </w:rPr>
      </w:r>
    </w:p>
    <w:p>
      <w:pPr>
        <w:spacing w:line="240" w:lineRule="auto" w:before="7"/>
        <w:rPr>
          <w:rFonts w:ascii="宋体" w:hAnsi="宋体" w:cs="宋体" w:eastAsia="宋体" w:hint="default"/>
          <w:b/>
          <w:bCs/>
          <w:sz w:val="24"/>
          <w:szCs w:val="24"/>
        </w:rPr>
      </w:pPr>
    </w:p>
    <w:p>
      <w:pPr>
        <w:pStyle w:val="BodyText"/>
        <w:spacing w:line="264" w:lineRule="auto"/>
        <w:ind w:right="1131" w:firstLine="420"/>
        <w:jc w:val="both"/>
      </w:pPr>
      <w:r>
        <w:rPr>
          <w:rFonts w:ascii="Times New Roman" w:hAnsi="Times New Roman" w:cs="Times New Roman" w:eastAsia="Times New Roman" w:hint="default"/>
        </w:rPr>
        <w:t>1.</w:t>
      </w:r>
      <w:r>
        <w:rPr/>
        <w:t>报告期内，公司严格按照《公司法》、《证券法》、《上市公司治理准则》、中国证监会和深交所 </w:t>
      </w:r>
      <w:r>
        <w:rPr>
          <w:spacing w:val="-1"/>
        </w:rPr>
        <w:t>的有关规定及要求，不断健全和完善符合现代管理要求的法人治理结构及内部组织结构，持续深入开展公</w:t>
      </w:r>
      <w:r>
        <w:rPr>
          <w:spacing w:val="-81"/>
        </w:rPr>
        <w:t> </w:t>
      </w:r>
      <w:r>
        <w:rPr>
          <w:spacing w:val="-81"/>
        </w:rPr>
      </w:r>
      <w:r>
        <w:rPr/>
        <w:t>司治理活动，提高公司规范运作水平。</w:t>
      </w:r>
    </w:p>
    <w:p>
      <w:pPr>
        <w:pStyle w:val="BodyText"/>
        <w:spacing w:line="266" w:lineRule="auto" w:before="136"/>
        <w:ind w:right="1131" w:firstLine="420"/>
        <w:jc w:val="both"/>
      </w:pPr>
      <w:r>
        <w:rPr>
          <w:rFonts w:ascii="Times New Roman" w:hAnsi="Times New Roman" w:cs="Times New Roman" w:eastAsia="Times New Roman" w:hint="default"/>
        </w:rPr>
        <w:t>2.</w:t>
      </w:r>
      <w:r>
        <w:rPr/>
        <w:t>报告期内，公司严格按照《上市公司股东大会规则》、《公司章程》、《股东大会议事规则》的有 </w:t>
      </w:r>
      <w:r>
        <w:rPr>
          <w:spacing w:val="-1"/>
        </w:rPr>
        <w:t>关规定召集、召开股东大会；公司董事会认真执行股东大会决议，为公司的决策机构；监事会严格按照规</w:t>
      </w:r>
      <w:r>
        <w:rPr>
          <w:spacing w:val="-86"/>
        </w:rPr>
        <w:t> </w:t>
      </w:r>
      <w:r>
        <w:rPr>
          <w:spacing w:val="-86"/>
        </w:rPr>
      </w:r>
      <w:r>
        <w:rPr>
          <w:spacing w:val="-1"/>
        </w:rPr>
        <w:t>定行使监督职权，对公司财务状况、董事及高级管理人员职务行为的监督等履行职责，维护了公司和全体</w:t>
      </w:r>
      <w:r>
        <w:rPr>
          <w:spacing w:val="-83"/>
        </w:rPr>
        <w:t> </w:t>
      </w:r>
      <w:r>
        <w:rPr>
          <w:spacing w:val="-83"/>
        </w:rPr>
      </w:r>
      <w:r>
        <w:rPr/>
        <w:t>股东的合法权益；公司管理层严格执行股东大会及董事会决议，执行各项决策。</w:t>
      </w:r>
    </w:p>
    <w:p>
      <w:pPr>
        <w:pStyle w:val="BodyText"/>
        <w:spacing w:line="266" w:lineRule="auto" w:before="134"/>
        <w:ind w:right="1111" w:firstLine="420"/>
        <w:jc w:val="right"/>
      </w:pPr>
      <w:r>
        <w:rPr>
          <w:rFonts w:ascii="Times New Roman" w:hAnsi="Times New Roman" w:cs="Times New Roman" w:eastAsia="Times New Roman" w:hint="default"/>
        </w:rPr>
        <w:t>3.</w:t>
      </w:r>
      <w:r>
        <w:rPr/>
        <w:t>报告期内，公司按照《公司法》、《证券法》、《深圳证券交易所股票上市规则》以及其它有关法 </w:t>
      </w:r>
      <w:r>
        <w:rPr>
          <w:spacing w:val="-1"/>
        </w:rPr>
        <w:t>律法规及规范性文件规定，并严格按照《信息披露事务管理制度》对外进行信息披露，确保公司真实、准</w:t>
      </w:r>
      <w:r>
        <w:rPr/>
        <w:t> </w:t>
      </w:r>
      <w:r>
        <w:rPr>
          <w:spacing w:val="-1"/>
        </w:rPr>
        <w:t>确、完整、及时、公平地进行信息披露，增加公司运作的公开性和透明度。不存在因信息披露问题被交易</w:t>
      </w:r>
      <w:r>
        <w:rPr/>
        <w:t> 所实施批评、谴责等惩戒措施。报告期内，公司不存在向控股股东、实际控制人提供未公开信息的情况。</w:t>
      </w:r>
    </w:p>
    <w:p>
      <w:pPr>
        <w:pStyle w:val="BodyText"/>
        <w:spacing w:line="256" w:lineRule="auto" w:before="134"/>
        <w:ind w:right="1134" w:firstLine="420"/>
        <w:jc w:val="both"/>
      </w:pPr>
      <w:r>
        <w:rPr>
          <w:rFonts w:ascii="Times New Roman" w:hAnsi="Times New Roman" w:cs="Times New Roman" w:eastAsia="Times New Roman" w:hint="default"/>
        </w:rPr>
        <w:t>4.</w:t>
      </w:r>
      <w:r>
        <w:rPr/>
        <w:t>公司内部治理结构完整、健全、清晰，符合《公司法》、《公司章程》及其他法律、法规和规范性 文件的规定，公司治理的实际情况与《上市公司治理准则》等规范性文件的规定和要求相符。</w:t>
      </w:r>
    </w:p>
    <w:p>
      <w:pPr>
        <w:pStyle w:val="BodyText"/>
        <w:spacing w:line="266" w:lineRule="auto" w:before="142"/>
        <w:ind w:right="1133" w:firstLine="420"/>
        <w:jc w:val="both"/>
      </w:pPr>
      <w:r>
        <w:rPr>
          <w:rFonts w:ascii="Times New Roman" w:hAnsi="Times New Roman" w:cs="Times New Roman" w:eastAsia="Times New Roman" w:hint="default"/>
        </w:rPr>
        <w:t>5.</w:t>
      </w:r>
      <w:r>
        <w:rPr/>
        <w:t>在今后的工作中，公司将继续按照相关法律法规和深交所的要求，不断完善公司法人治理结构，进 </w:t>
      </w:r>
      <w:r>
        <w:rPr>
          <w:spacing w:val="-1"/>
        </w:rPr>
        <w:t>一步规范公司运作，提高公司治理水平。报告期内，公司治理实际情况与《公司法》和中国证监会相关规</w:t>
      </w:r>
      <w:r>
        <w:rPr>
          <w:spacing w:val="-83"/>
        </w:rPr>
        <w:t> </w:t>
      </w:r>
      <w:r>
        <w:rPr>
          <w:spacing w:val="-83"/>
        </w:rPr>
      </w:r>
      <w:r>
        <w:rPr/>
        <w:t>定的要求不存在差异。</w:t>
      </w:r>
    </w:p>
    <w:p>
      <w:pPr>
        <w:spacing w:before="160"/>
        <w:ind w:left="154"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54" w:right="35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二、公司相对于控股股东在业务、人员、资产、机构、财务等方面的独立情况" w:id="150"/>
      <w:bookmarkEnd w:id="150"/>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24"/>
          <w:szCs w:val="24"/>
        </w:rPr>
      </w:pPr>
    </w:p>
    <w:p>
      <w:pPr>
        <w:pStyle w:val="BodyText"/>
        <w:spacing w:line="264" w:lineRule="auto"/>
        <w:ind w:right="1131" w:firstLine="420"/>
        <w:jc w:val="both"/>
      </w:pPr>
      <w:r>
        <w:rPr>
          <w:rFonts w:ascii="Times New Roman" w:hAnsi="Times New Roman" w:cs="Times New Roman" w:eastAsia="Times New Roman" w:hint="default"/>
        </w:rPr>
        <w:t>1</w:t>
      </w:r>
      <w:r>
        <w:rPr/>
        <w:t>、控股股东与上市公司的关系：控股股东行为规范，没有超越股东大会直接或间接干预公司的决策 </w:t>
      </w:r>
      <w:r>
        <w:rPr>
          <w:spacing w:val="-1"/>
        </w:rPr>
        <w:t>和经营活动；公司与控股股东在人员、资产、财务、机构和业务方面相互独立，公司董事会、监事会和内</w:t>
      </w:r>
      <w:r>
        <w:rPr>
          <w:spacing w:val="-83"/>
        </w:rPr>
        <w:t> </w:t>
      </w:r>
      <w:r>
        <w:rPr>
          <w:spacing w:val="-83"/>
        </w:rPr>
      </w:r>
      <w:r>
        <w:rPr/>
        <w:t>部机构能够独立运作。</w:t>
      </w:r>
    </w:p>
    <w:p>
      <w:pPr>
        <w:pStyle w:val="BodyText"/>
        <w:spacing w:line="266" w:lineRule="auto" w:before="136"/>
        <w:ind w:right="1023" w:firstLine="420"/>
        <w:jc w:val="left"/>
      </w:pPr>
      <w:r>
        <w:rPr>
          <w:rFonts w:ascii="Times New Roman" w:hAnsi="Times New Roman" w:cs="Times New Roman" w:eastAsia="Times New Roman" w:hint="default"/>
        </w:rPr>
        <w:t>2</w:t>
      </w:r>
      <w:r>
        <w:rPr/>
        <w:t>、董事与董事会：公司董事会各专门委员会的设置（审计委员会、提名委员会、战略委员会、薪酬 与考核委员会）为公司相关事项的决策提供了有利的支持。各委员会根据自身工作职责和细则运作，为公 </w:t>
      </w:r>
      <w:r>
        <w:rPr>
          <w:spacing w:val="-3"/>
        </w:rPr>
        <w:t>司相关业务及重大事项进行研究、审议，并在董事会上发表专业意见，为董事会科学决策提供支持和建议，</w:t>
      </w:r>
      <w:r>
        <w:rPr>
          <w:spacing w:val="-90"/>
        </w:rPr>
        <w:t> </w:t>
      </w:r>
      <w:r>
        <w:rPr>
          <w:spacing w:val="-90"/>
        </w:rPr>
      </w:r>
      <w:r>
        <w:rPr/>
        <w:t>以保证董事会更加科学、高效地工作。公司董事会的人员构成符合法律、法规的要求；公司董事会制订了</w:t>
      </w:r>
    </w:p>
    <w:p>
      <w:pPr>
        <w:pStyle w:val="BodyText"/>
        <w:spacing w:line="273" w:lineRule="auto" w:before="14"/>
        <w:ind w:right="1131"/>
        <w:jc w:val="both"/>
      </w:pPr>
      <w:r>
        <w:rPr>
          <w:spacing w:val="-1"/>
        </w:rPr>
        <w:t>《董事会议事规则》，公司各位董事能够以认真负责的态度出席董事会和股东大会，能够积极参加有关培</w:t>
      </w:r>
      <w:r>
        <w:rPr>
          <w:spacing w:val="-83"/>
        </w:rPr>
        <w:t> </w:t>
      </w:r>
      <w:r>
        <w:rPr>
          <w:spacing w:val="-83"/>
        </w:rPr>
      </w:r>
      <w:r>
        <w:rPr>
          <w:spacing w:val="-1"/>
        </w:rPr>
        <w:t>训，熟悉有关法律法规，了解作为董事的权利、义务和责任。独立董事在公司决策中发挥重要作用，公司</w:t>
      </w:r>
      <w:r>
        <w:rPr>
          <w:spacing w:val="-83"/>
        </w:rPr>
        <w:t> </w:t>
      </w:r>
      <w:r>
        <w:rPr>
          <w:spacing w:val="-83"/>
        </w:rPr>
      </w:r>
      <w:r>
        <w:rPr/>
        <w:t>重视发挥独董的作用。在公司管理中，独董对关联交易等重大事项进行认真审查并发表独立意见。</w:t>
      </w:r>
    </w:p>
    <w:p>
      <w:pPr>
        <w:pStyle w:val="BodyText"/>
        <w:spacing w:line="264" w:lineRule="auto" w:before="127"/>
        <w:ind w:right="1133" w:firstLine="420"/>
        <w:jc w:val="both"/>
      </w:pPr>
      <w:r>
        <w:rPr>
          <w:rFonts w:ascii="Times New Roman" w:hAnsi="Times New Roman" w:cs="Times New Roman" w:eastAsia="Times New Roman" w:hint="default"/>
        </w:rPr>
        <w:t>3</w:t>
      </w:r>
      <w:r>
        <w:rPr/>
        <w:t>、监事和监事会：公司监事会的人数和人员构成符合法律、法规的要求；公司监事会制订了《监事 </w:t>
      </w:r>
      <w:r>
        <w:rPr>
          <w:spacing w:val="-1"/>
        </w:rPr>
        <w:t>会议事规则》；公司监事能够认真履行自己的职责，能够本着对股东负责的精神，对公司财务以及公司董</w:t>
      </w:r>
      <w:r>
        <w:rPr>
          <w:spacing w:val="-86"/>
        </w:rPr>
        <w:t> </w:t>
      </w:r>
      <w:r>
        <w:rPr>
          <w:spacing w:val="-86"/>
        </w:rPr>
      </w:r>
      <w:r>
        <w:rPr/>
        <w:t>事、公司经理和其他高级管理人员履行职责的合法合规性进行监督。</w:t>
      </w:r>
    </w:p>
    <w:p>
      <w:pPr>
        <w:spacing w:after="0" w:line="264"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64" w:lineRule="auto" w:before="35"/>
        <w:ind w:right="1131" w:firstLine="420"/>
        <w:jc w:val="both"/>
      </w:pPr>
      <w:r>
        <w:rPr>
          <w:rFonts w:ascii="Times New Roman" w:hAnsi="Times New Roman" w:cs="Times New Roman" w:eastAsia="Times New Roman" w:hint="default"/>
        </w:rPr>
        <w:t>4</w:t>
      </w:r>
      <w:r>
        <w:rPr/>
        <w:t>、公司与关联方：公司与关联方关联交易管理严格，关联交易的审核履行了相关程序。关联交易合 </w:t>
      </w:r>
      <w:r>
        <w:rPr>
          <w:spacing w:val="-1"/>
        </w:rPr>
        <w:t>法、合规，不存在大股东利用关联交易占用上市公司资金的问题。报告期内公司不存在违背承诺或超期未</w:t>
      </w:r>
      <w:r>
        <w:rPr>
          <w:spacing w:val="-83"/>
        </w:rPr>
        <w:t> </w:t>
      </w:r>
      <w:r>
        <w:rPr>
          <w:spacing w:val="-83"/>
        </w:rPr>
      </w:r>
      <w:r>
        <w:rPr/>
        <w:t>履行承诺的相关情况。</w:t>
      </w:r>
    </w:p>
    <w:p>
      <w:pPr>
        <w:spacing w:line="240" w:lineRule="auto" w:before="7"/>
        <w:rPr>
          <w:rFonts w:ascii="宋体" w:hAnsi="宋体" w:cs="宋体" w:eastAsia="宋体" w:hint="default"/>
          <w:sz w:val="22"/>
          <w:szCs w:val="22"/>
        </w:rPr>
      </w:pPr>
    </w:p>
    <w:p>
      <w:pPr>
        <w:pStyle w:val="Heading2"/>
        <w:spacing w:line="240" w:lineRule="auto"/>
        <w:ind w:right="0"/>
        <w:jc w:val="left"/>
        <w:rPr>
          <w:b w:val="0"/>
          <w:bCs w:val="0"/>
        </w:rPr>
      </w:pPr>
      <w:bookmarkStart w:name="三、同业竞争情况" w:id="151"/>
      <w:bookmarkEnd w:id="151"/>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52"/>
      <w:bookmarkEnd w:id="152"/>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本报告期股东大会情况" w:id="153"/>
      <w:bookmarkEnd w:id="153"/>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666"/>
        <w:gridCol w:w="1523"/>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9"/>
              <w:ind w:left="432" w:right="51" w:hanging="38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40" w:lineRule="auto" w:before="63"/>
              <w:ind w:left="27" w:right="2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公告编号： </w:t>
            </w:r>
            <w:r>
              <w:rPr>
                <w:rFonts w:ascii="Times New Roman" w:hAnsi="Times New Roman" w:cs="Times New Roman" w:eastAsia="Times New Roman" w:hint="default"/>
                <w:sz w:val="18"/>
                <w:szCs w:val="18"/>
              </w:rPr>
              <w:t>2018-006</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9"/>
              <w:ind w:left="432" w:right="51" w:hanging="38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40" w:lineRule="auto" w:before="63"/>
              <w:ind w:left="27" w:right="2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公告编号： </w:t>
            </w:r>
            <w:r>
              <w:rPr>
                <w:rFonts w:ascii="Times New Roman" w:hAnsi="Times New Roman" w:cs="Times New Roman" w:eastAsia="Times New Roman" w:hint="default"/>
                <w:sz w:val="18"/>
                <w:szCs w:val="18"/>
              </w:rPr>
              <w:t>2018-019</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58.45%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40" w:lineRule="auto" w:before="63"/>
              <w:ind w:left="27" w:right="2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公告编号： </w:t>
            </w:r>
            <w:r>
              <w:rPr>
                <w:rFonts w:ascii="Times New Roman" w:hAnsi="Times New Roman" w:cs="Times New Roman" w:eastAsia="Times New Roman" w:hint="default"/>
                <w:sz w:val="18"/>
                <w:szCs w:val="18"/>
              </w:rPr>
              <w:t>2018-054</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9"/>
              <w:ind w:left="432" w:right="51" w:hanging="38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40" w:lineRule="auto" w:before="63"/>
              <w:ind w:left="27" w:right="2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公告编号： </w:t>
            </w:r>
            <w:r>
              <w:rPr>
                <w:rFonts w:ascii="Times New Roman" w:hAnsi="Times New Roman" w:cs="Times New Roman" w:eastAsia="Times New Roman" w:hint="default"/>
                <w:sz w:val="18"/>
                <w:szCs w:val="18"/>
              </w:rPr>
              <w:t>2018-073</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9"/>
              <w:ind w:left="432" w:right="51" w:hanging="38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58.45%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40" w:lineRule="auto" w:before="63"/>
              <w:ind w:left="27" w:right="2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公告编号： </w:t>
            </w:r>
            <w:r>
              <w:rPr>
                <w:rFonts w:ascii="Times New Roman" w:hAnsi="Times New Roman" w:cs="Times New Roman" w:eastAsia="Times New Roman" w:hint="default"/>
                <w:sz w:val="18"/>
                <w:szCs w:val="18"/>
              </w:rPr>
              <w:t>2018-142</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9"/>
              <w:ind w:left="432" w:right="51" w:hanging="38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58.45%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40" w:lineRule="auto" w:before="63"/>
              <w:ind w:left="27" w:right="2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公告编号： </w:t>
            </w:r>
            <w:r>
              <w:rPr>
                <w:rFonts w:ascii="Times New Roman" w:hAnsi="Times New Roman" w:cs="Times New Roman" w:eastAsia="Times New Roman" w:hint="default"/>
                <w:sz w:val="18"/>
                <w:szCs w:val="18"/>
              </w:rPr>
              <w:t>2018-171</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432" w:right="51" w:hanging="38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 股东大会</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58.44%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40" w:lineRule="auto" w:before="63"/>
              <w:ind w:left="27" w:right="2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公告编号： </w:t>
            </w:r>
            <w:r>
              <w:rPr>
                <w:rFonts w:ascii="Times New Roman" w:hAnsi="Times New Roman" w:cs="Times New Roman" w:eastAsia="Times New Roman" w:hint="default"/>
                <w:sz w:val="18"/>
                <w:szCs w:val="18"/>
              </w:rPr>
              <w:t>2018-191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年第七次临时</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58.44%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666"/>
        <w:gridCol w:w="1523"/>
        <w:gridCol w:w="1594"/>
        <w:gridCol w:w="1594"/>
        <w:gridCol w:w="1595"/>
      </w:tblGrid>
      <w:tr>
        <w:trPr>
          <w:trHeight w:val="9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1666"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40" w:lineRule="auto" w:before="63"/>
              <w:ind w:left="447" w:right="25" w:hanging="4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公告编号： </w:t>
            </w:r>
            <w:r>
              <w:rPr>
                <w:rFonts w:ascii="Times New Roman" w:hAnsi="Times New Roman" w:cs="Times New Roman" w:eastAsia="Times New Roman" w:hint="default"/>
                <w:sz w:val="18"/>
                <w:szCs w:val="18"/>
              </w:rPr>
              <w:t>2018-203</w:t>
            </w:r>
          </w:p>
        </w:tc>
      </w:tr>
    </w:tbl>
    <w:p>
      <w:pPr>
        <w:spacing w:line="240" w:lineRule="auto" w:before="3"/>
        <w:rPr>
          <w:rFonts w:ascii="宋体" w:hAnsi="宋体" w:cs="宋体" w:eastAsia="宋体" w:hint="default"/>
          <w:b/>
          <w:bCs/>
          <w:sz w:val="19"/>
          <w:szCs w:val="19"/>
        </w:rPr>
      </w:pPr>
    </w:p>
    <w:p>
      <w:pPr>
        <w:pStyle w:val="Heading4"/>
        <w:spacing w:line="240" w:lineRule="auto" w:before="35"/>
        <w:ind w:right="0"/>
        <w:jc w:val="left"/>
        <w:rPr>
          <w:b w:val="0"/>
          <w:bCs w:val="0"/>
        </w:rPr>
      </w:pPr>
      <w:bookmarkStart w:name="2、表决权恢复的优先股股东请求召开临时股东大会" w:id="154"/>
      <w:bookmarkEnd w:id="154"/>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55"/>
      <w:bookmarkEnd w:id="155"/>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独立董事出席董事会及股东大会的情况" w:id="156"/>
      <w:bookmarkEnd w:id="156"/>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陈方清</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5" w:right="0"/>
              <w:jc w:val="left"/>
              <w:rPr>
                <w:rFonts w:ascii="Times New Roman" w:hAnsi="Times New Roman" w:cs="Times New Roman" w:eastAsia="Times New Roman" w:hint="default"/>
                <w:sz w:val="18"/>
                <w:szCs w:val="18"/>
              </w:rPr>
            </w:pPr>
            <w:r>
              <w:rPr>
                <w:rFonts w:ascii="Times New Roman"/>
                <w:sz w:val="18"/>
              </w:rPr>
              <w:t>25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1" w:right="0"/>
              <w:jc w:val="left"/>
              <w:rPr>
                <w:rFonts w:ascii="Times New Roman" w:hAnsi="Times New Roman" w:cs="Times New Roman" w:eastAsia="Times New Roman" w:hint="default"/>
                <w:sz w:val="18"/>
                <w:szCs w:val="18"/>
              </w:rPr>
            </w:pPr>
            <w:r>
              <w:rPr>
                <w:rFonts w:ascii="Times New Roman"/>
                <w:sz w:val="18"/>
              </w:rPr>
              <w:t>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聂兴凯</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5" w:right="0"/>
              <w:jc w:val="left"/>
              <w:rPr>
                <w:rFonts w:ascii="Times New Roman" w:hAnsi="Times New Roman" w:cs="Times New Roman" w:eastAsia="Times New Roman" w:hint="default"/>
                <w:sz w:val="18"/>
                <w:szCs w:val="18"/>
              </w:rPr>
            </w:pPr>
            <w:r>
              <w:rPr>
                <w:rFonts w:ascii="Times New Roman"/>
                <w:sz w:val="18"/>
              </w:rPr>
              <w:t>25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1" w:right="0"/>
              <w:jc w:val="left"/>
              <w:rPr>
                <w:rFonts w:ascii="Times New Roman" w:hAnsi="Times New Roman" w:cs="Times New Roman" w:eastAsia="Times New Roman" w:hint="default"/>
                <w:sz w:val="18"/>
                <w:szCs w:val="18"/>
              </w:rPr>
            </w:pPr>
            <w:r>
              <w:rPr>
                <w:rFonts w:ascii="Times New Roman"/>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石英</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5" w:right="0"/>
              <w:jc w:val="left"/>
              <w:rPr>
                <w:rFonts w:ascii="Times New Roman" w:hAnsi="Times New Roman" w:cs="Times New Roman" w:eastAsia="Times New Roman" w:hint="default"/>
                <w:sz w:val="18"/>
                <w:szCs w:val="18"/>
              </w:rPr>
            </w:pPr>
            <w:r>
              <w:rPr>
                <w:rFonts w:ascii="Times New Roman"/>
                <w:sz w:val="18"/>
              </w:rPr>
              <w:t>25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1" w:right="0"/>
              <w:jc w:val="lef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r>
    </w:tbl>
    <w:p>
      <w:pPr>
        <w:spacing w:line="357" w:lineRule="auto" w:before="51"/>
        <w:ind w:left="154" w:right="8052"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无</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2、独立董事对公司有关事项提出异议的情况" w:id="157"/>
      <w:bookmarkEnd w:id="157"/>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7"/>
        <w:ind w:left="15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3、独立董事履行职责的其他说明" w:id="158"/>
      <w:bookmarkEnd w:id="158"/>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240" w:lineRule="auto" w:before="78"/>
        <w:ind w:right="0"/>
        <w:jc w:val="left"/>
      </w:pPr>
      <w:r>
        <w:rPr/>
        <w:t>独立董事对公司有关建议被采纳或未被采纳的说明</w:t>
      </w:r>
    </w:p>
    <w:p>
      <w:pPr>
        <w:spacing w:line="240" w:lineRule="auto" w:before="9"/>
        <w:rPr>
          <w:rFonts w:ascii="宋体" w:hAnsi="宋体" w:cs="宋体" w:eastAsia="宋体" w:hint="default"/>
          <w:sz w:val="14"/>
          <w:szCs w:val="14"/>
        </w:rPr>
      </w:pPr>
    </w:p>
    <w:p>
      <w:pPr>
        <w:pStyle w:val="BodyText"/>
        <w:spacing w:line="273" w:lineRule="auto"/>
        <w:ind w:right="1023" w:firstLine="420"/>
        <w:jc w:val="left"/>
      </w:pPr>
      <w:r>
        <w:rPr/>
        <w:t>报告期内，公司独立董事严格按照《公司法》、《公司章程》、《独立董事制度》和《独立董事年报 工作制度》开展工作，积极参加公司董事会和股东大会，对公司的重大决策提供了专业性意见，促进公司 </w:t>
      </w:r>
      <w:r>
        <w:rPr>
          <w:spacing w:val="-3"/>
        </w:rPr>
        <w:t>董事会决策及决策程序的科学化，推进公司内控制度建设，维护公司整体利益特别是中小股东的合法权益。</w:t>
      </w:r>
      <w:r>
        <w:rPr>
          <w:spacing w:val="-92"/>
        </w:rPr>
        <w:t> </w:t>
      </w:r>
      <w:r>
        <w:rPr>
          <w:spacing w:val="-92"/>
        </w:rPr>
      </w:r>
      <w:r>
        <w:rPr/>
        <w:t>在报告期内，独立董事根据《公司法》、《公司章程》等有关规定，对公司</w:t>
      </w:r>
      <w:r>
        <w:rPr>
          <w:rFonts w:ascii="宋体" w:hAnsi="宋体" w:cs="宋体" w:eastAsia="宋体" w:hint="default"/>
        </w:rPr>
        <w:t>2018</w:t>
      </w:r>
      <w:r>
        <w:rPr/>
        <w:t>年度内部控制自我评价报 </w:t>
      </w:r>
      <w:r>
        <w:rPr>
          <w:spacing w:val="-3"/>
        </w:rPr>
        <w:t>告、收购中科鼎实相关事宜、聘任高级管理人员、关联交易、担保、募集资金使用等事项发表了独立意见，</w:t>
      </w:r>
      <w:r>
        <w:rPr>
          <w:spacing w:val="-94"/>
        </w:rPr>
        <w:t> </w:t>
      </w:r>
      <w:r>
        <w:rPr>
          <w:spacing w:val="-94"/>
        </w:rPr>
      </w:r>
      <w:r>
        <w:rPr/>
        <w:t>公司管理层充分听取并采纳了独立董事的专业意见。</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六、董事会下设专门委员会在报告期内履行职责情况" w:id="159"/>
      <w:bookmarkEnd w:id="159"/>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31" w:firstLine="420"/>
        <w:jc w:val="both"/>
      </w:pPr>
      <w:r>
        <w:rPr>
          <w:spacing w:val="-1"/>
        </w:rPr>
        <w:t>报告期内，董事会下设专门委员会各委员在报告期内恪尽职守、诚实守信的履行职责，发挥各自的专</w:t>
      </w:r>
      <w:r>
        <w:rPr/>
        <w:t> </w:t>
      </w:r>
      <w:r>
        <w:rPr>
          <w:spacing w:val="-1"/>
        </w:rPr>
        <w:t>业特长和技能、经验，积极履行职责，通过电话和邮件，与公司其他董事、高管人员及相关工作人员保持</w:t>
      </w:r>
      <w:r>
        <w:rPr>
          <w:spacing w:val="-83"/>
        </w:rPr>
        <w:t> </w:t>
      </w:r>
      <w:r>
        <w:rPr>
          <w:spacing w:val="-83"/>
        </w:rPr>
      </w:r>
      <w:r>
        <w:rPr>
          <w:spacing w:val="-1"/>
        </w:rPr>
        <w:t>密切联系，及时获悉公司重大事项的进展情况，定期审阅公司提供的定期报告、临时公告，及时掌握公司</w:t>
      </w:r>
      <w:r>
        <w:rPr>
          <w:spacing w:val="-86"/>
        </w:rPr>
        <w:t> </w:t>
      </w:r>
      <w:r>
        <w:rPr>
          <w:spacing w:val="-86"/>
        </w:rPr>
      </w:r>
      <w:r>
        <w:rPr/>
        <w:t>经营与发展情况，切实维护公司和股东特别是社会公众股东的权益。</w:t>
      </w:r>
    </w:p>
    <w:p>
      <w:pPr>
        <w:pStyle w:val="BodyText"/>
        <w:spacing w:line="273" w:lineRule="auto" w:before="163"/>
        <w:ind w:right="1131" w:firstLine="420"/>
        <w:jc w:val="both"/>
      </w:pPr>
      <w:r>
        <w:rPr>
          <w:spacing w:val="-1"/>
        </w:rPr>
        <w:t>战略委员密切关注经济形势变化，对市场形势的研判，研究宏观经济对公司运营管理的影响，有效引</w:t>
      </w:r>
      <w:r>
        <w:rPr/>
        <w:t> 导了公司及时应对市场变化。</w:t>
      </w:r>
    </w:p>
    <w:p>
      <w:pPr>
        <w:pStyle w:val="BodyText"/>
        <w:spacing w:line="273" w:lineRule="auto" w:before="163"/>
        <w:ind w:right="1130" w:firstLine="420"/>
        <w:jc w:val="both"/>
      </w:pPr>
      <w:r>
        <w:rPr>
          <w:spacing w:val="-1"/>
        </w:rPr>
        <w:t>提名委员会严格按照中国证监会、深圳证券交易所有关规定，认真勤勉地履行职责，对相关人事任免</w:t>
      </w:r>
      <w:r>
        <w:rPr/>
        <w:t> 发表专业意见。</w:t>
      </w:r>
    </w:p>
    <w:p>
      <w:pPr>
        <w:pStyle w:val="BodyText"/>
        <w:spacing w:line="273" w:lineRule="auto" w:before="163"/>
        <w:ind w:right="1131" w:firstLine="420"/>
        <w:jc w:val="both"/>
      </w:pPr>
      <w:r>
        <w:rPr>
          <w:spacing w:val="-1"/>
        </w:rPr>
        <w:t>审计委员会参与制定年审计划、审核年度审计报告，审慎地对公司财务报告发表了审阅意见、督促审</w:t>
      </w:r>
      <w:r>
        <w:rPr/>
        <w:t> 计工作的进展；指导、推进、监督公司内部控制规范工作实施方案及相关配套管理制度的制定、实施。</w:t>
      </w:r>
    </w:p>
    <w:p>
      <w:pPr>
        <w:pStyle w:val="BodyText"/>
        <w:spacing w:line="273" w:lineRule="auto" w:before="163"/>
        <w:ind w:right="1131" w:firstLine="420"/>
        <w:jc w:val="both"/>
      </w:pPr>
      <w:r>
        <w:rPr>
          <w:spacing w:val="-1"/>
        </w:rPr>
        <w:t>董事会薪酬与考核委员会对在公司受薪的董事、监事、高级管理人员薪酬进行了审核，认为其符合法</w:t>
      </w:r>
      <w:r>
        <w:rPr/>
        <w:t> 律法规以及公司薪酬考核体系的规定。</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bookmarkStart w:name="七、监事会工作情况" w:id="160"/>
      <w:bookmarkEnd w:id="160"/>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61"/>
      <w:bookmarkEnd w:id="161"/>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24"/>
          <w:szCs w:val="24"/>
        </w:rPr>
      </w:pPr>
    </w:p>
    <w:p>
      <w:pPr>
        <w:pStyle w:val="BodyText"/>
        <w:spacing w:line="266" w:lineRule="auto"/>
        <w:ind w:right="1131" w:firstLine="336"/>
        <w:jc w:val="both"/>
      </w:pPr>
      <w:r>
        <w:rPr/>
        <w:t>公司已建立完善、可操作性强的高级管理人员绩效考评体系，薪酬与考核委员会负责对高级管理人员 </w:t>
      </w:r>
      <w:r>
        <w:rPr>
          <w:spacing w:val="-1"/>
        </w:rPr>
        <w:t>的管理能力和业绩进行考评。公司年初制定了具体的经营指标，薪酬与考核委员会并与管理层签订目标责</w:t>
      </w:r>
      <w:r>
        <w:rPr>
          <w:spacing w:val="-81"/>
        </w:rPr>
        <w:t> </w:t>
      </w:r>
      <w:r>
        <w:rPr>
          <w:spacing w:val="-81"/>
        </w:rPr>
      </w:r>
      <w:r>
        <w:rPr>
          <w:spacing w:val="-1"/>
        </w:rPr>
        <w:t>任书，严格按照高级管理人员考核办法开展年度考核。根据公司</w:t>
      </w:r>
      <w:r>
        <w:rPr>
          <w:rFonts w:ascii="Times New Roman" w:hAnsi="Times New Roman" w:cs="Times New Roman" w:eastAsia="Times New Roman" w:hint="default"/>
          <w:spacing w:val="-1"/>
        </w:rPr>
        <w:t>2017</w:t>
      </w:r>
      <w:r>
        <w:rPr>
          <w:spacing w:val="-1"/>
        </w:rPr>
        <w:t>年度经营业绩指标完成情况，薪酬与</w:t>
      </w:r>
      <w:r>
        <w:rPr>
          <w:spacing w:val="-81"/>
        </w:rPr>
        <w:t> </w:t>
      </w:r>
      <w:r>
        <w:rPr>
          <w:spacing w:val="-81"/>
        </w:rPr>
      </w:r>
      <w:r>
        <w:rPr/>
        <w:t>考核委员会同意兑现</w:t>
      </w:r>
      <w:r>
        <w:rPr>
          <w:rFonts w:ascii="Times New Roman" w:hAnsi="Times New Roman" w:cs="Times New Roman" w:eastAsia="Times New Roman" w:hint="default"/>
        </w:rPr>
        <w:t>2018</w:t>
      </w:r>
      <w:r>
        <w:rPr/>
        <w:t>年度奖金。</w:t>
      </w:r>
    </w:p>
    <w:p>
      <w:pPr>
        <w:spacing w:line="240" w:lineRule="auto" w:before="12"/>
        <w:rPr>
          <w:rFonts w:ascii="宋体" w:hAnsi="宋体" w:cs="宋体" w:eastAsia="宋体" w:hint="default"/>
          <w:sz w:val="20"/>
          <w:szCs w:val="20"/>
        </w:rPr>
      </w:pPr>
    </w:p>
    <w:p>
      <w:pPr>
        <w:pStyle w:val="Heading2"/>
        <w:spacing w:line="240" w:lineRule="auto"/>
        <w:ind w:right="0"/>
        <w:jc w:val="left"/>
        <w:rPr>
          <w:b w:val="0"/>
          <w:bCs w:val="0"/>
        </w:rPr>
      </w:pPr>
      <w:bookmarkStart w:name="九、内部控制情况" w:id="162"/>
      <w:bookmarkEnd w:id="162"/>
      <w:r>
        <w:rPr>
          <w:b w:val="0"/>
          <w:bCs w:val="0"/>
        </w:rPr>
      </w:r>
      <w:r>
        <w:rPr/>
        <w:t>九、内部控制情况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发现的内部控制重大缺陷的具体情况" w:id="163"/>
      <w:bookmarkEnd w:id="163"/>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内控自我评价报告" w:id="164"/>
      <w:bookmarkEnd w:id="164"/>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shape style="position:absolute;margin-left:56.459999pt;margin-top:71.999985pt;width:479.2pt;height:691.9pt;mso-position-horizontal-relative:page;mso-position-vertical-relative:page;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29"/>
                    <w:gridCol w:w="3051"/>
                  </w:tblGrid>
                  <w:tr>
                    <w:trPr>
                      <w:trHeight w:val="36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657"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9"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具有以下特征的缺陷，认定为重大缺陷：</w:t>
                        </w:r>
                      </w:p>
                      <w:p>
                        <w:pPr>
                          <w:pStyle w:val="TableParagraph"/>
                          <w:spacing w:line="300" w:lineRule="auto" w:before="75"/>
                          <w:ind w:left="22" w:right="-47"/>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）控制环境无效，可能导致公司严重偏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离控制目标；（</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）公司管理层存在重大舞</w:t>
                        </w:r>
                        <w:r>
                          <w:rPr>
                            <w:rFonts w:ascii="宋体" w:hAnsi="宋体" w:cs="宋体" w:eastAsia="宋体" w:hint="default"/>
                            <w:spacing w:val="-85"/>
                            <w:sz w:val="18"/>
                            <w:szCs w:val="18"/>
                          </w:rPr>
                          <w:t> </w:t>
                        </w:r>
                        <w:r>
                          <w:rPr>
                            <w:rFonts w:ascii="宋体" w:hAnsi="宋体" w:cs="宋体" w:eastAsia="宋体" w:hint="default"/>
                            <w:spacing w:val="-5"/>
                            <w:sz w:val="18"/>
                            <w:szCs w:val="18"/>
                          </w:rPr>
                          <w:t>弊行为；（</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）已经报告给管理层的重大内</w:t>
                        </w:r>
                        <w:r>
                          <w:rPr>
                            <w:rFonts w:ascii="宋体" w:hAnsi="宋体" w:cs="宋体" w:eastAsia="宋体" w:hint="default"/>
                            <w:spacing w:val="-85"/>
                            <w:sz w:val="18"/>
                            <w:szCs w:val="18"/>
                          </w:rPr>
                          <w:t> </w:t>
                        </w:r>
                        <w:r>
                          <w:rPr>
                            <w:rFonts w:ascii="宋体" w:hAnsi="宋体" w:cs="宋体" w:eastAsia="宋体" w:hint="default"/>
                            <w:sz w:val="18"/>
                            <w:szCs w:val="18"/>
                          </w:rPr>
                          <w:t>部控制缺陷在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日后，未加以修正；（</w:t>
                        </w:r>
                        <w:r>
                          <w:rPr>
                            <w:rFonts w:ascii="Times New Roman" w:hAnsi="Times New Roman" w:cs="Times New Roman" w:eastAsia="Times New Roman" w:hint="default"/>
                            <w:spacing w:val="-8"/>
                            <w:sz w:val="18"/>
                            <w:szCs w:val="18"/>
                          </w:rPr>
                          <w:t>4</w:t>
                        </w:r>
                        <w:r>
                          <w:rPr>
                            <w:rFonts w:ascii="宋体" w:hAnsi="宋体" w:cs="宋体" w:eastAsia="宋体" w:hint="default"/>
                            <w:spacing w:val="-8"/>
                            <w:sz w:val="18"/>
                            <w:szCs w:val="18"/>
                          </w:rPr>
                          <w:t>）</w:t>
                        </w:r>
                        <w:r>
                          <w:rPr>
                            <w:rFonts w:ascii="宋体" w:hAnsi="宋体" w:cs="宋体" w:eastAsia="宋体" w:hint="default"/>
                            <w:sz w:val="18"/>
                            <w:szCs w:val="18"/>
                          </w:rPr>
                          <w:t> 对收入和利润趋势造成重大影响的缺陷；</w:t>
                        </w:r>
                      </w:p>
                      <w:p>
                        <w:pPr>
                          <w:pStyle w:val="TableParagraph"/>
                          <w:spacing w:line="309" w:lineRule="auto" w:before="31"/>
                          <w:ind w:left="22" w:right="14"/>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）未按相关规定履行内部决策程序，关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联方交易总额超过股东大会批准的关联交 易额度，且影响重大的缺陷；具有以下特 征的缺陷，认定为重要缺陷：</w:t>
                        </w:r>
                        <w:r>
                          <w:rPr>
                            <w:rFonts w:ascii="Times New Roman" w:hAnsi="Times New Roman" w:cs="Times New Roman" w:eastAsia="Times New Roman" w:hint="default"/>
                            <w:sz w:val="18"/>
                            <w:szCs w:val="18"/>
                          </w:rPr>
                          <w:t>a)</w:t>
                        </w:r>
                        <w:r>
                          <w:rPr>
                            <w:rFonts w:ascii="宋体" w:hAnsi="宋体" w:cs="宋体" w:eastAsia="宋体" w:hint="default"/>
                            <w:sz w:val="18"/>
                            <w:szCs w:val="18"/>
                          </w:rPr>
                          <w:t>内部控制 环境有效性较差，可能导致公司偏离控制 目标；</w:t>
                        </w:r>
                        <w:r>
                          <w:rPr>
                            <w:rFonts w:ascii="Times New Roman" w:hAnsi="Times New Roman" w:cs="Times New Roman" w:eastAsia="Times New Roman" w:hint="default"/>
                            <w:sz w:val="18"/>
                            <w:szCs w:val="18"/>
                          </w:rPr>
                          <w:t>b)</w:t>
                        </w:r>
                        <w:r>
                          <w:rPr>
                            <w:rFonts w:ascii="宋体" w:hAnsi="宋体" w:cs="宋体" w:eastAsia="宋体" w:hint="default"/>
                            <w:sz w:val="18"/>
                            <w:szCs w:val="18"/>
                          </w:rPr>
                          <w:t>公司管理层存在重要舞弊行为； </w:t>
                        </w:r>
                        <w:r>
                          <w:rPr>
                            <w:rFonts w:ascii="Times New Roman" w:hAnsi="Times New Roman" w:cs="Times New Roman" w:eastAsia="Times New Roman" w:hint="default"/>
                            <w:sz w:val="18"/>
                            <w:szCs w:val="18"/>
                          </w:rPr>
                          <w:t>c)</w:t>
                        </w:r>
                        <w:r>
                          <w:rPr>
                            <w:rFonts w:ascii="宋体" w:hAnsi="宋体" w:cs="宋体" w:eastAsia="宋体" w:hint="default"/>
                            <w:sz w:val="18"/>
                            <w:szCs w:val="18"/>
                          </w:rPr>
                          <w:t>已经报告给管理层的重要内部控制缺陷 在</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日后，未加以修正；</w:t>
                        </w:r>
                        <w:r>
                          <w:rPr>
                            <w:rFonts w:ascii="Times New Roman" w:hAnsi="Times New Roman" w:cs="Times New Roman" w:eastAsia="Times New Roman" w:hint="default"/>
                            <w:sz w:val="18"/>
                            <w:szCs w:val="18"/>
                          </w:rPr>
                          <w:t>d)</w:t>
                        </w:r>
                        <w:r>
                          <w:rPr>
                            <w:rFonts w:ascii="宋体" w:hAnsi="宋体" w:cs="宋体" w:eastAsia="宋体" w:hint="default"/>
                            <w:sz w:val="18"/>
                            <w:szCs w:val="18"/>
                          </w:rPr>
                          <w:t>对收入和利润 趋势造成重要影响的缺陷；</w:t>
                        </w:r>
                        <w:r>
                          <w:rPr>
                            <w:rFonts w:ascii="Times New Roman" w:hAnsi="Times New Roman" w:cs="Times New Roman" w:eastAsia="Times New Roman" w:hint="default"/>
                            <w:sz w:val="18"/>
                            <w:szCs w:val="18"/>
                          </w:rPr>
                          <w:t>e)</w:t>
                        </w:r>
                        <w:r>
                          <w:rPr>
                            <w:rFonts w:ascii="宋体" w:hAnsi="宋体" w:cs="宋体" w:eastAsia="宋体" w:hint="default"/>
                            <w:sz w:val="18"/>
                            <w:szCs w:val="18"/>
                          </w:rPr>
                          <w:t>未按相关规 定履行内部决策程序，关联方交易总额超 过股东大会批准的关联交易额度，且有一 定影响的缺陷。</w:t>
                        </w:r>
                      </w:p>
                    </w:tc>
                    <w:tc>
                      <w:tcPr>
                        <w:tcW w:w="3051" w:type="dxa"/>
                        <w:vMerge w:val="restart"/>
                        <w:tcBorders>
                          <w:top w:val="single" w:sz="4" w:space="0" w:color="000000"/>
                          <w:left w:val="single" w:sz="9"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16" w:right="20"/>
                          <w:jc w:val="left"/>
                          <w:rPr>
                            <w:rFonts w:ascii="宋体" w:hAnsi="宋体" w:cs="宋体" w:eastAsia="宋体" w:hint="default"/>
                            <w:sz w:val="18"/>
                            <w:szCs w:val="18"/>
                          </w:rPr>
                        </w:pPr>
                        <w:r>
                          <w:rPr>
                            <w:rFonts w:ascii="宋体" w:hAnsi="宋体" w:cs="宋体" w:eastAsia="宋体" w:hint="default"/>
                            <w:sz w:val="18"/>
                            <w:szCs w:val="18"/>
                          </w:rPr>
                          <w:t>具有以下特征的缺陷，认定为重大缺 </w:t>
                        </w:r>
                        <w:r>
                          <w:rPr>
                            <w:rFonts w:ascii="宋体" w:hAnsi="宋体" w:cs="宋体" w:eastAsia="宋体" w:hint="default"/>
                            <w:spacing w:val="-9"/>
                            <w:sz w:val="18"/>
                            <w:szCs w:val="18"/>
                          </w:rPr>
                          <w:t>陷：（</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）违反国家法律法规、行政许可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w w:val="100"/>
                            <w:sz w:val="18"/>
                            <w:szCs w:val="18"/>
                          </w:rPr>
                          <w:t>和规范性文件，且影响重大；（</w:t>
                        </w:r>
                        <w:r>
                          <w:rPr>
                            <w:rFonts w:ascii="Times New Roman" w:hAnsi="Times New Roman" w:cs="Times New Roman" w:eastAsia="Times New Roman" w:hint="default"/>
                            <w:spacing w:val="-6"/>
                            <w:w w:val="100"/>
                            <w:sz w:val="18"/>
                            <w:szCs w:val="18"/>
                          </w:rPr>
                          <w:t>2</w:t>
                        </w:r>
                        <w:r>
                          <w:rPr>
                            <w:rFonts w:ascii="宋体" w:hAnsi="宋体" w:cs="宋体" w:eastAsia="宋体" w:hint="default"/>
                            <w:spacing w:val="-6"/>
                            <w:w w:val="100"/>
                            <w:sz w:val="18"/>
                            <w:szCs w:val="18"/>
                          </w:rPr>
                          <w:t>）</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三</w:t>
                        </w:r>
                        <w:r>
                          <w:rPr>
                            <w:rFonts w:ascii="宋体" w:hAnsi="宋体" w:cs="宋体" w:eastAsia="宋体" w:hint="default"/>
                            <w:spacing w:val="-74"/>
                            <w:w w:val="100"/>
                            <w:sz w:val="18"/>
                            <w:szCs w:val="18"/>
                          </w:rPr>
                          <w:t> </w:t>
                        </w:r>
                        <w:r>
                          <w:rPr>
                            <w:rFonts w:ascii="宋体" w:hAnsi="宋体" w:cs="宋体" w:eastAsia="宋体" w:hint="default"/>
                            <w:spacing w:val="-9"/>
                            <w:w w:val="100"/>
                            <w:sz w:val="18"/>
                            <w:szCs w:val="18"/>
                          </w:rPr>
                          <w:t>重一大</w:t>
                        </w:r>
                        <w:r>
                          <w:rPr>
                            <w:rFonts w:ascii="Times New Roman" w:hAnsi="Times New Roman" w:cs="Times New Roman" w:eastAsia="Times New Roman" w:hint="default"/>
                            <w:spacing w:val="-9"/>
                            <w:w w:val="100"/>
                            <w:sz w:val="18"/>
                            <w:szCs w:val="18"/>
                          </w:rPr>
                          <w:t>”</w:t>
                        </w:r>
                        <w:r>
                          <w:rPr>
                            <w:rFonts w:ascii="宋体" w:hAnsi="宋体" w:cs="宋体" w:eastAsia="宋体" w:hint="default"/>
                            <w:spacing w:val="-9"/>
                            <w:w w:val="100"/>
                            <w:sz w:val="18"/>
                            <w:szCs w:val="18"/>
                          </w:rPr>
                          <w:t>事项未经过集体决策程序；（</w:t>
                        </w:r>
                        <w:r>
                          <w:rPr>
                            <w:rFonts w:ascii="Times New Roman" w:hAnsi="Times New Roman" w:cs="Times New Roman" w:eastAsia="Times New Roman" w:hint="default"/>
                            <w:spacing w:val="-9"/>
                            <w:w w:val="100"/>
                            <w:sz w:val="18"/>
                            <w:szCs w:val="18"/>
                          </w:rPr>
                          <w:t>3</w:t>
                        </w:r>
                        <w:r>
                          <w:rPr>
                            <w:rFonts w:ascii="Times New Roman" w:hAnsi="Times New Roman" w:cs="Times New Roman" w:eastAsia="Times New Roman" w:hint="default"/>
                            <w:spacing w:val="-30"/>
                            <w:w w:val="100"/>
                            <w:sz w:val="18"/>
                            <w:szCs w:val="18"/>
                          </w:rPr>
                          <w:t> </w:t>
                        </w:r>
                        <w:r>
                          <w:rPr>
                            <w:rFonts w:ascii="宋体" w:hAnsi="宋体" w:cs="宋体" w:eastAsia="宋体" w:hint="default"/>
                            <w:sz w:val="18"/>
                            <w:szCs w:val="18"/>
                          </w:rPr>
                          <w:t>关键岗位管理人员和技术人员流失严 </w:t>
                        </w:r>
                        <w:r>
                          <w:rPr>
                            <w:rFonts w:ascii="宋体" w:hAnsi="宋体" w:cs="宋体" w:eastAsia="宋体" w:hint="default"/>
                            <w:spacing w:val="-9"/>
                            <w:sz w:val="18"/>
                            <w:szCs w:val="18"/>
                          </w:rPr>
                          <w:t>重；（</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）媒体负面报道频繁、收到政府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部门处罚，对公司定期报告披露造成严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重负面影响；（</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）涉及公司生产经营的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重要业务缺乏制度控制或制度系统失 </w:t>
                        </w:r>
                        <w:r>
                          <w:rPr>
                            <w:rFonts w:ascii="宋体" w:hAnsi="宋体" w:cs="宋体" w:eastAsia="宋体" w:hint="default"/>
                            <w:spacing w:val="-14"/>
                            <w:sz w:val="18"/>
                            <w:szCs w:val="18"/>
                          </w:rPr>
                          <w:t>效，严重影响内部控制目标的实现；（</w:t>
                        </w:r>
                        <w:r>
                          <w:rPr>
                            <w:rFonts w:ascii="Times New Roman" w:hAnsi="Times New Roman" w:cs="Times New Roman" w:eastAsia="Times New Roman" w:hint="default"/>
                            <w:spacing w:val="-14"/>
                            <w:sz w:val="18"/>
                            <w:szCs w:val="18"/>
                          </w:rPr>
                          <w:t>6</w:t>
                        </w:r>
                        <w:r>
                          <w:rPr>
                            <w:rFonts w:ascii="Times New Roman" w:hAnsi="Times New Roman" w:cs="Times New Roman" w:eastAsia="Times New Roman" w:hint="default"/>
                            <w:spacing w:val="-39"/>
                            <w:sz w:val="18"/>
                            <w:szCs w:val="18"/>
                          </w:rPr>
                          <w:t> </w:t>
                        </w:r>
                        <w:r>
                          <w:rPr>
                            <w:rFonts w:ascii="宋体" w:hAnsi="宋体" w:cs="宋体" w:eastAsia="宋体" w:hint="default"/>
                            <w:spacing w:val="-4"/>
                            <w:sz w:val="18"/>
                            <w:szCs w:val="18"/>
                          </w:rPr>
                          <w:t>信息披露内部控制失效，导致公司被监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管部门公开谴责；（</w:t>
                        </w:r>
                        <w:r>
                          <w:rPr>
                            <w:rFonts w:ascii="Times New Roman" w:hAnsi="Times New Roman" w:cs="Times New Roman" w:eastAsia="Times New Roman" w:hint="default"/>
                            <w:spacing w:val="-9"/>
                            <w:sz w:val="18"/>
                            <w:szCs w:val="18"/>
                          </w:rPr>
                          <w:t>7</w:t>
                        </w:r>
                        <w:r>
                          <w:rPr>
                            <w:rFonts w:ascii="宋体" w:hAnsi="宋体" w:cs="宋体" w:eastAsia="宋体" w:hint="default"/>
                            <w:spacing w:val="-9"/>
                            <w:sz w:val="18"/>
                            <w:szCs w:val="18"/>
                          </w:rPr>
                          <w:t>）内部控制评价结</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果中的重大缺陷未进行整改。具有以下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特征的缺陷，认定为重要缺陷：发生以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上七个方面的事项，其影响程度未达到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严重程度的缺陷</w:t>
                        </w:r>
                        <w:r>
                          <w:rPr>
                            <w:rFonts w:ascii="Times New Roman" w:hAnsi="Times New Roman" w:cs="Times New Roman" w:eastAsia="Times New Roman" w:hint="default"/>
                            <w:sz w:val="18"/>
                            <w:szCs w:val="18"/>
                          </w:rPr>
                          <w:t>;</w:t>
                        </w:r>
                        <w:r>
                          <w:rPr>
                            <w:rFonts w:ascii="宋体" w:hAnsi="宋体" w:cs="宋体" w:eastAsia="宋体" w:hint="default"/>
                            <w:sz w:val="18"/>
                            <w:szCs w:val="18"/>
                          </w:rPr>
                          <w:t>除以上重大和重要缺 陷之外的其他缺陷，为一般缺陷。</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9" w:space="0" w:color="FFFFFF"/>
                        </w:tcBorders>
                      </w:tcPr>
                      <w:p>
                        <w:pPr/>
                      </w:p>
                    </w:tc>
                    <w:tc>
                      <w:tcPr>
                        <w:tcW w:w="3051" w:type="dxa"/>
                        <w:vMerge/>
                        <w:tcBorders>
                          <w:left w:val="single" w:sz="9" w:space="0" w:color="FFFFFF"/>
                          <w:right w:val="single" w:sz="4" w:space="0" w:color="000000"/>
                        </w:tcBorders>
                      </w:tcPr>
                      <w:p>
                        <w:pPr/>
                      </w:p>
                    </w:tc>
                  </w:tr>
                  <w:tr>
                    <w:trPr>
                      <w:trHeight w:val="2657"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9" w:space="0" w:color="FFFFFF"/>
                        </w:tcBorders>
                      </w:tcPr>
                      <w:p>
                        <w:pPr/>
                      </w:p>
                    </w:tc>
                    <w:tc>
                      <w:tcPr>
                        <w:tcW w:w="3051" w:type="dxa"/>
                        <w:vMerge/>
                        <w:tcBorders>
                          <w:left w:val="single" w:sz="9" w:space="0" w:color="FFFFFF"/>
                          <w:bottom w:val="single" w:sz="4" w:space="0" w:color="000000"/>
                          <w:right w:val="single" w:sz="4" w:space="0" w:color="000000"/>
                        </w:tcBorders>
                      </w:tcPr>
                      <w:p>
                        <w:pPr/>
                      </w:p>
                    </w:tc>
                  </w:tr>
                  <w:tr>
                    <w:trPr>
                      <w:trHeight w:val="3281"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02"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年合并报表数据为基准，确定公司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合并报表错报（包括漏报）重要程度的定 </w:t>
                        </w:r>
                        <w:r>
                          <w:rPr>
                            <w:rFonts w:ascii="宋体" w:hAnsi="宋体" w:cs="宋体" w:eastAsia="宋体" w:hint="default"/>
                            <w:spacing w:val="-5"/>
                            <w:sz w:val="18"/>
                            <w:szCs w:val="18"/>
                          </w:rPr>
                          <w:t>量标准：（</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）利润总额潜在错报。一般：</w:t>
                        </w:r>
                        <w:r>
                          <w:rPr>
                            <w:rFonts w:ascii="宋体" w:hAnsi="宋体" w:cs="宋体" w:eastAsia="宋体" w:hint="default"/>
                            <w:spacing w:val="-85"/>
                            <w:sz w:val="18"/>
                            <w:szCs w:val="18"/>
                          </w:rPr>
                          <w:t> </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万元；重要： 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pacing w:val="-7"/>
                            <w:sz w:val="18"/>
                            <w:szCs w:val="18"/>
                          </w:rPr>
                          <w:t>万元；重大：错报≧利润总</w:t>
                        </w:r>
                        <w:r>
                          <w:rPr>
                            <w:rFonts w:ascii="宋体" w:hAnsi="宋体" w:cs="宋体" w:eastAsia="宋体" w:hint="default"/>
                            <w:sz w:val="18"/>
                            <w:szCs w:val="18"/>
                          </w:rPr>
                          <w:t>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p>
                      <w:p>
                        <w:pPr>
                          <w:pStyle w:val="TableParagraph"/>
                          <w:spacing w:line="300" w:lineRule="auto" w:before="11"/>
                          <w:ind w:left="22" w:right="3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）资产总额潜在错报。一般：错报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资 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万元；重要：资产总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万元；重大：错报≧资产总额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 </w:t>
                        </w:r>
                        <w:r>
                          <w:rPr>
                            <w:rFonts w:ascii="宋体" w:hAnsi="宋体" w:cs="宋体" w:eastAsia="宋体" w:hint="default"/>
                            <w:sz w:val="18"/>
                            <w:szCs w:val="18"/>
                          </w:rPr>
                          <w:t>万元。</w:t>
                        </w:r>
                      </w:p>
                      <w:p>
                        <w:pPr>
                          <w:pStyle w:val="TableParagraph"/>
                          <w:spacing w:line="300" w:lineRule="auto" w:before="13"/>
                          <w:ind w:left="22"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）经营收入潜在错报。一般：错报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经 营收入总额的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万元；重要：经营</w:t>
                        </w:r>
                        <w:r>
                          <w:rPr>
                            <w:rFonts w:ascii="宋体" w:hAnsi="宋体" w:cs="宋体" w:eastAsia="宋体" w:hint="default"/>
                            <w:sz w:val="18"/>
                            <w:szCs w:val="18"/>
                          </w:rPr>
                          <w:t> 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经营收 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万元；重大：错报≧ 经营收入总额的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w:t>
                        </w:r>
                      </w:p>
                      <w:p>
                        <w:pPr>
                          <w:pStyle w:val="TableParagraph"/>
                          <w:spacing w:line="300" w:lineRule="auto" w:before="13"/>
                          <w:ind w:left="22"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）所有者权益潜在错报。一般：错报</w:t>
                        </w:r>
                        <w:r>
                          <w:rPr>
                            <w:rFonts w:ascii="Times New Roman" w:hAnsi="Times New Roman" w:cs="Times New Roman" w:eastAsia="Times New Roman" w:hint="default"/>
                            <w:sz w:val="18"/>
                            <w:szCs w:val="18"/>
                          </w:rPr>
                          <w:t>&lt; </w:t>
                        </w:r>
                        <w:r>
                          <w:rPr>
                            <w:rFonts w:ascii="宋体" w:hAnsi="宋体" w:cs="宋体" w:eastAsia="宋体" w:hint="default"/>
                            <w:sz w:val="18"/>
                            <w:szCs w:val="18"/>
                          </w:rPr>
                          <w:t>所有者权益总额的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万元；重要 所有者权益总额的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万元≦错报</w:t>
                        </w:r>
                        <w:r>
                          <w:rPr>
                            <w:rFonts w:ascii="Times New Roman" w:hAnsi="Times New Roman" w:cs="Times New Roman" w:eastAsia="Times New Roman" w:hint="default"/>
                            <w:sz w:val="18"/>
                            <w:szCs w:val="18"/>
                          </w:rPr>
                          <w:t>&lt; </w:t>
                        </w: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万元；重大：错报</w:t>
                        </w:r>
                      </w:p>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≧所有者权益总额的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参考财务报告内部控制缺陷认定标准， </w:t>
                        </w:r>
                        <w:r>
                          <w:rPr>
                            <w:rFonts w:ascii="宋体" w:hAnsi="宋体" w:cs="宋体" w:eastAsia="宋体" w:hint="default"/>
                            <w:spacing w:val="-4"/>
                            <w:sz w:val="18"/>
                            <w:szCs w:val="18"/>
                          </w:rPr>
                          <w:t>根据公司日常经营管理需要，确定公司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非财务报告内部控制缺陷重要程度：</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）直接财产损失金额达到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0"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万元认定为一般 </w:t>
                        </w:r>
                        <w:r>
                          <w:rPr>
                            <w:rFonts w:ascii="宋体" w:hAnsi="宋体" w:cs="宋体" w:eastAsia="宋体" w:hint="default"/>
                            <w:spacing w:val="-7"/>
                            <w:sz w:val="18"/>
                            <w:szCs w:val="18"/>
                          </w:rPr>
                          <w:t>缺陷；（</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）直接财产损失金额达到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万元认定 </w:t>
                        </w:r>
                        <w:r>
                          <w:rPr>
                            <w:rFonts w:ascii="宋体" w:hAnsi="宋体" w:cs="宋体" w:eastAsia="宋体" w:hint="default"/>
                            <w:spacing w:val="-9"/>
                            <w:sz w:val="18"/>
                            <w:szCs w:val="18"/>
                          </w:rPr>
                          <w:t>为重要缺陷；（</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）直接财产损失金额达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万元（含）及以上认定为重大 缺陷。</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3281"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2"/>
          <w:szCs w:val="22"/>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before="44"/>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line="1872" w:lineRule="exact"/>
        <w:ind w:left="6676" w:right="0" w:firstLine="0"/>
        <w:rPr>
          <w:rFonts w:ascii="宋体" w:hAnsi="宋体" w:cs="宋体" w:eastAsia="宋体" w:hint="default"/>
          <w:sz w:val="20"/>
          <w:szCs w:val="20"/>
        </w:rPr>
      </w:pPr>
      <w:r>
        <w:rPr>
          <w:rFonts w:ascii="宋体" w:hAnsi="宋体" w:cs="宋体" w:eastAsia="宋体" w:hint="default"/>
          <w:position w:val="-36"/>
          <w:sz w:val="20"/>
          <w:szCs w:val="20"/>
        </w:rPr>
        <w:pict>
          <v:group style="width:152.1pt;height:93.65pt;mso-position-horizontal-relative:char;mso-position-vertical-relative:line" coordorigin="0,0" coordsize="3042,1873">
            <v:group style="position:absolute;left:0;top:0;width:3042;height:1873" coordorigin="0,0" coordsize="3042,1873">
              <v:shape style="position:absolute;left:0;top:0;width:3042;height:1873" coordorigin="0,0" coordsize="3042,1873" path="m0,1872l3041,1872,3041,0,0,0,0,1872xe" filled="true" fillcolor="#ffffff" stroked="false">
                <v:path arrowok="t"/>
                <v:fill type="solid"/>
              </v:shape>
            </v:group>
          </v:group>
        </w:pict>
      </w:r>
      <w:r>
        <w:rPr>
          <w:rFonts w:ascii="宋体" w:hAnsi="宋体" w:cs="宋体" w:eastAsia="宋体" w:hint="default"/>
          <w:position w:val="-36"/>
          <w:sz w:val="20"/>
          <w:szCs w:val="20"/>
        </w:rPr>
      </w:r>
    </w:p>
    <w:p>
      <w:pPr>
        <w:spacing w:after="0" w:line="1872"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内部控制审计报告" w:id="165"/>
      <w:bookmarkEnd w:id="165"/>
      <w:r>
        <w:rPr>
          <w:b w:val="0"/>
          <w:bCs w:val="0"/>
        </w:rPr>
      </w:r>
      <w:r>
        <w:rPr/>
        <w:t>十、内部控制审计报告</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审计意见：京蓝科技公司于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日按照《企业内部控制基本规范》和相关规定在所有重大方面保持了有效的 财务报告内部控制。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会计师事务所是否出具非标准意见的内部控制审计报告</w:t>
      </w:r>
    </w:p>
    <w:p>
      <w:pPr>
        <w:spacing w:line="338" w:lineRule="auto" w:before="117"/>
        <w:ind w:left="154" w:right="46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会计师事务所出具的内部控制审计报告与董事会的自我评价报告意见是否一致</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十节 公司债券相关情况" w:id="166"/>
      <w:bookmarkEnd w:id="166"/>
      <w:r>
        <w:rPr>
          <w:b w:val="0"/>
          <w:bCs w:val="0"/>
        </w:rPr>
      </w:r>
      <w:bookmarkStart w:name="_bookmark8" w:id="167"/>
      <w:bookmarkEnd w:id="167"/>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spacing w:line="357" w:lineRule="auto" w:before="0"/>
        <w:ind w:left="154" w:right="2112"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0"/>
        <w:jc w:val="left"/>
        <w:rPr>
          <w:b w:val="0"/>
          <w:bCs w:val="0"/>
        </w:rPr>
      </w:pPr>
      <w:bookmarkStart w:name="第十一节 财务报告" w:id="168"/>
      <w:bookmarkEnd w:id="168"/>
      <w:r>
        <w:rPr>
          <w:b w:val="0"/>
          <w:bCs w:val="0"/>
        </w:rPr>
      </w:r>
      <w:bookmarkStart w:name="_bookmark9" w:id="169"/>
      <w:bookmarkEnd w:id="169"/>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70"/>
      <w:bookmarkEnd w:id="170"/>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中兴财光华审会字（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111059</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王凤岐、张猛勇</w:t>
            </w:r>
          </w:p>
        </w:tc>
      </w:tr>
    </w:tbl>
    <w:p>
      <w:pPr>
        <w:spacing w:before="51"/>
        <w:ind w:left="611" w:right="1587"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pStyle w:val="Heading3"/>
        <w:spacing w:line="480" w:lineRule="atLeast" w:before="15"/>
        <w:ind w:left="634" w:right="1152" w:firstLine="2"/>
        <w:jc w:val="left"/>
        <w:rPr>
          <w:rFonts w:ascii="Times New Roman" w:hAnsi="Times New Roman" w:cs="Times New Roman" w:eastAsia="Times New Roman" w:hint="default"/>
        </w:rPr>
      </w:pPr>
      <w:r>
        <w:rPr>
          <w:rFonts w:ascii="宋体" w:hAnsi="宋体" w:cs="宋体" w:eastAsia="宋体" w:hint="default"/>
          <w:b/>
          <w:bCs/>
        </w:rPr>
        <w:t>一、审计意见</w:t>
      </w:r>
      <w:r>
        <w:rPr>
          <w:rFonts w:ascii="宋体" w:hAnsi="宋体" w:cs="宋体" w:eastAsia="宋体" w:hint="default"/>
          <w:b/>
          <w:bCs/>
          <w:w w:val="99"/>
        </w:rPr>
        <w:t> </w:t>
      </w:r>
      <w:r>
        <w:rPr/>
        <w:t>我们审计了京蓝科技股份有限公司（以下简称京蓝科技公司）财务报表，包括</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p>
    <w:p>
      <w:pPr>
        <w:pStyle w:val="Heading3"/>
        <w:spacing w:line="312" w:lineRule="exact" w:before="10"/>
        <w:ind w:right="1169"/>
        <w:jc w:val="both"/>
      </w:pPr>
      <w:r>
        <w:rPr/>
        <w:t>月</w:t>
      </w:r>
      <w:r>
        <w:rPr>
          <w:rFonts w:ascii="Times New Roman" w:hAnsi="Times New Roman" w:cs="Times New Roman" w:eastAsia="Times New Roman" w:hint="default"/>
        </w:rPr>
        <w:t>31</w:t>
      </w:r>
      <w:r>
        <w:rPr/>
        <w:t>日的合并及公司资产负债表，</w:t>
      </w:r>
      <w:r>
        <w:rPr>
          <w:rFonts w:ascii="Times New Roman" w:hAnsi="Times New Roman" w:cs="Times New Roman" w:eastAsia="Times New Roman" w:hint="default"/>
        </w:rPr>
        <w:t>2018</w:t>
      </w:r>
      <w:r>
        <w:rPr/>
        <w:t>年度的合并及公司利润表、合并及公司现金流量表、 合并及公司股东权益变动表以及财务报表附注。</w:t>
      </w:r>
    </w:p>
    <w:p>
      <w:pPr>
        <w:pStyle w:val="Heading3"/>
        <w:spacing w:line="312" w:lineRule="exact"/>
        <w:ind w:right="1169" w:firstLine="480"/>
        <w:jc w:val="both"/>
      </w:pPr>
      <w:r>
        <w:rPr/>
        <w:t>我们认为，后附的财务报表在所有重大方面按照企业会计准则的规定编制，公允反映了 京蓝科技公司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2018</w:t>
      </w:r>
      <w:r>
        <w:rPr/>
        <w:t>年度的合并及公司经营成果和 现金流量。</w:t>
      </w:r>
    </w:p>
    <w:p>
      <w:pPr>
        <w:spacing w:line="240" w:lineRule="auto" w:before="9"/>
        <w:rPr>
          <w:rFonts w:ascii="宋体" w:hAnsi="宋体" w:cs="宋体" w:eastAsia="宋体" w:hint="default"/>
          <w:sz w:val="32"/>
          <w:szCs w:val="32"/>
        </w:rPr>
      </w:pPr>
    </w:p>
    <w:p>
      <w:pPr>
        <w:spacing w:line="480" w:lineRule="atLeast" w:before="0"/>
        <w:ind w:left="634" w:right="1123" w:firstLine="2"/>
        <w:jc w:val="left"/>
        <w:rPr>
          <w:rFonts w:ascii="宋体" w:hAnsi="宋体" w:cs="宋体" w:eastAsia="宋体" w:hint="default"/>
          <w:sz w:val="24"/>
          <w:szCs w:val="24"/>
        </w:rPr>
      </w:pPr>
      <w:r>
        <w:rPr>
          <w:rFonts w:ascii="宋体" w:hAnsi="宋体" w:cs="宋体" w:eastAsia="宋体" w:hint="default"/>
          <w:b/>
          <w:bCs/>
          <w:sz w:val="24"/>
          <w:szCs w:val="24"/>
        </w:rPr>
        <w:t>二、形成审计意见的基础</w:t>
      </w:r>
      <w:r>
        <w:rPr>
          <w:rFonts w:ascii="宋体" w:hAnsi="宋体" w:cs="宋体" w:eastAsia="宋体" w:hint="default"/>
          <w:b/>
          <w:bCs/>
          <w:w w:val="99"/>
          <w:sz w:val="24"/>
          <w:szCs w:val="24"/>
        </w:rPr>
        <w:t> </w:t>
      </w:r>
      <w:r>
        <w:rPr>
          <w:rFonts w:ascii="宋体" w:hAnsi="宋体" w:cs="宋体" w:eastAsia="宋体" w:hint="default"/>
          <w:spacing w:val="-2"/>
          <w:sz w:val="24"/>
          <w:szCs w:val="24"/>
        </w:rPr>
        <w:t>我们按照中国注册会计师审计准则的规定执行了审计工作。审计报告的</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注册会计师对财</w:t>
      </w:r>
    </w:p>
    <w:p>
      <w:pPr>
        <w:pStyle w:val="Heading3"/>
        <w:spacing w:line="312" w:lineRule="exact" w:before="10"/>
        <w:ind w:right="1131"/>
        <w:jc w:val="both"/>
      </w:pPr>
      <w:r>
        <w:rPr>
          <w:spacing w:val="-2"/>
        </w:rPr>
        <w:t>务报表审计的责任</w:t>
      </w:r>
      <w:r>
        <w:rPr>
          <w:rFonts w:ascii="Times New Roman" w:hAnsi="Times New Roman" w:cs="Times New Roman" w:eastAsia="Times New Roman" w:hint="default"/>
          <w:spacing w:val="-2"/>
        </w:rPr>
        <w:t>”</w:t>
      </w:r>
      <w:r>
        <w:rPr>
          <w:spacing w:val="-2"/>
        </w:rPr>
        <w:t>部分进一步阐述了我们在这些准则下的责任。按照中国注册会计师职业道</w:t>
      </w:r>
      <w:r>
        <w:rPr>
          <w:spacing w:val="-107"/>
        </w:rPr>
        <w:t> </w:t>
      </w:r>
      <w:r>
        <w:rPr>
          <w:spacing w:val="-107"/>
        </w:rPr>
      </w:r>
      <w:r>
        <w:rPr/>
        <w:t>德守则，我们独立于京蓝科技公司，并履行了职业道德方面的其他责任。我们相信，我们获 取的审计证据是充分、适当的，为发表审计意见提供了基础。</w:t>
      </w:r>
    </w:p>
    <w:p>
      <w:pPr>
        <w:spacing w:line="240" w:lineRule="auto" w:before="2"/>
        <w:rPr>
          <w:rFonts w:ascii="宋体" w:hAnsi="宋体" w:cs="宋体" w:eastAsia="宋体" w:hint="default"/>
          <w:sz w:val="34"/>
          <w:szCs w:val="34"/>
        </w:rPr>
      </w:pPr>
    </w:p>
    <w:p>
      <w:pPr>
        <w:pStyle w:val="Heading3"/>
        <w:spacing w:line="460" w:lineRule="atLeast" w:before="0"/>
        <w:ind w:left="634" w:right="1152" w:firstLine="2"/>
        <w:jc w:val="left"/>
      </w:pPr>
      <w:r>
        <w:rPr>
          <w:rFonts w:ascii="宋体" w:hAnsi="宋体" w:cs="宋体" w:eastAsia="宋体" w:hint="default"/>
          <w:b/>
          <w:bCs/>
        </w:rPr>
        <w:t>三、关键审计事项</w:t>
      </w:r>
      <w:r>
        <w:rPr>
          <w:rFonts w:ascii="宋体" w:hAnsi="宋体" w:cs="宋体" w:eastAsia="宋体" w:hint="default"/>
          <w:b/>
          <w:bCs/>
          <w:w w:val="99"/>
        </w:rPr>
        <w:t> </w:t>
      </w:r>
      <w:r>
        <w:rPr/>
        <w:t>关键审计事项是我们根据职业判断，认为对本期财务报表审计最为重要的事项。这些事</w:t>
      </w:r>
    </w:p>
    <w:p>
      <w:pPr>
        <w:pStyle w:val="Heading3"/>
        <w:spacing w:line="312" w:lineRule="exact" w:before="28"/>
        <w:ind w:right="1170"/>
        <w:jc w:val="both"/>
      </w:pPr>
      <w:r>
        <w:rPr/>
        <w:t>项的应对以对财务报表整体进行审计并形成审计意见为背景，我们不对这些事项单独发表意 见。我们确定下列事项是需要在审计报告中沟通的关键审计事项。</w:t>
      </w:r>
    </w:p>
    <w:p>
      <w:pPr>
        <w:pStyle w:val="Heading3"/>
        <w:spacing w:line="240" w:lineRule="auto" w:before="125"/>
        <w:ind w:left="634" w:right="0"/>
        <w:jc w:val="left"/>
      </w:pPr>
      <w:r>
        <w:rPr/>
        <w:t>（一）建造合同收入的确认</w:t>
      </w:r>
    </w:p>
    <w:p>
      <w:pPr>
        <w:pStyle w:val="Heading3"/>
        <w:spacing w:line="450" w:lineRule="atLeast" w:before="36"/>
        <w:ind w:left="634" w:right="1152"/>
        <w:jc w:val="left"/>
      </w:pPr>
      <w:r>
        <w:rPr>
          <w:rFonts w:ascii="Times New Roman" w:hAnsi="Times New Roman" w:cs="Times New Roman" w:eastAsia="Times New Roman" w:hint="default"/>
        </w:rPr>
        <w:t>1</w:t>
      </w:r>
      <w:r>
        <w:rPr/>
        <w:t>、事项描述 京蓝科技公司收入主要来自于采用完工百分比法确认的建造合同，管理层需要对建造合</w:t>
      </w:r>
    </w:p>
    <w:p>
      <w:pPr>
        <w:pStyle w:val="Heading3"/>
        <w:spacing w:line="312" w:lineRule="exact" w:before="28"/>
        <w:ind w:right="1170"/>
        <w:jc w:val="both"/>
      </w:pPr>
      <w:r>
        <w:rPr/>
        <w:t>同的预计总收入和预计总成本作出合理估计以确定完工进度，并应于合同执行过程中持续评 估和修订。</w:t>
      </w:r>
    </w:p>
    <w:p>
      <w:pPr>
        <w:pStyle w:val="Heading3"/>
        <w:spacing w:line="240" w:lineRule="auto" w:before="125"/>
        <w:ind w:left="634" w:right="0"/>
        <w:jc w:val="left"/>
      </w:pPr>
      <w:r>
        <w:rPr/>
        <w:t>由于需要京蓝科技公司管理层运用重大会计估计和判断，因此，我们将建造合同收入的</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240" w:lineRule="auto" w:before="26"/>
        <w:ind w:right="0"/>
        <w:jc w:val="left"/>
      </w:pPr>
      <w:r>
        <w:rPr/>
        <w:t>确认识别为关键审计事项。</w:t>
      </w:r>
    </w:p>
    <w:p>
      <w:pPr>
        <w:pStyle w:val="Heading3"/>
        <w:spacing w:line="338" w:lineRule="auto" w:before="154"/>
        <w:ind w:left="634" w:right="4272"/>
        <w:jc w:val="left"/>
      </w:pPr>
      <w:r>
        <w:rPr>
          <w:rFonts w:ascii="Times New Roman" w:hAnsi="Times New Roman" w:cs="Times New Roman" w:eastAsia="Times New Roman" w:hint="default"/>
        </w:rPr>
        <w:t>2</w:t>
      </w:r>
      <w:r>
        <w:rPr/>
        <w:t>、审计应对 我们针对建造合同收入的确认执行的主要审计程序如下：</w:t>
      </w:r>
    </w:p>
    <w:p>
      <w:pPr>
        <w:pStyle w:val="Heading3"/>
        <w:spacing w:line="240" w:lineRule="auto" w:before="56"/>
        <w:ind w:left="634" w:right="0"/>
        <w:jc w:val="left"/>
      </w:pPr>
      <w:r>
        <w:rPr/>
        <w:t>（</w:t>
      </w:r>
      <w:r>
        <w:rPr>
          <w:rFonts w:ascii="Times New Roman" w:hAnsi="Times New Roman" w:cs="Times New Roman" w:eastAsia="Times New Roman" w:hint="default"/>
        </w:rPr>
        <w:t>1</w:t>
      </w:r>
      <w:r>
        <w:rPr/>
        <w:t>）评价和测试了核算预计总成本、预计总收入及完工进度计算流程相关的内部控制；</w:t>
      </w:r>
    </w:p>
    <w:p>
      <w:pPr>
        <w:pStyle w:val="Heading3"/>
        <w:spacing w:line="312" w:lineRule="exact" w:before="166"/>
        <w:ind w:right="0" w:firstLine="480"/>
        <w:jc w:val="left"/>
      </w:pPr>
      <w:r>
        <w:rPr>
          <w:spacing w:val="-3"/>
        </w:rPr>
        <w:t>（</w:t>
      </w:r>
      <w:r>
        <w:rPr>
          <w:rFonts w:ascii="Times New Roman" w:hAnsi="Times New Roman" w:cs="Times New Roman" w:eastAsia="Times New Roman" w:hint="default"/>
          <w:spacing w:val="-3"/>
        </w:rPr>
        <w:t>2</w:t>
      </w:r>
      <w:r>
        <w:rPr>
          <w:spacing w:val="-3"/>
        </w:rPr>
        <w:t>）获取了全部的建造合同，验证预计合同总收入的准确性；我们复核了重大合同的关</w:t>
      </w:r>
      <w:r>
        <w:rPr/>
        <w:t> 键条款，同时，获取了建造合同的结算资料，验证合同收入；</w:t>
      </w:r>
    </w:p>
    <w:p>
      <w:pPr>
        <w:pStyle w:val="Heading3"/>
        <w:spacing w:line="312" w:lineRule="exact"/>
        <w:ind w:right="0" w:firstLine="480"/>
        <w:jc w:val="left"/>
      </w:pPr>
      <w:r>
        <w:rPr>
          <w:spacing w:val="-3"/>
        </w:rPr>
        <w:t>（</w:t>
      </w:r>
      <w:r>
        <w:rPr>
          <w:rFonts w:ascii="Times New Roman" w:hAnsi="Times New Roman" w:cs="Times New Roman" w:eastAsia="Times New Roman" w:hint="default"/>
          <w:spacing w:val="-3"/>
        </w:rPr>
        <w:t>3</w:t>
      </w:r>
      <w:r>
        <w:rPr>
          <w:spacing w:val="-3"/>
        </w:rPr>
        <w:t>）我们评价了管理层在确定预计合同总成本时所采用的判断和估计以及完工百分比方</w:t>
      </w:r>
      <w:r>
        <w:rPr/>
        <w:t> 法确认的合同收入，我们重新计算完工百分比，并与企业确认的完工百分比进行核对；</w:t>
      </w:r>
    </w:p>
    <w:p>
      <w:pPr>
        <w:pStyle w:val="Heading3"/>
        <w:spacing w:line="312" w:lineRule="exact"/>
        <w:ind w:right="0" w:firstLine="480"/>
        <w:jc w:val="left"/>
      </w:pPr>
      <w:r>
        <w:rPr>
          <w:spacing w:val="-3"/>
        </w:rPr>
        <w:t>（</w:t>
      </w:r>
      <w:r>
        <w:rPr>
          <w:rFonts w:ascii="Times New Roman" w:hAnsi="Times New Roman" w:cs="Times New Roman" w:eastAsia="Times New Roman" w:hint="default"/>
          <w:spacing w:val="-3"/>
        </w:rPr>
        <w:t>4</w:t>
      </w:r>
      <w:r>
        <w:rPr>
          <w:spacing w:val="-3"/>
        </w:rPr>
        <w:t>）抽样检查了已发生成本相关的合同、结算资料；以及通过对存货的盘点、复核生产</w:t>
      </w:r>
      <w:r>
        <w:rPr/>
        <w:t> 成本的归集和分配、对发出商品的计价测试等来确认已发生的成本；</w:t>
      </w:r>
    </w:p>
    <w:p>
      <w:pPr>
        <w:pStyle w:val="Heading3"/>
        <w:spacing w:line="240" w:lineRule="auto" w:before="125"/>
        <w:ind w:left="634" w:right="0"/>
        <w:jc w:val="left"/>
      </w:pPr>
      <w:r>
        <w:rPr/>
        <w:t>（</w:t>
      </w:r>
      <w:r>
        <w:rPr>
          <w:rFonts w:ascii="Times New Roman" w:hAnsi="Times New Roman" w:cs="Times New Roman" w:eastAsia="Times New Roman" w:hint="default"/>
        </w:rPr>
        <w:t>5</w:t>
      </w:r>
      <w:r>
        <w:rPr/>
        <w:t>）执行了截止性测试程序，检查相关合同成本是否被记录在恰当的会计期间；</w:t>
      </w:r>
    </w:p>
    <w:p>
      <w:pPr>
        <w:pStyle w:val="Heading3"/>
        <w:spacing w:line="312" w:lineRule="exact" w:before="166"/>
        <w:ind w:right="1118" w:firstLine="480"/>
        <w:jc w:val="left"/>
      </w:pPr>
      <w:r>
        <w:rPr>
          <w:spacing w:val="-3"/>
        </w:rPr>
        <w:t>（</w:t>
      </w:r>
      <w:r>
        <w:rPr>
          <w:rFonts w:ascii="Times New Roman" w:hAnsi="Times New Roman" w:cs="Times New Roman" w:eastAsia="Times New Roman" w:hint="default"/>
          <w:spacing w:val="-3"/>
        </w:rPr>
        <w:t>6</w:t>
      </w:r>
      <w:r>
        <w:rPr>
          <w:spacing w:val="-3"/>
        </w:rPr>
        <w:t>）抽取了部分重大的工程项目进行现场走访，获取工程的形象进度，查看项目进展情</w:t>
      </w:r>
      <w:r>
        <w:rPr/>
        <w:t> 况；</w:t>
      </w:r>
    </w:p>
    <w:p>
      <w:pPr>
        <w:pStyle w:val="Heading3"/>
        <w:spacing w:line="312" w:lineRule="exact"/>
        <w:ind w:right="1118" w:firstLine="480"/>
        <w:jc w:val="left"/>
      </w:pPr>
      <w:r>
        <w:rPr>
          <w:spacing w:val="-3"/>
        </w:rPr>
        <w:t>（</w:t>
      </w:r>
      <w:r>
        <w:rPr>
          <w:rFonts w:ascii="Times New Roman" w:hAnsi="Times New Roman" w:cs="Times New Roman" w:eastAsia="Times New Roman" w:hint="default"/>
          <w:spacing w:val="-3"/>
        </w:rPr>
        <w:t>7</w:t>
      </w:r>
      <w:r>
        <w:rPr>
          <w:spacing w:val="-3"/>
        </w:rPr>
        <w:t>）对重大合同项目以及异常项目的毛利率执行了分析性复核程序，关注毛利率是否合</w:t>
      </w:r>
      <w:r>
        <w:rPr/>
        <w:t> 理。</w:t>
      </w:r>
    </w:p>
    <w:p>
      <w:pPr>
        <w:pStyle w:val="Heading3"/>
        <w:spacing w:line="240" w:lineRule="auto" w:before="125"/>
        <w:ind w:left="634" w:right="0"/>
        <w:jc w:val="left"/>
      </w:pPr>
      <w:r>
        <w:rPr/>
        <w:t>（二）商誉减值</w:t>
      </w:r>
    </w:p>
    <w:p>
      <w:pPr>
        <w:pStyle w:val="Heading3"/>
        <w:spacing w:line="470" w:lineRule="atLeast" w:before="16"/>
        <w:ind w:left="634" w:right="1272"/>
        <w:jc w:val="left"/>
        <w:rPr>
          <w:rFonts w:ascii="Times New Roman" w:hAnsi="Times New Roman" w:cs="Times New Roman" w:eastAsia="Times New Roman" w:hint="default"/>
        </w:rPr>
      </w:pPr>
      <w:r>
        <w:rPr>
          <w:rFonts w:ascii="Times New Roman" w:hAnsi="Times New Roman" w:cs="Times New Roman" w:eastAsia="Times New Roman" w:hint="default"/>
        </w:rPr>
        <w:t>1</w:t>
      </w:r>
      <w:r>
        <w:rPr/>
        <w:t>、事项描述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日止，京蓝科技公司合并资产负债表中商誉金额为人民币</w:t>
      </w:r>
      <w:r>
        <w:rPr>
          <w:rFonts w:ascii="Times New Roman" w:hAnsi="Times New Roman" w:cs="Times New Roman" w:eastAsia="Times New Roman" w:hint="default"/>
        </w:rPr>
        <w:t>125,110.43</w:t>
      </w:r>
    </w:p>
    <w:p>
      <w:pPr>
        <w:pStyle w:val="Heading3"/>
        <w:spacing w:line="294" w:lineRule="exact" w:before="0"/>
        <w:ind w:right="0"/>
        <w:jc w:val="left"/>
      </w:pPr>
      <w:r>
        <w:rPr/>
        <w:t>万元。</w:t>
      </w:r>
    </w:p>
    <w:p>
      <w:pPr>
        <w:pStyle w:val="Heading3"/>
        <w:spacing w:line="312" w:lineRule="exact" w:before="184"/>
        <w:ind w:right="1171" w:firstLine="480"/>
        <w:jc w:val="both"/>
      </w:pPr>
      <w:r>
        <w:rPr/>
        <w:t>京蓝科技公司管理层需要每年对商誉进行测试，以确定是否需要确认减值损失。商誉减 值的评估基于对商誉所归属的相关资产及资产组价值的测算。为评估商誉所归属的相关资产 及资产组价值，京蓝科技公司管理层委聘外部估值专家基于京蓝科技公司管理层编制的现金 流量预测采用预计未来现金流量折现的模型计算各相关资产及资产组的预计未来现金流量现 值。</w:t>
      </w:r>
    </w:p>
    <w:p>
      <w:pPr>
        <w:pStyle w:val="Heading3"/>
        <w:spacing w:line="312" w:lineRule="exact"/>
        <w:ind w:right="1152" w:firstLine="480"/>
        <w:jc w:val="left"/>
      </w:pPr>
      <w:r>
        <w:rPr/>
        <w:t>由于京蓝科技公司管理层在确定商誉是否减值时所采用的主观判断以及估计未来现金流 量的固有不确定性，因此，我们将商誉减值识别为关键审计事项。</w:t>
      </w:r>
    </w:p>
    <w:p>
      <w:pPr>
        <w:pStyle w:val="Heading3"/>
        <w:spacing w:line="338" w:lineRule="auto" w:before="125"/>
        <w:ind w:left="634" w:right="5472"/>
        <w:jc w:val="left"/>
      </w:pPr>
      <w:r>
        <w:rPr>
          <w:rFonts w:ascii="Times New Roman" w:hAnsi="Times New Roman" w:cs="Times New Roman" w:eastAsia="Times New Roman" w:hint="default"/>
        </w:rPr>
        <w:t>2</w:t>
      </w:r>
      <w:r>
        <w:rPr/>
        <w:t>、审计应对 我们针对商誉减值执行的主要审计程序如下：</w:t>
      </w:r>
    </w:p>
    <w:p>
      <w:pPr>
        <w:pStyle w:val="Heading3"/>
        <w:spacing w:line="312" w:lineRule="exact" w:before="86"/>
        <w:ind w:right="0" w:firstLine="480"/>
        <w:jc w:val="left"/>
      </w:pPr>
      <w:r>
        <w:rPr>
          <w:spacing w:val="-3"/>
        </w:rPr>
        <w:t>（</w:t>
      </w:r>
      <w:r>
        <w:rPr>
          <w:rFonts w:ascii="Times New Roman" w:hAnsi="Times New Roman" w:cs="Times New Roman" w:eastAsia="Times New Roman" w:hint="default"/>
          <w:spacing w:val="-3"/>
        </w:rPr>
        <w:t>1</w:t>
      </w:r>
      <w:r>
        <w:rPr>
          <w:spacing w:val="-3"/>
        </w:rPr>
        <w:t>）了解、评估及测试了与商誉减值测试相关的内部控制的设计及执行有效性，包括关</w:t>
      </w:r>
      <w:r>
        <w:rPr/>
        <w:t> 键假设的采用及减值计提金额的复核及审批；</w:t>
      </w:r>
    </w:p>
    <w:p>
      <w:pPr>
        <w:pStyle w:val="Heading3"/>
        <w:spacing w:line="312" w:lineRule="exact"/>
        <w:ind w:right="1152" w:firstLine="480"/>
        <w:jc w:val="left"/>
      </w:pPr>
      <w:r>
        <w:rPr/>
        <w:t>（</w:t>
      </w:r>
      <w:r>
        <w:rPr>
          <w:rFonts w:ascii="Times New Roman" w:hAnsi="Times New Roman" w:cs="Times New Roman" w:eastAsia="Times New Roman" w:hint="default"/>
        </w:rPr>
        <w:t>2</w:t>
      </w:r>
      <w:r>
        <w:rPr/>
        <w:t>）利用估值专家对京蓝科技公司管理层聘请的外部估值专家出具的评估报告进行复 核，项目组根据复核结论完成评价外部估值专家的胜任能力、专业素质和客观性，完成利用 专家工作程序；</w:t>
      </w:r>
    </w:p>
    <w:p>
      <w:pPr>
        <w:pStyle w:val="Heading3"/>
        <w:spacing w:line="312" w:lineRule="exact"/>
        <w:ind w:right="0" w:firstLine="480"/>
        <w:jc w:val="left"/>
      </w:pPr>
      <w:r>
        <w:rPr>
          <w:spacing w:val="-3"/>
        </w:rPr>
        <w:t>（</w:t>
      </w:r>
      <w:r>
        <w:rPr>
          <w:rFonts w:ascii="Times New Roman" w:hAnsi="Times New Roman" w:cs="Times New Roman" w:eastAsia="Times New Roman" w:hint="default"/>
          <w:spacing w:val="-3"/>
        </w:rPr>
        <w:t>3</w:t>
      </w:r>
      <w:r>
        <w:rPr>
          <w:spacing w:val="-3"/>
        </w:rPr>
        <w:t>）评估现金流折现模型中使用的假设、折现率、预计增长率和用于确定使用价值模型</w:t>
      </w:r>
      <w:r>
        <w:rPr/>
        <w:t> 的方法，评价测试所引用参数的合理性。</w:t>
      </w:r>
    </w:p>
    <w:p>
      <w:pPr>
        <w:spacing w:after="0" w:line="312" w:lineRule="exact"/>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2"/>
        <w:spacing w:line="240" w:lineRule="auto" w:before="26"/>
        <w:ind w:left="636" w:right="0"/>
        <w:jc w:val="left"/>
        <w:rPr>
          <w:b w:val="0"/>
          <w:bCs w:val="0"/>
        </w:rPr>
      </w:pPr>
      <w:r>
        <w:rPr/>
        <w:t>四、其他信息</w:t>
      </w:r>
      <w:r>
        <w:rPr>
          <w:b w:val="0"/>
          <w:bCs w:val="0"/>
        </w:rPr>
      </w:r>
    </w:p>
    <w:p>
      <w:pPr>
        <w:pStyle w:val="Heading3"/>
        <w:spacing w:line="322" w:lineRule="exact" w:before="154"/>
        <w:ind w:left="634" w:right="0"/>
        <w:jc w:val="left"/>
      </w:pPr>
      <w:r>
        <w:rPr/>
        <w:t>京蓝科技公司管理层</w:t>
      </w:r>
      <w:r>
        <w:rPr>
          <w:rFonts w:ascii="Times New Roman" w:hAnsi="Times New Roman" w:cs="Times New Roman" w:eastAsia="Times New Roman" w:hint="default"/>
        </w:rPr>
        <w:t>(</w:t>
      </w:r>
      <w:r>
        <w:rPr/>
        <w:t>以下简称管理层</w:t>
      </w:r>
      <w:r>
        <w:rPr>
          <w:rFonts w:ascii="Times New Roman" w:hAnsi="Times New Roman" w:cs="Times New Roman" w:eastAsia="Times New Roman" w:hint="default"/>
        </w:rPr>
        <w:t>)</w:t>
      </w:r>
      <w:r>
        <w:rPr/>
        <w:t>对其他信息负责。其他信息包括京蓝科技公司</w:t>
      </w:r>
    </w:p>
    <w:p>
      <w:pPr>
        <w:pStyle w:val="Heading3"/>
        <w:spacing w:line="322" w:lineRule="exact" w:before="0"/>
        <w:ind w:right="0"/>
        <w:jc w:val="both"/>
      </w:pPr>
      <w:r>
        <w:rPr>
          <w:rFonts w:ascii="Times New Roman" w:hAnsi="Times New Roman" w:cs="Times New Roman" w:eastAsia="Times New Roman" w:hint="default"/>
        </w:rPr>
        <w:t>2018</w:t>
      </w:r>
      <w:r>
        <w:rPr/>
        <w:t>年年度报告中涵盖的信息，但不包括财务报表和我们的审计报告。</w:t>
      </w:r>
    </w:p>
    <w:p>
      <w:pPr>
        <w:pStyle w:val="Heading3"/>
        <w:spacing w:line="312" w:lineRule="exact" w:before="166"/>
        <w:ind w:right="1170" w:firstLine="480"/>
        <w:jc w:val="both"/>
      </w:pPr>
      <w:r>
        <w:rPr/>
        <w:t>我们对财务报表发表的审计意见不涵盖其他信息，我们也不对其他信息发表任何形式的 鉴证结论。</w:t>
      </w:r>
    </w:p>
    <w:p>
      <w:pPr>
        <w:pStyle w:val="Heading3"/>
        <w:spacing w:line="312" w:lineRule="exact"/>
        <w:ind w:right="1169" w:firstLine="480"/>
        <w:jc w:val="right"/>
      </w:pPr>
      <w:r>
        <w:rPr/>
        <w:t>结合我们对财务报表的审计，我们的责任是阅读其他信息，在此过程中，考虑其他信息 是否与财务报表或我们在审计过程中了解到的情况存在重大不一致或者似乎存在重大错报。</w:t>
      </w:r>
    </w:p>
    <w:p>
      <w:pPr>
        <w:pStyle w:val="Heading3"/>
        <w:spacing w:line="312" w:lineRule="exact"/>
        <w:ind w:right="1169" w:firstLine="480"/>
        <w:jc w:val="both"/>
      </w:pPr>
      <w:r>
        <w:rPr/>
        <w:t>基于我们已执行的工作，如果我们确定其他信息存在重大错报，我们应当报告该事实。 在这方面，我们无任何事项需要报告。</w:t>
      </w:r>
    </w:p>
    <w:p>
      <w:pPr>
        <w:spacing w:line="240" w:lineRule="auto" w:before="6"/>
        <w:rPr>
          <w:rFonts w:ascii="宋体" w:hAnsi="宋体" w:cs="宋体" w:eastAsia="宋体" w:hint="default"/>
          <w:sz w:val="33"/>
          <w:szCs w:val="33"/>
        </w:rPr>
      </w:pPr>
    </w:p>
    <w:p>
      <w:pPr>
        <w:spacing w:line="470" w:lineRule="atLeast" w:before="0"/>
        <w:ind w:left="634" w:right="1152" w:firstLine="2"/>
        <w:jc w:val="left"/>
        <w:rPr>
          <w:rFonts w:ascii="宋体" w:hAnsi="宋体" w:cs="宋体" w:eastAsia="宋体" w:hint="default"/>
          <w:sz w:val="24"/>
          <w:szCs w:val="24"/>
        </w:rPr>
      </w:pPr>
      <w:r>
        <w:rPr>
          <w:rFonts w:ascii="宋体" w:hAnsi="宋体" w:cs="宋体" w:eastAsia="宋体" w:hint="default"/>
          <w:b/>
          <w:bCs/>
          <w:sz w:val="24"/>
          <w:szCs w:val="24"/>
        </w:rPr>
        <w:t>五、管理层和治理层对财务报表的责任</w:t>
      </w:r>
      <w:r>
        <w:rPr>
          <w:rFonts w:ascii="宋体" w:hAnsi="宋体" w:cs="宋体" w:eastAsia="宋体" w:hint="default"/>
          <w:b/>
          <w:bCs/>
          <w:w w:val="99"/>
          <w:sz w:val="24"/>
          <w:szCs w:val="24"/>
        </w:rPr>
        <w:t> </w:t>
      </w:r>
      <w:r>
        <w:rPr>
          <w:rFonts w:ascii="宋体" w:hAnsi="宋体" w:cs="宋体" w:eastAsia="宋体" w:hint="default"/>
          <w:sz w:val="24"/>
          <w:szCs w:val="24"/>
        </w:rPr>
        <w:t>京蓝科技公司管理层（以下简称管理层）负责按照企业会计准则的规定编制财务报表，</w:t>
      </w:r>
    </w:p>
    <w:p>
      <w:pPr>
        <w:pStyle w:val="Heading3"/>
        <w:spacing w:line="312" w:lineRule="exact" w:before="28"/>
        <w:ind w:right="1170"/>
        <w:jc w:val="both"/>
      </w:pPr>
      <w:r>
        <w:rPr/>
        <w:t>使其实现公允反映，并设计、执行和维护必要的内部控制，以使财务报表不存在由于舞弊或 错误导致的重大错报。</w:t>
      </w:r>
    </w:p>
    <w:p>
      <w:pPr>
        <w:pStyle w:val="Heading3"/>
        <w:spacing w:line="312" w:lineRule="exact"/>
        <w:ind w:right="1170" w:firstLine="480"/>
        <w:jc w:val="both"/>
      </w:pPr>
      <w:r>
        <w:rPr/>
        <w:t>在编制财务报表时，管理层负责评估京蓝科技公司的持续经营能力，披露与持续经营相 关的事项（如适用），并运用持续经营假设，除非管理层计划清算京蓝科技公司、终止运营 或别无其他现实的选择。</w:t>
      </w:r>
    </w:p>
    <w:p>
      <w:pPr>
        <w:pStyle w:val="Heading3"/>
        <w:spacing w:line="240" w:lineRule="auto" w:before="125"/>
        <w:ind w:left="634" w:right="0"/>
        <w:jc w:val="left"/>
      </w:pPr>
      <w:r>
        <w:rPr/>
        <w:t>治理层负责监督京蓝科技公司的财务报告过程。</w:t>
      </w:r>
    </w:p>
    <w:p>
      <w:pPr>
        <w:spacing w:line="240" w:lineRule="auto" w:before="0"/>
        <w:rPr>
          <w:rFonts w:ascii="宋体" w:hAnsi="宋体" w:cs="宋体" w:eastAsia="宋体" w:hint="default"/>
          <w:sz w:val="24"/>
          <w:szCs w:val="24"/>
        </w:rPr>
      </w:pPr>
    </w:p>
    <w:p>
      <w:pPr>
        <w:spacing w:line="460" w:lineRule="atLeast" w:before="162"/>
        <w:ind w:left="634" w:right="1392" w:firstLine="2"/>
        <w:jc w:val="left"/>
        <w:rPr>
          <w:rFonts w:ascii="宋体" w:hAnsi="宋体" w:cs="宋体" w:eastAsia="宋体" w:hint="default"/>
          <w:sz w:val="24"/>
          <w:szCs w:val="24"/>
        </w:rPr>
      </w:pPr>
      <w:r>
        <w:rPr>
          <w:rFonts w:ascii="宋体" w:hAnsi="宋体" w:cs="宋体" w:eastAsia="宋体" w:hint="default"/>
          <w:b/>
          <w:bCs/>
          <w:sz w:val="24"/>
          <w:szCs w:val="24"/>
        </w:rPr>
        <w:t>六、注册会计师对财务报表审计的责任</w:t>
      </w:r>
      <w:r>
        <w:rPr>
          <w:rFonts w:ascii="宋体" w:hAnsi="宋体" w:cs="宋体" w:eastAsia="宋体" w:hint="default"/>
          <w:b/>
          <w:bCs/>
          <w:w w:val="99"/>
          <w:sz w:val="24"/>
          <w:szCs w:val="24"/>
        </w:rPr>
        <w:t> </w:t>
      </w:r>
      <w:r>
        <w:rPr>
          <w:rFonts w:ascii="宋体" w:hAnsi="宋体" w:cs="宋体" w:eastAsia="宋体" w:hint="default"/>
          <w:sz w:val="24"/>
          <w:szCs w:val="24"/>
        </w:rPr>
        <w:t>我们的目标是对财务报表整体是否不存在由于舞弊或错误导致的重大错报获取合理保</w:t>
      </w:r>
    </w:p>
    <w:p>
      <w:pPr>
        <w:pStyle w:val="Heading3"/>
        <w:spacing w:line="312" w:lineRule="exact" w:before="28"/>
        <w:ind w:right="1170"/>
        <w:jc w:val="both"/>
      </w:pPr>
      <w:r>
        <w:rPr/>
        <w:t>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3"/>
          <w:szCs w:val="23"/>
        </w:rPr>
      </w:pPr>
    </w:p>
    <w:p>
      <w:pPr>
        <w:pStyle w:val="Heading3"/>
        <w:spacing w:line="312" w:lineRule="exact" w:before="0"/>
        <w:ind w:right="1170" w:firstLine="480"/>
        <w:jc w:val="both"/>
      </w:pPr>
      <w:r>
        <w:rPr/>
        <w:t>在按照审计准则执行审计工作的过程中，我们运用职业判断，并保持职业怀疑。同时， 我们也执行以下工作：</w:t>
      </w:r>
    </w:p>
    <w:p>
      <w:pPr>
        <w:pStyle w:val="Heading3"/>
        <w:spacing w:line="235" w:lineRule="auto" w:before="131"/>
        <w:ind w:right="1131" w:firstLine="480"/>
        <w:jc w:val="both"/>
      </w:pPr>
      <w:r>
        <w:rPr>
          <w:spacing w:val="-3"/>
        </w:rPr>
        <w:t>（</w:t>
      </w:r>
      <w:r>
        <w:rPr>
          <w:rFonts w:ascii="Times New Roman" w:hAnsi="Times New Roman" w:cs="Times New Roman" w:eastAsia="Times New Roman" w:hint="default"/>
          <w:spacing w:val="-3"/>
        </w:rPr>
        <w:t>1</w:t>
      </w:r>
      <w:r>
        <w:rPr>
          <w:spacing w:val="-3"/>
        </w:rPr>
        <w:t>）识别和评估由于舞弊或错误导致的财务报表重大错报风险，设计和实施审计程序以</w:t>
      </w:r>
      <w:r>
        <w:rPr/>
        <w:t> 应对这些风险，并获取充分、适当的审计证据，作为发表审计意见的基础。由于舞弊可能涉 及串通、伪造、故意遗漏、虚假陈述或凌驾于内部控制之上，未能发现由于舞弊导致的重大 错报的风险高于未能发现由于错误导致的重大错报的风险。</w:t>
      </w:r>
    </w:p>
    <w:p>
      <w:pPr>
        <w:pStyle w:val="Heading3"/>
        <w:spacing w:line="240" w:lineRule="auto" w:before="154"/>
        <w:ind w:left="634" w:right="0"/>
        <w:jc w:val="left"/>
      </w:pPr>
      <w:r>
        <w:rPr/>
        <w:t>（</w:t>
      </w:r>
      <w:r>
        <w:rPr>
          <w:rFonts w:ascii="Times New Roman" w:hAnsi="Times New Roman" w:cs="Times New Roman" w:eastAsia="Times New Roman" w:hint="default"/>
        </w:rPr>
        <w:t>2</w:t>
      </w:r>
      <w:r>
        <w:rPr/>
        <w:t>）了解与审计相关的内部控制，以设计恰当的审计程序。</w:t>
      </w:r>
    </w:p>
    <w:p>
      <w:pPr>
        <w:pStyle w:val="Heading3"/>
        <w:spacing w:line="240" w:lineRule="auto" w:before="135"/>
        <w:ind w:left="634"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3"/>
        <w:spacing w:line="235" w:lineRule="auto" w:before="31"/>
        <w:ind w:right="1131" w:firstLine="480"/>
        <w:jc w:val="both"/>
      </w:pPr>
      <w:r>
        <w:rPr>
          <w:spacing w:val="-3"/>
        </w:rPr>
        <w:t>（</w:t>
      </w:r>
      <w:r>
        <w:rPr>
          <w:rFonts w:ascii="Times New Roman" w:hAnsi="Times New Roman" w:cs="Times New Roman" w:eastAsia="Times New Roman" w:hint="default"/>
          <w:spacing w:val="-3"/>
        </w:rPr>
        <w:t>4</w:t>
      </w:r>
      <w:r>
        <w:rPr>
          <w:spacing w:val="-3"/>
        </w:rPr>
        <w:t>）对管理层使用持续经营假设的恰当性得出结论。同时，根据获取的审计证据，就可</w:t>
      </w:r>
      <w:r>
        <w:rPr/>
        <w:t> 能导致对京蓝科技公司持续经营能力产生重大疑虑的事项或情况是否存在重大不确定性得出 结论。如果我们得出结论认为存在重大不确定性，审计准则要求我们在审计报告中提请报表 使用者注意财务报表中的相关披露；如果披露不充分，我们应当发表非无保留意见。我们的 结论基于截至审计报告日可获得的信息。然而，未来的事项或情况可能导致京蓝科技公司不 能持续经营。</w:t>
      </w:r>
    </w:p>
    <w:p>
      <w:pPr>
        <w:pStyle w:val="Heading3"/>
        <w:spacing w:line="312" w:lineRule="exact" w:before="185"/>
        <w:ind w:right="1133" w:firstLine="480"/>
        <w:jc w:val="both"/>
      </w:pPr>
      <w:r>
        <w:rPr>
          <w:spacing w:val="-3"/>
        </w:rPr>
        <w:t>（</w:t>
      </w:r>
      <w:r>
        <w:rPr>
          <w:rFonts w:ascii="Times New Roman" w:hAnsi="Times New Roman" w:cs="Times New Roman" w:eastAsia="Times New Roman" w:hint="default"/>
          <w:spacing w:val="-3"/>
        </w:rPr>
        <w:t>5</w:t>
      </w:r>
      <w:r>
        <w:rPr>
          <w:spacing w:val="-3"/>
        </w:rPr>
        <w:t>）评价财务报表的总体列报、结构和内容（包括披露），并评价财务报表是否公允反</w:t>
      </w:r>
      <w:r>
        <w:rPr/>
        <w:t> 映相关交易和事项。</w:t>
      </w:r>
    </w:p>
    <w:p>
      <w:pPr>
        <w:pStyle w:val="Heading3"/>
        <w:spacing w:line="312" w:lineRule="exact"/>
        <w:ind w:right="1132" w:firstLine="480"/>
        <w:jc w:val="right"/>
      </w:pPr>
      <w:r>
        <w:rPr>
          <w:spacing w:val="-3"/>
        </w:rPr>
        <w:t>（</w:t>
      </w:r>
      <w:r>
        <w:rPr>
          <w:rFonts w:ascii="Times New Roman" w:hAnsi="Times New Roman" w:cs="Times New Roman" w:eastAsia="Times New Roman" w:hint="default"/>
          <w:spacing w:val="-3"/>
        </w:rPr>
        <w:t>6</w:t>
      </w:r>
      <w:r>
        <w:rPr>
          <w:spacing w:val="-3"/>
        </w:rPr>
        <w:t>）就京蓝科技公司中实体或业务活动的财务信息获取充分、适当的审计证据，以对财</w:t>
      </w:r>
      <w:r>
        <w:rPr/>
        <w:t> 务报表发表审计意见。我们负责指导、监督和执行集团审计，并对审计意见承担全部责任。</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3"/>
          <w:szCs w:val="23"/>
        </w:rPr>
      </w:pPr>
    </w:p>
    <w:p>
      <w:pPr>
        <w:pStyle w:val="Heading3"/>
        <w:spacing w:line="312" w:lineRule="exact" w:before="0"/>
        <w:ind w:right="1170" w:firstLine="480"/>
        <w:jc w:val="both"/>
      </w:pPr>
      <w:r>
        <w:rPr/>
        <w:t>我们与治理层就计划的审计范围、时间安排和重大审计发现等事项进行沟通，包括沟通 我们在审计中识别出的值得关注的内部控制缺陷。</w:t>
      </w:r>
    </w:p>
    <w:p>
      <w:pPr>
        <w:pStyle w:val="Heading3"/>
        <w:spacing w:line="312" w:lineRule="exact"/>
        <w:ind w:right="1170" w:firstLine="480"/>
        <w:jc w:val="both"/>
      </w:pPr>
      <w:r>
        <w:rPr/>
        <w:t>我们还就遵守与独立性相关的职业道德要求向治理层提供声明，并与治理层沟通可能被 合理认为影响我们独立性的所有关系和其他事项，以及相关的防范措施（如适用）。</w:t>
      </w:r>
    </w:p>
    <w:p>
      <w:pPr>
        <w:pStyle w:val="Heading3"/>
        <w:spacing w:line="312" w:lineRule="exact"/>
        <w:ind w:right="1169" w:firstLine="480"/>
        <w:jc w:val="both"/>
      </w:pPr>
      <w:r>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2"/>
          <w:szCs w:val="32"/>
        </w:rPr>
      </w:pPr>
    </w:p>
    <w:p>
      <w:pPr>
        <w:pStyle w:val="Heading2"/>
        <w:spacing w:line="240" w:lineRule="auto"/>
        <w:ind w:right="0"/>
        <w:jc w:val="left"/>
        <w:rPr>
          <w:b w:val="0"/>
          <w:bCs w:val="0"/>
        </w:rPr>
      </w:pPr>
      <w:bookmarkStart w:name="二、财务报表" w:id="171"/>
      <w:bookmarkEnd w:id="171"/>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合并资产负债表" w:id="172"/>
      <w:bookmarkEnd w:id="172"/>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编制单位：京蓝科技股份有限公司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2855" w:space="122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49" w:right="0"/>
              <w:jc w:val="left"/>
              <w:rPr>
                <w:rFonts w:ascii="Times New Roman" w:hAnsi="Times New Roman" w:cs="Times New Roman" w:eastAsia="Times New Roman" w:hint="default"/>
                <w:sz w:val="18"/>
                <w:szCs w:val="18"/>
              </w:rPr>
            </w:pPr>
            <w:r>
              <w:rPr>
                <w:rFonts w:ascii="Times New Roman"/>
                <w:sz w:val="18"/>
              </w:rPr>
              <w:t>590,334,702.96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5" w:right="0"/>
              <w:jc w:val="left"/>
              <w:rPr>
                <w:rFonts w:ascii="Times New Roman" w:hAnsi="Times New Roman" w:cs="Times New Roman" w:eastAsia="Times New Roman" w:hint="default"/>
                <w:sz w:val="18"/>
                <w:szCs w:val="18"/>
              </w:rPr>
            </w:pPr>
            <w:r>
              <w:rPr>
                <w:rFonts w:ascii="Times New Roman"/>
                <w:sz w:val="18"/>
              </w:rPr>
              <w:t>1,047,670,400.75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564,654,990.06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617,799,018.52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15,912,693.98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1,291,754.98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548,742,296.08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616,507,263.54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189,781,079.06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221,949,825.51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641,917,088.23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445,860,377.51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20,199,348.01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4,206,770.28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4,568,934,899.67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2,553,768,441.76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237,694,638.55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91,479,293.47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170,922,159.81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66,285,840.39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6,964,239,558.34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5,044,813,197.91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1,072,365,279.50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1,020,155,279.50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339,032,643.98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346,094,291.07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5,146,346.12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28,034,199.99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27,863,036.72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33,081,996.09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372,293,197.90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320,358,432.22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93,304,264.43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143,188,521.59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143,093,930.42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103,673,137.51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870,466.46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5,231,388.37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1,251,104,313.38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1,251,104,313.38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17,328,769.80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7,551,585.71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32,508,027.59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55,182,788.40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675,789,110.11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354,165,299.13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4,030,699,386.41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3,667,821,232.96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10,994,938,944.75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8,712,634,430.87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2,454,275,043.58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1,897,180,000.00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1,610,221,043.79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968,741,931.47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809,314,866.97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396,517,038.47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18,662,684.29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12,356,223.16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163,116,935.21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111,319,957.08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422,778,257.27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192,766,264.66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50,776,687.82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37,067,687.17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177,261,404.32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341,588,631.42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5,655,630,235.43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3,920,470,046.26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305,678,814.90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129,196,000.00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319,740,000.00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145,941,836.03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232,899,862.15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5,487,820.39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6,299,434.70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73,337,733.85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71,161,801.74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850,186,205.17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439,557,098.59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6,505,816,440.60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4,360,027,144.85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876,655,062.00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730,545,885.00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2,981,523,016.39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3,128,436,863.27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30,351,919.86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30,351,919.86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454,888,612.36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352,352,636.73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4,343,418,610.61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4,241,687,304.86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145,703,893.54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110,919,981.16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4,489,122,504.15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4,352,607,286.02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10,994,938,944.75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8,712,634,430.87</w:t>
            </w:r>
          </w:p>
        </w:tc>
      </w:tr>
    </w:tbl>
    <w:p>
      <w:pPr>
        <w:spacing w:line="240" w:lineRule="auto" w:before="3"/>
        <w:rPr>
          <w:rFonts w:ascii="Times New Roman" w:hAnsi="Times New Roman" w:cs="Times New Roman" w:eastAsia="Times New Roman" w:hint="default"/>
          <w:sz w:val="23"/>
          <w:szCs w:val="23"/>
        </w:rPr>
      </w:pPr>
    </w:p>
    <w:p>
      <w:pPr>
        <w:tabs>
          <w:tab w:pos="342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法定代表人：杨仁贵</w:t>
        <w:tab/>
        <w:t>主管会计工作负责人：郭源源</w:t>
        <w:tab/>
        <w:t>会计机构负责人：郭源源</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母公司资产负债表" w:id="173"/>
      <w:bookmarkEnd w:id="173"/>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66,506,174.52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59,530,971.90</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26,383,412.96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19,738,877.36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18,383,412.96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19,738,877.36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3,896,699.04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3,325,549.90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1,477,379,933.56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2,368,774,756.79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244,881.68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40,220.00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1,574,411,101.76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2,451,410,375.95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49,710,000.00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1,655,526,338.93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1,025,492,502.17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4,177,696.12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3,010,652.17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3,827,753.44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3,450,691.88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582,600.38</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27,033,078.31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303,527,273.10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2,017,351,661.97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1,059,328,924.53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3,591,762,763.73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3,510,739,300.48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1,000,000,000.00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1,079,860,000.00</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2,608,463.53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19,961,950.70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979" w:header="74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6,940,956.14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2,024,177.07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543,347.03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3,581,389.74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265,017,273.52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64,782,340.71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27,669,855.56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27,929,710.64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1,275,110,040.22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1,170,209,858.22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91,020,000.00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91,020,000.00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1,366,130,040.22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1,170,209,858.22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876,655,062.00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730,545,885.00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1,404,252,371.13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1,551,691,320.01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30,351,919.86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30,351,919.86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-85,626,629.48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27,940,317.39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2,225,632,723.51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2,340,529,442.26</w:t>
            </w:r>
          </w:p>
        </w:tc>
      </w:tr>
    </w:tbl>
    <w:p>
      <w:pPr>
        <w:spacing w:after="0" w:line="240" w:lineRule="auto"/>
        <w:jc w:val="right"/>
        <w:rPr>
          <w:rFonts w:ascii="Times New Roman" w:hAnsi="Times New Roman" w:cs="Times New Roman" w:eastAsia="Times New Roman" w:hint="default"/>
          <w:sz w:val="18"/>
          <w:szCs w:val="18"/>
        </w:rPr>
        <w:sectPr>
          <w:footerReference w:type="default" r:id="rId17"/>
          <w:pgSz w:w="11910" w:h="16840"/>
          <w:pgMar w:footer="979" w:header="747"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90"/>
        <w:gridCol w:w="3314"/>
        <w:gridCol w:w="2966"/>
      </w:tblGrid>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12" w:right="0"/>
              <w:jc w:val="left"/>
              <w:rPr>
                <w:rFonts w:ascii="Times New Roman" w:hAnsi="Times New Roman" w:cs="Times New Roman" w:eastAsia="Times New Roman" w:hint="default"/>
                <w:sz w:val="18"/>
                <w:szCs w:val="18"/>
              </w:rPr>
            </w:pPr>
            <w:r>
              <w:rPr>
                <w:rFonts w:ascii="Times New Roman"/>
                <w:sz w:val="18"/>
              </w:rPr>
              <w:t>3,591,762,763.73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3" w:right="0"/>
              <w:jc w:val="left"/>
              <w:rPr>
                <w:rFonts w:ascii="Times New Roman" w:hAnsi="Times New Roman" w:cs="Times New Roman" w:eastAsia="Times New Roman" w:hint="default"/>
                <w:sz w:val="18"/>
                <w:szCs w:val="18"/>
              </w:rPr>
            </w:pPr>
            <w:r>
              <w:rPr>
                <w:rFonts w:ascii="Times New Roman"/>
                <w:sz w:val="18"/>
              </w:rPr>
              <w:t>3,510,739,300.48</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3、合并利润表" w:id="174"/>
      <w:bookmarkEnd w:id="174"/>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2,490,857,777.77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1,807,935,669.42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2,490,857,777.77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1,807,935,669.42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2,335,864,203.01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1,501,181,210.29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1,760,095,512.73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1,235,886,283.76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14,782,082.67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14,232,040.07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63,933,046.98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48,274,731.91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234,661,882.53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145,051,265.16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21,215,497.33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6,715,474.87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223,330,080.04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77,252,405.42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234,743,506.93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88,933,570.42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20,377,800.79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11,972,707.27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17,846,100.73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-26,230,990.90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5,305,932.96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1,935,973.90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29,874,271.08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-8,800.08</w:t>
            </w:r>
            <w:r>
              <w:rPr>
                <w:rFonts w:ascii="Times New Roman"/>
                <w:sz w:val="18"/>
              </w:rPr>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-177,990.77</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-1,050,068.92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3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-48,766.40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-72,911.02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190,125,012.40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308,608,721.93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2,576,023.58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16,648,471.94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3,654,665.95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4,113,159.04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189,046,370.03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321,144,034.83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82,955,272.02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20,639,000.14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106,091,098.01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300,505,034.69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106,091,098.01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300,505,034.69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102,535,975.63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289,292,396.12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3,555,122.38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11,212,638.57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106,091,098.01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300,505,034.69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102,535,975.63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289,292,396.12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3,555,122.38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11,212,638.57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r>
    </w:tbl>
    <w:p>
      <w:pPr>
        <w:tabs>
          <w:tab w:pos="3574" w:val="left" w:leader="none"/>
          <w:tab w:pos="7715" w:val="left" w:leader="none"/>
        </w:tabs>
        <w:spacing w:line="624" w:lineRule="auto" w:before="51"/>
        <w:ind w:left="154" w:right="1229"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法定代表人：杨仁贵</w:t>
        <w:tab/>
        <w:t>主管会计工作负责人：郭源源</w:t>
        <w:tab/>
        <w:t>会计机构负责人：郭源源</w:t>
      </w:r>
    </w:p>
    <w:p>
      <w:pPr>
        <w:pStyle w:val="Heading4"/>
        <w:spacing w:line="240" w:lineRule="auto" w:before="63"/>
        <w:ind w:right="0"/>
        <w:jc w:val="left"/>
        <w:rPr>
          <w:b w:val="0"/>
          <w:bCs w:val="0"/>
        </w:rPr>
      </w:pPr>
      <w:bookmarkStart w:name="4、母公司利润表" w:id="175"/>
      <w:bookmarkEnd w:id="175"/>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23,041,726.74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18,508,018.91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888,538.05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450,195.95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9,537,543.28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332,658.83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66,563,588.55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46,197,735.95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34,723,357.72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-21,192,803.46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99,315,613.49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35,090,860.34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42,636,009.63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56,331,027.47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-465,692.72</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246,892.27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104,683.81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29,193.90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426,821.92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-10,352.18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-88,111,276.51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-7,070,644.81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95,437.99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22,592.05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-86,533,868.56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-6,987,006.82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27,033,078.31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-27,033,078.31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-113,566,946.87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20,046,071.49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-113,566,946.87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20,046,071.49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-113,566,946.87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20,046,071.49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5、合并现金流量表" w:id="176"/>
      <w:bookmarkEnd w:id="176"/>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1,309,957,293.32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1,206,327,166.26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213,449,835.72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279,606,075.00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1,523,407,129.04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1,485,933,241.26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1,550,357,804.49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1,150,575,775.14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158,767,825.76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119,574,287.69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93,318,095.89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88,248,421.14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564,342,680.59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522,613,126.50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2,366,786,406.73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1,881,011,610.47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-843,379,277.69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-395,078,369.21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15,019,351.53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1,041,268.84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1,497,500.00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107,364.41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116,646,696.51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486,744,575.43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133,163,548.04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647,893,208.68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106,558,914.98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135,273,835.09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204,565,098.00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1,456,409,179.50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160,191,229.38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310,267,731.96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621,391,744.94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2,408,374,243.97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-488,228,196.90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-1,760,481,035.29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31,228,790.00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520,899,997.00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31,228,790.00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2,342,044,775.85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2,100,860,000.00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564,657,555.53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479,314,500.35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3,348,931,121.38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3,101,074,497.35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1,826,011,660.08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402,443,914.84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226,018,764.58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99,384,182.53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589,273,569.31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458,661,849.77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2,641,303,993.97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960,489,947.14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707,627,127.41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2,140,584,550.21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-623,980,347.18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-14,974,854.29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971,134,681.18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986,109,535.47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347,154,334.00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971,134,681.18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5"/>
        <w:ind w:right="0"/>
        <w:jc w:val="left"/>
        <w:rPr>
          <w:b w:val="0"/>
          <w:bCs w:val="0"/>
        </w:rPr>
      </w:pPr>
      <w:bookmarkStart w:name="6、母公司现金流量表" w:id="177"/>
      <w:bookmarkEnd w:id="177"/>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24,079,500.00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651,167,656.79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46,803,320.14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675,247,156.79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46,803,320.14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36,009,613.91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25,702,098.40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6,150,216.23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2,185,966.64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599,106,875.60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1,070,369,895.32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641,266,705.74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1,098,257,960.36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33,980,451.05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-1,051,454,640.22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426,821.92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1,341,380,198.18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533,191,500.00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1,341,380,198.18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603,618,321.92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2,606,647.95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2,706,282.68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831,443,076.76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353,061,815.30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439,100,000.00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1,401,880,432.00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1,273,149,724.71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1,757,648,529.98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68,230,473.47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-1,154,030,208.06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507,499,997.00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691,020,000.00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1,094,860,000.00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774,020,000.00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1,662,359,997.00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679,860,000.00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99,985,321.90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39,283,391.88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89,410,400.00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31,690,000.00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869,255,721.90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105,973,391.88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-95,235,721.90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1,556,386,605.12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6,975,202.62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-649,098,243.16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59,530,971.90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708,629,215.06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66,506,174.52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59,530,971.90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合并所有者权益变动表" w:id="178"/>
      <w:bookmarkEnd w:id="178"/>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730,54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5,885.</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5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3,128,4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36,863.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30,351,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919.86</w:t>
            </w:r>
          </w:p>
        </w:tc>
        <w:tc>
          <w:tcPr>
            <w:tcW w:w="6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8"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352,352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,636.73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110,919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,981.16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4,352,6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07,286.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02</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730,54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5,885.</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5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3,128,4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36,863.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30,351,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919.86</w:t>
            </w:r>
          </w:p>
        </w:tc>
        <w:tc>
          <w:tcPr>
            <w:tcW w:w="6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8"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352,352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,636.73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110,919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,981.16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4,352,6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07,286.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02</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146,10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9,177.</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-146,91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3,846.8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102,535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,975.63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34,783,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912.38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136,515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,218.13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102,535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,975.63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3,555,1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22.38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106,091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,098.01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-15,858.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31,228,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790.00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31,212,</w:t>
            </w:r>
          </w:p>
          <w:p>
            <w:pPr>
              <w:pStyle w:val="TableParagraph"/>
              <w:spacing w:line="240" w:lineRule="auto" w:before="106"/>
              <w:ind w:left="129" w:right="0"/>
              <w:jc w:val="left"/>
              <w:rPr>
                <w:rFonts w:ascii="Times New Roman" w:hAnsi="Times New Roman" w:cs="Times New Roman" w:eastAsia="Times New Roman" w:hint="default"/>
                <w:sz w:val="18"/>
                <w:szCs w:val="18"/>
              </w:rPr>
            </w:pPr>
            <w:r>
              <w:rPr>
                <w:rFonts w:ascii="Times New Roman"/>
                <w:sz w:val="18"/>
              </w:rPr>
              <w:t>932.00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-15,858.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31,228,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790.00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31,212,</w:t>
            </w:r>
          </w:p>
          <w:p>
            <w:pPr>
              <w:pStyle w:val="TableParagraph"/>
              <w:spacing w:line="240" w:lineRule="auto" w:before="106"/>
              <w:ind w:left="129" w:right="0"/>
              <w:jc w:val="left"/>
              <w:rPr>
                <w:rFonts w:ascii="Times New Roman" w:hAnsi="Times New Roman" w:cs="Times New Roman" w:eastAsia="Times New Roman" w:hint="default"/>
                <w:sz w:val="18"/>
                <w:szCs w:val="18"/>
              </w:rPr>
            </w:pPr>
            <w:r>
              <w:rPr>
                <w:rFonts w:ascii="Times New Roman"/>
                <w:sz w:val="18"/>
              </w:rPr>
              <w:t>932.00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146,10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9,177.</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9,177.0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146,10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9,177.</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9,177.0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-788,81</w:t>
            </w:r>
          </w:p>
          <w:p>
            <w:pPr>
              <w:pStyle w:val="TableParagraph"/>
              <w:spacing w:line="240" w:lineRule="auto" w:before="106"/>
              <w:ind w:left="315" w:right="0"/>
              <w:jc w:val="left"/>
              <w:rPr>
                <w:rFonts w:ascii="Times New Roman" w:hAnsi="Times New Roman" w:cs="Times New Roman" w:eastAsia="Times New Roman" w:hint="default"/>
                <w:sz w:val="18"/>
                <w:szCs w:val="18"/>
              </w:rPr>
            </w:pPr>
            <w:r>
              <w:rPr>
                <w:rFonts w:ascii="Times New Roman"/>
                <w:sz w:val="18"/>
              </w:rPr>
              <w:t>1.88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-788,81</w:t>
            </w:r>
          </w:p>
          <w:p>
            <w:pPr>
              <w:pStyle w:val="TableParagraph"/>
              <w:spacing w:line="240" w:lineRule="auto" w:before="106"/>
              <w:ind w:left="309" w:right="0"/>
              <w:jc w:val="left"/>
              <w:rPr>
                <w:rFonts w:ascii="Times New Roman" w:hAnsi="Times New Roman" w:cs="Times New Roman" w:eastAsia="Times New Roman" w:hint="default"/>
                <w:sz w:val="18"/>
                <w:szCs w:val="18"/>
              </w:rPr>
            </w:pPr>
            <w:r>
              <w:rPr>
                <w:rFonts w:ascii="Times New Roman"/>
                <w:sz w:val="18"/>
              </w:rPr>
              <w:t>1.88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876,65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5,062.</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2,981,5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23,016.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30,351,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919.86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454,888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,612.36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145,703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,893.54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4,489,1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22,504.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325,59</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4,516.</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2,518,4</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79,733.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30,351,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919.86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95,618,</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149.37</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23,474,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528.43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2,993,5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18,847.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20</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325,59</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4,516.</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2,518,4</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79,733.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30,351,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919.86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95,618,</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149.37</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23,474,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528.43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2,993,5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18,847.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20</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404,95</w:t>
            </w:r>
          </w:p>
          <w:p>
            <w:pPr>
              <w:pStyle w:val="TableParagraph"/>
              <w:spacing w:line="240" w:lineRule="auto" w:before="104"/>
              <w:ind w:left="67" w:right="0"/>
              <w:jc w:val="left"/>
              <w:rPr>
                <w:rFonts w:ascii="Times New Roman" w:hAnsi="Times New Roman" w:cs="Times New Roman" w:eastAsia="Times New Roman" w:hint="default"/>
                <w:sz w:val="18"/>
                <w:szCs w:val="18"/>
              </w:rPr>
            </w:pPr>
            <w:r>
              <w:rPr>
                <w:rFonts w:ascii="Times New Roman"/>
                <w:sz w:val="18"/>
              </w:rPr>
              <w:t>1,369.</w:t>
            </w:r>
          </w:p>
          <w:p>
            <w:pPr>
              <w:pStyle w:val="TableParagraph"/>
              <w:spacing w:line="240" w:lineRule="auto" w:before="106"/>
              <w:ind w:left="337"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609,957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,129.73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256,734</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,487.36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87,445,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452.73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1,359,0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88,438.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82</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289,292</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,396.12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left"/>
              <w:rPr>
                <w:rFonts w:ascii="Times New Roman" w:hAnsi="Times New Roman" w:cs="Times New Roman" w:eastAsia="Times New Roman" w:hint="default"/>
                <w:sz w:val="18"/>
                <w:szCs w:val="18"/>
              </w:rPr>
            </w:pPr>
            <w:r>
              <w:rPr>
                <w:rFonts w:ascii="Times New Roman"/>
                <w:sz w:val="18"/>
              </w:rPr>
              <w:t>11,212,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638.57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300,505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,034.69</w:t>
            </w: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79,356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,853.0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935,551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,645.73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13,400,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000.00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1,028,3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08,498.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73</w:t>
            </w:r>
          </w:p>
        </w:tc>
      </w:tr>
      <w:tr>
        <w:trPr>
          <w:trHeight w:val="70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79,356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,853.0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935,551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,645.73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13,400,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000.00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1,028,3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08,498.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73</w:t>
            </w:r>
          </w:p>
        </w:tc>
      </w:tr>
      <w:tr>
        <w:trPr>
          <w:trHeight w:val="70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2"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-32,557,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908.76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-32,557,</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908.76</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-32,557,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908.76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-32,557,</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908.76</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325,59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4,516.</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4,516.0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325,59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4,516.</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4,516.0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62,832,</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814.16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62,832,</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814.16</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730,54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5,885.</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36,863.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30,351,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919.86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352,352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,636.73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110,919</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,981.16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4,352,6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07,286.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5"/>
        <w:ind w:right="0"/>
        <w:jc w:val="left"/>
        <w:rPr>
          <w:b w:val="0"/>
          <w:bCs w:val="0"/>
        </w:rPr>
      </w:pPr>
      <w:bookmarkStart w:name="8、母公司所有者权益变动表" w:id="179"/>
      <w:bookmarkEnd w:id="179"/>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8"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730,545,</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885.00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1,551,691</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,320.01</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30,351,91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9.86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103" w:right="0"/>
              <w:jc w:val="left"/>
              <w:rPr>
                <w:rFonts w:ascii="Times New Roman" w:hAnsi="Times New Roman" w:cs="Times New Roman" w:eastAsia="Times New Roman" w:hint="default"/>
                <w:sz w:val="18"/>
                <w:szCs w:val="18"/>
              </w:rPr>
            </w:pPr>
            <w:r>
              <w:rPr>
                <w:rFonts w:ascii="Times New Roman"/>
                <w:sz w:val="18"/>
              </w:rPr>
              <w:t>27,940,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317.39</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2,340,529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,442.26</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730,545,</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885.00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1,551,691</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,320.01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30,351,91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9.86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27,940,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317.39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2,340,529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,442.26</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146,109,</w:t>
            </w:r>
          </w:p>
          <w:p>
            <w:pPr>
              <w:pStyle w:val="TableParagraph"/>
              <w:spacing w:line="240" w:lineRule="auto" w:before="105"/>
              <w:ind w:left="128" w:right="0"/>
              <w:jc w:val="center"/>
              <w:rPr>
                <w:rFonts w:ascii="Times New Roman" w:hAnsi="Times New Roman" w:cs="Times New Roman" w:eastAsia="Times New Roman" w:hint="default"/>
                <w:sz w:val="18"/>
                <w:szCs w:val="18"/>
              </w:rPr>
            </w:pPr>
            <w:r>
              <w:rPr>
                <w:rFonts w:ascii="Times New Roman"/>
                <w:sz w:val="18"/>
              </w:rPr>
              <w:t>177.00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-147,438,</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948.88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-113,56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6,946.8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-114,896,</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718.75</w:t>
            </w: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-113,56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6,946.8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-113,566,</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946.87</w:t>
            </w:r>
          </w:p>
        </w:tc>
      </w:tr>
      <w:tr>
        <w:trPr>
          <w:trHeight w:val="704"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7"/>
                <w:sz w:val="18"/>
                <w:szCs w:val="18"/>
              </w:rPr>
              <w:t>（四）所有者权益</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15" w:right="0"/>
              <w:jc w:val="left"/>
              <w:rPr>
                <w:rFonts w:ascii="Times New Roman" w:hAnsi="Times New Roman" w:cs="Times New Roman" w:eastAsia="Times New Roman" w:hint="default"/>
                <w:sz w:val="18"/>
                <w:szCs w:val="18"/>
              </w:rPr>
            </w:pPr>
            <w:r>
              <w:rPr>
                <w:rFonts w:ascii="Times New Roman"/>
                <w:sz w:val="18"/>
              </w:rPr>
              <w:t>146,109,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-146,109,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Times New Roman" w:hAnsi="Times New Roman" w:cs="Times New Roman" w:eastAsia="Times New Roman" w:hint="default"/>
                <w:sz w:val="18"/>
                <w:szCs w:val="18"/>
              </w:rPr>
            </w:pPr>
            <w:r>
              <w:rPr>
                <w:rFonts w:ascii="Times New Roman"/>
                <w:sz w:val="18"/>
              </w:rPr>
              <w:t>177.00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9" w:right="0"/>
              <w:jc w:val="left"/>
              <w:rPr>
                <w:rFonts w:ascii="Times New Roman" w:hAnsi="Times New Roman" w:cs="Times New Roman" w:eastAsia="Times New Roman" w:hint="default"/>
                <w:sz w:val="18"/>
                <w:szCs w:val="18"/>
              </w:rPr>
            </w:pPr>
            <w:r>
              <w:rPr>
                <w:rFonts w:ascii="Times New Roman"/>
                <w:sz w:val="18"/>
              </w:rPr>
              <w:t>177.00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146,109,</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177.00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-146,109,</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177.00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-1,329,77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-1,329,77</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1.88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876,655,</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062.00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1,404,252</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,371.13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30,351,91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9.86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-85,626,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629.48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2,225,632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,723.51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325,594,</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516.00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2,531,234</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,190.28</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30,351,91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9.86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103" w:right="0"/>
              <w:jc w:val="left"/>
              <w:rPr>
                <w:rFonts w:ascii="Times New Roman" w:hAnsi="Times New Roman" w:cs="Times New Roman" w:eastAsia="Times New Roman" w:hint="default"/>
                <w:sz w:val="18"/>
                <w:szCs w:val="18"/>
              </w:rPr>
            </w:pPr>
            <w:r>
              <w:rPr>
                <w:rFonts w:ascii="Times New Roman"/>
                <w:sz w:val="18"/>
              </w:rPr>
              <w:t>40,452,</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154.66</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2,927,632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,780.80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325,594,</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516.00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2,531,234</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,190.28</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30,351,91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9.86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40,452,</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154.66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2,927,632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,780.80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404,951,</w:t>
            </w:r>
          </w:p>
          <w:p>
            <w:pPr>
              <w:pStyle w:val="TableParagraph"/>
              <w:spacing w:line="240" w:lineRule="auto" w:before="106"/>
              <w:ind w:left="128" w:right="0"/>
              <w:jc w:val="center"/>
              <w:rPr>
                <w:rFonts w:ascii="Times New Roman" w:hAnsi="Times New Roman" w:cs="Times New Roman" w:eastAsia="Times New Roman" w:hint="default"/>
                <w:sz w:val="18"/>
                <w:szCs w:val="18"/>
              </w:rPr>
            </w:pPr>
            <w:r>
              <w:rPr>
                <w:rFonts w:ascii="Times New Roman"/>
                <w:sz w:val="18"/>
              </w:rPr>
              <w:t>369.00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-979,542,</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870.27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-12,511,</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837.27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-587,103,</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338.54</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3"/>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20,046,</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071.49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20,046,07</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1.49</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3"/>
              <w:jc w:val="right"/>
              <w:rPr>
                <w:rFonts w:ascii="宋体" w:hAnsi="宋体" w:cs="宋体" w:eastAsia="宋体" w:hint="default"/>
                <w:sz w:val="18"/>
                <w:szCs w:val="18"/>
              </w:rPr>
            </w:pPr>
            <w:r>
              <w:rPr>
                <w:rFonts w:ascii="宋体" w:hAnsi="宋体" w:cs="宋体" w:eastAsia="宋体" w:hint="default"/>
                <w:spacing w:val="-7"/>
                <w:w w:val="95"/>
                <w:sz w:val="18"/>
                <w:szCs w:val="18"/>
              </w:rPr>
              <w:t>（二）所有者投入</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15" w:right="0"/>
              <w:jc w:val="left"/>
              <w:rPr>
                <w:rFonts w:ascii="Times New Roman" w:hAnsi="Times New Roman" w:cs="Times New Roman" w:eastAsia="Times New Roman" w:hint="default"/>
                <w:sz w:val="18"/>
                <w:szCs w:val="18"/>
              </w:rPr>
            </w:pPr>
            <w:r>
              <w:rPr>
                <w:rFonts w:ascii="Times New Roman"/>
                <w:sz w:val="18"/>
              </w:rPr>
              <w:t>79,356,8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-653,948,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7" w:right="0"/>
              <w:jc w:val="left"/>
              <w:rPr>
                <w:rFonts w:ascii="Times New Roman" w:hAnsi="Times New Roman" w:cs="Times New Roman" w:eastAsia="Times New Roman" w:hint="default"/>
                <w:sz w:val="18"/>
                <w:szCs w:val="18"/>
              </w:rPr>
            </w:pPr>
            <w:r>
              <w:rPr>
                <w:rFonts w:ascii="Times New Roman"/>
                <w:sz w:val="18"/>
              </w:rPr>
              <w:t>-574,591,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3" w:right="0"/>
              <w:jc w:val="left"/>
              <w:rPr>
                <w:rFonts w:ascii="Times New Roman" w:hAnsi="Times New Roman" w:cs="Times New Roman" w:eastAsia="Times New Roman" w:hint="default"/>
                <w:sz w:val="18"/>
                <w:szCs w:val="18"/>
              </w:rPr>
            </w:pPr>
            <w:r>
              <w:rPr>
                <w:rFonts w:ascii="Times New Roman"/>
                <w:sz w:val="18"/>
              </w:rPr>
              <w:t>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9" w:right="0"/>
              <w:jc w:val="left"/>
              <w:rPr>
                <w:rFonts w:ascii="Times New Roman" w:hAnsi="Times New Roman" w:cs="Times New Roman" w:eastAsia="Times New Roman" w:hint="default"/>
                <w:sz w:val="18"/>
                <w:szCs w:val="18"/>
              </w:rPr>
            </w:pPr>
            <w:r>
              <w:rPr>
                <w:rFonts w:ascii="Times New Roman"/>
                <w:sz w:val="18"/>
              </w:rPr>
              <w:t>354.27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3" w:right="0"/>
              <w:jc w:val="left"/>
              <w:rPr>
                <w:rFonts w:ascii="Times New Roman" w:hAnsi="Times New Roman" w:cs="Times New Roman" w:eastAsia="Times New Roman" w:hint="default"/>
                <w:sz w:val="18"/>
                <w:szCs w:val="18"/>
              </w:rPr>
            </w:pPr>
            <w:r>
              <w:rPr>
                <w:rFonts w:ascii="Times New Roman"/>
                <w:sz w:val="18"/>
              </w:rPr>
              <w:t>501.27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79,356,8</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935,551,6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45.73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1,014,908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,498.73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-1,589,50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-1,589,50</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0,000.00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-32,557,</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908.76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-32,557,9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08.76</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-32,557,</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908.76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-32,557,9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08.76</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325,594,</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516.00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-325,594,</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516.00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325,594,</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516.00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-325,594,</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516.00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730,545,</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885.00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1,551,691</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,320.01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30,351,91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9.86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27,940,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317.39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2,340,529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,442.26</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公司基本情况" w:id="180"/>
      <w:bookmarkEnd w:id="180"/>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24" w:right="0"/>
        <w:jc w:val="left"/>
      </w:pPr>
      <w:r>
        <w:rPr/>
        <w:t>（一）公司简介</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524" w:right="0"/>
        <w:jc w:val="left"/>
      </w:pPr>
      <w:r>
        <w:rPr>
          <w:rFonts w:ascii="Times New Roman" w:hAnsi="Times New Roman" w:cs="Times New Roman" w:eastAsia="Times New Roman" w:hint="default"/>
        </w:rPr>
        <w:t>1.</w:t>
      </w:r>
      <w:r>
        <w:rPr/>
        <w:t>公司历史沿革</w:t>
      </w:r>
    </w:p>
    <w:p>
      <w:pPr>
        <w:spacing w:line="240" w:lineRule="auto" w:before="2"/>
        <w:rPr>
          <w:rFonts w:ascii="宋体" w:hAnsi="宋体" w:cs="宋体" w:eastAsia="宋体" w:hint="default"/>
          <w:sz w:val="18"/>
          <w:szCs w:val="18"/>
        </w:rPr>
      </w:pPr>
    </w:p>
    <w:p>
      <w:pPr>
        <w:pStyle w:val="BodyText"/>
        <w:spacing w:line="259" w:lineRule="auto"/>
        <w:ind w:right="1091" w:firstLine="370"/>
        <w:jc w:val="both"/>
      </w:pPr>
      <w:r>
        <w:rPr/>
        <w:t>京蓝科技股份有限公司（原名称为</w:t>
      </w:r>
      <w:r>
        <w:rPr>
          <w:rFonts w:ascii="Times New Roman" w:hAnsi="Times New Roman" w:cs="Times New Roman" w:eastAsia="Times New Roman" w:hint="default"/>
        </w:rPr>
        <w:t>“</w:t>
      </w:r>
      <w:r>
        <w:rPr/>
        <w:t>黑龙江京蓝科技股份有限公司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公司或本公司</w:t>
      </w:r>
      <w:r>
        <w:rPr>
          <w:rFonts w:ascii="Times New Roman" w:hAnsi="Times New Roman" w:cs="Times New Roman" w:eastAsia="Times New Roman" w:hint="default"/>
        </w:rPr>
        <w:t>”</w:t>
      </w:r>
      <w:r>
        <w:rPr/>
        <w:t>）的前 </w:t>
      </w:r>
      <w:r>
        <w:rPr>
          <w:spacing w:val="15"/>
        </w:rPr>
        <w:t>身为黑龙江天伦置业股份有限公司。于</w:t>
      </w:r>
      <w:r>
        <w:rPr>
          <w:spacing w:val="-80"/>
        </w:rPr>
        <w:t> </w:t>
      </w:r>
      <w:r>
        <w:rPr>
          <w:rFonts w:ascii="Times New Roman" w:hAnsi="Times New Roman" w:cs="Times New Roman" w:eastAsia="Times New Roman" w:hint="default"/>
          <w:spacing w:val="13"/>
        </w:rPr>
        <w:t>1993</w:t>
      </w:r>
      <w:r>
        <w:rPr>
          <w:spacing w:val="13"/>
        </w:rPr>
        <w:t>年</w:t>
      </w:r>
      <w:r>
        <w:rPr>
          <w:rFonts w:ascii="Times New Roman" w:hAnsi="Times New Roman" w:cs="Times New Roman" w:eastAsia="Times New Roman" w:hint="default"/>
          <w:spacing w:val="13"/>
        </w:rPr>
        <w:t>3</w:t>
      </w:r>
      <w:r>
        <w:rPr>
          <w:spacing w:val="13"/>
        </w:rPr>
        <w:t>月</w:t>
      </w:r>
      <w:r>
        <w:rPr>
          <w:rFonts w:ascii="Times New Roman" w:hAnsi="Times New Roman" w:cs="Times New Roman" w:eastAsia="Times New Roman" w:hint="default"/>
          <w:spacing w:val="13"/>
        </w:rPr>
        <w:t>31</w:t>
      </w:r>
      <w:r>
        <w:rPr>
          <w:spacing w:val="13"/>
        </w:rPr>
        <w:t>日经黑龙江省经济体制改革委员会以黑体改复</w:t>
      </w:r>
      <w:r>
        <w:rPr>
          <w:spacing w:val="-85"/>
        </w:rPr>
        <w:t> </w:t>
      </w:r>
      <w:r>
        <w:rPr>
          <w:spacing w:val="-85"/>
        </w:rPr>
      </w:r>
      <w:r>
        <w:rPr>
          <w:rFonts w:ascii="Times New Roman" w:hAnsi="Times New Roman" w:cs="Times New Roman" w:eastAsia="Times New Roman" w:hint="default"/>
          <w:spacing w:val="-2"/>
        </w:rPr>
        <w:t>[1993]303</w:t>
      </w:r>
      <w:r>
        <w:rPr>
          <w:spacing w:val="-2"/>
        </w:rPr>
        <w:t>号文批准，由黑龙江省建设开发实业总公司、黑龙江惠扬房地产开发有限公司、哈尔滨龙江非标</w:t>
      </w:r>
      <w:r>
        <w:rPr>
          <w:spacing w:val="-65"/>
        </w:rPr>
        <w:t> </w:t>
      </w:r>
      <w:r>
        <w:rPr>
          <w:spacing w:val="-65"/>
        </w:rPr>
      </w:r>
      <w:r>
        <w:rPr/>
        <w:t>工具公司、黑龙江省城乡建设开发公司、黑河经济合作区房地产开发公司作为发起人，以定向募集的方式</w:t>
      </w:r>
      <w:r>
        <w:rPr/>
        <w:t> 组建，总股本为</w:t>
      </w:r>
      <w:r>
        <w:rPr>
          <w:rFonts w:ascii="Times New Roman" w:hAnsi="Times New Roman" w:cs="Times New Roman" w:eastAsia="Times New Roman" w:hint="default"/>
        </w:rPr>
        <w:t>3,600</w:t>
      </w:r>
      <w:r>
        <w:rPr/>
        <w:t>万元。</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日，经中国证券监督管理委员会以证监发字</w:t>
      </w:r>
      <w:r>
        <w:rPr>
          <w:rFonts w:ascii="Times New Roman" w:hAnsi="Times New Roman" w:cs="Times New Roman" w:eastAsia="Times New Roman" w:hint="default"/>
        </w:rPr>
        <w:t>[1997]95</w:t>
      </w:r>
      <w:r>
        <w:rPr/>
        <w:t>号、</w:t>
      </w:r>
      <w:r>
        <w:rPr>
          <w:rFonts w:ascii="Times New Roman" w:hAnsi="Times New Roman" w:cs="Times New Roman" w:eastAsia="Times New Roman" w:hint="default"/>
        </w:rPr>
        <w:t>[1997]</w:t>
      </w:r>
      <w:r>
        <w:rPr/>
        <w:t>） </w:t>
      </w:r>
      <w:r>
        <w:rPr>
          <w:rFonts w:ascii="Times New Roman" w:hAnsi="Times New Roman" w:cs="Times New Roman" w:eastAsia="Times New Roman" w:hint="default"/>
        </w:rPr>
        <w:t>96</w:t>
      </w:r>
      <w:r>
        <w:rPr/>
        <w:t>号文批准，公司向社会公众公开发行</w:t>
      </w:r>
      <w:r>
        <w:rPr>
          <w:rFonts w:ascii="Times New Roman" w:hAnsi="Times New Roman" w:cs="Times New Roman" w:eastAsia="Times New Roman" w:hint="default"/>
        </w:rPr>
        <w:t>1,464</w:t>
      </w:r>
      <w:r>
        <w:rPr/>
        <w:t>万股境内上市内资股</w:t>
      </w:r>
      <w:r>
        <w:rPr>
          <w:rFonts w:ascii="Times New Roman" w:hAnsi="Times New Roman" w:cs="Times New Roman" w:eastAsia="Times New Roman" w:hint="default"/>
        </w:rPr>
        <w:t>A</w:t>
      </w:r>
      <w:r>
        <w:rPr/>
        <w:t>股股票，并于同年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日在深圳证券</w:t>
      </w:r>
      <w:r>
        <w:rPr>
          <w:spacing w:val="-25"/>
        </w:rPr>
        <w:t> </w:t>
      </w:r>
      <w:r>
        <w:rPr>
          <w:spacing w:val="-25"/>
        </w:rPr>
      </w:r>
      <w:r>
        <w:rPr/>
        <w:t>交易所上市交易，总股本变更为</w:t>
      </w:r>
      <w:r>
        <w:rPr>
          <w:rFonts w:ascii="Times New Roman" w:hAnsi="Times New Roman" w:cs="Times New Roman" w:eastAsia="Times New Roman" w:hint="default"/>
        </w:rPr>
        <w:t>5,064</w:t>
      </w:r>
      <w:r>
        <w:rPr/>
        <w:t>万元，股票代码为</w:t>
      </w:r>
      <w:r>
        <w:rPr>
          <w:rFonts w:ascii="Times New Roman" w:hAnsi="Times New Roman" w:cs="Times New Roman" w:eastAsia="Times New Roman" w:hint="default"/>
        </w:rPr>
        <w:t>000711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日由哈尔滨市市场监督管理</w:t>
      </w:r>
      <w:r>
        <w:rPr>
          <w:spacing w:val="-79"/>
        </w:rPr>
        <w:t> </w:t>
      </w:r>
      <w:r>
        <w:rPr>
          <w:spacing w:val="-79"/>
        </w:rPr>
      </w:r>
      <w:r>
        <w:rPr/>
        <w:t>局开发区分局换发统一社会信用代码为</w:t>
      </w:r>
      <w:r>
        <w:rPr>
          <w:rFonts w:ascii="Times New Roman" w:hAnsi="Times New Roman" w:cs="Times New Roman" w:eastAsia="Times New Roman" w:hint="default"/>
        </w:rPr>
        <w:t>91230000126976973E</w:t>
      </w:r>
      <w:r>
        <w:rPr/>
        <w:t>的营业执照。</w:t>
      </w:r>
    </w:p>
    <w:p>
      <w:pPr>
        <w:spacing w:line="240" w:lineRule="auto" w:before="9"/>
        <w:rPr>
          <w:rFonts w:ascii="宋体" w:hAnsi="宋体" w:cs="宋体" w:eastAsia="宋体" w:hint="default"/>
          <w:sz w:val="16"/>
          <w:szCs w:val="16"/>
        </w:rPr>
      </w:pPr>
    </w:p>
    <w:p>
      <w:pPr>
        <w:pStyle w:val="BodyText"/>
        <w:spacing w:line="256" w:lineRule="auto"/>
        <w:ind w:right="1130" w:firstLine="370"/>
        <w:jc w:val="both"/>
      </w:pPr>
      <w:r>
        <w:rPr>
          <w:spacing w:val="-2"/>
        </w:rPr>
        <w:t>经股东大会审议通过，并报经中国证监会批准，本公司先后于</w:t>
      </w:r>
      <w:r>
        <w:rPr>
          <w:rFonts w:ascii="Times New Roman" w:hAnsi="Times New Roman" w:cs="Times New Roman" w:eastAsia="Times New Roman" w:hint="default"/>
          <w:spacing w:val="-2"/>
        </w:rPr>
        <w:t>1997</w:t>
      </w:r>
      <w:r>
        <w:rPr>
          <w:spacing w:val="-2"/>
        </w:rPr>
        <w:t>年向全体股东每</w:t>
      </w:r>
      <w:r>
        <w:rPr>
          <w:rFonts w:ascii="Times New Roman" w:hAnsi="Times New Roman" w:cs="Times New Roman" w:eastAsia="Times New Roman" w:hint="default"/>
          <w:spacing w:val="-2"/>
        </w:rPr>
        <w:t>10</w:t>
      </w:r>
      <w:r>
        <w:rPr>
          <w:spacing w:val="-2"/>
        </w:rPr>
        <w:t>股送</w:t>
      </w:r>
      <w:r>
        <w:rPr>
          <w:rFonts w:ascii="Times New Roman" w:hAnsi="Times New Roman" w:cs="Times New Roman" w:eastAsia="Times New Roman" w:hint="default"/>
          <w:spacing w:val="-2"/>
        </w:rPr>
        <w:t>3</w:t>
      </w:r>
      <w:r>
        <w:rPr>
          <w:spacing w:val="-2"/>
        </w:rPr>
        <w:t>股、于</w:t>
      </w:r>
      <w:r>
        <w:rPr>
          <w:rFonts w:ascii="Times New Roman" w:hAnsi="Times New Roman" w:cs="Times New Roman" w:eastAsia="Times New Roman" w:hint="default"/>
          <w:spacing w:val="-2"/>
        </w:rPr>
        <w:t>1999</w:t>
      </w:r>
      <w:r>
        <w:rPr>
          <w:rFonts w:ascii="Times New Roman" w:hAnsi="Times New Roman" w:cs="Times New Roman" w:eastAsia="Times New Roman" w:hint="default"/>
        </w:rPr>
        <w:t> </w:t>
      </w:r>
      <w:r>
        <w:rPr/>
        <w:t>年向全体股东每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3</w:t>
      </w:r>
      <w:r>
        <w:rPr/>
        <w:t>股转增</w:t>
      </w:r>
      <w:r>
        <w:rPr>
          <w:rFonts w:ascii="Times New Roman" w:hAnsi="Times New Roman" w:cs="Times New Roman" w:eastAsia="Times New Roman" w:hint="default"/>
        </w:rPr>
        <w:t>2</w:t>
      </w:r>
      <w:r>
        <w:rPr/>
        <w:t>股、于</w:t>
      </w:r>
      <w:r>
        <w:rPr>
          <w:rFonts w:ascii="Times New Roman" w:hAnsi="Times New Roman" w:cs="Times New Roman" w:eastAsia="Times New Roman" w:hint="default"/>
        </w:rPr>
        <w:t>1999</w:t>
      </w:r>
      <w:r>
        <w:rPr/>
        <w:t>年向社会公众股股东配售</w:t>
      </w:r>
      <w:r>
        <w:rPr>
          <w:rFonts w:ascii="Times New Roman" w:hAnsi="Times New Roman" w:cs="Times New Roman" w:eastAsia="Times New Roman" w:hint="default"/>
        </w:rPr>
        <w:t>851.76</w:t>
      </w:r>
      <w:r>
        <w:rPr/>
        <w:t>万股，于</w:t>
      </w:r>
      <w:r>
        <w:rPr>
          <w:rFonts w:ascii="Times New Roman" w:hAnsi="Times New Roman" w:cs="Times New Roman" w:eastAsia="Times New Roman" w:hint="default"/>
        </w:rPr>
        <w:t>2012</w:t>
      </w:r>
      <w:r>
        <w:rPr/>
        <w:t>年用资本公积向</w:t>
      </w:r>
      <w:r>
        <w:rPr>
          <w:spacing w:val="-82"/>
        </w:rPr>
        <w:t> </w:t>
      </w:r>
      <w:r>
        <w:rPr>
          <w:spacing w:val="-82"/>
        </w:rPr>
      </w:r>
      <w:r>
        <w:rPr/>
        <w:t>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股。注册资本和总股本为人民币</w:t>
      </w:r>
      <w:r>
        <w:rPr>
          <w:rFonts w:ascii="Times New Roman" w:hAnsi="Times New Roman" w:cs="Times New Roman" w:eastAsia="Times New Roman" w:hint="default"/>
        </w:rPr>
        <w:t>16,089.40</w:t>
      </w:r>
      <w:r>
        <w:rPr/>
        <w:t>万元。</w:t>
      </w:r>
    </w:p>
    <w:p>
      <w:pPr>
        <w:spacing w:line="240" w:lineRule="auto" w:before="12"/>
        <w:rPr>
          <w:rFonts w:ascii="宋体" w:hAnsi="宋体" w:cs="宋体" w:eastAsia="宋体" w:hint="default"/>
          <w:sz w:val="16"/>
          <w:szCs w:val="16"/>
        </w:rPr>
      </w:pPr>
    </w:p>
    <w:p>
      <w:pPr>
        <w:pStyle w:val="BodyText"/>
        <w:spacing w:line="256" w:lineRule="auto"/>
        <w:ind w:right="1129" w:firstLine="37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月，京蓝控股有限公司（以下简称</w:t>
      </w:r>
      <w:r>
        <w:rPr>
          <w:rFonts w:ascii="Times New Roman" w:hAnsi="Times New Roman" w:cs="Times New Roman" w:eastAsia="Times New Roman" w:hint="default"/>
          <w:spacing w:val="-2"/>
        </w:rPr>
        <w:t>“</w:t>
      </w:r>
      <w:r>
        <w:rPr>
          <w:spacing w:val="-2"/>
        </w:rPr>
        <w:t>京蓝控股</w:t>
      </w:r>
      <w:r>
        <w:rPr>
          <w:rFonts w:ascii="Times New Roman" w:hAnsi="Times New Roman" w:cs="Times New Roman" w:eastAsia="Times New Roman" w:hint="default"/>
          <w:spacing w:val="-2"/>
        </w:rPr>
        <w:t>”</w:t>
      </w:r>
      <w:r>
        <w:rPr>
          <w:spacing w:val="-2"/>
        </w:rPr>
        <w:t>）通过协议受让公司原控股股东天伦控股有限公</w:t>
      </w:r>
      <w:r>
        <w:rPr/>
        <w:t> 司持有的黑龙江天伦置业股份有限公司</w:t>
      </w:r>
      <w:r>
        <w:rPr>
          <w:rFonts w:ascii="Times New Roman" w:hAnsi="Times New Roman" w:cs="Times New Roman" w:eastAsia="Times New Roman" w:hint="default"/>
        </w:rPr>
        <w:t>3000</w:t>
      </w:r>
      <w:r>
        <w:rPr/>
        <w:t>万的股份（占公司总股本比例为</w:t>
      </w:r>
      <w:r>
        <w:rPr>
          <w:rFonts w:ascii="Times New Roman" w:hAnsi="Times New Roman" w:cs="Times New Roman" w:eastAsia="Times New Roman" w:hint="default"/>
        </w:rPr>
        <w:t>18.65%</w:t>
      </w:r>
      <w:r>
        <w:rPr/>
        <w:t>），并于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rFonts w:ascii="Times New Roman" w:hAnsi="Times New Roman" w:cs="Times New Roman" w:eastAsia="Times New Roman" w:hint="default"/>
          <w:spacing w:val="6"/>
        </w:rPr>
        <w:t> </w:t>
      </w:r>
      <w:r>
        <w:rPr/>
        <w:t>日在中国证券登记结算有限责任公司深圳分公司办理完成过户手续，成为公司的第一大股东。</w:t>
      </w:r>
    </w:p>
    <w:p>
      <w:pPr>
        <w:spacing w:line="240" w:lineRule="auto" w:before="3"/>
        <w:rPr>
          <w:rFonts w:ascii="宋体" w:hAnsi="宋体" w:cs="宋体" w:eastAsia="宋体" w:hint="default"/>
          <w:sz w:val="18"/>
          <w:szCs w:val="18"/>
        </w:rPr>
      </w:pPr>
    </w:p>
    <w:p>
      <w:pPr>
        <w:pStyle w:val="BodyText"/>
        <w:spacing w:line="264" w:lineRule="auto"/>
        <w:ind w:right="1110" w:firstLine="406"/>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日，本公司召开</w:t>
      </w:r>
      <w:r>
        <w:rPr>
          <w:rFonts w:ascii="Times New Roman" w:hAnsi="Times New Roman" w:cs="Times New Roman" w:eastAsia="Times New Roman" w:hint="default"/>
        </w:rPr>
        <w:t>2016</w:t>
      </w:r>
      <w:r>
        <w:rPr/>
        <w:t>年第二次临时股东大会，决议通过的《关于本次发行股份及支付现金 </w:t>
      </w:r>
      <w:r>
        <w:rPr>
          <w:spacing w:val="-1"/>
        </w:rPr>
        <w:t>购买资产并募集配套资金暨关联交易方案的议案》及《关于修订公司章程的议案》，并经中国证券监督管</w:t>
      </w:r>
      <w:r>
        <w:rPr>
          <w:spacing w:val="-91"/>
        </w:rPr>
        <w:t> </w:t>
      </w:r>
      <w:r>
        <w:rPr>
          <w:spacing w:val="-91"/>
        </w:rPr>
      </w:r>
      <w:r>
        <w:rPr/>
        <w:t>理委员会《关于核准黑龙江京蓝科技股份有限公司向乌力吉等发行股份购买资产并募集配套资金的批复》</w:t>
      </w:r>
    </w:p>
    <w:p>
      <w:pPr>
        <w:pStyle w:val="BodyText"/>
        <w:spacing w:line="261" w:lineRule="auto" w:before="16"/>
        <w:ind w:right="1023"/>
        <w:jc w:val="left"/>
      </w:pPr>
      <w:r>
        <w:rPr/>
        <w:t>（证监许可【</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2184</w:t>
      </w:r>
      <w:r>
        <w:rPr/>
        <w:t>号）文件核准，公司采用非公开发行股票方式，分别向乌力吉发行</w:t>
      </w:r>
      <w:r>
        <w:rPr>
          <w:rFonts w:ascii="Times New Roman" w:hAnsi="Times New Roman" w:cs="Times New Roman" w:eastAsia="Times New Roman" w:hint="default"/>
        </w:rPr>
        <w:t>2,408.95</w:t>
      </w:r>
      <w:r>
        <w:rPr/>
        <w:t>万股</w:t>
      </w:r>
      <w:r>
        <w:rPr>
          <w:spacing w:val="-29"/>
        </w:rPr>
        <w:t> </w:t>
      </w:r>
      <w:r>
        <w:rPr/>
        <w:t>股份并支付现金</w:t>
      </w:r>
      <w:r>
        <w:rPr>
          <w:rFonts w:ascii="Times New Roman" w:hAnsi="Times New Roman" w:cs="Times New Roman" w:eastAsia="Times New Roman" w:hint="default"/>
        </w:rPr>
        <w:t>47,300.00</w:t>
      </w:r>
      <w:r>
        <w:rPr/>
        <w:t>万元、向北京杨树蓝天投资中心（有限合伙）发行</w:t>
      </w:r>
      <w:r>
        <w:rPr>
          <w:rFonts w:ascii="Times New Roman" w:hAnsi="Times New Roman" w:cs="Times New Roman" w:eastAsia="Times New Roman" w:hint="default"/>
        </w:rPr>
        <w:t>2,534.11</w:t>
      </w:r>
      <w:r>
        <w:rPr/>
        <w:t>万股股份，向融通资</w:t>
      </w:r>
      <w:r>
        <w:rPr>
          <w:spacing w:val="-33"/>
        </w:rPr>
        <w:t> </w:t>
      </w:r>
      <w:r>
        <w:rPr>
          <w:spacing w:val="-33"/>
        </w:rPr>
      </w:r>
      <w:r>
        <w:rPr>
          <w:spacing w:val="-6"/>
        </w:rPr>
        <w:t>本（固安）投资管理有限公司发行</w:t>
      </w:r>
      <w:r>
        <w:rPr>
          <w:rFonts w:ascii="Times New Roman" w:hAnsi="Times New Roman" w:cs="Times New Roman" w:eastAsia="Times New Roman" w:hint="default"/>
          <w:spacing w:val="-6"/>
        </w:rPr>
        <w:t>1,251.56</w:t>
      </w:r>
      <w:r>
        <w:rPr>
          <w:spacing w:val="-6"/>
        </w:rPr>
        <w:t>万股股份、向北京科桥嘉永创业投资中心（有限合伙）发行</w:t>
      </w:r>
      <w:r>
        <w:rPr>
          <w:rFonts w:ascii="Times New Roman" w:hAnsi="Times New Roman" w:cs="Times New Roman" w:eastAsia="Times New Roman" w:hint="default"/>
          <w:spacing w:val="-6"/>
        </w:rPr>
        <w:t>782.85</w:t>
      </w:r>
      <w:r>
        <w:rPr>
          <w:rFonts w:ascii="Times New Roman" w:hAnsi="Times New Roman" w:cs="Times New Roman" w:eastAsia="Times New Roman" w:hint="default"/>
          <w:spacing w:val="-16"/>
        </w:rPr>
        <w:t> </w:t>
      </w:r>
      <w:r>
        <w:rPr/>
        <w:t>万股份购买上述投资人合计持有的京蓝沐禾节水装备有限公司（原名：内蒙古沐禾金土地节水工程设备有 限公司）</w:t>
      </w:r>
      <w:r>
        <w:rPr>
          <w:rFonts w:ascii="Times New Roman" w:hAnsi="Times New Roman" w:cs="Times New Roman" w:eastAsia="Times New Roman" w:hint="default"/>
        </w:rPr>
        <w:t>100%</w:t>
      </w:r>
      <w:r>
        <w:rPr/>
        <w:t>股权，上述交易合计发行股份</w:t>
      </w:r>
      <w:r>
        <w:rPr>
          <w:rFonts w:ascii="Times New Roman" w:hAnsi="Times New Roman" w:cs="Times New Roman" w:eastAsia="Times New Roman" w:hint="default"/>
        </w:rPr>
        <w:t>6,977.47</w:t>
      </w:r>
      <w:r>
        <w:rPr/>
        <w:t>万股，并支付现金</w:t>
      </w:r>
      <w:r>
        <w:rPr>
          <w:rFonts w:ascii="Times New Roman" w:hAnsi="Times New Roman" w:cs="Times New Roman" w:eastAsia="Times New Roman" w:hint="default"/>
        </w:rPr>
        <w:t>47,300.00</w:t>
      </w:r>
      <w:r>
        <w:rPr/>
        <w:t>万元；同时本公司向北京</w:t>
      </w:r>
      <w:r>
        <w:rPr>
          <w:spacing w:val="-100"/>
        </w:rPr>
        <w:t> </w:t>
      </w:r>
      <w:r>
        <w:rPr>
          <w:spacing w:val="-100"/>
        </w:rPr>
      </w:r>
      <w:r>
        <w:rPr/>
        <w:t>杨树蓝天投资中心（有限合伙）、北京杨树嘉业投资中心（有限合伙）、朗森汽车产业园开发有限公司、 </w:t>
      </w:r>
      <w:r>
        <w:rPr>
          <w:spacing w:val="-1"/>
        </w:rPr>
        <w:t>张家港保税区京蓝智享资产管理合伙企业（有限合伙）非公开发行不超过</w:t>
      </w:r>
      <w:r>
        <w:rPr>
          <w:rFonts w:ascii="Times New Roman" w:hAnsi="Times New Roman" w:cs="Times New Roman" w:eastAsia="Times New Roman" w:hint="default"/>
          <w:spacing w:val="-1"/>
        </w:rPr>
        <w:t>9,492.14</w:t>
      </w:r>
      <w:r>
        <w:rPr>
          <w:spacing w:val="-1"/>
        </w:rPr>
        <w:t>万股股份募集配套资金，</w:t>
      </w:r>
      <w:r>
        <w:rPr>
          <w:spacing w:val="-83"/>
        </w:rPr>
        <w:t> </w:t>
      </w:r>
      <w:r>
        <w:rPr>
          <w:spacing w:val="4"/>
        </w:rPr>
        <w:t>募集配套资金总额不超过</w:t>
      </w:r>
      <w:r>
        <w:rPr>
          <w:rFonts w:ascii="Times New Roman" w:hAnsi="Times New Roman" w:cs="Times New Roman" w:eastAsia="Times New Roman" w:hint="default"/>
          <w:spacing w:val="4"/>
        </w:rPr>
        <w:t>157,000.00</w:t>
      </w:r>
      <w:r>
        <w:rPr>
          <w:spacing w:val="4"/>
        </w:rPr>
        <w:t>万元，截至</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日，公司已完成上述交易，公司新增股份</w:t>
      </w:r>
      <w:r>
        <w:rPr>
          <w:spacing w:val="-66"/>
        </w:rPr>
        <w:t> </w:t>
      </w:r>
      <w:r>
        <w:rPr>
          <w:spacing w:val="-66"/>
        </w:rPr>
      </w:r>
      <w:r>
        <w:rPr>
          <w:rFonts w:ascii="Times New Roman" w:hAnsi="Times New Roman" w:cs="Times New Roman" w:eastAsia="Times New Roman" w:hint="default"/>
        </w:rPr>
        <w:t>16,469.61</w:t>
      </w:r>
      <w:r>
        <w:rPr>
          <w:rFonts w:ascii="Times New Roman" w:hAnsi="Times New Roman" w:cs="Times New Roman" w:eastAsia="Times New Roman" w:hint="default"/>
          <w:spacing w:val="-11"/>
        </w:rPr>
        <w:t> </w:t>
      </w:r>
      <w:r>
        <w:rPr>
          <w:spacing w:val="30"/>
        </w:rPr>
        <w:t>万股已完</w:t>
      </w:r>
      <w:r>
        <w:rPr>
          <w:spacing w:val="-65"/>
        </w:rPr>
        <w:t> </w:t>
      </w:r>
      <w:r>
        <w:rPr/>
        <w:t>成</w:t>
      </w:r>
      <w:r>
        <w:rPr>
          <w:spacing w:val="-64"/>
        </w:rPr>
        <w:t> </w:t>
      </w:r>
      <w:r>
        <w:rPr/>
        <w:t>工</w:t>
      </w:r>
      <w:r>
        <w:rPr>
          <w:spacing w:val="-65"/>
        </w:rPr>
        <w:t> </w:t>
      </w:r>
      <w:r>
        <w:rPr/>
        <w:t>商</w:t>
      </w:r>
      <w:r>
        <w:rPr>
          <w:spacing w:val="-65"/>
        </w:rPr>
        <w:t> </w:t>
      </w:r>
      <w:r>
        <w:rPr/>
        <w:t>变</w:t>
      </w:r>
      <w:r>
        <w:rPr>
          <w:spacing w:val="-65"/>
        </w:rPr>
        <w:t> </w:t>
      </w:r>
      <w:r>
        <w:rPr/>
        <w:t>更</w:t>
      </w:r>
      <w:r>
        <w:rPr>
          <w:spacing w:val="-64"/>
        </w:rPr>
        <w:t> </w:t>
      </w:r>
      <w:r>
        <w:rPr/>
        <w:t>登</w:t>
      </w:r>
      <w:r>
        <w:rPr>
          <w:spacing w:val="-65"/>
        </w:rPr>
        <w:t> </w:t>
      </w:r>
      <w:r>
        <w:rPr/>
        <w:t>记</w:t>
      </w:r>
      <w:r>
        <w:rPr>
          <w:spacing w:val="-65"/>
        </w:rPr>
        <w:t> </w:t>
      </w:r>
      <w:r>
        <w:rPr/>
        <w:t>并</w:t>
      </w:r>
      <w:r>
        <w:rPr>
          <w:spacing w:val="-65"/>
        </w:rPr>
        <w:t> </w:t>
      </w:r>
      <w:r>
        <w:rPr/>
        <w:t>经</w:t>
      </w:r>
      <w:r>
        <w:rPr>
          <w:spacing w:val="-64"/>
        </w:rPr>
        <w:t> </w:t>
      </w:r>
      <w:r>
        <w:rPr/>
        <w:t>信</w:t>
      </w:r>
      <w:r>
        <w:rPr>
          <w:spacing w:val="-65"/>
        </w:rPr>
        <w:t> </w:t>
      </w:r>
      <w:r>
        <w:rPr/>
        <w:t>永</w:t>
      </w:r>
      <w:r>
        <w:rPr>
          <w:spacing w:val="-65"/>
        </w:rPr>
        <w:t> </w:t>
      </w:r>
      <w:r>
        <w:rPr/>
        <w:t>中</w:t>
      </w:r>
      <w:r>
        <w:rPr>
          <w:spacing w:val="-65"/>
        </w:rPr>
        <w:t> </w:t>
      </w:r>
      <w:r>
        <w:rPr/>
        <w:t>和</w:t>
      </w:r>
      <w:r>
        <w:rPr>
          <w:spacing w:val="-64"/>
        </w:rPr>
        <w:t> </w:t>
      </w:r>
      <w:r>
        <w:rPr/>
        <w:t>会</w:t>
      </w:r>
      <w:r>
        <w:rPr>
          <w:spacing w:val="-65"/>
        </w:rPr>
        <w:t> </w:t>
      </w:r>
      <w:r>
        <w:rPr/>
        <w:t>计</w:t>
      </w:r>
      <w:r>
        <w:rPr>
          <w:spacing w:val="-65"/>
        </w:rPr>
        <w:t> </w:t>
      </w:r>
      <w:r>
        <w:rPr/>
        <w:t>师</w:t>
      </w:r>
      <w:r>
        <w:rPr>
          <w:spacing w:val="-65"/>
        </w:rPr>
        <w:t> </w:t>
      </w:r>
      <w:r>
        <w:rPr/>
        <w:t>事</w:t>
      </w:r>
      <w:r>
        <w:rPr>
          <w:spacing w:val="-64"/>
        </w:rPr>
        <w:t> </w:t>
      </w:r>
      <w:r>
        <w:rPr/>
        <w:t>务</w:t>
      </w:r>
      <w:r>
        <w:rPr>
          <w:spacing w:val="-65"/>
        </w:rPr>
        <w:t> </w:t>
      </w:r>
      <w:r>
        <w:rPr/>
        <w:t>所</w:t>
      </w:r>
      <w:r>
        <w:rPr>
          <w:spacing w:val="-65"/>
        </w:rPr>
        <w:t> </w:t>
      </w:r>
      <w:r>
        <w:rPr/>
        <w:t>（</w:t>
      </w:r>
      <w:r>
        <w:rPr>
          <w:spacing w:val="-65"/>
        </w:rPr>
        <w:t> </w:t>
      </w:r>
      <w:r>
        <w:rPr/>
        <w:t>特</w:t>
      </w:r>
      <w:r>
        <w:rPr>
          <w:spacing w:val="-64"/>
        </w:rPr>
        <w:t> </w:t>
      </w:r>
      <w:r>
        <w:rPr/>
        <w:t>殊</w:t>
      </w:r>
      <w:r>
        <w:rPr>
          <w:spacing w:val="-65"/>
        </w:rPr>
        <w:t> </w:t>
      </w:r>
      <w:r>
        <w:rPr/>
        <w:t>普</w:t>
      </w:r>
      <w:r>
        <w:rPr>
          <w:spacing w:val="-65"/>
        </w:rPr>
        <w:t> </w:t>
      </w:r>
      <w:r>
        <w:rPr/>
        <w:t>通</w:t>
      </w:r>
      <w:r>
        <w:rPr>
          <w:spacing w:val="-65"/>
        </w:rPr>
        <w:t> </w:t>
      </w:r>
      <w:r>
        <w:rPr/>
        <w:t>合</w:t>
      </w:r>
      <w:r>
        <w:rPr>
          <w:spacing w:val="-64"/>
        </w:rPr>
        <w:t> </w:t>
      </w:r>
      <w:r>
        <w:rPr/>
        <w:t>伙</w:t>
      </w:r>
      <w:r>
        <w:rPr>
          <w:spacing w:val="-65"/>
        </w:rPr>
        <w:t> </w:t>
      </w:r>
      <w:r>
        <w:rPr/>
        <w:t>）</w:t>
      </w:r>
      <w:r>
        <w:rPr>
          <w:spacing w:val="-65"/>
        </w:rPr>
        <w:t> </w:t>
      </w:r>
      <w:r>
        <w:rPr/>
        <w:t>审</w:t>
      </w:r>
      <w:r>
        <w:rPr>
          <w:spacing w:val="-64"/>
        </w:rPr>
        <w:t> </w:t>
      </w:r>
      <w:r>
        <w:rPr/>
        <w:t>验</w:t>
      </w:r>
      <w:r>
        <w:rPr>
          <w:spacing w:val="-62"/>
        </w:rPr>
        <w:t> </w:t>
      </w:r>
      <w:r>
        <w:rPr/>
        <w:t>出</w:t>
      </w:r>
      <w:r>
        <w:rPr>
          <w:spacing w:val="-64"/>
        </w:rPr>
        <w:t> </w:t>
      </w:r>
      <w:r>
        <w:rPr/>
        <w:t>具</w:t>
      </w:r>
      <w:r>
        <w:rPr/>
        <w:t> </w:t>
      </w:r>
      <w:r>
        <w:rPr>
          <w:rFonts w:ascii="Times New Roman" w:hAnsi="Times New Roman" w:cs="Times New Roman" w:eastAsia="Times New Roman" w:hint="default"/>
          <w:spacing w:val="-2"/>
        </w:rPr>
        <w:t>XYZH/2016TJA10473</w:t>
      </w:r>
      <w:r>
        <w:rPr>
          <w:spacing w:val="-2"/>
        </w:rPr>
        <w:t>号验资报告，公司总股本变为</w:t>
      </w:r>
      <w:r>
        <w:rPr>
          <w:rFonts w:ascii="Times New Roman" w:hAnsi="Times New Roman" w:cs="Times New Roman" w:eastAsia="Times New Roman" w:hint="default"/>
          <w:spacing w:val="-2"/>
        </w:rPr>
        <w:t>32,559.45</w:t>
      </w:r>
      <w:r>
        <w:rPr>
          <w:spacing w:val="-2"/>
        </w:rPr>
        <w:t>万股。本次交易完成后，北京杨树蓝天投资中</w:t>
      </w:r>
      <w:r>
        <w:rPr>
          <w:spacing w:val="-76"/>
        </w:rPr>
        <w:t> </w:t>
      </w:r>
      <w:r>
        <w:rPr>
          <w:spacing w:val="-76"/>
        </w:rPr>
      </w:r>
      <w:r>
        <w:rPr/>
        <w:t>心（有限合伙）持有公司</w:t>
      </w:r>
      <w:r>
        <w:rPr>
          <w:rFonts w:ascii="Times New Roman" w:hAnsi="Times New Roman" w:cs="Times New Roman" w:eastAsia="Times New Roman" w:hint="default"/>
        </w:rPr>
        <w:t>6,463.97</w:t>
      </w:r>
      <w:r>
        <w:rPr/>
        <w:t>万股股份，占公司总股本的</w:t>
      </w:r>
      <w:r>
        <w:rPr>
          <w:rFonts w:ascii="Times New Roman" w:hAnsi="Times New Roman" w:cs="Times New Roman" w:eastAsia="Times New Roman" w:hint="default"/>
        </w:rPr>
        <w:t>19.85%</w:t>
      </w:r>
      <w:r>
        <w:rPr/>
        <w:t>，成为公司的控股股东。京蓝控股有</w:t>
      </w:r>
      <w:r>
        <w:rPr>
          <w:spacing w:val="-55"/>
        </w:rPr>
        <w:t> </w:t>
      </w:r>
      <w:r>
        <w:rPr>
          <w:spacing w:val="-55"/>
        </w:rPr>
      </w:r>
      <w:r>
        <w:rPr/>
        <w:t>限公司、北京杨树蓝天投资中心（有限合伙）、融通资本（固安）投资管理有限公司、北京杨树嘉业投资</w:t>
      </w:r>
      <w:r>
        <w:rPr>
          <w:w w:val="99"/>
        </w:rPr>
        <w:t> </w:t>
      </w:r>
      <w:r>
        <w:rPr/>
        <w:t>中心（有限合伙）、张家港保税区京蓝智享资产管理合伙企业（有限合伙）均受郭绍增控制，互为一致行</w:t>
      </w:r>
      <w:r>
        <w:rPr>
          <w:w w:val="99"/>
        </w:rPr>
        <w:t> </w:t>
      </w:r>
      <w:r>
        <w:rPr/>
        <w:t>动人，合计持有上市公司</w:t>
      </w:r>
      <w:r>
        <w:rPr>
          <w:rFonts w:ascii="Times New Roman" w:hAnsi="Times New Roman" w:cs="Times New Roman" w:eastAsia="Times New Roman" w:hint="default"/>
        </w:rPr>
        <w:t>15,068.62</w:t>
      </w:r>
      <w:r>
        <w:rPr/>
        <w:t>万股股份，占上市公司总股本的</w:t>
      </w:r>
      <w:r>
        <w:rPr>
          <w:rFonts w:ascii="Times New Roman" w:hAnsi="Times New Roman" w:cs="Times New Roman" w:eastAsia="Times New Roman" w:hint="default"/>
        </w:rPr>
        <w:t>46.28%</w:t>
      </w:r>
      <w:r>
        <w:rPr/>
        <w:t>。</w:t>
      </w:r>
    </w:p>
    <w:p>
      <w:pPr>
        <w:spacing w:line="240" w:lineRule="auto" w:before="7"/>
        <w:rPr>
          <w:rFonts w:ascii="宋体" w:hAnsi="宋体" w:cs="宋体" w:eastAsia="宋体" w:hint="default"/>
          <w:sz w:val="16"/>
          <w:szCs w:val="16"/>
        </w:rPr>
      </w:pPr>
    </w:p>
    <w:p>
      <w:pPr>
        <w:pStyle w:val="BodyText"/>
        <w:spacing w:line="240" w:lineRule="auto"/>
        <w:ind w:left="560"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6</w:t>
      </w:r>
      <w:r>
        <w:rPr/>
        <w:t>日召开</w:t>
      </w:r>
      <w:r>
        <w:rPr>
          <w:rFonts w:ascii="Times New Roman" w:hAnsi="Times New Roman" w:cs="Times New Roman" w:eastAsia="Times New Roman" w:hint="default"/>
        </w:rPr>
        <w:t>2016</w:t>
      </w:r>
      <w:r>
        <w:rPr/>
        <w:t>年年度股东大会审议通过了资本公积转增股本的方案，以</w:t>
      </w:r>
      <w:r>
        <w:rPr>
          <w:rFonts w:ascii="Times New Roman" w:hAnsi="Times New Roman" w:cs="Times New Roman" w:eastAsia="Times New Roman" w:hint="default"/>
        </w:rPr>
        <w:t>2016</w:t>
      </w:r>
      <w:r>
        <w:rPr/>
        <w:t>年末公司总股本</w:t>
      </w:r>
    </w:p>
    <w:p>
      <w:pPr>
        <w:pStyle w:val="BodyText"/>
        <w:spacing w:line="256" w:lineRule="auto" w:before="21"/>
        <w:ind w:right="0"/>
        <w:jc w:val="left"/>
      </w:pPr>
      <w:r>
        <w:rPr>
          <w:rFonts w:ascii="Times New Roman" w:hAnsi="Times New Roman" w:cs="Times New Roman" w:eastAsia="Times New Roman" w:hint="default"/>
          <w:spacing w:val="-1"/>
        </w:rPr>
        <w:t>32,559.45</w:t>
      </w:r>
      <w:r>
        <w:rPr>
          <w:spacing w:val="-1"/>
        </w:rPr>
        <w:t>万股为基数，以资本公积向全体股东每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股，共计转增</w:t>
      </w:r>
      <w:r>
        <w:rPr>
          <w:rFonts w:ascii="Times New Roman" w:hAnsi="Times New Roman" w:cs="Times New Roman" w:eastAsia="Times New Roman" w:hint="default"/>
          <w:spacing w:val="-1"/>
        </w:rPr>
        <w:t>32,559.45</w:t>
      </w:r>
      <w:r>
        <w:rPr>
          <w:spacing w:val="-1"/>
        </w:rPr>
        <w:t>万股，转增后公司总股</w:t>
      </w:r>
      <w:r>
        <w:rPr>
          <w:spacing w:val="-80"/>
        </w:rPr>
        <w:t> </w:t>
      </w:r>
      <w:r>
        <w:rPr>
          <w:spacing w:val="-80"/>
        </w:rPr>
      </w:r>
      <w:r>
        <w:rPr/>
        <w:t>本增加至</w:t>
      </w:r>
      <w:r>
        <w:rPr>
          <w:rFonts w:ascii="Times New Roman" w:hAnsi="Times New Roman" w:cs="Times New Roman" w:eastAsia="Times New Roman" w:hint="default"/>
        </w:rPr>
        <w:t>65,118.90</w:t>
      </w:r>
      <w:r>
        <w:rPr/>
        <w:t>万股。</w:t>
      </w:r>
    </w:p>
    <w:p>
      <w:pPr>
        <w:spacing w:line="240" w:lineRule="auto" w:before="12"/>
        <w:rPr>
          <w:rFonts w:ascii="宋体" w:hAnsi="宋体" w:cs="宋体" w:eastAsia="宋体" w:hint="default"/>
          <w:sz w:val="16"/>
          <w:szCs w:val="16"/>
        </w:rPr>
      </w:pPr>
    </w:p>
    <w:p>
      <w:pPr>
        <w:pStyle w:val="BodyText"/>
        <w:spacing w:line="264" w:lineRule="auto"/>
        <w:ind w:right="1135" w:firstLine="406"/>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日，本公司召开</w:t>
      </w:r>
      <w:r>
        <w:rPr>
          <w:rFonts w:ascii="Times New Roman" w:hAnsi="Times New Roman" w:cs="Times New Roman" w:eastAsia="Times New Roman" w:hint="default"/>
        </w:rPr>
        <w:t>2017</w:t>
      </w:r>
      <w:r>
        <w:rPr/>
        <w:t>年第二次临时股东大会，决议通过了本次发行股份及支付现金购买 </w:t>
      </w:r>
      <w:r>
        <w:rPr>
          <w:spacing w:val="-2"/>
        </w:rPr>
        <w:t>资产并募集配套资金暨关联交易草案的相关议案。并与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24</w:t>
      </w:r>
      <w:r>
        <w:rPr>
          <w:spacing w:val="-2"/>
        </w:rPr>
        <w:t>日取得中国证监会证监许可</w:t>
      </w:r>
      <w:r>
        <w:rPr>
          <w:rFonts w:ascii="Times New Roman" w:hAnsi="Times New Roman" w:cs="Times New Roman" w:eastAsia="Times New Roman" w:hint="default"/>
          <w:spacing w:val="-2"/>
        </w:rPr>
        <w:t>[2017]1172</w:t>
      </w:r>
      <w:r>
        <w:rPr>
          <w:rFonts w:ascii="Times New Roman" w:hAnsi="Times New Roman" w:cs="Times New Roman" w:eastAsia="Times New Roman" w:hint="default"/>
          <w:spacing w:val="-9"/>
        </w:rPr>
        <w:t> </w:t>
      </w:r>
      <w:r>
        <w:rPr>
          <w:spacing w:val="-1"/>
        </w:rPr>
        <w:t>号《关于核准京蓝科技股份有限公司向天津北方创业市政工程集团有限公司等发行股份购买资产并配套募</w:t>
      </w:r>
      <w:r>
        <w:rPr>
          <w:spacing w:val="-86"/>
        </w:rPr>
        <w:t> </w:t>
      </w:r>
      <w:r>
        <w:rPr>
          <w:spacing w:val="-86"/>
        </w:rPr>
      </w:r>
      <w:r>
        <w:rPr>
          <w:spacing w:val="-1"/>
        </w:rPr>
        <w:t>集资金的批复》，核准公司本次发行股份及支付现金购买资产并募集配套资金事宜。公司向特定对象非公</w:t>
      </w:r>
      <w:r>
        <w:rPr>
          <w:spacing w:val="-86"/>
        </w:rPr>
        <w:t> </w:t>
      </w:r>
      <w:r>
        <w:rPr>
          <w:spacing w:val="-86"/>
        </w:rPr>
      </w:r>
      <w:r>
        <w:rPr>
          <w:spacing w:val="-1"/>
        </w:rPr>
        <w:t>开发行股份及支付现金相结合的方式，向京蓝北方园林（天津）有限公司（原名：天津市北方创业园林股</w:t>
      </w:r>
    </w:p>
    <w:p>
      <w:pPr>
        <w:spacing w:after="0" w:line="264"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134"/>
        <w:jc w:val="both"/>
      </w:pPr>
      <w:r>
        <w:rPr>
          <w:spacing w:val="-1"/>
        </w:rPr>
        <w:t>份有限公司）</w:t>
      </w:r>
      <w:r>
        <w:rPr>
          <w:rFonts w:ascii="Times New Roman" w:hAnsi="Times New Roman" w:cs="Times New Roman" w:eastAsia="Times New Roman" w:hint="default"/>
          <w:spacing w:val="-1"/>
        </w:rPr>
        <w:t>55</w:t>
      </w:r>
      <w:r>
        <w:rPr>
          <w:spacing w:val="-1"/>
        </w:rPr>
        <w:t>名股东，即北方集团、高学刚等一致行动人购买其合计持有的北方园林</w:t>
      </w:r>
      <w:r>
        <w:rPr>
          <w:rFonts w:ascii="Times New Roman" w:hAnsi="Times New Roman" w:cs="Times New Roman" w:eastAsia="Times New Roman" w:hint="default"/>
          <w:spacing w:val="-1"/>
        </w:rPr>
        <w:t>90.11%</w:t>
      </w:r>
      <w:r>
        <w:rPr>
          <w:spacing w:val="-1"/>
        </w:rPr>
        <w:t>股份。上述</w:t>
      </w:r>
      <w:r>
        <w:rPr>
          <w:spacing w:val="-101"/>
        </w:rPr>
        <w:t> </w:t>
      </w:r>
      <w:r>
        <w:rPr>
          <w:spacing w:val="-101"/>
        </w:rPr>
      </w:r>
      <w:r>
        <w:rPr>
          <w:spacing w:val="-1"/>
        </w:rPr>
        <w:t>交易总对价为</w:t>
      </w:r>
      <w:r>
        <w:rPr>
          <w:rFonts w:ascii="Times New Roman" w:hAnsi="Times New Roman" w:cs="Times New Roman" w:eastAsia="Times New Roman" w:hint="default"/>
          <w:spacing w:val="-1"/>
        </w:rPr>
        <w:t>72,087.85</w:t>
      </w:r>
      <w:r>
        <w:rPr>
          <w:spacing w:val="-1"/>
        </w:rPr>
        <w:t>万元，其中，以京蓝科技新增股份支付的交易金额为</w:t>
      </w:r>
      <w:r>
        <w:rPr>
          <w:rFonts w:ascii="Times New Roman" w:hAnsi="Times New Roman" w:cs="Times New Roman" w:eastAsia="Times New Roman" w:hint="default"/>
          <w:spacing w:val="-1"/>
        </w:rPr>
        <w:t>52,933.09</w:t>
      </w:r>
      <w:r>
        <w:rPr>
          <w:spacing w:val="-1"/>
        </w:rPr>
        <w:t>万元；以现金支付的</w:t>
      </w:r>
      <w:r>
        <w:rPr>
          <w:spacing w:val="-80"/>
        </w:rPr>
        <w:t> </w:t>
      </w:r>
      <w:r>
        <w:rPr>
          <w:spacing w:val="-80"/>
        </w:rPr>
      </w:r>
      <w:r>
        <w:rPr>
          <w:spacing w:val="-3"/>
        </w:rPr>
        <w:t>交易金额为</w:t>
      </w:r>
      <w:r>
        <w:rPr>
          <w:rFonts w:ascii="Times New Roman" w:hAnsi="Times New Roman" w:cs="Times New Roman" w:eastAsia="Times New Roman" w:hint="default"/>
          <w:spacing w:val="-3"/>
        </w:rPr>
        <w:t>19,154.76</w:t>
      </w:r>
      <w:r>
        <w:rPr>
          <w:spacing w:val="-3"/>
        </w:rPr>
        <w:t>万元。同时本公司向半丁（厦门）资产管理合伙企业（有限合伙）非公开发行</w:t>
      </w:r>
      <w:r>
        <w:rPr>
          <w:rFonts w:ascii="Times New Roman" w:hAnsi="Times New Roman" w:cs="Times New Roman" w:eastAsia="Times New Roman" w:hint="default"/>
          <w:spacing w:val="-3"/>
        </w:rPr>
        <w:t>4,011.81</w:t>
      </w:r>
      <w:r>
        <w:rPr>
          <w:rFonts w:ascii="Times New Roman" w:hAnsi="Times New Roman" w:cs="Times New Roman" w:eastAsia="Times New Roman" w:hint="default"/>
          <w:spacing w:val="-21"/>
        </w:rPr>
        <w:t> </w:t>
      </w:r>
      <w:r>
        <w:rPr>
          <w:spacing w:val="-3"/>
        </w:rPr>
        <w:t>万股，共募集配套资金</w:t>
      </w:r>
      <w:r>
        <w:rPr>
          <w:rFonts w:ascii="Times New Roman" w:hAnsi="Times New Roman" w:cs="Times New Roman" w:eastAsia="Times New Roman" w:hint="default"/>
          <w:spacing w:val="-3"/>
        </w:rPr>
        <w:t>50,949.90</w:t>
      </w:r>
      <w:r>
        <w:rPr>
          <w:spacing w:val="-3"/>
        </w:rPr>
        <w:t>万元。截至</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日，公司已完成上述交易，公司新增股份</w:t>
      </w:r>
      <w:r>
        <w:rPr>
          <w:rFonts w:ascii="Times New Roman" w:hAnsi="Times New Roman" w:cs="Times New Roman" w:eastAsia="Times New Roman" w:hint="default"/>
          <w:spacing w:val="-3"/>
        </w:rPr>
        <w:t>7,935.69</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spacing w:val="-2"/>
        </w:rPr>
        <w:t>万股已完成工商变更登记并经信永中和会计师事务所（特殊普通合伙）审验出具</w:t>
      </w:r>
      <w:r>
        <w:rPr>
          <w:rFonts w:ascii="Times New Roman" w:hAnsi="Times New Roman" w:cs="Times New Roman" w:eastAsia="Times New Roman" w:hint="default"/>
          <w:spacing w:val="-2"/>
        </w:rPr>
        <w:t>XYZH/2017TJA20094</w:t>
      </w:r>
      <w:r>
        <w:rPr>
          <w:spacing w:val="-2"/>
        </w:rPr>
        <w:t>号验</w:t>
      </w:r>
      <w:r>
        <w:rPr>
          <w:spacing w:val="-82"/>
        </w:rPr>
        <w:t> </w:t>
      </w:r>
      <w:r>
        <w:rPr/>
        <w:t>资报告，公司总股本变为</w:t>
      </w:r>
      <w:r>
        <w:rPr>
          <w:rFonts w:ascii="Times New Roman" w:hAnsi="Times New Roman" w:cs="Times New Roman" w:eastAsia="Times New Roman" w:hint="default"/>
        </w:rPr>
        <w:t>73,054.59</w:t>
      </w:r>
      <w:r>
        <w:rPr/>
        <w:t>万股。</w:t>
      </w:r>
    </w:p>
    <w:p>
      <w:pPr>
        <w:spacing w:line="240" w:lineRule="auto" w:before="12"/>
        <w:rPr>
          <w:rFonts w:ascii="宋体" w:hAnsi="宋体" w:cs="宋体" w:eastAsia="宋体" w:hint="default"/>
          <w:sz w:val="16"/>
          <w:szCs w:val="16"/>
        </w:rPr>
      </w:pPr>
    </w:p>
    <w:p>
      <w:pPr>
        <w:pStyle w:val="BodyText"/>
        <w:spacing w:line="256" w:lineRule="auto"/>
        <w:ind w:right="1134" w:firstLine="406"/>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日本公司召开</w:t>
      </w:r>
      <w:r>
        <w:rPr>
          <w:rFonts w:ascii="Times New Roman" w:hAnsi="Times New Roman" w:cs="Times New Roman" w:eastAsia="Times New Roman" w:hint="default"/>
        </w:rPr>
        <w:t>2017</w:t>
      </w:r>
      <w:r>
        <w:rPr/>
        <w:t>年年度股东大会，审议通过了公司</w:t>
      </w:r>
      <w:r>
        <w:rPr>
          <w:rFonts w:ascii="Times New Roman" w:hAnsi="Times New Roman" w:cs="Times New Roman" w:eastAsia="Times New Roman" w:hint="default"/>
        </w:rPr>
        <w:t>2017</w:t>
      </w:r>
      <w:r>
        <w:rPr/>
        <w:t>年度利润分配及资本公积金转 </w:t>
      </w:r>
      <w:r>
        <w:rPr>
          <w:spacing w:val="-1"/>
        </w:rPr>
        <w:t>增股本方案，该方案具体内容为：以</w:t>
      </w:r>
      <w:r>
        <w:rPr>
          <w:rFonts w:ascii="Times New Roman" w:hAnsi="Times New Roman" w:cs="Times New Roman" w:eastAsia="Times New Roman" w:hint="default"/>
          <w:spacing w:val="-1"/>
        </w:rPr>
        <w:t>2017</w:t>
      </w:r>
      <w:r>
        <w:rPr>
          <w:spacing w:val="-1"/>
        </w:rPr>
        <w:t>年末公司总股本</w:t>
      </w:r>
      <w:r>
        <w:rPr>
          <w:rFonts w:ascii="Times New Roman" w:hAnsi="Times New Roman" w:cs="Times New Roman" w:eastAsia="Times New Roman" w:hint="default"/>
          <w:spacing w:val="-1"/>
        </w:rPr>
        <w:t>730,545,885</w:t>
      </w:r>
      <w:r>
        <w:rPr>
          <w:spacing w:val="-1"/>
        </w:rPr>
        <w:t>股为基数，以资本公积向全体股东每</w:t>
      </w:r>
      <w:r>
        <w:rPr>
          <w:spacing w:val="-82"/>
        </w:rPr>
        <w:t> </w:t>
      </w:r>
      <w:r>
        <w:rPr>
          <w:spacing w:val="-82"/>
        </w:rPr>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股，共计转增</w:t>
      </w:r>
      <w:r>
        <w:rPr>
          <w:rFonts w:ascii="Times New Roman" w:hAnsi="Times New Roman" w:cs="Times New Roman" w:eastAsia="Times New Roman" w:hint="default"/>
        </w:rPr>
        <w:t>146,109,177</w:t>
      </w:r>
      <w:r>
        <w:rPr/>
        <w:t>股，转增后公司总股本增加至</w:t>
      </w:r>
      <w:r>
        <w:rPr>
          <w:rFonts w:ascii="Times New Roman" w:hAnsi="Times New Roman" w:cs="Times New Roman" w:eastAsia="Times New Roman" w:hint="default"/>
        </w:rPr>
        <w:t>876,655,062</w:t>
      </w:r>
      <w:r>
        <w:rPr/>
        <w:t>股。</w:t>
      </w:r>
    </w:p>
    <w:p>
      <w:pPr>
        <w:spacing w:line="240" w:lineRule="auto" w:before="12"/>
        <w:rPr>
          <w:rFonts w:ascii="宋体" w:hAnsi="宋体" w:cs="宋体" w:eastAsia="宋体" w:hint="default"/>
          <w:sz w:val="16"/>
          <w:szCs w:val="16"/>
        </w:rPr>
      </w:pPr>
    </w:p>
    <w:p>
      <w:pPr>
        <w:pStyle w:val="BodyText"/>
        <w:spacing w:line="453" w:lineRule="auto"/>
        <w:ind w:left="524" w:right="7616" w:firstLine="36"/>
        <w:jc w:val="left"/>
      </w:pPr>
      <w:r>
        <w:rPr/>
        <w:t>郭绍增为本公司实际控制人。 </w:t>
      </w:r>
      <w:r>
        <w:rPr>
          <w:rFonts w:ascii="Times New Roman" w:hAnsi="Times New Roman" w:cs="Times New Roman" w:eastAsia="Times New Roman" w:hint="default"/>
        </w:rPr>
        <w:t>2.</w:t>
      </w:r>
      <w:r>
        <w:rPr/>
        <w:t>公司类型： 股份有限公司（上市） </w:t>
      </w:r>
      <w:r>
        <w:rPr>
          <w:rFonts w:ascii="Times New Roman" w:hAnsi="Times New Roman" w:cs="Times New Roman" w:eastAsia="Times New Roman" w:hint="default"/>
        </w:rPr>
        <w:t>3.</w:t>
      </w:r>
      <w:r>
        <w:rPr/>
        <w:t>公司经营范围及主要产品：</w:t>
      </w:r>
    </w:p>
    <w:p>
      <w:pPr>
        <w:pStyle w:val="BodyText"/>
        <w:spacing w:line="273" w:lineRule="auto" w:before="30"/>
        <w:ind w:right="1129" w:firstLine="370"/>
        <w:jc w:val="both"/>
      </w:pPr>
      <w:r>
        <w:rPr/>
        <w:t>生态功能保护区管理服务；节水管理与技术咨询服务；农业技术开发及技术咨询、技术转让、技术服 </w:t>
      </w:r>
      <w:r>
        <w:rPr>
          <w:spacing w:val="-1"/>
        </w:rPr>
        <w:t>务；信息技术咨询服务；计算机软硬件开发、系统集成及技术开发、技术咨询、技术转让、技术服务；以</w:t>
      </w:r>
      <w:r>
        <w:rPr>
          <w:spacing w:val="-85"/>
        </w:rPr>
        <w:t> </w:t>
      </w:r>
      <w:r>
        <w:rPr>
          <w:spacing w:val="-85"/>
        </w:rPr>
      </w:r>
      <w:r>
        <w:rPr>
          <w:spacing w:val="-1"/>
        </w:rPr>
        <w:t>自有资金对农业、科技行业、能源行业进行投资；开发、销售：网络设备、计算机软硬件、通讯产品、电</w:t>
      </w:r>
      <w:r>
        <w:rPr>
          <w:spacing w:val="-84"/>
        </w:rPr>
        <w:t> </w:t>
      </w:r>
      <w:r>
        <w:rPr>
          <w:spacing w:val="-84"/>
        </w:rPr>
      </w:r>
      <w:r>
        <w:rPr/>
        <w:t>子产品、数码产品。（依法须经批准的项目，经相关部门批准后方可开展经营活动）</w:t>
      </w:r>
    </w:p>
    <w:p>
      <w:pPr>
        <w:pStyle w:val="BodyText"/>
        <w:spacing w:line="528" w:lineRule="exact" w:before="47"/>
        <w:ind w:left="524" w:right="1127"/>
        <w:jc w:val="left"/>
        <w:rPr>
          <w:rFonts w:ascii="Times New Roman" w:hAnsi="Times New Roman" w:cs="Times New Roman" w:eastAsia="Times New Roman" w:hint="default"/>
        </w:rPr>
      </w:pPr>
      <w:r>
        <w:rPr>
          <w:rFonts w:ascii="Times New Roman" w:hAnsi="Times New Roman" w:cs="Times New Roman" w:eastAsia="Times New Roman" w:hint="default"/>
        </w:rPr>
        <w:t>4.</w:t>
      </w:r>
      <w:r>
        <w:rPr/>
        <w:t>公司注册地及总部地址： </w:t>
      </w:r>
      <w:r>
        <w:rPr>
          <w:spacing w:val="-2"/>
        </w:rPr>
        <w:t>公司注册地为黑龙江省哈尔滨市南岗区经济技术开发区，公司总部地址：北京市朝阳区望京中环南路</w:t>
      </w:r>
      <w:r>
        <w:rPr>
          <w:rFonts w:ascii="Times New Roman" w:hAnsi="Times New Roman" w:cs="Times New Roman" w:eastAsia="Times New Roman" w:hint="default"/>
          <w:spacing w:val="-2"/>
        </w:rPr>
        <w:t>7</w:t>
      </w:r>
    </w:p>
    <w:p>
      <w:pPr>
        <w:pStyle w:val="BodyText"/>
        <w:spacing w:line="252" w:lineRule="exact"/>
        <w:ind w:right="0"/>
        <w:jc w:val="both"/>
      </w:pPr>
      <w:r>
        <w:rPr/>
        <w:t>号</w:t>
      </w:r>
      <w:r>
        <w:rPr>
          <w:rFonts w:ascii="Times New Roman" w:hAnsi="Times New Roman" w:cs="Times New Roman" w:eastAsia="Times New Roman" w:hint="default"/>
        </w:rPr>
        <w:t>7</w:t>
      </w:r>
      <w:r>
        <w:rPr/>
        <w:t>栋</w:t>
      </w:r>
      <w:r>
        <w:rPr>
          <w:rFonts w:ascii="Times New Roman" w:hAnsi="Times New Roman" w:cs="Times New Roman" w:eastAsia="Times New Roman" w:hint="default"/>
        </w:rPr>
        <w:t>E</w:t>
      </w:r>
      <w:r>
        <w:rPr/>
        <w:t>楼。</w:t>
      </w:r>
    </w:p>
    <w:p>
      <w:pPr>
        <w:pStyle w:val="BodyText"/>
        <w:spacing w:line="510" w:lineRule="atLeast" w:before="18"/>
        <w:ind w:left="524" w:right="0"/>
        <w:jc w:val="left"/>
      </w:pPr>
      <w:r>
        <w:rPr>
          <w:rFonts w:ascii="Times New Roman" w:hAnsi="Times New Roman" w:cs="Times New Roman" w:eastAsia="Times New Roman" w:hint="default"/>
        </w:rPr>
        <w:t>5.</w:t>
      </w:r>
      <w:r>
        <w:rPr/>
        <w:t>公司的基本组织架构： 公司已根据《公司法》和公司章程的相关规定，设置了股东大会、董事会、监事会、总经理等组织机</w:t>
      </w:r>
    </w:p>
    <w:p>
      <w:pPr>
        <w:pStyle w:val="BodyText"/>
        <w:spacing w:line="273" w:lineRule="auto" w:before="37"/>
        <w:ind w:right="1131"/>
        <w:jc w:val="both"/>
      </w:pPr>
      <w:r>
        <w:rPr>
          <w:spacing w:val="-1"/>
        </w:rPr>
        <w:t>构。股东大会是公司的最高权力机构；董事会负责执行股东大会决议及公司日常管理经营的决策，并向股</w:t>
      </w:r>
      <w:r>
        <w:rPr>
          <w:spacing w:val="-83"/>
        </w:rPr>
        <w:t> </w:t>
      </w:r>
      <w:r>
        <w:rPr>
          <w:spacing w:val="-83"/>
        </w:rPr>
      </w:r>
      <w:r>
        <w:rPr/>
        <w:t>东大会负责；总经理负责公司的日常经营管理事务。</w:t>
      </w:r>
    </w:p>
    <w:p>
      <w:pPr>
        <w:spacing w:line="240" w:lineRule="auto" w:before="1"/>
        <w:rPr>
          <w:rFonts w:ascii="宋体" w:hAnsi="宋体" w:cs="宋体" w:eastAsia="宋体" w:hint="default"/>
          <w:sz w:val="17"/>
          <w:szCs w:val="17"/>
        </w:rPr>
      </w:pPr>
    </w:p>
    <w:p>
      <w:pPr>
        <w:pStyle w:val="BodyText"/>
        <w:spacing w:line="460" w:lineRule="auto"/>
        <w:ind w:left="524" w:right="1667"/>
        <w:jc w:val="left"/>
      </w:pPr>
      <w:r>
        <w:rPr/>
        <w:t>（二）财务报告的批准报出者和财务报告批准报出日 本财务报表及财务报表附注经本公司第九届董事会第九次会议同意于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日批准通过。</w:t>
      </w:r>
    </w:p>
    <w:p>
      <w:pPr>
        <w:spacing w:line="240" w:lineRule="auto" w:before="8"/>
        <w:rPr>
          <w:rFonts w:ascii="宋体" w:hAnsi="宋体" w:cs="宋体" w:eastAsia="宋体" w:hint="default"/>
          <w:sz w:val="25"/>
          <w:szCs w:val="25"/>
        </w:rPr>
      </w:pPr>
    </w:p>
    <w:p>
      <w:pPr>
        <w:pStyle w:val="BodyText"/>
        <w:spacing w:line="240" w:lineRule="auto"/>
        <w:ind w:left="524" w:right="0"/>
        <w:jc w:val="left"/>
      </w:pPr>
      <w:r>
        <w:rPr/>
        <w:t>（三）本年度合并财务报表范围</w:t>
      </w:r>
    </w:p>
    <w:p>
      <w:pPr>
        <w:spacing w:line="240" w:lineRule="auto" w:before="4"/>
        <w:rPr>
          <w:rFonts w:ascii="宋体" w:hAnsi="宋体" w:cs="宋体" w:eastAsia="宋体" w:hint="default"/>
          <w:sz w:val="21"/>
          <w:szCs w:val="21"/>
        </w:rPr>
      </w:pPr>
    </w:p>
    <w:p>
      <w:pPr>
        <w:spacing w:before="0"/>
        <w:ind w:left="732" w:right="0" w:firstLine="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年纳入合并范围的子公司共</w:t>
      </w:r>
      <w:r>
        <w:rPr>
          <w:rFonts w:ascii="Times New Roman" w:hAnsi="Times New Roman" w:cs="Times New Roman" w:eastAsia="Times New Roman" w:hint="default"/>
          <w:sz w:val="18"/>
          <w:szCs w:val="18"/>
        </w:rPr>
        <w:t>48</w:t>
      </w:r>
      <w:r>
        <w:rPr>
          <w:rFonts w:ascii="宋体" w:hAnsi="宋体" w:cs="宋体" w:eastAsia="宋体" w:hint="default"/>
          <w:sz w:val="18"/>
          <w:szCs w:val="18"/>
        </w:rPr>
        <w:t>户，较上期增加</w:t>
      </w:r>
      <w:r>
        <w:rPr>
          <w:rFonts w:ascii="Times New Roman" w:hAnsi="Times New Roman" w:cs="Times New Roman" w:eastAsia="Times New Roman" w:hint="default"/>
          <w:sz w:val="18"/>
          <w:szCs w:val="18"/>
        </w:rPr>
        <w:t>12</w:t>
      </w:r>
      <w:r>
        <w:rPr>
          <w:rFonts w:ascii="宋体" w:hAnsi="宋体" w:cs="宋体" w:eastAsia="宋体" w:hint="default"/>
          <w:sz w:val="18"/>
          <w:szCs w:val="18"/>
        </w:rPr>
        <w:t>户，减少</w:t>
      </w:r>
      <w:r>
        <w:rPr>
          <w:rFonts w:ascii="Times New Roman" w:hAnsi="Times New Roman" w:cs="Times New Roman" w:eastAsia="Times New Roman" w:hint="default"/>
          <w:sz w:val="18"/>
          <w:szCs w:val="18"/>
        </w:rPr>
        <w:t>3</w:t>
      </w:r>
      <w:r>
        <w:rPr>
          <w:rFonts w:ascii="宋体" w:hAnsi="宋体" w:cs="宋体" w:eastAsia="宋体" w:hint="default"/>
          <w:sz w:val="18"/>
          <w:szCs w:val="18"/>
        </w:rPr>
        <w:t>户。</w:t>
      </w:r>
    </w:p>
    <w:p>
      <w:pPr>
        <w:spacing w:line="240" w:lineRule="auto" w:before="2"/>
        <w:rPr>
          <w:rFonts w:ascii="宋体" w:hAnsi="宋体" w:cs="宋体" w:eastAsia="宋体" w:hint="default"/>
          <w:sz w:val="24"/>
          <w:szCs w:val="24"/>
        </w:rPr>
      </w:pPr>
    </w:p>
    <w:p>
      <w:pPr>
        <w:pStyle w:val="Heading2"/>
        <w:spacing w:line="240" w:lineRule="auto"/>
        <w:ind w:right="0"/>
        <w:jc w:val="both"/>
        <w:rPr>
          <w:b w:val="0"/>
          <w:bCs w:val="0"/>
        </w:rPr>
      </w:pPr>
      <w:bookmarkStart w:name="四、财务报表的编制基础" w:id="181"/>
      <w:bookmarkEnd w:id="181"/>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编制基础" w:id="182"/>
      <w:bookmarkEnd w:id="182"/>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27" w:right="0"/>
        <w:jc w:val="left"/>
      </w:pPr>
      <w:r>
        <w:rPr/>
        <w:t>本公司财务报表以持续经营假设为基础，根据实际发生的交易和事项，按照财政部于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132"/>
        <w:jc w:val="both"/>
      </w:pPr>
      <w:r>
        <w:rPr>
          <w:spacing w:val="-1"/>
        </w:rPr>
        <w:t>以后颁布的《企业会计准则</w:t>
      </w:r>
      <w:r>
        <w:rPr>
          <w:rFonts w:ascii="Times New Roman" w:hAnsi="Times New Roman" w:cs="Times New Roman" w:eastAsia="Times New Roman" w:hint="default"/>
          <w:spacing w:val="-1"/>
        </w:rPr>
        <w:t>——</w:t>
      </w:r>
      <w:r>
        <w:rPr>
          <w:spacing w:val="-1"/>
        </w:rPr>
        <w:t>基本准则》和各项具体会计准则、企业会计准则应用指南、企业会计准则</w:t>
      </w:r>
      <w:r>
        <w:rPr>
          <w:spacing w:val="-86"/>
        </w:rPr>
        <w:t> </w:t>
      </w:r>
      <w:r>
        <w:rPr>
          <w:spacing w:val="-86"/>
        </w:rPr>
      </w:r>
      <w:r>
        <w:rPr/>
        <w:t>解释及其他相关规定（以下合称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），以及中国证券监督管理委员会《公开发行证券的公司 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w:t>
      </w:r>
    </w:p>
    <w:p>
      <w:pPr>
        <w:spacing w:line="240" w:lineRule="auto" w:before="10"/>
        <w:rPr>
          <w:rFonts w:ascii="宋体" w:hAnsi="宋体" w:cs="宋体" w:eastAsia="宋体" w:hint="default"/>
          <w:sz w:val="18"/>
          <w:szCs w:val="18"/>
        </w:rPr>
      </w:pPr>
    </w:p>
    <w:p>
      <w:pPr>
        <w:pStyle w:val="BodyText"/>
        <w:spacing w:line="273" w:lineRule="auto"/>
        <w:ind w:right="1023" w:firstLine="373"/>
        <w:jc w:val="left"/>
      </w:pPr>
      <w:r>
        <w:rPr/>
        <w:t>根据企业会计准则的相关规定，本公司会计核算以权责发生制为基础。除某些金融工具和投资性房地 </w:t>
      </w:r>
      <w:r>
        <w:rPr>
          <w:spacing w:val="-3"/>
        </w:rPr>
        <w:t>产外，本财务报表均以历史成本为计量基础。持有待售的非流动资产，按公允价值减去预计费用后的金额，</w:t>
      </w:r>
      <w:r>
        <w:rPr>
          <w:spacing w:val="-90"/>
        </w:rPr>
        <w:t> </w:t>
      </w:r>
      <w:r>
        <w:rPr>
          <w:spacing w:val="-90"/>
        </w:rPr>
      </w:r>
      <w:r>
        <w:rPr/>
        <w:t>以及符合持有待售条件时的原账面价值，取两者孰低计价。资产如果发生减值，则按照相关规定计提相应</w:t>
      </w:r>
      <w:r>
        <w:rPr/>
        <w:t> 的减值准备。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4"/>
        <w:spacing w:line="240" w:lineRule="auto"/>
        <w:ind w:right="0"/>
        <w:jc w:val="both"/>
        <w:rPr>
          <w:b w:val="0"/>
          <w:bCs w:val="0"/>
        </w:rPr>
      </w:pPr>
      <w:bookmarkStart w:name="2、持续经营" w:id="183"/>
      <w:bookmarkEnd w:id="183"/>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27" w:right="0"/>
        <w:jc w:val="left"/>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2"/>
        <w:spacing w:line="240" w:lineRule="auto" w:before="155"/>
        <w:ind w:right="0"/>
        <w:jc w:val="both"/>
        <w:rPr>
          <w:b w:val="0"/>
          <w:bCs w:val="0"/>
        </w:rPr>
      </w:pPr>
      <w:bookmarkStart w:name="五、重要会计政策及会计估计" w:id="184"/>
      <w:bookmarkEnd w:id="184"/>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before="29"/>
        <w:ind w:left="154" w:right="0" w:firstLine="0"/>
        <w:jc w:val="both"/>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11"/>
        <w:rPr>
          <w:rFonts w:ascii="宋体" w:hAnsi="宋体" w:cs="宋体" w:eastAsia="宋体" w:hint="default"/>
          <w:sz w:val="15"/>
          <w:szCs w:val="15"/>
        </w:rPr>
      </w:pPr>
    </w:p>
    <w:p>
      <w:pPr>
        <w:pStyle w:val="BodyText"/>
        <w:spacing w:line="266" w:lineRule="auto"/>
        <w:ind w:right="1130" w:firstLine="420"/>
        <w:jc w:val="both"/>
      </w:pPr>
      <w:r>
        <w:rPr>
          <w:spacing w:val="-1"/>
        </w:rPr>
        <w:t>本公司财务报表以持续经营假设为基础，根据实际发生的交易和事项，按照财政部颁布的《企业会计</w:t>
      </w:r>
      <w:r>
        <w:rPr/>
        <w:t> </w:t>
      </w:r>
      <w:r>
        <w:rPr>
          <w:spacing w:val="-5"/>
        </w:rPr>
        <w:t>准则</w:t>
      </w:r>
      <w:r>
        <w:rPr>
          <w:rFonts w:ascii="Times New Roman" w:hAnsi="Times New Roman" w:cs="Times New Roman" w:eastAsia="Times New Roman" w:hint="default"/>
          <w:spacing w:val="-5"/>
        </w:rPr>
        <w:t>——</w:t>
      </w:r>
      <w:r>
        <w:rPr>
          <w:spacing w:val="-5"/>
        </w:rPr>
        <w:t>基本准则》和各项具体会计准则、企业会计准则应用指南、企业会计准则解释及其他相关规定（以</w:t>
      </w:r>
      <w:r>
        <w:rPr>
          <w:spacing w:val="-102"/>
        </w:rPr>
        <w:t> </w:t>
      </w:r>
      <w:r>
        <w:rPr>
          <w:spacing w:val="-102"/>
        </w:rPr>
      </w:r>
      <w:r>
        <w:rPr/>
        <w:t>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t>号</w:t>
      </w:r>
    </w:p>
    <w:p>
      <w:pPr>
        <w:pStyle w:val="BodyText"/>
        <w:spacing w:line="286" w:lineRule="exact"/>
        <w:ind w:right="0"/>
        <w:jc w:val="both"/>
      </w:pP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w:t>
      </w:r>
    </w:p>
    <w:p>
      <w:pPr>
        <w:pStyle w:val="BodyText"/>
        <w:spacing w:line="273" w:lineRule="auto" w:before="177"/>
        <w:ind w:right="0" w:firstLine="420"/>
        <w:jc w:val="left"/>
      </w:pPr>
      <w:r>
        <w:rPr>
          <w:spacing w:val="-1"/>
        </w:rPr>
        <w:t>根据企业会计准则的相关规定，本公司会计核算以权责发生制为基础。除某些金融工具外，本财务报</w:t>
      </w:r>
      <w:r>
        <w:rPr/>
        <w:t> 表均以历史成本为计量基础。资产如果发生减值，则按照相关规定计提相应的减值准备。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00" w:lineRule="auto" w:before="136"/>
        <w:ind w:left="154" w:right="0" w:firstLine="578"/>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15</w:t>
      </w:r>
      <w:r>
        <w:rPr>
          <w:rFonts w:ascii="宋体" w:hAnsi="宋体" w:cs="宋体" w:eastAsia="宋体" w:hint="default"/>
          <w:spacing w:val="-1"/>
          <w:sz w:val="18"/>
          <w:szCs w:val="18"/>
        </w:rPr>
        <w:t>日，财政部发布了《关于修订印发</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年度一般企业财务报表格式的通知》（财会〔</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15</w:t>
      </w:r>
      <w:r>
        <w:rPr>
          <w:rFonts w:ascii="宋体" w:hAnsi="宋体" w:cs="宋体" w:eastAsia="宋体" w:hint="default"/>
          <w:spacing w:val="-1"/>
          <w:sz w:val="18"/>
          <w:szCs w:val="18"/>
        </w:rPr>
        <w:t>号）。对</w:t>
      </w:r>
      <w:r>
        <w:rPr>
          <w:rFonts w:ascii="宋体" w:hAnsi="宋体" w:cs="宋体" w:eastAsia="宋体" w:hint="default"/>
          <w:sz w:val="18"/>
          <w:szCs w:val="18"/>
        </w:rPr>
        <w:t> 一般企业财务报表格式进行了修订，适用于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年度及以后期间的财务报表。</w:t>
      </w:r>
    </w:p>
    <w:p>
      <w:pPr>
        <w:spacing w:line="300" w:lineRule="auto" w:before="13"/>
        <w:ind w:left="154" w:right="1202" w:firstLine="650"/>
        <w:jc w:val="left"/>
        <w:rPr>
          <w:rFonts w:ascii="宋体" w:hAnsi="宋体" w:cs="宋体" w:eastAsia="宋体" w:hint="default"/>
          <w:sz w:val="18"/>
          <w:szCs w:val="18"/>
        </w:rPr>
      </w:pPr>
      <w:r>
        <w:rPr>
          <w:rFonts w:ascii="宋体" w:hAnsi="宋体" w:cs="宋体" w:eastAsia="宋体" w:hint="default"/>
          <w:sz w:val="18"/>
          <w:szCs w:val="18"/>
        </w:rPr>
        <w:t>上述因财政部颁布的会计准则及修订后的财务报表列报政策，公司应对会计政策进行变更。具体影响金额详见</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32 </w:t>
      </w:r>
      <w:r>
        <w:rPr>
          <w:rFonts w:ascii="宋体" w:hAnsi="宋体" w:cs="宋体" w:eastAsia="宋体" w:hint="default"/>
          <w:sz w:val="18"/>
          <w:szCs w:val="18"/>
        </w:rPr>
        <w:t>其他重要的会计政策和会计估计</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5"/>
          <w:szCs w:val="25"/>
        </w:rPr>
      </w:pPr>
    </w:p>
    <w:p>
      <w:pPr>
        <w:spacing w:line="610" w:lineRule="atLeast" w:before="0"/>
        <w:ind w:left="469" w:right="0" w:hanging="316"/>
        <w:jc w:val="left"/>
        <w:rPr>
          <w:rFonts w:ascii="宋体" w:hAnsi="宋体" w:cs="宋体" w:eastAsia="宋体" w:hint="default"/>
          <w:sz w:val="21"/>
          <w:szCs w:val="21"/>
        </w:rPr>
      </w:pPr>
      <w:bookmarkStart w:name="1、遵循企业会计准则的声明" w:id="185"/>
      <w:bookmarkEnd w:id="18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z w:val="21"/>
          <w:szCs w:val="21"/>
        </w:rPr>
        <w:t>本财务报表符合企业会计准则的要求，真实、完整地反映了本公司</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日的合并及公司财务</w:t>
      </w:r>
    </w:p>
    <w:p>
      <w:pPr>
        <w:pStyle w:val="BodyText"/>
        <w:spacing w:line="240" w:lineRule="auto" w:before="21"/>
        <w:ind w:right="0"/>
        <w:jc w:val="both"/>
      </w:pPr>
      <w:r>
        <w:rPr/>
        <w:t>状况以及</w:t>
      </w:r>
      <w:r>
        <w:rPr>
          <w:rFonts w:ascii="Times New Roman" w:hAnsi="Times New Roman" w:cs="Times New Roman" w:eastAsia="Times New Roman" w:hint="default"/>
        </w:rPr>
        <w:t>2018</w:t>
      </w:r>
      <w:r>
        <w:rPr/>
        <w:t>年度的合并及公司经营成果和现金流量。</w:t>
      </w:r>
    </w:p>
    <w:p>
      <w:pPr>
        <w:spacing w:after="0" w:line="240"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会计期间" w:id="186"/>
      <w:bookmarkEnd w:id="186"/>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firstLine="370"/>
        <w:jc w:val="left"/>
      </w:pPr>
      <w:r>
        <w:rPr/>
        <w:t>本公司的会计期间分为年度和中期，会计中期指短于一个完整的会计年度的报告期间。本公司会计年 度采用公历年度，即每年自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8"/>
          <w:szCs w:val="18"/>
        </w:rPr>
      </w:pPr>
    </w:p>
    <w:p>
      <w:pPr>
        <w:pStyle w:val="Heading4"/>
        <w:spacing w:line="240" w:lineRule="auto"/>
        <w:ind w:right="0"/>
        <w:jc w:val="left"/>
        <w:rPr>
          <w:b w:val="0"/>
          <w:bCs w:val="0"/>
        </w:rPr>
      </w:pPr>
      <w:bookmarkStart w:name="3、营业周期" w:id="187"/>
      <w:bookmarkEnd w:id="187"/>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0" w:firstLine="370"/>
        <w:jc w:val="left"/>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 作为一个营业周期，并以其作为资产和负债的流动性划分标准。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line="506" w:lineRule="auto" w:before="0"/>
        <w:ind w:left="154" w:right="7812" w:firstLine="0"/>
        <w:jc w:val="left"/>
        <w:rPr>
          <w:rFonts w:ascii="宋体" w:hAnsi="宋体" w:cs="宋体" w:eastAsia="宋体" w:hint="default"/>
          <w:sz w:val="21"/>
          <w:szCs w:val="21"/>
        </w:rPr>
      </w:pPr>
      <w:bookmarkStart w:name="4、记账本位币" w:id="188"/>
      <w:bookmarkEnd w:id="18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本公司以人民币为记账本位币。</w:t>
      </w:r>
    </w:p>
    <w:p>
      <w:pPr>
        <w:spacing w:line="240" w:lineRule="auto" w:before="7"/>
        <w:rPr>
          <w:rFonts w:ascii="宋体" w:hAnsi="宋体" w:cs="宋体" w:eastAsia="宋体" w:hint="default"/>
          <w:sz w:val="25"/>
          <w:szCs w:val="25"/>
        </w:rPr>
      </w:pPr>
    </w:p>
    <w:p>
      <w:pPr>
        <w:spacing w:line="590" w:lineRule="atLeast" w:before="0"/>
        <w:ind w:left="524" w:right="0" w:hanging="371"/>
        <w:jc w:val="left"/>
        <w:rPr>
          <w:rFonts w:ascii="宋体" w:hAnsi="宋体" w:cs="宋体" w:eastAsia="宋体" w:hint="default"/>
          <w:sz w:val="21"/>
          <w:szCs w:val="21"/>
        </w:rPr>
      </w:pPr>
      <w:bookmarkStart w:name="5、同一控制下和非同一控制下企业合并的会计处理方法" w:id="189"/>
      <w:bookmarkEnd w:id="18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99"/>
          <w:sz w:val="21"/>
          <w:szCs w:val="21"/>
        </w:rPr>
        <w:t> </w:t>
      </w:r>
      <w:r>
        <w:rPr>
          <w:rFonts w:ascii="宋体" w:hAnsi="宋体" w:cs="宋体" w:eastAsia="宋体" w:hint="default"/>
          <w:spacing w:val="-2"/>
          <w:sz w:val="21"/>
          <w:szCs w:val="21"/>
        </w:rPr>
        <w:t>企业合并，是指将两个或两个以上单独的企业合并形成一个报告主体的交易或事项。企业合并分</w:t>
      </w:r>
    </w:p>
    <w:p>
      <w:pPr>
        <w:pStyle w:val="BodyText"/>
        <w:spacing w:line="240" w:lineRule="auto" w:before="37"/>
        <w:ind w:right="0"/>
        <w:jc w:val="left"/>
      </w:pPr>
      <w:r>
        <w:rPr/>
        <w:t>为同一控制下企业合并和非同一控制下企业合并。</w:t>
      </w:r>
    </w:p>
    <w:p>
      <w:pPr>
        <w:pStyle w:val="BodyText"/>
        <w:spacing w:line="510" w:lineRule="atLeast" w:before="34"/>
        <w:ind w:left="524" w:right="0"/>
        <w:jc w:val="left"/>
      </w:pPr>
      <w:r>
        <w:rPr/>
        <w:t>（</w:t>
      </w: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w:t>
      </w:r>
    </w:p>
    <w:p>
      <w:pPr>
        <w:pStyle w:val="BodyText"/>
        <w:spacing w:line="273" w:lineRule="auto" w:before="37"/>
        <w:ind w:right="0"/>
        <w:jc w:val="left"/>
      </w:pPr>
      <w:r>
        <w:rPr/>
        <w:t>控制下的企业合并。同一控制下的企业合并，在合并日取得对其他参与合并企业控制权的一方为合</w:t>
      </w:r>
      <w:r>
        <w:rPr>
          <w:spacing w:val="-20"/>
        </w:rPr>
        <w:t> </w:t>
      </w:r>
      <w:r>
        <w:rPr/>
        <w:t>并方，参与合并的其他企业为被合并方。合并日，是指合并方实际取得对被合并方控制权的日期。</w:t>
      </w:r>
    </w:p>
    <w:p>
      <w:pPr>
        <w:spacing w:line="240" w:lineRule="auto" w:before="1"/>
        <w:rPr>
          <w:rFonts w:ascii="宋体" w:hAnsi="宋体" w:cs="宋体" w:eastAsia="宋体" w:hint="default"/>
          <w:sz w:val="17"/>
          <w:szCs w:val="17"/>
        </w:rPr>
      </w:pPr>
    </w:p>
    <w:p>
      <w:pPr>
        <w:pStyle w:val="BodyText"/>
        <w:spacing w:line="273" w:lineRule="auto"/>
        <w:ind w:right="1637" w:firstLine="370"/>
        <w:jc w:val="both"/>
      </w:pPr>
      <w:r>
        <w:rPr>
          <w:spacing w:val="-2"/>
        </w:rPr>
        <w:t>合并方取得的资产和负债均按合并日在被合并方的账面价值计量。合并方取得的净资产账面价值</w:t>
      </w:r>
      <w:r>
        <w:rPr/>
        <w:t> 与支付的合并对价账面价值（或发行股份面值总额）的差额，调整资本公积（股本溢价）；资本公</w:t>
      </w:r>
      <w:r>
        <w:rPr>
          <w:spacing w:val="-20"/>
        </w:rPr>
        <w:t> </w:t>
      </w:r>
      <w:r>
        <w:rPr>
          <w:spacing w:val="-20"/>
        </w:rPr>
      </w:r>
      <w:r>
        <w:rPr/>
        <w:t>积（股本溢价）不足以冲减的，调整留存收益。</w:t>
      </w:r>
    </w:p>
    <w:p>
      <w:pPr>
        <w:spacing w:line="240" w:lineRule="auto" w:before="1"/>
        <w:rPr>
          <w:rFonts w:ascii="宋体" w:hAnsi="宋体" w:cs="宋体" w:eastAsia="宋体" w:hint="default"/>
          <w:sz w:val="17"/>
          <w:szCs w:val="17"/>
        </w:rPr>
      </w:pPr>
    </w:p>
    <w:p>
      <w:pPr>
        <w:pStyle w:val="BodyText"/>
        <w:spacing w:line="240" w:lineRule="auto"/>
        <w:ind w:left="524" w:right="0"/>
        <w:jc w:val="left"/>
      </w:pPr>
      <w:r>
        <w:rPr/>
        <w:t>合并方为进行企业合并发生的各项直接费用，于发生时计入当期损益。</w:t>
      </w:r>
    </w:p>
    <w:p>
      <w:pPr>
        <w:pStyle w:val="BodyText"/>
        <w:spacing w:line="510" w:lineRule="atLeast" w:before="34"/>
        <w:ind w:left="524" w:right="1562"/>
        <w:jc w:val="left"/>
      </w:pPr>
      <w:r>
        <w:rPr/>
        <w:t>（</w:t>
      </w:r>
      <w:r>
        <w:rPr>
          <w:rFonts w:ascii="Times New Roman" w:hAnsi="Times New Roman" w:cs="Times New Roman" w:eastAsia="Times New Roman" w:hint="default"/>
        </w:rPr>
        <w:t>2</w:t>
      </w:r>
      <w:r>
        <w:rPr/>
        <w:t>）非同一控制下企业合并 参与合并的企业在合并前后不受同一方或相同的多方最终控制的，为非同一控制下的企业合并。</w:t>
      </w:r>
    </w:p>
    <w:p>
      <w:pPr>
        <w:pStyle w:val="BodyText"/>
        <w:spacing w:line="273" w:lineRule="auto" w:before="37"/>
        <w:ind w:right="0"/>
        <w:jc w:val="left"/>
      </w:pPr>
      <w:r>
        <w:rPr/>
        <w:t>非同一控制下的企业合并，在购买日取得对其他参与合并企业控制权的一方为购买方，参与合并的</w:t>
      </w:r>
      <w:r>
        <w:rPr>
          <w:spacing w:val="-20"/>
        </w:rPr>
        <w:t> </w:t>
      </w:r>
      <w:r>
        <w:rPr/>
        <w:t>其他企业为被购买方。购买日，是指为购买方实际取得对被购买方控制权的日期。</w:t>
      </w:r>
    </w:p>
    <w:p>
      <w:pPr>
        <w:spacing w:line="240" w:lineRule="auto" w:before="2"/>
        <w:rPr>
          <w:rFonts w:ascii="宋体" w:hAnsi="宋体" w:cs="宋体" w:eastAsia="宋体" w:hint="default"/>
          <w:sz w:val="17"/>
          <w:szCs w:val="17"/>
        </w:rPr>
      </w:pPr>
    </w:p>
    <w:p>
      <w:pPr>
        <w:pStyle w:val="BodyText"/>
        <w:spacing w:line="273" w:lineRule="auto"/>
        <w:ind w:right="1637" w:firstLine="370"/>
        <w:jc w:val="both"/>
      </w:pPr>
      <w:r>
        <w:rPr>
          <w:spacing w:val="-2"/>
        </w:rPr>
        <w:t>对于非同一控制下的企业合并，合并成本包含购买日购买方为取得对被购买方的控制权而付出的</w:t>
      </w:r>
      <w:r>
        <w:rPr/>
        <w:t> 资产、发生或承担的负债以及发行的权益性证券的公允价值，为企业合并发生的审计、法律服务、</w:t>
      </w:r>
      <w:r>
        <w:rPr>
          <w:spacing w:val="-20"/>
        </w:rPr>
        <w:t> </w:t>
      </w:r>
      <w:r>
        <w:rPr>
          <w:spacing w:val="-20"/>
        </w:rPr>
      </w:r>
      <w:r>
        <w:rPr/>
        <w:t>评估咨询等中介费用以及其他管理费用于发生时计入当期损益。购买方作为合并对价发行的权益性</w:t>
      </w:r>
      <w:r>
        <w:rPr>
          <w:spacing w:val="-20"/>
        </w:rPr>
        <w:t> </w:t>
      </w:r>
      <w:r>
        <w:rPr/>
        <w:t>证券或债务性证券的交易费用，计入权益性证券或债务性证券的初始确认金额。所涉及的或有对价</w:t>
      </w:r>
      <w:r>
        <w:rPr>
          <w:spacing w:val="-20"/>
        </w:rPr>
        <w:t> </w:t>
      </w:r>
      <w:r>
        <w:rPr/>
        <w:t>按其在购买日的公允价值计入合并成本，购买日后</w:t>
      </w:r>
      <w:r>
        <w:rPr>
          <w:rFonts w:ascii="Times New Roman" w:hAnsi="Times New Roman" w:cs="Times New Roman" w:eastAsia="Times New Roman" w:hint="default"/>
        </w:rPr>
        <w:t>12</w:t>
      </w:r>
      <w:r>
        <w:rPr/>
        <w:t>个月内出现对购买日已存在情况的新的或进一</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636"/>
        <w:jc w:val="both"/>
      </w:pPr>
      <w:r>
        <w:rPr/>
        <w:t>步证据而需要调整或有对价的，相应调整合并商誉。购买方发生的合并成本及在合并中取得的可辨</w:t>
      </w:r>
      <w:r>
        <w:rPr>
          <w:spacing w:val="-20"/>
        </w:rPr>
        <w:t> </w:t>
      </w:r>
      <w:r>
        <w:rPr/>
        <w:t>认净资产按购买日的公允价值计量。合并成本大于合并中取得的被购买方于购买日可辨认净资产公</w:t>
      </w:r>
      <w:r>
        <w:rPr>
          <w:spacing w:val="-20"/>
        </w:rPr>
        <w:t> </w:t>
      </w:r>
      <w:r>
        <w:rPr/>
        <w:t>允价值份额的差额，确认为商誉。合并成本小于合并中取得的被购买方可辨认净资产公允价值份额</w:t>
      </w:r>
      <w:r>
        <w:rPr>
          <w:spacing w:val="-20"/>
        </w:rPr>
        <w:t> </w:t>
      </w:r>
      <w:r>
        <w:rPr/>
        <w:t>的，首先对取得的被购买方各项可辨认资产、负债及或有负债的公允价值以及合并成本的计量进行</w:t>
      </w:r>
      <w:r>
        <w:rPr>
          <w:spacing w:val="-20"/>
        </w:rPr>
        <w:t> </w:t>
      </w:r>
      <w:r>
        <w:rPr/>
        <w:t>复核，复核后合并成本仍小于合并中取得的被购买方可辨认净资产公允价值份额的，其差额计入当</w:t>
      </w:r>
      <w:r>
        <w:rPr>
          <w:spacing w:val="-20"/>
        </w:rPr>
        <w:t> </w:t>
      </w:r>
      <w:r>
        <w:rPr/>
        <w:t>期损益。</w:t>
      </w:r>
    </w:p>
    <w:p>
      <w:pPr>
        <w:spacing w:line="240" w:lineRule="auto" w:before="1"/>
        <w:rPr>
          <w:rFonts w:ascii="宋体" w:hAnsi="宋体" w:cs="宋体" w:eastAsia="宋体" w:hint="default"/>
          <w:sz w:val="17"/>
          <w:szCs w:val="17"/>
        </w:rPr>
      </w:pPr>
    </w:p>
    <w:p>
      <w:pPr>
        <w:pStyle w:val="BodyText"/>
        <w:spacing w:line="268" w:lineRule="auto"/>
        <w:ind w:right="1636" w:firstLine="370"/>
        <w:jc w:val="both"/>
      </w:pPr>
      <w:r>
        <w:rPr>
          <w:spacing w:val="-2"/>
        </w:rPr>
        <w:t>购买方取得被购买方的可抵扣暂时性差异，在购买日因不符合递延所得税资产确认条件而未予确</w:t>
      </w:r>
      <w:r>
        <w:rPr/>
        <w:t> 认的，在购买日后</w:t>
      </w:r>
      <w:r>
        <w:rPr>
          <w:rFonts w:ascii="Times New Roman" w:hAnsi="Times New Roman" w:cs="Times New Roman" w:eastAsia="Times New Roman" w:hint="default"/>
        </w:rPr>
        <w:t>12</w:t>
      </w:r>
      <w:r>
        <w:rPr/>
        <w:t>个月内，如取得新的或进一步的信息表明购买日的相关情况已经存在，预期被</w:t>
      </w:r>
      <w:r>
        <w:rPr>
          <w:spacing w:val="-22"/>
        </w:rPr>
        <w:t> </w:t>
      </w:r>
      <w:r>
        <w:rPr>
          <w:spacing w:val="-22"/>
        </w:rPr>
      </w:r>
      <w:r>
        <w:rPr/>
        <w:t>购买方在购买日可抵扣暂时性差异带来的经济利益能够实现的，则确认相关的递延所得税资产，同</w:t>
      </w:r>
      <w:r>
        <w:rPr>
          <w:spacing w:val="-20"/>
        </w:rPr>
        <w:t> </w:t>
      </w:r>
      <w:r>
        <w:rPr>
          <w:spacing w:val="-20"/>
        </w:rPr>
      </w:r>
      <w:r>
        <w:rPr/>
        <w:t>时减少商誉，商誉不足冲减的，差额部分确认为当期损益；除上述情况以外，确认与企业合并相关</w:t>
      </w:r>
      <w:r>
        <w:rPr>
          <w:spacing w:val="-20"/>
        </w:rPr>
        <w:t> </w:t>
      </w:r>
      <w:r>
        <w:rPr/>
        <w:t>的递延所得税资产的，计入当期损益。</w:t>
      </w:r>
    </w:p>
    <w:p>
      <w:pPr>
        <w:spacing w:line="240" w:lineRule="auto" w:before="6"/>
        <w:rPr>
          <w:rFonts w:ascii="宋体" w:hAnsi="宋体" w:cs="宋体" w:eastAsia="宋体" w:hint="default"/>
          <w:sz w:val="17"/>
          <w:szCs w:val="17"/>
        </w:rPr>
      </w:pPr>
    </w:p>
    <w:p>
      <w:pPr>
        <w:pStyle w:val="BodyText"/>
        <w:spacing w:line="256" w:lineRule="auto"/>
        <w:ind w:right="1635" w:firstLine="370"/>
        <w:jc w:val="both"/>
      </w:pPr>
      <w:r>
        <w:rPr/>
        <w:t>通过多次交易分步实现的非同一控制下企业合并，根据《财政部关于印发企业会计准则解释第</w:t>
      </w:r>
      <w:r>
        <w:rPr>
          <w:rFonts w:ascii="Times New Roman" w:hAnsi="Times New Roman" w:cs="Times New Roman" w:eastAsia="Times New Roman" w:hint="default"/>
        </w:rPr>
        <w:t>5 </w:t>
      </w:r>
      <w:r>
        <w:rPr/>
        <w:t>号的通知》（财会〔</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w:t>
      </w:r>
      <w:r>
        <w:rPr>
          <w:spacing w:val="-100"/>
        </w:rPr>
        <w:t> </w:t>
      </w:r>
      <w:r>
        <w:rPr>
          <w:spacing w:val="-2"/>
        </w:rPr>
        <w:t>揽子交易</w:t>
      </w:r>
      <w:r>
        <w:rPr>
          <w:rFonts w:ascii="Times New Roman" w:hAnsi="Times New Roman" w:cs="Times New Roman" w:eastAsia="Times New Roman" w:hint="default"/>
          <w:spacing w:val="-2"/>
        </w:rPr>
        <w:t>”</w:t>
      </w:r>
      <w:r>
        <w:rPr>
          <w:spacing w:val="-2"/>
        </w:rPr>
        <w:t>的判断标准（参见本附注三、</w:t>
      </w: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w:t>
      </w:r>
      <w:r>
        <w:rPr>
          <w:spacing w:val="-2"/>
        </w:rPr>
        <w:t>）），判断该多次交易是否属于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。属于</w:t>
      </w:r>
      <w:r>
        <w:rPr>
          <w:rFonts w:ascii="Times New Roman" w:hAnsi="Times New Roman" w:cs="Times New Roman" w:eastAsia="Times New Roman" w:hint="default"/>
          <w:spacing w:val="-2"/>
        </w:rPr>
        <w:t>“</w:t>
      </w:r>
      <w:r>
        <w:rPr>
          <w:spacing w:val="-2"/>
        </w:rPr>
        <w:t>一</w:t>
      </w:r>
      <w:r>
        <w:rPr>
          <w:spacing w:val="-77"/>
        </w:rPr>
        <w:t> </w:t>
      </w:r>
      <w:r>
        <w:rPr>
          <w:spacing w:val="-2"/>
        </w:rPr>
        <w:t>揽子交易</w:t>
      </w:r>
      <w:r>
        <w:rPr>
          <w:rFonts w:ascii="Times New Roman" w:hAnsi="Times New Roman" w:cs="Times New Roman" w:eastAsia="Times New Roman" w:hint="default"/>
          <w:spacing w:val="-2"/>
        </w:rPr>
        <w:t>”</w:t>
      </w:r>
      <w:r>
        <w:rPr>
          <w:spacing w:val="-2"/>
        </w:rPr>
        <w:t>的，参考本部分前面各段描述及本附注三、</w:t>
      </w:r>
      <w:r>
        <w:rPr>
          <w:rFonts w:ascii="Times New Roman" w:hAnsi="Times New Roman" w:cs="Times New Roman" w:eastAsia="Times New Roman" w:hint="default"/>
          <w:spacing w:val="-2"/>
        </w:rPr>
        <w:t>14</w:t>
      </w:r>
      <w:r>
        <w:rPr>
          <w:rFonts w:ascii="Times New Roman" w:hAnsi="Times New Roman" w:cs="Times New Roman" w:eastAsia="Times New Roman" w:hint="default"/>
          <w:spacing w:val="-2"/>
        </w:rPr>
        <w:t>“</w:t>
      </w:r>
      <w:r>
        <w:rPr>
          <w:spacing w:val="-2"/>
        </w:rPr>
        <w:t>长期股权投资</w:t>
      </w:r>
      <w:r>
        <w:rPr>
          <w:rFonts w:ascii="Times New Roman" w:hAnsi="Times New Roman" w:cs="Times New Roman" w:eastAsia="Times New Roman" w:hint="default"/>
          <w:spacing w:val="-2"/>
        </w:rPr>
        <w:t>”</w:t>
      </w:r>
      <w:r>
        <w:rPr>
          <w:spacing w:val="-2"/>
        </w:rPr>
        <w:t>进行会计处理；不属于</w:t>
      </w:r>
      <w:r>
        <w:rPr>
          <w:rFonts w:ascii="Times New Roman" w:hAnsi="Times New Roman" w:cs="Times New Roman" w:eastAsia="Times New Roman" w:hint="default"/>
          <w:spacing w:val="-2"/>
        </w:rPr>
        <w:t>“</w:t>
      </w:r>
      <w:r>
        <w:rPr>
          <w:spacing w:val="-2"/>
        </w:rPr>
        <w:t>一揽</w:t>
      </w:r>
      <w:r>
        <w:rPr>
          <w:spacing w:val="-75"/>
        </w:rPr>
        <w:t> </w:t>
      </w:r>
      <w:r>
        <w:rPr/>
        <w:t>子交易</w:t>
      </w:r>
      <w:r>
        <w:rPr>
          <w:rFonts w:ascii="Times New Roman" w:hAnsi="Times New Roman" w:cs="Times New Roman" w:eastAsia="Times New Roman" w:hint="default"/>
        </w:rPr>
        <w:t>”</w:t>
      </w:r>
      <w:r>
        <w:rPr/>
        <w:t>的，区分个别财务报表和合并财务报表进行相关会计处理：</w:t>
      </w:r>
    </w:p>
    <w:p>
      <w:pPr>
        <w:spacing w:line="240" w:lineRule="auto" w:before="12"/>
        <w:rPr>
          <w:rFonts w:ascii="宋体" w:hAnsi="宋体" w:cs="宋体" w:eastAsia="宋体" w:hint="default"/>
          <w:sz w:val="16"/>
          <w:szCs w:val="16"/>
        </w:rPr>
      </w:pPr>
    </w:p>
    <w:p>
      <w:pPr>
        <w:pStyle w:val="BodyText"/>
        <w:spacing w:line="273" w:lineRule="auto"/>
        <w:ind w:right="1637" w:firstLine="370"/>
        <w:jc w:val="both"/>
      </w:pPr>
      <w:r>
        <w:rPr>
          <w:spacing w:val="-2"/>
        </w:rPr>
        <w:t>在个别财务报表中，以购买日之前所持被购买方的股权投资的账面价值与购买日新增投资成本之</w:t>
      </w:r>
      <w:r>
        <w:rPr/>
        <w:t> 和，作为该项投资的初始投资成本；购买日之前持有的被购买方的股权涉及其他综合收益的，在处</w:t>
      </w:r>
      <w:r>
        <w:rPr>
          <w:spacing w:val="-20"/>
        </w:rPr>
        <w:t> </w:t>
      </w:r>
      <w:r>
        <w:rPr>
          <w:spacing w:val="-20"/>
        </w:rPr>
      </w:r>
      <w:r>
        <w:rPr/>
        <w:t>置该项投资时将与其相关的其他综合收益采用与被购买方直接处置相关资产或负债相同的基础进行</w:t>
      </w:r>
      <w:r>
        <w:rPr>
          <w:spacing w:val="-20"/>
        </w:rPr>
        <w:t> </w:t>
      </w:r>
      <w:r>
        <w:rPr/>
        <w:t>会计处理（即，除了按照权益法核算的在被购买方重新计量设定受益计划净负债或净资产导致的变</w:t>
      </w:r>
      <w:r>
        <w:rPr>
          <w:spacing w:val="-20"/>
        </w:rPr>
        <w:t> </w:t>
      </w:r>
      <w:r>
        <w:rPr/>
        <w:t>动中的相应份额以外，其余转入当期投资收益）。</w:t>
      </w:r>
    </w:p>
    <w:p>
      <w:pPr>
        <w:spacing w:line="240" w:lineRule="auto" w:before="1"/>
        <w:rPr>
          <w:rFonts w:ascii="宋体" w:hAnsi="宋体" w:cs="宋体" w:eastAsia="宋体" w:hint="default"/>
          <w:sz w:val="17"/>
          <w:szCs w:val="17"/>
        </w:rPr>
      </w:pPr>
    </w:p>
    <w:p>
      <w:pPr>
        <w:pStyle w:val="BodyText"/>
        <w:spacing w:line="273" w:lineRule="auto"/>
        <w:ind w:right="1637" w:firstLine="370"/>
        <w:jc w:val="both"/>
      </w:pPr>
      <w:r>
        <w:rPr>
          <w:spacing w:val="-2"/>
        </w:rPr>
        <w:t>在合并财务报表中，对于购买日之前持有的被购买方的股权，按照该股权在购买日的公允价值进</w:t>
      </w:r>
      <w:r>
        <w:rPr/>
        <w:t> 行重新计量，公允价值与其账面价值的差额计入当期投资收益；购买日之前持有的被购买方的股权</w:t>
      </w:r>
      <w:r>
        <w:rPr>
          <w:spacing w:val="-20"/>
        </w:rPr>
        <w:t> </w:t>
      </w:r>
      <w:r>
        <w:rPr>
          <w:spacing w:val="-20"/>
        </w:rPr>
      </w:r>
      <w:r>
        <w:rPr/>
        <w:t>涉及其他综合收益的，与其相关的其他综合收益应当采用与被购买方直接处置相关资产或负债相同</w:t>
      </w:r>
      <w:r>
        <w:rPr>
          <w:spacing w:val="-20"/>
        </w:rPr>
        <w:t> </w:t>
      </w:r>
      <w:r>
        <w:rPr/>
        <w:t>的基础进行会计处理（即，除了按照权益法核算的在被购买方重新计量设定受益计划净负债或净资</w:t>
      </w:r>
      <w:r>
        <w:rPr>
          <w:spacing w:val="-20"/>
        </w:rPr>
        <w:t> </w:t>
      </w:r>
      <w:r>
        <w:rPr/>
        <w:t>产导致的变动中的相应份额以外，其余转为购买日所属当期投资收益）。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4"/>
        <w:spacing w:line="240" w:lineRule="auto"/>
        <w:ind w:right="0"/>
        <w:jc w:val="both"/>
        <w:rPr>
          <w:b w:val="0"/>
          <w:bCs w:val="0"/>
        </w:rPr>
      </w:pPr>
      <w:bookmarkStart w:name="6、合并财务报表的编制方法" w:id="190"/>
      <w:bookmarkEnd w:id="190"/>
      <w:r>
        <w:rPr>
          <w:b w:val="0"/>
          <w:bCs w:val="0"/>
        </w:rPr>
      </w:r>
      <w:r>
        <w:rPr>
          <w:rFonts w:ascii="Times New Roman" w:hAnsi="Times New Roman" w:cs="Times New Roman" w:eastAsia="Times New Roman" w:hint="default"/>
        </w:rPr>
        <w:t>6</w:t>
      </w:r>
      <w:r>
        <w:rPr/>
        <w:t>、合并财务报表的编制方法</w:t>
      </w:r>
      <w:r>
        <w:rPr>
          <w:b w:val="0"/>
          <w:bCs w:val="0"/>
        </w:rPr>
      </w:r>
    </w:p>
    <w:p>
      <w:pPr>
        <w:pStyle w:val="BodyText"/>
        <w:spacing w:line="510" w:lineRule="atLeast" w:before="102"/>
        <w:ind w:left="524" w:right="0"/>
        <w:jc w:val="left"/>
      </w:pPr>
      <w:r>
        <w:rPr/>
        <w:t>（</w:t>
      </w:r>
      <w:r>
        <w:rPr>
          <w:rFonts w:ascii="Times New Roman" w:hAnsi="Times New Roman" w:cs="Times New Roman" w:eastAsia="Times New Roman" w:hint="default"/>
        </w:rPr>
        <w:t>1</w:t>
      </w:r>
      <w:r>
        <w:rPr/>
        <w:t>）合并财务报表范围的确定原则 合并财务报表的合并范围以控制为基础予以确定。控制是指本公司拥有对被投资方的权力，通过参与</w:t>
      </w:r>
    </w:p>
    <w:p>
      <w:pPr>
        <w:pStyle w:val="BodyText"/>
        <w:spacing w:line="273" w:lineRule="auto" w:before="37"/>
        <w:ind w:right="0"/>
        <w:jc w:val="left"/>
      </w:pPr>
      <w:r>
        <w:rPr>
          <w:spacing w:val="-1"/>
        </w:rPr>
        <w:t>被投资方的相关活动而享有可变回报，并且有能力运用对被投资方的权力影响该回报金额。合并范围包括</w:t>
      </w:r>
      <w:r>
        <w:rPr>
          <w:spacing w:val="-81"/>
        </w:rPr>
        <w:t> </w:t>
      </w:r>
      <w:r>
        <w:rPr>
          <w:spacing w:val="-81"/>
        </w:rPr>
      </w:r>
      <w:r>
        <w:rPr/>
        <w:t>本公司及全部子公司。子公司，是指被本公司控制的主体。</w:t>
      </w:r>
    </w:p>
    <w:p>
      <w:pPr>
        <w:spacing w:line="240" w:lineRule="auto" w:before="1"/>
        <w:rPr>
          <w:rFonts w:ascii="宋体" w:hAnsi="宋体" w:cs="宋体" w:eastAsia="宋体" w:hint="default"/>
          <w:sz w:val="17"/>
          <w:szCs w:val="17"/>
        </w:rPr>
      </w:pPr>
    </w:p>
    <w:p>
      <w:pPr>
        <w:pStyle w:val="BodyText"/>
        <w:spacing w:line="240" w:lineRule="auto"/>
        <w:ind w:left="524" w:right="0"/>
        <w:jc w:val="left"/>
      </w:pPr>
      <w:r>
        <w:rPr/>
        <w:t>一旦相关事实和情况的变化导致上述控制定义涉及的相关要素发生了变化，本公司将进行重新评估。</w:t>
      </w:r>
    </w:p>
    <w:p>
      <w:pPr>
        <w:pStyle w:val="BodyText"/>
        <w:spacing w:line="510" w:lineRule="atLeast" w:before="34"/>
        <w:ind w:left="524" w:right="0"/>
        <w:jc w:val="left"/>
      </w:pPr>
      <w:r>
        <w:rPr/>
        <w:t>（</w:t>
      </w:r>
      <w:r>
        <w:rPr>
          <w:rFonts w:ascii="Times New Roman" w:hAnsi="Times New Roman" w:cs="Times New Roman" w:eastAsia="Times New Roman" w:hint="default"/>
        </w:rPr>
        <w:t>2</w:t>
      </w:r>
      <w:r>
        <w:rPr/>
        <w:t>）合并财务报表编制的方法 从取得子公司的净资产和生产经营决策的实际控制权之日起，本公司开始将其纳入合并范围；从丧失</w:t>
      </w:r>
    </w:p>
    <w:p>
      <w:pPr>
        <w:pStyle w:val="BodyText"/>
        <w:spacing w:line="240" w:lineRule="auto" w:before="37"/>
        <w:ind w:right="0"/>
        <w:jc w:val="both"/>
      </w:pPr>
      <w:r>
        <w:rPr/>
        <w:t>实际控制权之日起停止纳入合并范围。对于处置的子公司，处置日前的经营成果和现金流量已经适当地包</w:t>
      </w:r>
    </w:p>
    <w:p>
      <w:pPr>
        <w:spacing w:after="0" w:line="240" w:lineRule="auto"/>
        <w:jc w:val="both"/>
        <w:sectPr>
          <w:footerReference w:type="default" r:id="rId18"/>
          <w:pgSz w:w="11910" w:h="16840"/>
          <w:pgMar w:footer="979" w:header="747" w:top="1060" w:bottom="1160" w:left="980" w:right="0"/>
          <w:pgNumType w:start="12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括在合并利润表和合并现金流量表中；当期处置的子公司，不调整合并资产负债表的期初数。非同一控制</w:t>
      </w:r>
      <w:r>
        <w:rPr>
          <w:spacing w:val="-83"/>
        </w:rPr>
        <w:t> </w:t>
      </w:r>
      <w:r>
        <w:rPr>
          <w:spacing w:val="-83"/>
        </w:rPr>
      </w:r>
      <w:r>
        <w:rPr>
          <w:spacing w:val="-1"/>
        </w:rPr>
        <w:t>下企业合并增加的子公司，其购买日后的经营成果及现金流量已经适当地包括在合并利润表和合并现金流</w:t>
      </w:r>
      <w:r>
        <w:rPr>
          <w:spacing w:val="-81"/>
        </w:rPr>
        <w:t> </w:t>
      </w:r>
      <w:r>
        <w:rPr>
          <w:spacing w:val="-81"/>
        </w:rPr>
      </w:r>
      <w:r>
        <w:rPr>
          <w:spacing w:val="-1"/>
        </w:rPr>
        <w:t>量表中，且不调整合并财务报表的期初数和对比数。同一控制下企业合并增加的子公司及吸收合并下的被</w:t>
      </w:r>
      <w:r>
        <w:rPr>
          <w:spacing w:val="-81"/>
        </w:rPr>
        <w:t> </w:t>
      </w:r>
      <w:r>
        <w:rPr>
          <w:spacing w:val="-81"/>
        </w:rPr>
      </w:r>
      <w:r>
        <w:rPr>
          <w:spacing w:val="-1"/>
        </w:rPr>
        <w:t>合并方，其自合并当期期初至合并日的经营成果和现金流量已经适当地包括在合并利润表和合并现金流量</w:t>
      </w:r>
      <w:r>
        <w:rPr>
          <w:spacing w:val="-81"/>
        </w:rPr>
        <w:t> </w:t>
      </w:r>
      <w:r>
        <w:rPr>
          <w:spacing w:val="-81"/>
        </w:rPr>
      </w:r>
      <w:r>
        <w:rPr/>
        <w:t>表中，并且同时调整合并财务报表的对比数。</w:t>
      </w:r>
    </w:p>
    <w:p>
      <w:pPr>
        <w:spacing w:line="240" w:lineRule="auto" w:before="1"/>
        <w:rPr>
          <w:rFonts w:ascii="宋体" w:hAnsi="宋体" w:cs="宋体" w:eastAsia="宋体" w:hint="default"/>
          <w:sz w:val="17"/>
          <w:szCs w:val="17"/>
        </w:rPr>
      </w:pPr>
    </w:p>
    <w:p>
      <w:pPr>
        <w:pStyle w:val="BodyText"/>
        <w:spacing w:line="273" w:lineRule="auto"/>
        <w:ind w:right="1131" w:firstLine="370"/>
        <w:jc w:val="both"/>
      </w:pPr>
      <w:r>
        <w:rPr/>
        <w:t>在编制合并财务报表时，子公司与本公司采用的会计政策或会计期间不一致的，按照本公司的会计政 </w:t>
      </w:r>
      <w:r>
        <w:rPr>
          <w:spacing w:val="-1"/>
        </w:rPr>
        <w:t>策和会计期间对子公司财务报表进行必要的调整。对于非同一控制下企业合并取得的子公司，以购买日可</w:t>
      </w:r>
      <w:r>
        <w:rPr>
          <w:spacing w:val="-81"/>
        </w:rPr>
        <w:t> </w:t>
      </w:r>
      <w:r>
        <w:rPr>
          <w:spacing w:val="-81"/>
        </w:rPr>
      </w:r>
      <w:r>
        <w:rPr/>
        <w:t>辨认净资产公允价值为基础对其财务报表进行调整。</w:t>
      </w:r>
    </w:p>
    <w:p>
      <w:pPr>
        <w:pStyle w:val="BodyText"/>
        <w:spacing w:line="528" w:lineRule="exact" w:before="46"/>
        <w:ind w:left="524" w:right="0"/>
        <w:jc w:val="left"/>
      </w:pPr>
      <w:r>
        <w:rPr/>
        <w:t>公司内往来余额、交易及未实现利润在合并财务报表编制时予以抵销。 子公司的股东权益及当期净损益中不属于本公司所拥有的部分分别作为少数股东权益及少数股东损益</w:t>
      </w:r>
    </w:p>
    <w:p>
      <w:pPr>
        <w:pStyle w:val="BodyText"/>
        <w:spacing w:line="236" w:lineRule="exact"/>
        <w:ind w:right="0"/>
        <w:jc w:val="both"/>
      </w:pPr>
      <w:r>
        <w:rPr/>
        <w:t>在合并财务报表中股东权益及净利润项下单独列示。子公司当期净损益中属于少数股东权益的份额，在合</w:t>
      </w:r>
    </w:p>
    <w:p>
      <w:pPr>
        <w:pStyle w:val="BodyText"/>
        <w:spacing w:line="256" w:lineRule="auto" w:before="37"/>
        <w:ind w:right="1132"/>
        <w:jc w:val="both"/>
      </w:pPr>
      <w:r>
        <w:rPr/>
        <w:t>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项目列示。少数股东分担的子公司的亏损超过了少数股东在该 子公司期初股东权益中所享有的份额，仍冲减少数股东权益。</w:t>
      </w:r>
    </w:p>
    <w:p>
      <w:pPr>
        <w:spacing w:line="240" w:lineRule="auto" w:before="3"/>
        <w:rPr>
          <w:rFonts w:ascii="宋体" w:hAnsi="宋体" w:cs="宋体" w:eastAsia="宋体" w:hint="default"/>
          <w:sz w:val="18"/>
          <w:szCs w:val="18"/>
        </w:rPr>
      </w:pPr>
    </w:p>
    <w:p>
      <w:pPr>
        <w:pStyle w:val="BodyText"/>
        <w:spacing w:line="268" w:lineRule="auto"/>
        <w:ind w:right="1023" w:firstLine="370"/>
        <w:jc w:val="left"/>
      </w:pPr>
      <w:r>
        <w:rPr/>
        <w:t>当因处置部分股权投资或其他原因丧失了对原有子公司的控制权时，对于剩余股权，按照其在丧失控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与原有子公司股权投资相关的其他综合收益，在丧失控制权时采用与被购买方直接处置相关资产或负债相 </w:t>
      </w:r>
      <w:r>
        <w:rPr>
          <w:spacing w:val="-3"/>
        </w:rPr>
        <w:t>同的基础进行会计处理（即，除了在该原有子公司重新计量设定受益计划净负债或净资产导致的变动以外，</w:t>
      </w:r>
      <w:r>
        <w:rPr>
          <w:spacing w:val="-92"/>
        </w:rPr>
        <w:t> </w:t>
      </w:r>
      <w:r>
        <w:rPr>
          <w:spacing w:val="-92"/>
        </w:rPr>
      </w:r>
      <w:r>
        <w:rPr/>
        <w:t>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w:t>
      </w:r>
      <w:r>
        <w:rPr>
          <w:spacing w:val="-27"/>
        </w:rPr>
        <w:t> </w:t>
      </w:r>
      <w:r>
        <w:rPr>
          <w:spacing w:val="-27"/>
        </w:rPr>
      </w:r>
      <w:r>
        <w:rPr/>
        <w:t>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金融工具确认和计量》等相关规定进行后续计量，详见本附注三、</w:t>
      </w:r>
      <w:r>
        <w:rPr>
          <w:rFonts w:ascii="Times New Roman" w:hAnsi="Times New Roman" w:cs="Times New Roman" w:eastAsia="Times New Roman" w:hint="default"/>
        </w:rPr>
        <w:t>14</w:t>
      </w:r>
      <w:r>
        <w:rPr>
          <w:rFonts w:ascii="Times New Roman" w:hAnsi="Times New Roman" w:cs="Times New Roman" w:eastAsia="Times New Roman" w:hint="default"/>
        </w:rPr>
        <w:t>“</w:t>
      </w:r>
      <w:r>
        <w:rPr/>
        <w:t>长期</w:t>
      </w:r>
      <w:r>
        <w:rPr>
          <w:spacing w:val="-15"/>
        </w:rPr>
        <w:t> </w:t>
      </w:r>
      <w:r>
        <w:rPr/>
        <w:t>股权投资</w:t>
      </w:r>
      <w:r>
        <w:rPr>
          <w:rFonts w:ascii="Times New Roman" w:hAnsi="Times New Roman" w:cs="Times New Roman" w:eastAsia="Times New Roman" w:hint="default"/>
        </w:rPr>
        <w:t>”</w:t>
      </w:r>
      <w:r>
        <w:rPr/>
        <w:t>或本附注三、</w:t>
      </w:r>
      <w:r>
        <w:rPr>
          <w:rFonts w:ascii="Times New Roman" w:hAnsi="Times New Roman" w:cs="Times New Roman" w:eastAsia="Times New Roman" w:hint="default"/>
        </w:rPr>
        <w:t>10</w:t>
      </w: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6"/>
          <w:szCs w:val="16"/>
        </w:rPr>
      </w:pPr>
    </w:p>
    <w:p>
      <w:pPr>
        <w:pStyle w:val="BodyText"/>
        <w:spacing w:line="268" w:lineRule="auto"/>
        <w:ind w:right="1130" w:firstLine="370"/>
        <w:jc w:val="both"/>
      </w:pPr>
      <w:r>
        <w:rPr/>
        <w:t>本公司通过多次交易分步处置对子公司股权投资直至丧失控制权的，需区分处置对子公司股权投资直 </w:t>
      </w:r>
      <w:r>
        <w:rPr>
          <w:spacing w:val="-1"/>
        </w:rPr>
        <w:t>至丧失控制权的各项交易是否属于一揽子交易。处置对子公司股权投资的各项交易的条款、条件以及经济</w:t>
      </w:r>
      <w:r>
        <w:rPr>
          <w:spacing w:val="-81"/>
        </w:rPr>
        <w:t> </w:t>
      </w:r>
      <w:r>
        <w:rPr>
          <w:spacing w:val="-81"/>
        </w:rPr>
      </w:r>
      <w:r>
        <w:rPr>
          <w:spacing w:val="-1"/>
        </w:rPr>
        <w:t>影响符合以下一种或多种情况，通常表明应将多次交易事项作为一揽子交易进行会计处理：①这些交易是</w:t>
      </w:r>
      <w:r>
        <w:rPr>
          <w:spacing w:val="-80"/>
        </w:rPr>
        <w:t> </w:t>
      </w:r>
      <w:r>
        <w:rPr>
          <w:spacing w:val="-80"/>
        </w:rPr>
      </w:r>
      <w:r>
        <w:rPr>
          <w:spacing w:val="-1"/>
        </w:rPr>
        <w:t>同时或者在考虑了彼此影响的情况下订立的；②这些交易整体才能达成一项完整的商业结果；③一项交易</w:t>
      </w:r>
      <w:r>
        <w:rPr>
          <w:spacing w:val="-80"/>
        </w:rPr>
        <w:t> </w:t>
      </w:r>
      <w:r>
        <w:rPr>
          <w:spacing w:val="-80"/>
        </w:rPr>
      </w:r>
      <w:r>
        <w:rPr>
          <w:spacing w:val="-1"/>
        </w:rPr>
        <w:t>的发生取决于其他至少一项交易的发生；④一项交易单独看是不经济的，但是和其他交易一并考虑时是经</w:t>
      </w:r>
      <w:r>
        <w:rPr>
          <w:spacing w:val="-80"/>
        </w:rPr>
        <w:t> </w:t>
      </w:r>
      <w:r>
        <w:rPr>
          <w:spacing w:val="-80"/>
        </w:rPr>
      </w:r>
      <w:r>
        <w:rPr/>
        <w:t>济的。不属于一揽子交易的，对其中的每一项交易视情况分别按照</w:t>
      </w:r>
      <w:r>
        <w:rPr>
          <w:rFonts w:ascii="Times New Roman" w:hAnsi="Times New Roman" w:cs="Times New Roman" w:eastAsia="Times New Roman" w:hint="default"/>
        </w:rPr>
        <w:t>“</w:t>
      </w:r>
      <w:r>
        <w:rPr/>
        <w:t>不丧失控制权的情况下部分处置对子</w:t>
      </w:r>
      <w:r>
        <w:rPr>
          <w:spacing w:val="-17"/>
        </w:rPr>
        <w:t> </w:t>
      </w:r>
      <w:r>
        <w:rPr>
          <w:spacing w:val="-17"/>
        </w:rPr>
      </w:r>
      <w:r>
        <w:rPr>
          <w:spacing w:val="-3"/>
        </w:rPr>
        <w:t>公司的长期股权投资</w:t>
      </w:r>
      <w:r>
        <w:rPr>
          <w:rFonts w:ascii="Times New Roman" w:hAnsi="Times New Roman" w:cs="Times New Roman" w:eastAsia="Times New Roman" w:hint="default"/>
          <w:spacing w:val="-3"/>
        </w:rPr>
        <w:t>”</w:t>
      </w:r>
      <w:r>
        <w:rPr>
          <w:spacing w:val="-3"/>
        </w:rPr>
        <w:t>（详见本附注三、</w:t>
      </w:r>
      <w:r>
        <w:rPr>
          <w:rFonts w:ascii="Times New Roman" w:hAnsi="Times New Roman" w:cs="Times New Roman" w:eastAsia="Times New Roman" w:hint="default"/>
          <w:spacing w:val="-3"/>
        </w:rPr>
        <w:t>14</w:t>
      </w:r>
      <w:r>
        <w:rPr>
          <w:spacing w:val="-3"/>
        </w:rPr>
        <w:t>、（</w:t>
      </w:r>
      <w:r>
        <w:rPr>
          <w:rFonts w:ascii="Times New Roman" w:hAnsi="Times New Roman" w:cs="Times New Roman" w:eastAsia="Times New Roman" w:hint="default"/>
          <w:spacing w:val="-3"/>
        </w:rPr>
        <w:t>2</w:t>
      </w:r>
      <w:r>
        <w:rPr>
          <w:spacing w:val="-3"/>
        </w:rPr>
        <w:t>）④）和</w:t>
      </w:r>
      <w:r>
        <w:rPr>
          <w:rFonts w:ascii="Times New Roman" w:hAnsi="Times New Roman" w:cs="Times New Roman" w:eastAsia="Times New Roman" w:hint="default"/>
          <w:spacing w:val="-3"/>
        </w:rPr>
        <w:t>“</w:t>
      </w:r>
      <w:r>
        <w:rPr>
          <w:spacing w:val="-3"/>
        </w:rPr>
        <w:t>因处置部分股权投资或其他原因丧失了对原有子</w:t>
      </w:r>
      <w:r>
        <w:rPr>
          <w:spacing w:val="-67"/>
        </w:rPr>
        <w:t> </w:t>
      </w:r>
      <w:r>
        <w:rPr/>
        <w:t>公司的控制权</w:t>
      </w:r>
      <w:r>
        <w:rPr>
          <w:rFonts w:ascii="Times New Roman" w:hAnsi="Times New Roman" w:cs="Times New Roman" w:eastAsia="Times New Roman" w:hint="default"/>
        </w:rPr>
        <w:t>”</w:t>
      </w:r>
      <w:r>
        <w:rPr/>
        <w:t>（详见前段）适用的原则进行会计处理。处置对子公司股权投资直至丧失控制权的各项交</w:t>
      </w:r>
      <w:r>
        <w:rPr>
          <w:spacing w:val="-23"/>
        </w:rPr>
        <w:t> </w:t>
      </w:r>
      <w:r>
        <w:rPr>
          <w:spacing w:val="-23"/>
        </w:rPr>
      </w:r>
      <w:r>
        <w:rPr>
          <w:spacing w:val="-1"/>
        </w:rPr>
        <w:t>易属于一揽子交易的，将各项交易作为一项处置子公司并丧失控制权的交易进行会计处理；但是，在丧失</w:t>
      </w:r>
      <w:r>
        <w:rPr>
          <w:spacing w:val="-83"/>
        </w:rPr>
        <w:t> </w:t>
      </w:r>
      <w:r>
        <w:rPr>
          <w:spacing w:val="-83"/>
        </w:rPr>
      </w:r>
      <w:r>
        <w:rPr>
          <w:spacing w:val="-1"/>
        </w:rPr>
        <w:t>控制权之前每一次处置价款与处置投资对应的享有该子公司净资产份额的差额，在合并财务报表中确认为</w:t>
      </w:r>
      <w:r>
        <w:rPr>
          <w:spacing w:val="-81"/>
        </w:rPr>
        <w:t> </w:t>
      </w:r>
      <w:r>
        <w:rPr>
          <w:spacing w:val="-81"/>
        </w:rPr>
      </w:r>
      <w:r>
        <w:rPr/>
        <w:t>其他综合收益，在丧失控制权时一并转入丧失控制权当期的损益。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590" w:lineRule="atLeast" w:before="0"/>
        <w:ind w:left="574" w:right="1640" w:hanging="420"/>
        <w:jc w:val="left"/>
        <w:rPr>
          <w:rFonts w:ascii="宋体" w:hAnsi="宋体" w:cs="宋体" w:eastAsia="宋体" w:hint="default"/>
          <w:sz w:val="21"/>
          <w:szCs w:val="21"/>
        </w:rPr>
      </w:pPr>
      <w:bookmarkStart w:name="7、合营安排分类及共同经营会计处理方法" w:id="191"/>
      <w:bookmarkEnd w:id="191"/>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spacing w:val="2"/>
          <w:sz w:val="21"/>
          <w:szCs w:val="21"/>
        </w:rPr>
        <w:t>合营安排，是指一项由两个或两个以上的参与方共同控制的安排。本公司根据在合营安排中享</w:t>
      </w:r>
    </w:p>
    <w:p>
      <w:pPr>
        <w:pStyle w:val="BodyText"/>
        <w:spacing w:line="273" w:lineRule="auto" w:before="37"/>
        <w:ind w:right="1637"/>
        <w:jc w:val="both"/>
      </w:pPr>
      <w:r>
        <w:rPr/>
        <w:t>有的权利和承担的义务，将合营安排分为共同经营和合营企业。共同经营，是指本公司享有该安排</w:t>
      </w:r>
      <w:r>
        <w:rPr>
          <w:spacing w:val="-20"/>
        </w:rPr>
        <w:t> </w:t>
      </w:r>
      <w:r>
        <w:rPr/>
        <w:t>相关资产且承担该安排相关负债的合营安排。合营企业，是指本公司仅对该安排的净资产享有权利</w:t>
      </w:r>
      <w:r>
        <w:rPr>
          <w:spacing w:val="-20"/>
        </w:rPr>
        <w:t> </w:t>
      </w:r>
      <w:r>
        <w:rPr/>
        <w:t>的合营安排。</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637" w:firstLine="420"/>
        <w:jc w:val="both"/>
      </w:pPr>
      <w:r>
        <w:rPr>
          <w:spacing w:val="-3"/>
        </w:rPr>
        <w:t>本公司对合营企业的投资采用权益法核算，按照本附注三、</w:t>
      </w:r>
      <w:r>
        <w:rPr>
          <w:rFonts w:ascii="Times New Roman" w:hAnsi="Times New Roman" w:cs="Times New Roman" w:eastAsia="Times New Roman" w:hint="default"/>
          <w:spacing w:val="-3"/>
        </w:rPr>
        <w:t>14</w:t>
      </w:r>
      <w:r>
        <w:rPr>
          <w:spacing w:val="-3"/>
        </w:rPr>
        <w:t>（</w:t>
      </w:r>
      <w:r>
        <w:rPr>
          <w:rFonts w:ascii="Times New Roman" w:hAnsi="Times New Roman" w:cs="Times New Roman" w:eastAsia="Times New Roman" w:hint="default"/>
          <w:spacing w:val="-3"/>
        </w:rPr>
        <w:t>2</w:t>
      </w:r>
      <w:r>
        <w:rPr>
          <w:spacing w:val="-3"/>
        </w:rPr>
        <w:t>）②</w:t>
      </w:r>
      <w:r>
        <w:rPr>
          <w:rFonts w:ascii="Times New Roman" w:hAnsi="Times New Roman" w:cs="Times New Roman" w:eastAsia="Times New Roman" w:hint="default"/>
          <w:spacing w:val="-3"/>
        </w:rPr>
        <w:t>“</w:t>
      </w:r>
      <w:r>
        <w:rPr>
          <w:spacing w:val="-3"/>
        </w:rPr>
        <w:t>权益法核算的长期股权投</w:t>
      </w:r>
      <w:r>
        <w:rPr/>
        <w:t> 资</w:t>
      </w:r>
      <w:r>
        <w:rPr>
          <w:rFonts w:ascii="Times New Roman" w:hAnsi="Times New Roman" w:cs="Times New Roman" w:eastAsia="Times New Roman" w:hint="default"/>
        </w:rPr>
        <w:t>”</w:t>
      </w:r>
      <w:r>
        <w:rPr/>
        <w:t>中所述的会计政策处理。</w:t>
      </w:r>
    </w:p>
    <w:p>
      <w:pPr>
        <w:spacing w:line="240" w:lineRule="auto" w:before="12"/>
        <w:rPr>
          <w:rFonts w:ascii="宋体" w:hAnsi="宋体" w:cs="宋体" w:eastAsia="宋体" w:hint="default"/>
          <w:sz w:val="16"/>
          <w:szCs w:val="16"/>
        </w:rPr>
      </w:pPr>
    </w:p>
    <w:p>
      <w:pPr>
        <w:pStyle w:val="BodyText"/>
        <w:spacing w:line="273" w:lineRule="auto"/>
        <w:ind w:right="1637" w:firstLine="420"/>
        <w:jc w:val="both"/>
      </w:pPr>
      <w:r>
        <w:rPr>
          <w:spacing w:val="2"/>
        </w:rPr>
        <w:t>本公司作为合营方对共同经营，确认本公司单独持有的资产、单独所承担的负债，以及按本公</w:t>
      </w:r>
      <w:r>
        <w:rPr/>
        <w:t> 司份额确认共同持有的资产和共同承担的负债；确认出售本公司享有的共同经营产出份额所产生的</w:t>
      </w:r>
      <w:r>
        <w:rPr>
          <w:spacing w:val="-20"/>
        </w:rPr>
        <w:t> </w:t>
      </w:r>
      <w:r>
        <w:rPr>
          <w:spacing w:val="-20"/>
        </w:rPr>
      </w:r>
      <w:r>
        <w:rPr/>
        <w:t>收入；按本公司份额确认共同经营因出售产出所产生的收入；确认本公司单独所发生的费用，以及</w:t>
      </w:r>
      <w:r>
        <w:rPr>
          <w:spacing w:val="-20"/>
        </w:rPr>
        <w:t> </w:t>
      </w:r>
      <w:r>
        <w:rPr/>
        <w:t>按本公司份额确认共同经营发生的费用。</w:t>
      </w:r>
    </w:p>
    <w:p>
      <w:pPr>
        <w:spacing w:line="240" w:lineRule="auto" w:before="1"/>
        <w:rPr>
          <w:rFonts w:ascii="宋体" w:hAnsi="宋体" w:cs="宋体" w:eastAsia="宋体" w:hint="default"/>
          <w:sz w:val="17"/>
          <w:szCs w:val="17"/>
        </w:rPr>
      </w:pPr>
    </w:p>
    <w:p>
      <w:pPr>
        <w:pStyle w:val="BodyText"/>
        <w:spacing w:line="268" w:lineRule="auto"/>
        <w:ind w:right="1637" w:firstLine="420"/>
        <w:jc w:val="both"/>
      </w:pPr>
      <w:r>
        <w:rPr>
          <w:spacing w:val="2"/>
        </w:rPr>
        <w:t>当本公司作为合营方向共同经营投出或出售资产（该资产不构成业务，下同）、或者自共同经</w:t>
      </w:r>
      <w:r>
        <w:rPr/>
        <w:t> 营购买资产时，在该等资产出售给第三方之前，本公司仅确认因该交易产生的损益中归属于共同经</w:t>
      </w:r>
      <w:r>
        <w:rPr>
          <w:spacing w:val="-20"/>
        </w:rPr>
        <w:t> </w:t>
      </w:r>
      <w:r>
        <w:rPr>
          <w:spacing w:val="-20"/>
        </w:rPr>
      </w:r>
      <w:r>
        <w:rPr/>
        <w:t>营其他参与方的部分。该等资产发生符合《企业会计准则第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 失的，对于由本公司向共同经营投出或出售资产的情况，本公司全额确认该损失；对于本公司自共</w:t>
      </w:r>
      <w:r>
        <w:rPr>
          <w:spacing w:val="-20"/>
        </w:rPr>
        <w:t> </w:t>
      </w:r>
      <w:r>
        <w:rPr>
          <w:spacing w:val="-20"/>
        </w:rPr>
      </w:r>
      <w:r>
        <w:rPr/>
        <w:t>同经营购买资产的情况，本公司按承担的份额确认该损失。</w:t>
      </w:r>
    </w:p>
    <w:p>
      <w:pPr>
        <w:spacing w:line="590" w:lineRule="atLeast" w:before="14"/>
        <w:ind w:left="524" w:right="0" w:hanging="371"/>
        <w:jc w:val="left"/>
        <w:rPr>
          <w:rFonts w:ascii="宋体" w:hAnsi="宋体" w:cs="宋体" w:eastAsia="宋体" w:hint="default"/>
          <w:sz w:val="21"/>
          <w:szCs w:val="21"/>
        </w:rPr>
      </w:pPr>
      <w:bookmarkStart w:name="8、现金及现金等价物的确定标准" w:id="192"/>
      <w:bookmarkEnd w:id="192"/>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z w:val="21"/>
          <w:szCs w:val="21"/>
        </w:rPr>
        <w:t>本公司现金及现金等价物包括库存现金、可以随时用于支付的存款以及本公司持有的期限短（一般为</w:t>
      </w:r>
    </w:p>
    <w:p>
      <w:pPr>
        <w:pStyle w:val="BodyText"/>
        <w:spacing w:line="240" w:lineRule="auto" w:before="37"/>
        <w:ind w:right="0"/>
        <w:jc w:val="left"/>
      </w:pPr>
      <w:r>
        <w:rPr/>
        <w:t>从购买日起，三个月内到期）、流动性强、易于转换为已知金额的现金、价值变动风险很小的投资。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4"/>
        <w:spacing w:line="240" w:lineRule="auto"/>
        <w:ind w:right="0"/>
        <w:jc w:val="left"/>
        <w:rPr>
          <w:b w:val="0"/>
          <w:bCs w:val="0"/>
        </w:rPr>
      </w:pPr>
      <w:bookmarkStart w:name="9、外币业务和外币报表折算" w:id="193"/>
      <w:bookmarkEnd w:id="193"/>
      <w:r>
        <w:rPr>
          <w:b w:val="0"/>
          <w:bCs w:val="0"/>
        </w:rPr>
      </w:r>
      <w:r>
        <w:rPr>
          <w:rFonts w:ascii="Times New Roman" w:hAnsi="Times New Roman" w:cs="Times New Roman" w:eastAsia="Times New Roman" w:hint="default"/>
        </w:rPr>
        <w:t>9</w:t>
      </w:r>
      <w:r>
        <w:rPr/>
        <w:t>、外币业务和外币报表折算</w:t>
      </w:r>
      <w:r>
        <w:rPr>
          <w:b w:val="0"/>
          <w:bCs w:val="0"/>
        </w:rPr>
      </w:r>
    </w:p>
    <w:p>
      <w:pPr>
        <w:pStyle w:val="BodyText"/>
        <w:spacing w:line="510" w:lineRule="atLeast" w:before="102"/>
        <w:ind w:left="524" w:right="0"/>
        <w:jc w:val="left"/>
      </w:pPr>
      <w:r>
        <w:rPr/>
        <w:t>（</w:t>
      </w:r>
      <w:r>
        <w:rPr>
          <w:rFonts w:ascii="Times New Roman" w:hAnsi="Times New Roman" w:cs="Times New Roman" w:eastAsia="Times New Roman" w:hint="default"/>
        </w:rPr>
        <w:t>1</w:t>
      </w:r>
      <w:r>
        <w:rPr/>
        <w:t>）外币交易的折算方法 本公司发生的外币交易在初始确认时，按交易日的即期汇率（通常指中国人民银行公布的当日外汇牌</w:t>
      </w:r>
    </w:p>
    <w:p>
      <w:pPr>
        <w:pStyle w:val="BodyText"/>
        <w:spacing w:line="273" w:lineRule="auto" w:before="37"/>
        <w:ind w:right="0"/>
        <w:jc w:val="left"/>
      </w:pPr>
      <w:r>
        <w:rPr>
          <w:spacing w:val="-1"/>
        </w:rPr>
        <w:t>价的中间价，下同）折算为记账本位币金额，但公司发生的外币兑换业务或涉及外币兑换的交易事项，按</w:t>
      </w:r>
      <w:r>
        <w:rPr>
          <w:spacing w:val="-86"/>
        </w:rPr>
        <w:t> </w:t>
      </w:r>
      <w:r>
        <w:rPr>
          <w:spacing w:val="-86"/>
        </w:rPr>
      </w:r>
      <w:r>
        <w:rPr/>
        <w:t>照实际采用的汇率折算为记账本位币金额。</w:t>
      </w:r>
    </w:p>
    <w:p>
      <w:pPr>
        <w:pStyle w:val="BodyText"/>
        <w:spacing w:line="510" w:lineRule="atLeast" w:before="4"/>
        <w:ind w:left="524" w:right="0"/>
        <w:jc w:val="left"/>
      </w:pPr>
      <w:r>
        <w:rPr/>
        <w:t>（</w:t>
      </w:r>
      <w:r>
        <w:rPr>
          <w:rFonts w:ascii="Times New Roman" w:hAnsi="Times New Roman" w:cs="Times New Roman" w:eastAsia="Times New Roman" w:hint="default"/>
        </w:rPr>
        <w:t>2</w:t>
      </w:r>
      <w:r>
        <w:rPr/>
        <w:t>）对于外币货币性项目和外币非货币性项目的折算方法 资产负债表日，对于外币货币性项目采用资产负债表日即期汇率折算，由此产生的汇兑差额，除：①</w:t>
      </w:r>
    </w:p>
    <w:p>
      <w:pPr>
        <w:pStyle w:val="BodyText"/>
        <w:spacing w:line="240" w:lineRule="auto" w:before="37"/>
        <w:ind w:right="0"/>
        <w:jc w:val="left"/>
      </w:pPr>
      <w:r>
        <w:rPr/>
        <w:t>属于与购建符合资本化条件的资产相关的外币专门借款产生的汇兑差额按照借款费用资本化的原则处理；</w:t>
      </w:r>
    </w:p>
    <w:p>
      <w:pPr>
        <w:pStyle w:val="BodyText"/>
        <w:spacing w:line="273" w:lineRule="auto" w:before="37"/>
        <w:ind w:right="0"/>
        <w:jc w:val="left"/>
      </w:pPr>
      <w:r>
        <w:rPr>
          <w:spacing w:val="3"/>
        </w:rPr>
        <w:t>②可供出售的外币货币性项目除摊余成本之外的其他账面余额变动产生的汇兑差额计入其他综合收益之</w:t>
      </w:r>
      <w:r>
        <w:rPr>
          <w:spacing w:val="-82"/>
        </w:rPr>
        <w:t> </w:t>
      </w:r>
      <w:r>
        <w:rPr>
          <w:spacing w:val="-82"/>
        </w:rPr>
      </w:r>
      <w:r>
        <w:rPr/>
        <w:t>外，均计入当期损益。</w:t>
      </w:r>
    </w:p>
    <w:p>
      <w:pPr>
        <w:spacing w:line="240" w:lineRule="auto" w:before="1"/>
        <w:rPr>
          <w:rFonts w:ascii="宋体" w:hAnsi="宋体" w:cs="宋体" w:eastAsia="宋体" w:hint="default"/>
          <w:sz w:val="17"/>
          <w:szCs w:val="17"/>
        </w:rPr>
      </w:pPr>
    </w:p>
    <w:p>
      <w:pPr>
        <w:pStyle w:val="BodyText"/>
        <w:spacing w:line="273" w:lineRule="auto"/>
        <w:ind w:right="1110" w:firstLine="370"/>
        <w:jc w:val="both"/>
      </w:pPr>
      <w:r>
        <w:rPr/>
        <w:t>以历史成本计量的外币非货币性项目，仍采用交易发生日的即期汇率折算的记账本位币金额计量。以 </w:t>
      </w:r>
      <w:r>
        <w:rPr>
          <w:spacing w:val="-1"/>
        </w:rPr>
        <w:t>公允价值计量的外币非货币性项目，采用公允价值确定日的即期汇率折算，折算后的记账本位币金额与原</w:t>
      </w:r>
      <w:r>
        <w:rPr>
          <w:spacing w:val="-81"/>
        </w:rPr>
        <w:t> </w:t>
      </w:r>
      <w:r>
        <w:rPr>
          <w:spacing w:val="-81"/>
        </w:rPr>
      </w:r>
      <w:r>
        <w:rPr/>
        <w:t>记账本位币金额的差额，作为公允价值变动（含汇率变动）处理，计入当期损益或确认为其他综合收益。</w:t>
      </w:r>
    </w:p>
    <w:p>
      <w:pPr>
        <w:pStyle w:val="BodyText"/>
        <w:spacing w:line="510" w:lineRule="atLeast" w:before="4"/>
        <w:ind w:left="524" w:right="0"/>
        <w:jc w:val="left"/>
      </w:pPr>
      <w:r>
        <w:rPr/>
        <w:t>（</w:t>
      </w:r>
      <w:r>
        <w:rPr>
          <w:rFonts w:ascii="Times New Roman" w:hAnsi="Times New Roman" w:cs="Times New Roman" w:eastAsia="Times New Roman" w:hint="default"/>
        </w:rPr>
        <w:t>3</w:t>
      </w:r>
      <w:r>
        <w:rPr/>
        <w:t>）外币财务报表的折算方法 编制合并财务报表涉及境外经营的，如有实质上构成对境外经营净投资的外币货币性项目，因汇率变</w:t>
      </w:r>
    </w:p>
    <w:p>
      <w:pPr>
        <w:pStyle w:val="BodyText"/>
        <w:spacing w:line="256" w:lineRule="auto" w:before="37"/>
        <w:ind w:right="1116"/>
        <w:jc w:val="left"/>
      </w:pPr>
      <w:r>
        <w:rPr/>
        <w:t>动而产生的汇兑差额，作为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 益。</w:t>
      </w:r>
    </w:p>
    <w:p>
      <w:pPr>
        <w:spacing w:line="240" w:lineRule="auto" w:before="3"/>
        <w:rPr>
          <w:rFonts w:ascii="宋体" w:hAnsi="宋体" w:cs="宋体" w:eastAsia="宋体" w:hint="default"/>
          <w:sz w:val="18"/>
          <w:szCs w:val="18"/>
        </w:rPr>
      </w:pPr>
    </w:p>
    <w:p>
      <w:pPr>
        <w:pStyle w:val="BodyText"/>
        <w:spacing w:line="273" w:lineRule="auto"/>
        <w:ind w:right="1025" w:firstLine="370"/>
        <w:jc w:val="both"/>
      </w:pPr>
      <w:r>
        <w:rPr/>
        <w:t>境外经营的外币财务报表按以下方法折算为人民币报表：资产负债表中的资产和负债项目，采用资产 </w:t>
      </w:r>
      <w:r>
        <w:rPr>
          <w:spacing w:val="-3"/>
        </w:rPr>
        <w:t>负债表日的即期汇率折算；股东权益类项目除</w:t>
      </w:r>
      <w:r>
        <w:rPr>
          <w:rFonts w:ascii="Times New Roman" w:hAnsi="Times New Roman" w:cs="Times New Roman" w:eastAsia="Times New Roman" w:hint="default"/>
          <w:spacing w:val="-3"/>
        </w:rPr>
        <w:t>“</w:t>
      </w:r>
      <w:r>
        <w:rPr>
          <w:spacing w:val="-3"/>
        </w:rPr>
        <w:t>未分配利润</w:t>
      </w:r>
      <w:r>
        <w:rPr>
          <w:rFonts w:ascii="Times New Roman" w:hAnsi="Times New Roman" w:cs="Times New Roman" w:eastAsia="Times New Roman" w:hint="default"/>
          <w:spacing w:val="-3"/>
        </w:rPr>
        <w:t>”</w:t>
      </w:r>
      <w:r>
        <w:rPr>
          <w:spacing w:val="-3"/>
        </w:rPr>
        <w:t>项目外，其他项目采用发生时的即期汇率折算。</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023"/>
        <w:jc w:val="left"/>
      </w:pPr>
      <w:r>
        <w:rPr/>
        <w:t>利润表中的收入和费用项目，采用交易发生日的即期汇率折算。年初未分配利润为上一年折算后的年末未 分配利润；年末未分配利润按折算后的利润分配各项目计算列示；折算后资产类项目与负债类项目和股东 </w:t>
      </w:r>
      <w:r>
        <w:rPr>
          <w:spacing w:val="-3"/>
        </w:rPr>
        <w:t>权益类项目合计数的差额，作为外币报表折算差额，确认为其他综合收益。处置境外经营并丧失控制权时，</w:t>
      </w:r>
      <w:r>
        <w:rPr>
          <w:spacing w:val="-90"/>
        </w:rPr>
        <w:t> </w:t>
      </w:r>
      <w:r>
        <w:rPr>
          <w:spacing w:val="-90"/>
        </w:rPr>
      </w:r>
      <w:r>
        <w:rPr/>
        <w:t>将资产负债表中股东权益项目下列示的、与该境外经营相关的外币报表折算差额，全部或按处置该境外经</w:t>
      </w:r>
      <w:r>
        <w:rPr/>
        <w:t> 营的比例转入处置当期损益。</w:t>
      </w:r>
    </w:p>
    <w:p>
      <w:pPr>
        <w:spacing w:line="240" w:lineRule="auto" w:before="1"/>
        <w:rPr>
          <w:rFonts w:ascii="宋体" w:hAnsi="宋体" w:cs="宋体" w:eastAsia="宋体" w:hint="default"/>
          <w:sz w:val="17"/>
          <w:szCs w:val="17"/>
        </w:rPr>
      </w:pPr>
    </w:p>
    <w:p>
      <w:pPr>
        <w:pStyle w:val="BodyText"/>
        <w:spacing w:line="273" w:lineRule="auto"/>
        <w:ind w:right="1133" w:firstLine="370"/>
        <w:jc w:val="both"/>
      </w:pPr>
      <w:r>
        <w:rPr/>
        <w:t>外币现金流量以及境外子公司的现金流量，采用现金流量发生日的即期汇率折算。汇率变动对现金的 影响额作为调节项目，在现金流量表中单独列报。</w:t>
      </w:r>
    </w:p>
    <w:p>
      <w:pPr>
        <w:pStyle w:val="BodyText"/>
        <w:spacing w:line="528" w:lineRule="exact" w:before="46"/>
        <w:ind w:left="524" w:right="0"/>
        <w:jc w:val="left"/>
      </w:pPr>
      <w:r>
        <w:rPr/>
        <w:t>年初数和上年实际数按照上年财务报表折算后的数额列示。 在处置本公司在境外经营的全部所有者权益或因处置部分股权投资或其他原因丧失了对境外经营控制</w:t>
      </w:r>
    </w:p>
    <w:p>
      <w:pPr>
        <w:pStyle w:val="BodyText"/>
        <w:spacing w:line="236" w:lineRule="exact"/>
        <w:ind w:right="0"/>
        <w:jc w:val="left"/>
      </w:pPr>
      <w:r>
        <w:rPr/>
        <w:t>权时，将资产负债表中股东权益项目下列示的、与该境外经营相关的归属于母公司所有者权益的外币报表</w:t>
      </w:r>
    </w:p>
    <w:p>
      <w:pPr>
        <w:pStyle w:val="BodyText"/>
        <w:spacing w:line="240" w:lineRule="auto" w:before="37"/>
        <w:ind w:right="0"/>
        <w:jc w:val="left"/>
      </w:pPr>
      <w:r>
        <w:rPr/>
        <w:t>折算差额，全部转入处置当期损益。</w:t>
      </w:r>
    </w:p>
    <w:p>
      <w:pPr>
        <w:spacing w:line="240" w:lineRule="auto" w:before="5"/>
        <w:rPr>
          <w:rFonts w:ascii="宋体" w:hAnsi="宋体" w:cs="宋体" w:eastAsia="宋体" w:hint="default"/>
          <w:sz w:val="19"/>
          <w:szCs w:val="19"/>
        </w:rPr>
      </w:pPr>
    </w:p>
    <w:p>
      <w:pPr>
        <w:pStyle w:val="BodyText"/>
        <w:spacing w:line="273" w:lineRule="auto"/>
        <w:ind w:right="1130" w:firstLine="370"/>
        <w:jc w:val="both"/>
      </w:pPr>
      <w:r>
        <w:rPr/>
        <w:t>在处置部分股权投资或其他原因导致持有境外经营权益比例降低但不丧失对境外经营控制权时，与该 </w:t>
      </w:r>
      <w:r>
        <w:rPr>
          <w:spacing w:val="-1"/>
        </w:rPr>
        <w:t>境外经营处置部分相关的外币报表折算差额将归属于少数股东权益，不转入当期损益。在处置境外经营为</w:t>
      </w:r>
      <w:r>
        <w:rPr>
          <w:spacing w:val="-81"/>
        </w:rPr>
        <w:t> </w:t>
      </w:r>
      <w:r>
        <w:rPr>
          <w:spacing w:val="-81"/>
        </w:rPr>
      </w:r>
      <w:r>
        <w:rPr>
          <w:spacing w:val="-1"/>
        </w:rPr>
        <w:t>联营企业或合营企业的部分股权时，与该境外经营相关的外币报表折算差额，按处置该境外经营的比例转</w:t>
      </w:r>
      <w:r>
        <w:rPr>
          <w:spacing w:val="-81"/>
        </w:rPr>
        <w:t> </w:t>
      </w:r>
      <w:r>
        <w:rPr>
          <w:spacing w:val="-81"/>
        </w:rPr>
      </w:r>
      <w:r>
        <w:rPr/>
        <w:t>入处置当期损益。</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590" w:lineRule="atLeast"/>
        <w:ind w:left="524" w:right="1118" w:hanging="371"/>
        <w:jc w:val="left"/>
      </w:pPr>
      <w:bookmarkStart w:name="10、金融工具" w:id="194"/>
      <w:bookmarkEnd w:id="194"/>
      <w:r>
        <w:rPr/>
      </w:r>
      <w:r>
        <w:rPr>
          <w:rFonts w:ascii="Times New Roman" w:hAnsi="Times New Roman" w:cs="Times New Roman" w:eastAsia="Times New Roman" w:hint="default"/>
          <w:b/>
          <w:bCs/>
        </w:rPr>
        <w:t>10</w:t>
      </w:r>
      <w:r>
        <w:rPr>
          <w:rFonts w:ascii="宋体" w:hAnsi="宋体" w:cs="宋体" w:eastAsia="宋体" w:hint="default"/>
          <w:b/>
          <w:bCs/>
        </w:rPr>
        <w:t>、金融工具</w:t>
      </w:r>
      <w:r>
        <w:rPr>
          <w:rFonts w:ascii="宋体" w:hAnsi="宋体" w:cs="宋体" w:eastAsia="宋体" w:hint="default"/>
          <w:b/>
          <w:bCs/>
          <w:w w:val="99"/>
        </w:rPr>
        <w:t> </w:t>
      </w:r>
      <w:r>
        <w:rPr/>
        <w:t>在本公司成为金融工具合同的一方时确认一项金融资产或金融负债。金融资产和金融负债在初始确认</w:t>
      </w:r>
    </w:p>
    <w:p>
      <w:pPr>
        <w:pStyle w:val="BodyText"/>
        <w:spacing w:line="273" w:lineRule="auto" w:before="37"/>
        <w:ind w:right="0"/>
        <w:jc w:val="left"/>
      </w:pPr>
      <w:r>
        <w:rPr>
          <w:spacing w:val="-1"/>
        </w:rPr>
        <w:t>时以公允价值计量。对于以公允价值计量且其变动计入当期损益的金融资产和金融负债，相关的交易费用</w:t>
      </w:r>
      <w:r>
        <w:rPr>
          <w:spacing w:val="-81"/>
        </w:rPr>
        <w:t> </w:t>
      </w:r>
      <w:r>
        <w:rPr>
          <w:spacing w:val="-81"/>
        </w:rPr>
      </w:r>
      <w:r>
        <w:rPr/>
        <w:t>直接计入损益，对于其他类别的金融资产和金融负债，相关交易费用计入初始确认金额。</w:t>
      </w:r>
    </w:p>
    <w:p>
      <w:pPr>
        <w:pStyle w:val="BodyText"/>
        <w:spacing w:line="510" w:lineRule="atLeast" w:before="4"/>
        <w:ind w:left="524" w:right="0"/>
        <w:jc w:val="left"/>
      </w:pPr>
      <w:r>
        <w:rPr/>
        <w:t>（</w:t>
      </w:r>
      <w:r>
        <w:rPr>
          <w:rFonts w:ascii="Times New Roman" w:hAnsi="Times New Roman" w:cs="Times New Roman" w:eastAsia="Times New Roman" w:hint="default"/>
        </w:rPr>
        <w:t>1</w:t>
      </w:r>
      <w:r>
        <w:rPr/>
        <w:t>）金融资产和金融负债的公允价值确定方法 公允价值，是指市场参与者在计量日发生的有序交易中，出售一项资产所能收到或者转移一项负债所</w:t>
      </w:r>
    </w:p>
    <w:p>
      <w:pPr>
        <w:pStyle w:val="BodyText"/>
        <w:spacing w:line="273" w:lineRule="auto" w:before="37"/>
        <w:ind w:right="1131"/>
        <w:jc w:val="both"/>
      </w:pPr>
      <w:r>
        <w:rPr>
          <w:spacing w:val="-1"/>
        </w:rPr>
        <w:t>需支付的价格。金融工具存在活跃市场的，本公司采用活跃市场中的报价确定其公允价值。活跃市场中的</w:t>
      </w:r>
      <w:r>
        <w:rPr>
          <w:spacing w:val="-83"/>
        </w:rPr>
        <w:t> </w:t>
      </w:r>
      <w:r>
        <w:rPr>
          <w:spacing w:val="-83"/>
        </w:rPr>
      </w:r>
      <w:r>
        <w:rPr>
          <w:spacing w:val="-1"/>
        </w:rPr>
        <w:t>报价是指易于定期从交易所、经纪商、行业协会、定价服务机构等获得的价格，且代表了在公平交易中实</w:t>
      </w:r>
      <w:r>
        <w:rPr>
          <w:spacing w:val="-86"/>
        </w:rPr>
        <w:t> </w:t>
      </w:r>
      <w:r>
        <w:rPr>
          <w:spacing w:val="-86"/>
        </w:rPr>
      </w:r>
      <w:r>
        <w:rPr>
          <w:spacing w:val="-1"/>
        </w:rPr>
        <w:t>际发生的市场交易的价格。金融工具不存在活跃市场的，本公司采用估值技术确定其公允价值。估值技术</w:t>
      </w:r>
      <w:r>
        <w:rPr>
          <w:spacing w:val="-83"/>
        </w:rPr>
        <w:t> </w:t>
      </w:r>
      <w:r>
        <w:rPr>
          <w:spacing w:val="-83"/>
        </w:rPr>
      </w:r>
      <w:r>
        <w:rPr>
          <w:spacing w:val="-1"/>
        </w:rPr>
        <w:t>包括参考熟悉情况并自愿交易的各方最近进行的市场交易中使用的价格、参照实质上相同的其他金融工具</w:t>
      </w:r>
      <w:r>
        <w:rPr>
          <w:spacing w:val="-81"/>
        </w:rPr>
        <w:t> </w:t>
      </w:r>
      <w:r>
        <w:rPr>
          <w:spacing w:val="-81"/>
        </w:rPr>
      </w:r>
      <w:r>
        <w:rPr/>
        <w:t>当前的公允价值、现金流量折现法和期权定价模型等。</w:t>
      </w:r>
    </w:p>
    <w:p>
      <w:pPr>
        <w:pStyle w:val="BodyText"/>
        <w:spacing w:line="510" w:lineRule="atLeast" w:before="4"/>
        <w:ind w:left="524" w:right="1142"/>
        <w:jc w:val="left"/>
      </w:pPr>
      <w:r>
        <w:rPr/>
        <w:t>（</w:t>
      </w:r>
      <w:r>
        <w:rPr>
          <w:rFonts w:ascii="Times New Roman" w:hAnsi="Times New Roman" w:cs="Times New Roman" w:eastAsia="Times New Roman" w:hint="default"/>
        </w:rPr>
        <w:t>2</w:t>
      </w:r>
      <w:r>
        <w:rPr/>
        <w:t>）金融资产的分类、确认和计量 以常规方式买卖金融资产，按交易日进行会计确认和终止确认。金融资产在初始确认时划分为以公允</w:t>
      </w:r>
    </w:p>
    <w:p>
      <w:pPr>
        <w:pStyle w:val="BodyText"/>
        <w:spacing w:line="240" w:lineRule="auto" w:before="37"/>
        <w:ind w:right="0"/>
        <w:jc w:val="left"/>
      </w:pPr>
      <w:r>
        <w:rPr/>
        <w:t>价值计量且其变动计入当期损益的金融资产、持有至到期投资、贷款和应收款项以及可供出售金融资产。</w:t>
      </w:r>
    </w:p>
    <w:p>
      <w:pPr>
        <w:spacing w:line="240" w:lineRule="auto" w:before="5"/>
        <w:rPr>
          <w:rFonts w:ascii="宋体" w:hAnsi="宋体" w:cs="宋体" w:eastAsia="宋体" w:hint="default"/>
          <w:sz w:val="19"/>
          <w:szCs w:val="19"/>
        </w:rPr>
      </w:pPr>
    </w:p>
    <w:p>
      <w:pPr>
        <w:pStyle w:val="BodyText"/>
        <w:spacing w:line="240" w:lineRule="auto"/>
        <w:ind w:left="524" w:right="0"/>
        <w:jc w:val="left"/>
      </w:pPr>
      <w:r>
        <w:rPr/>
        <w:t>①以公允价值计量且其变动计入当期损益的金融资产</w:t>
      </w:r>
    </w:p>
    <w:p>
      <w:pPr>
        <w:pStyle w:val="BodyText"/>
        <w:spacing w:line="528" w:lineRule="exact" w:before="76"/>
        <w:ind w:left="524" w:right="1148"/>
        <w:jc w:val="left"/>
      </w:pPr>
      <w:r>
        <w:rPr/>
        <w:t>包括交易性金融资产和指定为以公允价值计量且其变动计入当期损益的金融资产。 交易性金融资产是指满足下列条件之一的金融资产：</w:t>
      </w:r>
      <w:r>
        <w:rPr>
          <w:rFonts w:ascii="Times New Roman" w:hAnsi="Times New Roman" w:cs="Times New Roman" w:eastAsia="Times New Roman" w:hint="default"/>
        </w:rPr>
        <w:t>A.</w:t>
      </w:r>
      <w:r>
        <w:rPr/>
        <w:t>取得该金融资产的目的，主要是为了近期内出</w:t>
      </w:r>
    </w:p>
    <w:p>
      <w:pPr>
        <w:pStyle w:val="BodyText"/>
        <w:spacing w:line="252" w:lineRule="exact"/>
        <w:ind w:right="0"/>
        <w:jc w:val="left"/>
      </w:pPr>
      <w:r>
        <w:rPr/>
        <w:t>售；</w:t>
      </w:r>
      <w:r>
        <w:rPr>
          <w:rFonts w:ascii="Times New Roman" w:hAnsi="Times New Roman" w:cs="Times New Roman" w:eastAsia="Times New Roman" w:hint="default"/>
        </w:rPr>
        <w:t>B.</w:t>
      </w:r>
      <w:r>
        <w:rPr/>
        <w:t>属于进行集中管理的可辨认金融工具组合的一部分，且有客观证据表明本公司近期采用短期获利方</w:t>
      </w:r>
    </w:p>
    <w:p>
      <w:pPr>
        <w:spacing w:after="0" w:line="252" w:lineRule="exact"/>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64" w:lineRule="auto" w:before="35"/>
        <w:ind w:right="1131"/>
        <w:jc w:val="both"/>
      </w:pPr>
      <w:r>
        <w:rPr>
          <w:spacing w:val="-1"/>
        </w:rPr>
        <w:t>式对该组合进行管理；</w:t>
      </w:r>
      <w:r>
        <w:rPr>
          <w:rFonts w:ascii="Times New Roman" w:hAnsi="Times New Roman" w:cs="Times New Roman" w:eastAsia="Times New Roman" w:hint="default"/>
          <w:spacing w:val="-1"/>
        </w:rPr>
        <w:t>C.</w:t>
      </w:r>
      <w:r>
        <w:rPr>
          <w:spacing w:val="-1"/>
        </w:rPr>
        <w:t>属于衍生工具，但是，被指定且为有效套期工具的衍生工具、属于财务担保合同</w:t>
      </w:r>
      <w:r>
        <w:rPr>
          <w:spacing w:val="-65"/>
        </w:rPr>
        <w:t> </w:t>
      </w:r>
      <w:r>
        <w:rPr>
          <w:spacing w:val="-65"/>
        </w:rPr>
      </w:r>
      <w:r>
        <w:rPr>
          <w:spacing w:val="-1"/>
        </w:rPr>
        <w:t>的衍生工具、与在活跃市场中没有报价且其公允价值不能可靠计量的权益工具投资挂钩并须通过交付该权</w:t>
      </w:r>
      <w:r>
        <w:rPr>
          <w:spacing w:val="-81"/>
        </w:rPr>
        <w:t> </w:t>
      </w:r>
      <w:r>
        <w:rPr>
          <w:spacing w:val="-81"/>
        </w:rPr>
      </w:r>
      <w:r>
        <w:rPr/>
        <w:t>益工具结算的衍生工具除外。</w:t>
      </w:r>
    </w:p>
    <w:p>
      <w:pPr>
        <w:spacing w:line="240" w:lineRule="auto" w:before="10"/>
        <w:rPr>
          <w:rFonts w:ascii="宋体" w:hAnsi="宋体" w:cs="宋体" w:eastAsia="宋体" w:hint="default"/>
          <w:sz w:val="17"/>
          <w:szCs w:val="17"/>
        </w:rPr>
      </w:pPr>
    </w:p>
    <w:p>
      <w:pPr>
        <w:pStyle w:val="BodyText"/>
        <w:spacing w:line="261" w:lineRule="auto"/>
        <w:ind w:right="1131" w:firstLine="370"/>
        <w:jc w:val="both"/>
      </w:pPr>
      <w:r>
        <w:rPr/>
        <w:t>符合下述条件之一的金融资产，在初始确认时可指定为以公允价值计量且其变动计入当期损益的金融 </w:t>
      </w:r>
      <w:r>
        <w:rPr>
          <w:spacing w:val="-1"/>
        </w:rPr>
        <w:t>资产：</w:t>
      </w:r>
      <w:r>
        <w:rPr>
          <w:rFonts w:ascii="Times New Roman" w:hAnsi="Times New Roman" w:cs="Times New Roman" w:eastAsia="Times New Roman" w:hint="default"/>
          <w:spacing w:val="-1"/>
        </w:rPr>
        <w:t>A.</w:t>
      </w:r>
      <w:r>
        <w:rPr>
          <w:spacing w:val="-1"/>
        </w:rPr>
        <w:t>该指定可以消除或明显减少由于该金融资产的计量基础不同所导致的相关利得或损失在确认或计</w:t>
      </w:r>
      <w:r>
        <w:rPr>
          <w:spacing w:val="-76"/>
        </w:rPr>
        <w:t> </w:t>
      </w:r>
      <w:r>
        <w:rPr>
          <w:spacing w:val="-1"/>
        </w:rPr>
        <w:t>量方面不一致的情况；</w:t>
      </w:r>
      <w:r>
        <w:rPr>
          <w:rFonts w:ascii="Times New Roman" w:hAnsi="Times New Roman" w:cs="Times New Roman" w:eastAsia="Times New Roman" w:hint="default"/>
          <w:spacing w:val="-1"/>
        </w:rPr>
        <w:t>B.</w:t>
      </w:r>
      <w:r>
        <w:rPr>
          <w:spacing w:val="-1"/>
        </w:rPr>
        <w:t>本公司风险管理或投资策略的正式书面文件已载明，对该金融资产所在的金融资</w:t>
      </w:r>
      <w:r>
        <w:rPr>
          <w:spacing w:val="-63"/>
        </w:rPr>
        <w:t> </w:t>
      </w:r>
      <w:r>
        <w:rPr>
          <w:spacing w:val="-63"/>
        </w:rPr>
      </w:r>
      <w:r>
        <w:rPr/>
        <w:t>产组合或金融资产和金融负债组合以公允价值为基础进行管理、评价并向关键管理人员报告。</w:t>
      </w:r>
    </w:p>
    <w:p>
      <w:pPr>
        <w:spacing w:line="240" w:lineRule="auto" w:before="12"/>
        <w:rPr>
          <w:rFonts w:ascii="宋体" w:hAnsi="宋体" w:cs="宋体" w:eastAsia="宋体" w:hint="default"/>
          <w:sz w:val="17"/>
          <w:szCs w:val="17"/>
        </w:rPr>
      </w:pPr>
    </w:p>
    <w:p>
      <w:pPr>
        <w:pStyle w:val="BodyText"/>
        <w:spacing w:line="273" w:lineRule="auto"/>
        <w:ind w:right="1159" w:firstLine="370"/>
        <w:jc w:val="both"/>
      </w:pPr>
      <w:r>
        <w:rPr/>
        <w:t>以公允价值计量且其变动计入当期损益的金融资产采用公允价值进行后续计量，公允价值变动形成的 利得或损失以及与该等金融资产相关的股利和利息收入计入当期损益。</w:t>
      </w:r>
    </w:p>
    <w:p>
      <w:pPr>
        <w:pStyle w:val="BodyText"/>
        <w:spacing w:line="528" w:lineRule="exact" w:before="46"/>
        <w:ind w:left="524" w:right="1022"/>
        <w:jc w:val="left"/>
      </w:pPr>
      <w:r>
        <w:rPr/>
        <w:t>②持有至到期投资 </w:t>
      </w:r>
      <w:r>
        <w:rPr>
          <w:spacing w:val="-2"/>
        </w:rPr>
        <w:t>是指到期日固定、回收金额固定或可确定，且本公司有明确意图和能力持有至到期的非衍生金融资产。</w:t>
      </w:r>
      <w:r>
        <w:rPr>
          <w:spacing w:val="-95"/>
        </w:rPr>
        <w:t> </w:t>
      </w:r>
      <w:r>
        <w:rPr>
          <w:spacing w:val="-95"/>
        </w:rPr>
      </w:r>
      <w:r>
        <w:rPr/>
        <w:t>持有至到期投资采用实际利率法，按摊余成本进行后续计量，在终止确认、发生减值或摊销时产生的</w:t>
      </w:r>
    </w:p>
    <w:p>
      <w:pPr>
        <w:pStyle w:val="BodyText"/>
        <w:spacing w:line="236" w:lineRule="exact"/>
        <w:ind w:right="0"/>
        <w:jc w:val="both"/>
      </w:pPr>
      <w:r>
        <w:rPr/>
        <w:t>利得或损失，计入当期损益。</w:t>
      </w:r>
    </w:p>
    <w:p>
      <w:pPr>
        <w:spacing w:line="240" w:lineRule="auto" w:before="5"/>
        <w:rPr>
          <w:rFonts w:ascii="宋体" w:hAnsi="宋体" w:cs="宋体" w:eastAsia="宋体" w:hint="default"/>
          <w:sz w:val="19"/>
          <w:szCs w:val="19"/>
        </w:rPr>
      </w:pPr>
    </w:p>
    <w:p>
      <w:pPr>
        <w:pStyle w:val="BodyText"/>
        <w:spacing w:line="273" w:lineRule="auto"/>
        <w:ind w:right="1132" w:firstLine="370"/>
        <w:jc w:val="both"/>
      </w:pPr>
      <w:r>
        <w:rPr/>
        <w:t>实际利率法是指按照金融资产或金融负债（含一组金融资产或金融负债）的实际利率计算其摊余成本 </w:t>
      </w:r>
      <w:r>
        <w:rPr>
          <w:spacing w:val="-1"/>
        </w:rPr>
        <w:t>及各期利息收入或支出的方法。实际利率是指将金融资产或金融负债在预期存续期间或适用的更短期间内</w:t>
      </w:r>
      <w:r>
        <w:rPr>
          <w:spacing w:val="-81"/>
        </w:rPr>
        <w:t> </w:t>
      </w:r>
      <w:r>
        <w:rPr>
          <w:spacing w:val="-81"/>
        </w:rPr>
      </w:r>
      <w:r>
        <w:rPr/>
        <w:t>的未来现金流量，折现为该金融资产或金融负债当前账面价值所使用的利率。</w:t>
      </w:r>
    </w:p>
    <w:p>
      <w:pPr>
        <w:spacing w:line="240" w:lineRule="auto" w:before="1"/>
        <w:rPr>
          <w:rFonts w:ascii="宋体" w:hAnsi="宋体" w:cs="宋体" w:eastAsia="宋体" w:hint="default"/>
          <w:sz w:val="17"/>
          <w:szCs w:val="17"/>
        </w:rPr>
      </w:pPr>
    </w:p>
    <w:p>
      <w:pPr>
        <w:pStyle w:val="BodyText"/>
        <w:spacing w:line="273" w:lineRule="auto"/>
        <w:ind w:right="1131" w:firstLine="370"/>
        <w:jc w:val="both"/>
      </w:pPr>
      <w:r>
        <w:rPr>
          <w:spacing w:val="-5"/>
        </w:rPr>
        <w:t>在计算实际利率时，本公司将在考虑金融资产或金融负债所有合同条款的基础上预计未来现金流量（不</w:t>
      </w:r>
      <w:r>
        <w:rPr/>
        <w:t> </w:t>
      </w:r>
      <w:r>
        <w:rPr>
          <w:spacing w:val="-1"/>
        </w:rPr>
        <w:t>考虑未来的信用损失），同时还将考虑金融资产或金融负债合同各方之间支付或收取的、属于实际利率组</w:t>
      </w:r>
      <w:r>
        <w:rPr>
          <w:spacing w:val="-83"/>
        </w:rPr>
        <w:t> </w:t>
      </w:r>
      <w:r>
        <w:rPr>
          <w:spacing w:val="-83"/>
        </w:rPr>
      </w:r>
      <w:r>
        <w:rPr/>
        <w:t>成部分的各项收费、交易费用及折价或溢价等。</w:t>
      </w:r>
    </w:p>
    <w:p>
      <w:pPr>
        <w:pStyle w:val="BodyText"/>
        <w:spacing w:line="528" w:lineRule="exact" w:before="46"/>
        <w:ind w:left="524" w:right="1142"/>
        <w:jc w:val="left"/>
      </w:pPr>
      <w:r>
        <w:rPr/>
        <w:t>③贷款和应收款项 是指在活跃市场中没有报价、回收金额固定或可确定的非衍生金融资产。本公司划分为贷款和应收款</w:t>
      </w:r>
    </w:p>
    <w:p>
      <w:pPr>
        <w:pStyle w:val="BodyText"/>
        <w:spacing w:line="236" w:lineRule="exact"/>
        <w:ind w:right="0"/>
        <w:jc w:val="both"/>
      </w:pPr>
      <w:r>
        <w:rPr/>
        <w:t>的金融资产包括应收票据、应收账款、应收利息、应收股利及其他应收款等。</w:t>
      </w:r>
    </w:p>
    <w:p>
      <w:pPr>
        <w:spacing w:line="240" w:lineRule="auto" w:before="5"/>
        <w:rPr>
          <w:rFonts w:ascii="宋体" w:hAnsi="宋体" w:cs="宋体" w:eastAsia="宋体" w:hint="default"/>
          <w:sz w:val="19"/>
          <w:szCs w:val="19"/>
        </w:rPr>
      </w:pPr>
    </w:p>
    <w:p>
      <w:pPr>
        <w:pStyle w:val="BodyText"/>
        <w:spacing w:line="273" w:lineRule="auto"/>
        <w:ind w:right="1159" w:firstLine="370"/>
        <w:jc w:val="both"/>
      </w:pPr>
      <w:r>
        <w:rPr/>
        <w:t>贷款和应收款项采用实际利率法，按摊余成本进行后续计量，在终止确认、发生减值或摊销时产生的 利得或损失，计入当期损益。</w:t>
      </w:r>
    </w:p>
    <w:p>
      <w:pPr>
        <w:pStyle w:val="BodyText"/>
        <w:spacing w:line="528" w:lineRule="exact" w:before="46"/>
        <w:ind w:left="524" w:right="1142"/>
        <w:jc w:val="left"/>
      </w:pPr>
      <w:r>
        <w:rPr/>
        <w:t>④可供出售金融资产 包括初始确认时即被指定为可供出售的非衍生金融资产，以及除了以公允价值计量且其变动计入当期</w:t>
      </w:r>
    </w:p>
    <w:p>
      <w:pPr>
        <w:pStyle w:val="BodyText"/>
        <w:spacing w:line="236" w:lineRule="exact"/>
        <w:ind w:right="0"/>
        <w:jc w:val="both"/>
      </w:pPr>
      <w:r>
        <w:rPr/>
        <w:t>损益的金融资产、贷款和应收款项、持有至到期投资以外的金融资产。</w:t>
      </w:r>
    </w:p>
    <w:p>
      <w:pPr>
        <w:spacing w:line="240" w:lineRule="auto" w:before="5"/>
        <w:rPr>
          <w:rFonts w:ascii="宋体" w:hAnsi="宋体" w:cs="宋体" w:eastAsia="宋体" w:hint="default"/>
          <w:sz w:val="19"/>
          <w:szCs w:val="19"/>
        </w:rPr>
      </w:pPr>
    </w:p>
    <w:p>
      <w:pPr>
        <w:pStyle w:val="BodyText"/>
        <w:spacing w:line="273" w:lineRule="auto"/>
        <w:ind w:right="1131" w:firstLine="370"/>
        <w:jc w:val="both"/>
      </w:pPr>
      <w:r>
        <w:rPr/>
        <w:t>可供出售债务工具投资的期末成本按照其摊余成本法确定，即初始确认金额扣除已偿还的本金，加上 </w:t>
      </w:r>
      <w:r>
        <w:rPr>
          <w:spacing w:val="-1"/>
        </w:rPr>
        <w:t>或减去采用实际利率法将该初始确认金额与到期日金额之间的差额进行摊销形成的累计摊销额，并扣除已</w:t>
      </w:r>
      <w:r>
        <w:rPr>
          <w:spacing w:val="-81"/>
        </w:rPr>
        <w:t> </w:t>
      </w:r>
      <w:r>
        <w:rPr>
          <w:spacing w:val="-81"/>
        </w:rPr>
      </w:r>
      <w:r>
        <w:rPr/>
        <w:t>发生的减值损失后的金额。可供出售权益工具投资的期末成本为其初始取得成本。</w:t>
      </w:r>
    </w:p>
    <w:p>
      <w:pPr>
        <w:spacing w:line="240" w:lineRule="auto" w:before="2"/>
        <w:rPr>
          <w:rFonts w:ascii="宋体" w:hAnsi="宋体" w:cs="宋体" w:eastAsia="宋体" w:hint="default"/>
          <w:sz w:val="17"/>
          <w:szCs w:val="17"/>
        </w:rPr>
      </w:pPr>
    </w:p>
    <w:p>
      <w:pPr>
        <w:pStyle w:val="BodyText"/>
        <w:spacing w:line="273" w:lineRule="auto"/>
        <w:ind w:right="1131" w:firstLine="370"/>
        <w:jc w:val="both"/>
      </w:pPr>
      <w:r>
        <w:rPr/>
        <w:t>可供出售金融资产采用公允价值进行后续计量，公允价值变动形成的利得或损失，除减值损失和外币 </w:t>
      </w:r>
      <w:r>
        <w:rPr>
          <w:spacing w:val="-1"/>
        </w:rPr>
        <w:t>货币性金融资产与摊余成本相关的汇兑差额计入当期损益外，确认为其他综合收益，在该金融资产终止确</w:t>
      </w:r>
      <w:r>
        <w:rPr>
          <w:spacing w:val="-81"/>
        </w:rPr>
        <w:t> </w:t>
      </w:r>
      <w:r>
        <w:rPr>
          <w:spacing w:val="-81"/>
        </w:rPr>
      </w:r>
      <w:r>
        <w:rPr>
          <w:spacing w:val="-1"/>
        </w:rPr>
        <w:t>认时转出，计入当期损益。但是，在活跃市场中没有报价且其公允价值不能可靠计量的权益工具投资，以</w:t>
      </w:r>
      <w:r>
        <w:rPr>
          <w:spacing w:val="-85"/>
        </w:rPr>
        <w:t> </w:t>
      </w:r>
      <w:r>
        <w:rPr>
          <w:spacing w:val="-85"/>
        </w:rPr>
      </w:r>
      <w:r>
        <w:rPr/>
        <w:t>及与该权益工具挂钩并须通过交付该权益工具结算的衍生金融资产，按照成本进行后续计量。</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524" w:right="0"/>
        <w:jc w:val="left"/>
      </w:pPr>
      <w:r>
        <w:rPr/>
        <w:t>可供出售金融资产持有期间取得的利息及被投资单位宣告发放的现金股利，计入投资收益。</w:t>
      </w:r>
    </w:p>
    <w:p>
      <w:pPr>
        <w:pStyle w:val="BodyText"/>
        <w:spacing w:line="510" w:lineRule="atLeast" w:before="34"/>
        <w:ind w:left="524" w:right="1142"/>
        <w:jc w:val="left"/>
      </w:pPr>
      <w:r>
        <w:rPr/>
        <w:t>（</w:t>
      </w:r>
      <w:r>
        <w:rPr>
          <w:rFonts w:ascii="Times New Roman" w:hAnsi="Times New Roman" w:cs="Times New Roman" w:eastAsia="Times New Roman" w:hint="default"/>
        </w:rPr>
        <w:t>3</w:t>
      </w:r>
      <w:r>
        <w:rPr/>
        <w:t>）金融资产减值 除了以公允价值计量且其变动计入当期损益的金融资产外，本公司在每个资产负债表日对其他金融资</w:t>
      </w:r>
    </w:p>
    <w:p>
      <w:pPr>
        <w:pStyle w:val="BodyText"/>
        <w:spacing w:line="240" w:lineRule="auto" w:before="37"/>
        <w:ind w:right="0"/>
        <w:jc w:val="left"/>
      </w:pPr>
      <w:r>
        <w:rPr/>
        <w:t>产的账面价值进行检查，有客观证据表明金融资产发生减值的，计提减值准备。</w:t>
      </w:r>
    </w:p>
    <w:p>
      <w:pPr>
        <w:spacing w:line="240" w:lineRule="auto" w:before="5"/>
        <w:rPr>
          <w:rFonts w:ascii="宋体" w:hAnsi="宋体" w:cs="宋体" w:eastAsia="宋体" w:hint="default"/>
          <w:sz w:val="19"/>
          <w:szCs w:val="19"/>
        </w:rPr>
      </w:pPr>
    </w:p>
    <w:p>
      <w:pPr>
        <w:pStyle w:val="BodyText"/>
        <w:spacing w:line="273" w:lineRule="auto"/>
        <w:ind w:right="1159" w:firstLine="370"/>
        <w:jc w:val="both"/>
      </w:pPr>
      <w:r>
        <w:rPr/>
        <w:t>本公司对单项金额重大的金融资产单独进行减值测试；对单项金额不重大的金融资产，单独进行减值 测试或包括在具有类似信用风险特征的金融资产组合中进行减值测试。单独测试未发生减值的金融资产</w:t>
      </w:r>
    </w:p>
    <w:p>
      <w:pPr>
        <w:pStyle w:val="BodyText"/>
        <w:spacing w:line="273" w:lineRule="auto" w:before="7"/>
        <w:ind w:right="1023"/>
        <w:jc w:val="left"/>
      </w:pPr>
      <w:r>
        <w:rPr/>
        <w:t>（包括单项金额重大和不重大的金融资产），包括在具有类似信用风险特征的金融资产组合中再进行减值 </w:t>
      </w:r>
      <w:r>
        <w:rPr>
          <w:spacing w:val="-3"/>
        </w:rPr>
        <w:t>测试。已单项确认减值损失的金融资产，不包括在具有类似信用风险特征的金融资产组合中进行减值测试。</w:t>
      </w:r>
    </w:p>
    <w:p>
      <w:pPr>
        <w:pStyle w:val="BodyText"/>
        <w:spacing w:line="528" w:lineRule="exact" w:before="46"/>
        <w:ind w:left="524" w:right="1142"/>
        <w:jc w:val="left"/>
      </w:pPr>
      <w:r>
        <w:rPr/>
        <w:t>①持有至到期投资、贷款和应收款项减值 以成本或摊余成本计量的金融资产将其账面价值减记至预计未来现金流量现值，减记金额确认为减值</w:t>
      </w:r>
    </w:p>
    <w:p>
      <w:pPr>
        <w:pStyle w:val="BodyText"/>
        <w:spacing w:line="236" w:lineRule="exact"/>
        <w:ind w:right="0"/>
        <w:jc w:val="left"/>
      </w:pPr>
      <w:r>
        <w:rPr/>
        <w:t>损失，计入当期损益。金融资产在确认减值损失后，如有客观证据表明该金融资产价值已恢复，且客观上</w:t>
      </w:r>
    </w:p>
    <w:p>
      <w:pPr>
        <w:pStyle w:val="BodyText"/>
        <w:spacing w:line="273" w:lineRule="auto" w:before="37"/>
        <w:ind w:right="0"/>
        <w:jc w:val="left"/>
      </w:pPr>
      <w:r>
        <w:rPr>
          <w:spacing w:val="-1"/>
        </w:rPr>
        <w:t>与确认该损失后发生的事项有关，原确认的减值损失予以转回，金融资产转回减值损失后的账面价值不超</w:t>
      </w:r>
      <w:r>
        <w:rPr>
          <w:spacing w:val="-81"/>
        </w:rPr>
        <w:t> </w:t>
      </w:r>
      <w:r>
        <w:rPr>
          <w:spacing w:val="-81"/>
        </w:rPr>
      </w:r>
      <w:r>
        <w:rPr/>
        <w:t>过假定不计提减值准备情况下该金融资产在转回日的摊余成本。</w:t>
      </w:r>
    </w:p>
    <w:p>
      <w:pPr>
        <w:pStyle w:val="BodyText"/>
        <w:spacing w:line="528" w:lineRule="exact" w:before="46"/>
        <w:ind w:left="524" w:right="0"/>
        <w:jc w:val="left"/>
      </w:pPr>
      <w:r>
        <w:rPr/>
        <w:t>②可供出售金融资产减值 当综合相关因素判断可供出售权益工具投资公允价值下跌是严重或非暂时性下跌时，表明该可供出售</w:t>
      </w:r>
    </w:p>
    <w:p>
      <w:pPr>
        <w:pStyle w:val="BodyText"/>
        <w:spacing w:line="252" w:lineRule="exact"/>
        <w:ind w:right="0"/>
        <w:jc w:val="left"/>
      </w:pPr>
      <w:r>
        <w:rPr/>
        <w:t>权益工具投资发生减值。其中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w:t>
      </w:r>
    </w:p>
    <w:p>
      <w:pPr>
        <w:pStyle w:val="BodyText"/>
        <w:spacing w:line="240" w:lineRule="auto" w:before="21"/>
        <w:ind w:right="0"/>
        <w:jc w:val="left"/>
      </w:pPr>
      <w:r>
        <w:rPr/>
        <w:t>价值连续下跌时间超过</w:t>
      </w:r>
      <w:r>
        <w:rPr>
          <w:rFonts w:ascii="Times New Roman" w:hAnsi="Times New Roman" w:cs="Times New Roman" w:eastAsia="Times New Roman" w:hint="default"/>
        </w:rPr>
        <w:t>12</w:t>
      </w:r>
      <w:r>
        <w:rPr/>
        <w:t>个月。</w:t>
      </w:r>
    </w:p>
    <w:p>
      <w:pPr>
        <w:spacing w:line="240" w:lineRule="auto" w:before="2"/>
        <w:rPr>
          <w:rFonts w:ascii="宋体" w:hAnsi="宋体" w:cs="宋体" w:eastAsia="宋体" w:hint="default"/>
          <w:sz w:val="18"/>
          <w:szCs w:val="18"/>
        </w:rPr>
      </w:pPr>
    </w:p>
    <w:p>
      <w:pPr>
        <w:pStyle w:val="BodyText"/>
        <w:spacing w:line="273" w:lineRule="auto"/>
        <w:ind w:right="1131" w:firstLine="370"/>
        <w:jc w:val="both"/>
      </w:pPr>
      <w:r>
        <w:rPr/>
        <w:t>可供出售金融资产发生减值时，将原计入其他综合收益的因公允价值下降形成的累计损失予以转出并 </w:t>
      </w:r>
      <w:r>
        <w:rPr>
          <w:spacing w:val="-1"/>
        </w:rPr>
        <w:t>计入当期损益，该转出的累计损失为该资产初始取得成本扣除已收回本金和已摊销金额、当前公允价值和</w:t>
      </w:r>
      <w:r>
        <w:rPr>
          <w:spacing w:val="-81"/>
        </w:rPr>
        <w:t> </w:t>
      </w:r>
      <w:r>
        <w:rPr>
          <w:spacing w:val="-81"/>
        </w:rPr>
      </w:r>
      <w:r>
        <w:rPr/>
        <w:t>原已计入损益的减值损失后的余额。</w:t>
      </w:r>
    </w:p>
    <w:p>
      <w:pPr>
        <w:spacing w:line="240" w:lineRule="auto" w:before="1"/>
        <w:rPr>
          <w:rFonts w:ascii="宋体" w:hAnsi="宋体" w:cs="宋体" w:eastAsia="宋体" w:hint="default"/>
          <w:sz w:val="17"/>
          <w:szCs w:val="17"/>
        </w:rPr>
      </w:pPr>
    </w:p>
    <w:p>
      <w:pPr>
        <w:pStyle w:val="BodyText"/>
        <w:spacing w:line="273" w:lineRule="auto"/>
        <w:ind w:right="1131" w:firstLine="370"/>
        <w:jc w:val="both"/>
      </w:pPr>
      <w:r>
        <w:rPr/>
        <w:t>在确认减值损失后，期后如有客观证据表明该金融资产价值已恢复，且客观上与确认该损失后发生的 </w:t>
      </w:r>
      <w:r>
        <w:rPr>
          <w:spacing w:val="-1"/>
        </w:rPr>
        <w:t>事项有关，原确认的减值损失予以转回，可供出售权益工具投资的减值损失转回确认为其他综合收益，可</w:t>
      </w:r>
      <w:r>
        <w:rPr>
          <w:spacing w:val="-83"/>
        </w:rPr>
        <w:t> </w:t>
      </w:r>
      <w:r>
        <w:rPr>
          <w:spacing w:val="-83"/>
        </w:rPr>
      </w:r>
      <w:r>
        <w:rPr/>
        <w:t>供出售债务工具的减值损失转回计入当期损益。</w:t>
      </w:r>
    </w:p>
    <w:p>
      <w:pPr>
        <w:spacing w:line="240" w:lineRule="auto" w:before="1"/>
        <w:rPr>
          <w:rFonts w:ascii="宋体" w:hAnsi="宋体" w:cs="宋体" w:eastAsia="宋体" w:hint="default"/>
          <w:sz w:val="17"/>
          <w:szCs w:val="17"/>
        </w:rPr>
      </w:pPr>
    </w:p>
    <w:p>
      <w:pPr>
        <w:pStyle w:val="BodyText"/>
        <w:spacing w:line="273" w:lineRule="auto"/>
        <w:ind w:right="1159" w:firstLine="370"/>
        <w:jc w:val="both"/>
      </w:pPr>
      <w:r>
        <w:rPr/>
        <w:t>在活跃市场中没有报价且其公允价值不能可靠计量的权益工具投资，或与该权益工具挂钩并须通过交 付该权益工具结算的衍生金融资产的减值损失，不予转回。</w:t>
      </w:r>
    </w:p>
    <w:p>
      <w:pPr>
        <w:pStyle w:val="BodyText"/>
        <w:spacing w:line="510" w:lineRule="atLeast" w:before="4"/>
        <w:ind w:left="524" w:right="1142"/>
        <w:jc w:val="left"/>
      </w:pPr>
      <w:r>
        <w:rPr/>
        <w:t>（</w:t>
      </w:r>
      <w:r>
        <w:rPr>
          <w:rFonts w:ascii="Times New Roman" w:hAnsi="Times New Roman" w:cs="Times New Roman" w:eastAsia="Times New Roman" w:hint="default"/>
        </w:rPr>
        <w:t>4</w:t>
      </w:r>
      <w:r>
        <w:rPr/>
        <w:t>）金融资产转移的确认依据和计量方法 满足下列条件之一的金融资产，予以终止确认：①收取该金融资产现金流量的合同权利终止；②该金</w:t>
      </w:r>
    </w:p>
    <w:p>
      <w:pPr>
        <w:pStyle w:val="BodyText"/>
        <w:spacing w:line="273" w:lineRule="auto" w:before="37"/>
        <w:ind w:right="0"/>
        <w:jc w:val="left"/>
      </w:pPr>
      <w:r>
        <w:rPr>
          <w:spacing w:val="-1"/>
        </w:rPr>
        <w:t>融资产已转移，且将金融资产所有权上几乎所有的风险和报酬转移给转入方；③该金融资产已转移，虽然</w:t>
      </w:r>
      <w:r>
        <w:rPr>
          <w:spacing w:val="-82"/>
        </w:rPr>
        <w:t> </w:t>
      </w:r>
      <w:r>
        <w:rPr>
          <w:spacing w:val="-82"/>
        </w:rPr>
      </w:r>
      <w:r>
        <w:rPr/>
        <w:t>企业既没有转移也没有保留金融资产所有权上几乎所有的风险和报酬，但是放弃了对该金融资产控制。</w:t>
      </w:r>
    </w:p>
    <w:p>
      <w:pPr>
        <w:spacing w:line="240" w:lineRule="auto" w:before="1"/>
        <w:rPr>
          <w:rFonts w:ascii="宋体" w:hAnsi="宋体" w:cs="宋体" w:eastAsia="宋体" w:hint="default"/>
          <w:sz w:val="17"/>
          <w:szCs w:val="17"/>
        </w:rPr>
      </w:pPr>
    </w:p>
    <w:p>
      <w:pPr>
        <w:pStyle w:val="BodyText"/>
        <w:spacing w:line="273" w:lineRule="auto"/>
        <w:ind w:right="1131" w:firstLine="370"/>
        <w:jc w:val="both"/>
      </w:pPr>
      <w:r>
        <w:rPr/>
        <w:t>若企业既没有转移也没有保留金融资产所有权上几乎所有的风险和报酬，且未放弃对该金融资产的控 </w:t>
      </w:r>
      <w:r>
        <w:rPr>
          <w:spacing w:val="-1"/>
        </w:rPr>
        <w:t>制的，则按照继续涉入所转移金融资产的程度确认有关金融资产，并相应确认有关负债。继续涉入所转移</w:t>
      </w:r>
      <w:r>
        <w:rPr>
          <w:spacing w:val="-83"/>
        </w:rPr>
        <w:t> </w:t>
      </w:r>
      <w:r>
        <w:rPr>
          <w:spacing w:val="-83"/>
        </w:rPr>
      </w:r>
      <w:r>
        <w:rPr/>
        <w:t>金融资产的程度，是指该金融资产价值变动使企业面临的风险水平。</w:t>
      </w:r>
    </w:p>
    <w:p>
      <w:pPr>
        <w:spacing w:line="240" w:lineRule="auto" w:before="1"/>
        <w:rPr>
          <w:rFonts w:ascii="宋体" w:hAnsi="宋体" w:cs="宋体" w:eastAsia="宋体" w:hint="default"/>
          <w:sz w:val="17"/>
          <w:szCs w:val="17"/>
        </w:rPr>
      </w:pPr>
    </w:p>
    <w:p>
      <w:pPr>
        <w:pStyle w:val="BodyText"/>
        <w:spacing w:line="273" w:lineRule="auto"/>
        <w:ind w:right="1159" w:firstLine="370"/>
        <w:jc w:val="both"/>
      </w:pPr>
      <w:r>
        <w:rPr/>
        <w:t>金融资产整体转移满足终止确认条件的，将所转移金融资产的账面价值及因转移而收到的对价与原计 入其他综合收益的公允价值变动累计额之和的差额计入当期损益。</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2" w:firstLine="370"/>
        <w:jc w:val="both"/>
      </w:pPr>
      <w:r>
        <w:rPr/>
        <w:t>金融资产部分转移满足终止确认条件的，将所转移金融资产的账面价值在终止确认及未终止确认部分 </w:t>
      </w:r>
      <w:r>
        <w:rPr>
          <w:spacing w:val="-1"/>
        </w:rPr>
        <w:t>之间按其相对的公允价值进行分摊，并将因转移而收到的对价与应分摊至终止确认部分的原计入其他综合</w:t>
      </w:r>
      <w:r>
        <w:rPr>
          <w:spacing w:val="-81"/>
        </w:rPr>
        <w:t> </w:t>
      </w:r>
      <w:r>
        <w:rPr>
          <w:spacing w:val="-81"/>
        </w:rPr>
      </w:r>
      <w:r>
        <w:rPr/>
        <w:t>收益的公允价值变动累计额之和与分摊的前述账面金额之差额计入当期损益。</w:t>
      </w:r>
    </w:p>
    <w:p>
      <w:pPr>
        <w:spacing w:line="240" w:lineRule="auto" w:before="2"/>
        <w:rPr>
          <w:rFonts w:ascii="宋体" w:hAnsi="宋体" w:cs="宋体" w:eastAsia="宋体" w:hint="default"/>
          <w:sz w:val="17"/>
          <w:szCs w:val="17"/>
        </w:rPr>
      </w:pPr>
    </w:p>
    <w:p>
      <w:pPr>
        <w:pStyle w:val="BodyText"/>
        <w:spacing w:line="273" w:lineRule="auto"/>
        <w:ind w:right="1110" w:firstLine="370"/>
        <w:jc w:val="both"/>
      </w:pPr>
      <w:r>
        <w:rPr/>
        <w:t>本公司对采用附追索权方式出售的金融资产，或将持有的金融资产背书转让，需确定该金融资产所有 </w:t>
      </w:r>
      <w:r>
        <w:rPr>
          <w:spacing w:val="-1"/>
        </w:rPr>
        <w:t>权上几乎所有的风险和报酬是否已经转移。已将该金融资产所有权上几乎所有的风险和报酬转移给转入方</w:t>
      </w:r>
      <w:r>
        <w:rPr>
          <w:spacing w:val="-81"/>
        </w:rPr>
        <w:t> </w:t>
      </w:r>
      <w:r>
        <w:rPr>
          <w:spacing w:val="-81"/>
        </w:rPr>
      </w:r>
      <w:r>
        <w:rPr/>
        <w:t>的，终止确认该金融资产；保留了金融资产所有权上几乎所有的风险和报酬的，不终止确认该金融资产； </w:t>
      </w:r>
      <w:r>
        <w:rPr>
          <w:spacing w:val="-1"/>
        </w:rPr>
        <w:t>既没有转移也没有保留金融资产所有权上几乎所有的风险和报酬的，则继续判断企业是否对该资产保留了</w:t>
      </w:r>
      <w:r>
        <w:rPr>
          <w:spacing w:val="-81"/>
        </w:rPr>
        <w:t> </w:t>
      </w:r>
      <w:r>
        <w:rPr>
          <w:spacing w:val="-81"/>
        </w:rPr>
      </w:r>
      <w:r>
        <w:rPr/>
        <w:t>控制，并根据前面各段所述的原则进行会计处理。</w:t>
      </w:r>
    </w:p>
    <w:p>
      <w:pPr>
        <w:pStyle w:val="BodyText"/>
        <w:spacing w:line="510" w:lineRule="atLeast" w:before="4"/>
        <w:ind w:left="524" w:right="1142"/>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金融负债在初始确认时划分为以公允价值计量且其变动计入当期损益的金融负债和其他金融负债。初</w:t>
      </w:r>
    </w:p>
    <w:p>
      <w:pPr>
        <w:pStyle w:val="BodyText"/>
        <w:spacing w:line="273" w:lineRule="auto" w:before="37"/>
        <w:ind w:right="0"/>
        <w:jc w:val="left"/>
      </w:pPr>
      <w:r>
        <w:rPr>
          <w:spacing w:val="-1"/>
        </w:rPr>
        <w:t>始确认金融负债，以公允价值计量。对于以公允价值计量且其变动计入当期损益的金融负债，相关的交易</w:t>
      </w:r>
      <w:r>
        <w:rPr>
          <w:spacing w:val="-83"/>
        </w:rPr>
        <w:t> </w:t>
      </w:r>
      <w:r>
        <w:rPr>
          <w:spacing w:val="-83"/>
        </w:rPr>
      </w:r>
      <w:r>
        <w:rPr/>
        <w:t>费用直接计入当期损益，对于其他金融负债，相关交易费用计入初始确认金额。</w:t>
      </w:r>
    </w:p>
    <w:p>
      <w:pPr>
        <w:pStyle w:val="BodyText"/>
        <w:spacing w:line="528" w:lineRule="exact" w:before="46"/>
        <w:ind w:left="524" w:right="1142"/>
        <w:jc w:val="left"/>
      </w:pPr>
      <w:r>
        <w:rPr/>
        <w:t>①以公允价值计量且其变动计入当期损益的金融负债 分类为交易性金融负债和在初始确认时指定为以公允价值计量且其变动计入当期损益的金融负债的条</w:t>
      </w:r>
    </w:p>
    <w:p>
      <w:pPr>
        <w:pStyle w:val="BodyText"/>
        <w:spacing w:line="236" w:lineRule="exact"/>
        <w:ind w:right="0"/>
        <w:jc w:val="left"/>
      </w:pPr>
      <w:r>
        <w:rPr/>
        <w:t>件与分类为交易性金融资产和在初始确认时指定为以公允价值计量且其变动计入当期损益的金融资产的</w:t>
      </w:r>
    </w:p>
    <w:p>
      <w:pPr>
        <w:pStyle w:val="BodyText"/>
        <w:spacing w:line="240" w:lineRule="auto" w:before="37"/>
        <w:ind w:right="0"/>
        <w:jc w:val="left"/>
      </w:pPr>
      <w:r>
        <w:rPr/>
        <w:t>条件一致。</w:t>
      </w:r>
    </w:p>
    <w:p>
      <w:pPr>
        <w:spacing w:line="240" w:lineRule="auto" w:before="5"/>
        <w:rPr>
          <w:rFonts w:ascii="宋体" w:hAnsi="宋体" w:cs="宋体" w:eastAsia="宋体" w:hint="default"/>
          <w:sz w:val="19"/>
          <w:szCs w:val="19"/>
        </w:rPr>
      </w:pPr>
    </w:p>
    <w:p>
      <w:pPr>
        <w:pStyle w:val="BodyText"/>
        <w:spacing w:line="273" w:lineRule="auto"/>
        <w:ind w:right="1159" w:firstLine="370"/>
        <w:jc w:val="both"/>
      </w:pPr>
      <w:r>
        <w:rPr/>
        <w:t>以公允价值计量且其变动计入当期损益的金融负债采用公允价值进行后续计量，公允价值的变动形成 的利得或损失以及与该等金融负债相关的股利和利息支出计入当期损益。</w:t>
      </w:r>
    </w:p>
    <w:p>
      <w:pPr>
        <w:spacing w:line="240" w:lineRule="auto" w:before="2"/>
        <w:rPr>
          <w:rFonts w:ascii="宋体" w:hAnsi="宋体" w:cs="宋体" w:eastAsia="宋体" w:hint="default"/>
          <w:sz w:val="17"/>
          <w:szCs w:val="17"/>
        </w:rPr>
      </w:pPr>
    </w:p>
    <w:p>
      <w:pPr>
        <w:pStyle w:val="BodyText"/>
        <w:spacing w:line="240" w:lineRule="auto"/>
        <w:ind w:left="524" w:right="0"/>
        <w:jc w:val="left"/>
      </w:pPr>
      <w:r>
        <w:rPr/>
        <w:t>②其他金融负债</w:t>
      </w:r>
    </w:p>
    <w:p>
      <w:pPr>
        <w:spacing w:line="240" w:lineRule="auto" w:before="6"/>
        <w:rPr>
          <w:rFonts w:ascii="宋体" w:hAnsi="宋体" w:cs="宋体" w:eastAsia="宋体" w:hint="default"/>
          <w:sz w:val="18"/>
          <w:szCs w:val="18"/>
        </w:rPr>
      </w:pPr>
    </w:p>
    <w:p>
      <w:pPr>
        <w:spacing w:line="259" w:lineRule="auto" w:before="0"/>
        <w:ind w:left="154" w:right="1133" w:firstLine="370"/>
        <w:jc w:val="both"/>
        <w:rPr>
          <w:rFonts w:ascii="宋体" w:hAnsi="宋体" w:cs="宋体" w:eastAsia="宋体" w:hint="default"/>
          <w:sz w:val="22"/>
          <w:szCs w:val="22"/>
        </w:rPr>
      </w:pPr>
      <w:r>
        <w:rPr>
          <w:rFonts w:ascii="宋体" w:hAnsi="宋体" w:cs="宋体" w:eastAsia="宋体" w:hint="default"/>
          <w:i/>
          <w:w w:val="95"/>
          <w:sz w:val="22"/>
          <w:szCs w:val="22"/>
        </w:rPr>
        <w:t>与在活跃市场中没有报价、公允价值不能可靠计量的权益工具挂钩并须通过交付该权益工具结算的衍</w:t>
      </w:r>
      <w:r>
        <w:rPr>
          <w:rFonts w:ascii="宋体" w:hAnsi="宋体" w:cs="宋体" w:eastAsia="宋体" w:hint="default"/>
          <w:i/>
          <w:w w:val="95"/>
          <w:sz w:val="22"/>
          <w:szCs w:val="22"/>
        </w:rPr>
        <w:t> </w:t>
      </w:r>
      <w:r>
        <w:rPr>
          <w:rFonts w:ascii="宋体" w:hAnsi="宋体" w:cs="宋体" w:eastAsia="宋体" w:hint="default"/>
          <w:i/>
          <w:spacing w:val="-1"/>
          <w:w w:val="95"/>
          <w:sz w:val="22"/>
          <w:szCs w:val="22"/>
        </w:rPr>
        <w:t>生金融负债，按照成本进行后续计量。其他金融负债采用实际利率法，按摊余成本进行后续计量，终止确</w:t>
      </w:r>
      <w:r>
        <w:rPr>
          <w:rFonts w:ascii="宋体" w:hAnsi="宋体" w:cs="宋体" w:eastAsia="宋体" w:hint="default"/>
          <w:i/>
          <w:spacing w:val="-40"/>
          <w:w w:val="95"/>
          <w:sz w:val="22"/>
          <w:szCs w:val="22"/>
        </w:rPr>
        <w:t> </w:t>
      </w:r>
      <w:r>
        <w:rPr>
          <w:rFonts w:ascii="宋体" w:hAnsi="宋体" w:cs="宋体" w:eastAsia="宋体" w:hint="default"/>
          <w:i/>
          <w:spacing w:val="-40"/>
          <w:w w:val="95"/>
          <w:sz w:val="22"/>
          <w:szCs w:val="22"/>
        </w:rPr>
      </w:r>
      <w:r>
        <w:rPr>
          <w:rFonts w:ascii="宋体" w:hAnsi="宋体" w:cs="宋体" w:eastAsia="宋体" w:hint="default"/>
          <w:i/>
          <w:sz w:val="22"/>
          <w:szCs w:val="22"/>
        </w:rPr>
        <w:t>认或摊销产生的利得或损失计入当期损益。</w:t>
      </w:r>
      <w:r>
        <w:rPr>
          <w:rFonts w:ascii="宋体" w:hAnsi="宋体" w:cs="宋体" w:eastAsia="宋体" w:hint="default"/>
          <w:sz w:val="22"/>
          <w:szCs w:val="22"/>
        </w:rPr>
      </w:r>
    </w:p>
    <w:p>
      <w:pPr>
        <w:pStyle w:val="BodyText"/>
        <w:spacing w:line="510" w:lineRule="atLeast" w:before="15"/>
        <w:ind w:left="524" w:right="1022"/>
        <w:jc w:val="left"/>
      </w:pPr>
      <w:r>
        <w:rPr/>
        <w:t>（</w:t>
      </w:r>
      <w:r>
        <w:rPr>
          <w:rFonts w:ascii="Times New Roman" w:hAnsi="Times New Roman" w:cs="Times New Roman" w:eastAsia="Times New Roman" w:hint="default"/>
        </w:rPr>
        <w:t>6</w:t>
      </w:r>
      <w:r>
        <w:rPr/>
        <w:t>）金融负债的终止确认 </w:t>
      </w:r>
      <w:r>
        <w:rPr>
          <w:spacing w:val="-2"/>
        </w:rPr>
        <w:t>金融负债的现时义务全部或部分已经解除的，才能终止确认该金融负债或其一部分。本公司（债务人）</w:t>
      </w:r>
    </w:p>
    <w:p>
      <w:pPr>
        <w:pStyle w:val="BodyText"/>
        <w:spacing w:line="273" w:lineRule="auto" w:before="37"/>
        <w:ind w:right="0"/>
        <w:jc w:val="left"/>
      </w:pPr>
      <w:r>
        <w:rPr>
          <w:spacing w:val="-1"/>
        </w:rPr>
        <w:t>与债权人之间签订协议，以承担新金融负债方式替换现存金融负债，且新金融负债与现存金融负债的合同</w:t>
      </w:r>
      <w:r>
        <w:rPr>
          <w:spacing w:val="-81"/>
        </w:rPr>
        <w:t> </w:t>
      </w:r>
      <w:r>
        <w:rPr>
          <w:spacing w:val="-81"/>
        </w:rPr>
      </w:r>
      <w:r>
        <w:rPr/>
        <w:t>条款实质上不同的，终止确认现存金融负债，并同时确认新金融负债。</w:t>
      </w:r>
    </w:p>
    <w:p>
      <w:pPr>
        <w:spacing w:line="240" w:lineRule="auto" w:before="1"/>
        <w:rPr>
          <w:rFonts w:ascii="宋体" w:hAnsi="宋体" w:cs="宋体" w:eastAsia="宋体" w:hint="default"/>
          <w:sz w:val="17"/>
          <w:szCs w:val="17"/>
        </w:rPr>
      </w:pPr>
    </w:p>
    <w:p>
      <w:pPr>
        <w:pStyle w:val="BodyText"/>
        <w:spacing w:line="273" w:lineRule="auto"/>
        <w:ind w:right="1159" w:firstLine="370"/>
        <w:jc w:val="both"/>
      </w:pPr>
      <w:r>
        <w:rPr/>
        <w:t>金融负债全部或部分终止确认的，将终止确认部分的账面价值与支付的对价（包括转出的非现金资产 或承担的新金融负债）之间的差额，计入当期损益。</w:t>
      </w:r>
    </w:p>
    <w:p>
      <w:pPr>
        <w:pStyle w:val="BodyText"/>
        <w:spacing w:line="510" w:lineRule="atLeast" w:before="4"/>
        <w:ind w:left="524" w:right="1142"/>
        <w:jc w:val="left"/>
      </w:pPr>
      <w:r>
        <w:rPr/>
        <w:t>（</w:t>
      </w:r>
      <w:r>
        <w:rPr>
          <w:rFonts w:ascii="Times New Roman" w:hAnsi="Times New Roman" w:cs="Times New Roman" w:eastAsia="Times New Roman" w:hint="default"/>
        </w:rPr>
        <w:t>7</w:t>
      </w:r>
      <w:r>
        <w:rPr/>
        <w:t>）金融资产和金融负债的抵销 当本公司具有抵销已确认金融资产和金融负债的法定权利，且目前可执行该种法定权利，同时本公司</w:t>
      </w:r>
    </w:p>
    <w:p>
      <w:pPr>
        <w:pStyle w:val="BodyText"/>
        <w:spacing w:line="273" w:lineRule="auto" w:before="37"/>
        <w:ind w:right="0"/>
        <w:jc w:val="left"/>
      </w:pPr>
      <w:r>
        <w:rPr>
          <w:spacing w:val="-1"/>
        </w:rPr>
        <w:t>计划以净额结算或同时变现该金融资产和清偿该金融负债时，金融资产和金融负债以相互抵销后的金额在</w:t>
      </w:r>
      <w:r>
        <w:rPr>
          <w:spacing w:val="-81"/>
        </w:rPr>
        <w:t> </w:t>
      </w:r>
      <w:r>
        <w:rPr>
          <w:spacing w:val="-81"/>
        </w:rPr>
      </w:r>
      <w:r>
        <w:rPr/>
        <w:t>资产负债表内列示。除此以外，金融资产和金融负债在资产负债表内分别列示，不予相互抵销。</w:t>
      </w:r>
    </w:p>
    <w:p>
      <w:pPr>
        <w:spacing w:line="240" w:lineRule="auto" w:before="1"/>
        <w:rPr>
          <w:rFonts w:ascii="宋体" w:hAnsi="宋体" w:cs="宋体" w:eastAsia="宋体" w:hint="default"/>
          <w:sz w:val="17"/>
          <w:szCs w:val="17"/>
        </w:rPr>
      </w:pPr>
    </w:p>
    <w:p>
      <w:pPr>
        <w:pStyle w:val="BodyText"/>
        <w:spacing w:line="436" w:lineRule="auto"/>
        <w:ind w:left="524" w:right="1142"/>
        <w:jc w:val="left"/>
      </w:pPr>
      <w:r>
        <w:rPr/>
        <w:t>（</w:t>
      </w:r>
      <w:r>
        <w:rPr>
          <w:rFonts w:ascii="Times New Roman" w:hAnsi="Times New Roman" w:cs="Times New Roman" w:eastAsia="Times New Roman" w:hint="default"/>
        </w:rPr>
        <w:t>8</w:t>
      </w:r>
      <w:r>
        <w:rPr/>
        <w:t>）权益工具 权益工具是指能证明拥有本公司在扣除所有负债后的资产中的剩余权益的合同。本公司发行（含再融</w:t>
      </w:r>
    </w:p>
    <w:p>
      <w:pPr>
        <w:spacing w:after="0" w:line="43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spacing w:val="-1"/>
        </w:rPr>
        <w:t>资）、回购、出售或注销权益工具作为权益的变动处理。本公司不确认权益工具的公允价值变动。与权益</w:t>
      </w:r>
      <w:r>
        <w:rPr>
          <w:spacing w:val="-83"/>
        </w:rPr>
        <w:t> </w:t>
      </w:r>
      <w:r>
        <w:rPr>
          <w:spacing w:val="-83"/>
        </w:rPr>
      </w:r>
      <w:r>
        <w:rPr/>
        <w:t>性交易相关的交易费用从权益中扣减。</w:t>
      </w:r>
    </w:p>
    <w:p>
      <w:pPr>
        <w:spacing w:line="240" w:lineRule="auto" w:before="1"/>
        <w:rPr>
          <w:rFonts w:ascii="宋体" w:hAnsi="宋体" w:cs="宋体" w:eastAsia="宋体" w:hint="default"/>
          <w:sz w:val="17"/>
          <w:szCs w:val="17"/>
        </w:rPr>
      </w:pPr>
    </w:p>
    <w:p>
      <w:pPr>
        <w:pStyle w:val="BodyText"/>
        <w:spacing w:line="273" w:lineRule="auto"/>
        <w:ind w:right="0" w:firstLine="370"/>
        <w:jc w:val="left"/>
      </w:pPr>
      <w:r>
        <w:rPr/>
        <w:t>本公司对权益工具持有方的各种分配（不包括股票股利），减少股东权益。本公司不确认权益工具的 公允价值变动额。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4"/>
        <w:spacing w:line="240" w:lineRule="auto"/>
        <w:ind w:right="0"/>
        <w:jc w:val="left"/>
        <w:rPr>
          <w:b w:val="0"/>
          <w:bCs w:val="0"/>
        </w:rPr>
      </w:pPr>
      <w:bookmarkStart w:name="11、应收票据及应收账款" w:id="195"/>
      <w:bookmarkEnd w:id="195"/>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单项金额重大并单独计提坏账准备的应收款项" w:id="196"/>
      <w:bookmarkEnd w:id="196"/>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单项金额重大的应收账款及其他应收款是指单项金额超过</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万的应收账款和单项金额超过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万的其他应收款。</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期末对于对单项金额重大的应收款项单独进行减值测试，单 独测试未发生减值的应收款项，包括在具有类似信用风险特 征的应收款项组合中进行减值测试。单项测试已确认减值损 失的应收款项，不再包括在具有类似信用风险特征的应收款 项组合中进行减值测试。</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按信用风险特征组合计提坏账准备的应收款项" w:id="197"/>
      <w:bookmarkEnd w:id="197"/>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组合一</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组合二</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4" w:right="75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单项金额不重大但单独计提坏账准备的应收款项" w:id="198"/>
      <w:bookmarkEnd w:id="198"/>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spacing w:before="44"/>
        <w:ind w:left="0" w:right="1139" w:firstLine="0"/>
        <w:jc w:val="right"/>
        <w:rPr>
          <w:rFonts w:ascii="宋体" w:hAnsi="宋体" w:cs="宋体" w:eastAsia="宋体" w:hint="default"/>
          <w:sz w:val="18"/>
          <w:szCs w:val="18"/>
        </w:rPr>
      </w:pPr>
      <w:r>
        <w:rPr/>
        <w:pict>
          <v:shape style="position:absolute;margin-left:56.459999pt;margin-top:-36.568302pt;width:479.2pt;height:71.9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单项金额不重大但有证明表明可能无法收回合同现金流量。</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单独进行减值测试，有客观证据表明其发生了减值的，根据 </w:t>
                        </w:r>
                        <w:r>
                          <w:rPr>
                            <w:rFonts w:ascii="宋体" w:hAnsi="宋体" w:cs="宋体" w:eastAsia="宋体" w:hint="default"/>
                            <w:spacing w:val="-2"/>
                            <w:sz w:val="18"/>
                            <w:szCs w:val="18"/>
                          </w:rPr>
                          <w:t>其未来现金流量现值低于其账面价值的差额，确认减值损失</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计提坏账准备。</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90"/>
        <w:ind w:right="0"/>
        <w:jc w:val="left"/>
        <w:rPr>
          <w:b w:val="0"/>
          <w:bCs w:val="0"/>
        </w:rPr>
      </w:pPr>
      <w:bookmarkStart w:name="12、存货" w:id="199"/>
      <w:bookmarkEnd w:id="199"/>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90" w:lineRule="exact"/>
        <w:ind w:left="524" w:right="0"/>
        <w:jc w:val="left"/>
      </w:pPr>
      <w:r>
        <w:rPr/>
        <w:t>（</w:t>
      </w:r>
      <w:r>
        <w:rPr>
          <w:rFonts w:ascii="Times New Roman" w:hAnsi="Times New Roman" w:cs="Times New Roman" w:eastAsia="Times New Roman" w:hint="default"/>
        </w:rPr>
        <w:t>1</w:t>
      </w:r>
      <w:r>
        <w:rPr/>
        <w:t>）存货的分类</w:t>
      </w:r>
    </w:p>
    <w:p>
      <w:pPr>
        <w:spacing w:line="240" w:lineRule="auto" w:before="2"/>
        <w:rPr>
          <w:rFonts w:ascii="宋体" w:hAnsi="宋体" w:cs="宋体" w:eastAsia="宋体" w:hint="default"/>
          <w:sz w:val="18"/>
          <w:szCs w:val="18"/>
        </w:rPr>
      </w:pPr>
    </w:p>
    <w:p>
      <w:pPr>
        <w:pStyle w:val="BodyText"/>
        <w:spacing w:line="273" w:lineRule="auto"/>
        <w:ind w:right="1022" w:firstLine="370"/>
        <w:jc w:val="left"/>
      </w:pPr>
      <w:r>
        <w:rPr>
          <w:spacing w:val="-2"/>
        </w:rPr>
        <w:t>存货分为原材料、半产品、产成品、在产品、库存商品、发出商品、包装物、低值易耗品、工程施工、</w:t>
      </w:r>
      <w:r>
        <w:rPr/>
        <w:t> 开发成本、开发产品、消耗性生物资产（将来收获为农产品的生物资产）等。</w:t>
      </w:r>
    </w:p>
    <w:p>
      <w:pPr>
        <w:pStyle w:val="BodyText"/>
        <w:spacing w:line="510" w:lineRule="atLeast" w:before="4"/>
        <w:ind w:left="524" w:right="0"/>
        <w:jc w:val="left"/>
      </w:pPr>
      <w:r>
        <w:rPr/>
        <w:t>（</w:t>
      </w:r>
      <w:r>
        <w:rPr>
          <w:rFonts w:ascii="Times New Roman" w:hAnsi="Times New Roman" w:cs="Times New Roman" w:eastAsia="Times New Roman" w:hint="default"/>
        </w:rPr>
        <w:t>2</w:t>
      </w:r>
      <w:r>
        <w:rPr/>
        <w:t>）存货取得和发出的计价方法 存货实行永续盘存制，存货在取得时按实际成本计价；领用或发出存货，采用加权平均法核算，专为</w:t>
      </w:r>
    </w:p>
    <w:p>
      <w:pPr>
        <w:pStyle w:val="BodyText"/>
        <w:spacing w:line="240" w:lineRule="auto" w:before="37"/>
        <w:ind w:right="0"/>
        <w:jc w:val="both"/>
      </w:pPr>
      <w:r>
        <w:rPr/>
        <w:t>单个项目采购的原材料按个别计价法核算。</w:t>
      </w:r>
    </w:p>
    <w:p>
      <w:pPr>
        <w:spacing w:line="240" w:lineRule="auto" w:before="5"/>
        <w:rPr>
          <w:rFonts w:ascii="宋体" w:hAnsi="宋体" w:cs="宋体" w:eastAsia="宋体" w:hint="default"/>
          <w:sz w:val="19"/>
          <w:szCs w:val="19"/>
        </w:rPr>
      </w:pPr>
    </w:p>
    <w:p>
      <w:pPr>
        <w:pStyle w:val="BodyText"/>
        <w:spacing w:line="273" w:lineRule="auto"/>
        <w:ind w:right="1131" w:firstLine="370"/>
        <w:jc w:val="both"/>
      </w:pPr>
      <w:r>
        <w:rPr/>
        <w:t>工程施工以实际成本核算，包括直接材料费、工程施工费及其他费用等。工程结算以业主方确认的工 </w:t>
      </w:r>
      <w:r>
        <w:rPr>
          <w:spacing w:val="-1"/>
        </w:rPr>
        <w:t>程结算单确定，工程毛利按照完工百分比法确认。已完工未结算资产等于工程施工加工程毛利减去工程结</w:t>
      </w:r>
      <w:r>
        <w:rPr>
          <w:spacing w:val="-81"/>
        </w:rPr>
        <w:t> </w:t>
      </w:r>
      <w:r>
        <w:rPr>
          <w:spacing w:val="-81"/>
        </w:rPr>
      </w:r>
      <w:r>
        <w:rPr/>
        <w:t>算。</w:t>
      </w:r>
    </w:p>
    <w:p>
      <w:pPr>
        <w:spacing w:line="240" w:lineRule="auto" w:before="1"/>
        <w:rPr>
          <w:rFonts w:ascii="宋体" w:hAnsi="宋体" w:cs="宋体" w:eastAsia="宋体" w:hint="default"/>
          <w:sz w:val="17"/>
          <w:szCs w:val="17"/>
        </w:rPr>
      </w:pPr>
    </w:p>
    <w:p>
      <w:pPr>
        <w:pStyle w:val="BodyText"/>
        <w:spacing w:line="273" w:lineRule="auto"/>
        <w:ind w:right="1131" w:firstLine="370"/>
        <w:jc w:val="both"/>
      </w:pPr>
      <w:r>
        <w:rPr/>
        <w:t>各期末，累计已发生的建造合同成本和已确认的毛利（亏损）大于已办理结算的价款金额，其差额反 </w:t>
      </w:r>
      <w:r>
        <w:rPr>
          <w:spacing w:val="-1"/>
        </w:rPr>
        <w:t>映为已完工未结算计入存货，作为一项流动资产列示；已办理结算的价款金额大于在建合同工程累计已发</w:t>
      </w:r>
      <w:r>
        <w:rPr>
          <w:spacing w:val="-81"/>
        </w:rPr>
        <w:t> </w:t>
      </w:r>
      <w:r>
        <w:rPr>
          <w:spacing w:val="-81"/>
        </w:rPr>
      </w:r>
      <w:r>
        <w:rPr>
          <w:spacing w:val="-1"/>
        </w:rPr>
        <w:t>生的成本和已确认的毛利（亏损）的金额，其差额反映为已结算未完工计入预收款项，作为一项流动负债</w:t>
      </w:r>
      <w:r>
        <w:rPr>
          <w:spacing w:val="-85"/>
        </w:rPr>
        <w:t> </w:t>
      </w:r>
      <w:r>
        <w:rPr>
          <w:spacing w:val="-85"/>
        </w:rPr>
      </w:r>
      <w:r>
        <w:rPr/>
        <w:t>列示。</w:t>
      </w:r>
    </w:p>
    <w:p>
      <w:pPr>
        <w:spacing w:line="240" w:lineRule="auto" w:before="1"/>
        <w:rPr>
          <w:rFonts w:ascii="宋体" w:hAnsi="宋体" w:cs="宋体" w:eastAsia="宋体" w:hint="default"/>
          <w:sz w:val="17"/>
          <w:szCs w:val="17"/>
        </w:rPr>
      </w:pPr>
    </w:p>
    <w:p>
      <w:pPr>
        <w:pStyle w:val="BodyText"/>
        <w:spacing w:line="240" w:lineRule="auto"/>
        <w:ind w:left="524" w:right="0"/>
        <w:jc w:val="left"/>
      </w:pPr>
      <w:r>
        <w:rPr/>
        <w:t>低值易耗品在领用时采用一次摊销法摊销；包装物在领用时采用一次摊销法摊销。</w:t>
      </w:r>
    </w:p>
    <w:p>
      <w:pPr>
        <w:pStyle w:val="BodyText"/>
        <w:spacing w:line="510" w:lineRule="atLeast" w:before="34"/>
        <w:ind w:left="524" w:right="0"/>
        <w:jc w:val="left"/>
      </w:pPr>
      <w:r>
        <w:rPr/>
        <w:t>（</w:t>
      </w:r>
      <w:r>
        <w:rPr>
          <w:rFonts w:ascii="Times New Roman" w:hAnsi="Times New Roman" w:cs="Times New Roman" w:eastAsia="Times New Roman" w:hint="default"/>
        </w:rPr>
        <w:t>3</w:t>
      </w:r>
      <w:r>
        <w:rPr/>
        <w:t>）存货跌价准备计提方法 在资产负债表日，存货按照成本与可变现净值孰低计量。当其可变现净值低于成本时，提取存货跌价</w:t>
      </w:r>
    </w:p>
    <w:p>
      <w:pPr>
        <w:pStyle w:val="BodyText"/>
        <w:spacing w:line="273" w:lineRule="auto" w:before="37"/>
        <w:ind w:right="1131"/>
        <w:jc w:val="both"/>
      </w:pPr>
      <w:r>
        <w:rPr>
          <w:spacing w:val="-1"/>
        </w:rPr>
        <w:t>准备。存货跌价准备通常按单个存货项目的成本高于其可变现净值的差额提取。对于数量繁多、单价较低</w:t>
      </w:r>
      <w:r>
        <w:rPr>
          <w:spacing w:val="-83"/>
        </w:rPr>
        <w:t> </w:t>
      </w:r>
      <w:r>
        <w:rPr>
          <w:spacing w:val="-83"/>
        </w:rPr>
      </w:r>
      <w:r>
        <w:rPr>
          <w:spacing w:val="-1"/>
        </w:rPr>
        <w:t>的存货，按存货类别计提存货跌价准备；对在同一地区生产和销售的产品系列相关、具有相同或类似最终</w:t>
      </w:r>
      <w:r>
        <w:rPr>
          <w:spacing w:val="-83"/>
        </w:rPr>
        <w:t> </w:t>
      </w:r>
      <w:r>
        <w:rPr>
          <w:spacing w:val="-83"/>
        </w:rPr>
      </w:r>
      <w:r>
        <w:rPr/>
        <w:t>用途或目的，且难以与其他项目分开计量的存货，可合并计提存货跌价准备。</w:t>
      </w:r>
    </w:p>
    <w:p>
      <w:pPr>
        <w:spacing w:line="240" w:lineRule="auto" w:before="1"/>
        <w:rPr>
          <w:rFonts w:ascii="宋体" w:hAnsi="宋体" w:cs="宋体" w:eastAsia="宋体" w:hint="default"/>
          <w:sz w:val="17"/>
          <w:szCs w:val="17"/>
        </w:rPr>
      </w:pPr>
    </w:p>
    <w:p>
      <w:pPr>
        <w:pStyle w:val="BodyText"/>
        <w:spacing w:line="273" w:lineRule="auto"/>
        <w:ind w:right="1133" w:firstLine="370"/>
        <w:jc w:val="both"/>
      </w:pPr>
      <w:r>
        <w:rPr/>
        <w:t>计提存货跌价准备后，如果以前减记存货价值的影响因素已经消失，导致存货的可变现净值高于其账 面价值的，在原已计提的存货跌价准备金额内予以转回，转回的金额计入当期损益。</w:t>
      </w:r>
    </w:p>
    <w:p>
      <w:pPr>
        <w:spacing w:line="240" w:lineRule="auto" w:before="2"/>
        <w:rPr>
          <w:rFonts w:ascii="宋体" w:hAnsi="宋体" w:cs="宋体" w:eastAsia="宋体" w:hint="default"/>
          <w:sz w:val="17"/>
          <w:szCs w:val="17"/>
        </w:rPr>
      </w:pPr>
    </w:p>
    <w:p>
      <w:pPr>
        <w:pStyle w:val="BodyText"/>
        <w:spacing w:line="273" w:lineRule="auto"/>
        <w:ind w:right="1133" w:firstLine="370"/>
        <w:jc w:val="both"/>
      </w:pPr>
      <w:r>
        <w:rPr/>
        <w:t>如果建造合同的预计总成本超过合同总收入，则形成合同预计损失，应提取损失准备，并确认为当期 费用。合同完工时，将已提取的损失准备冲减合同费用。</w:t>
      </w:r>
    </w:p>
    <w:p>
      <w:pPr>
        <w:spacing w:line="240" w:lineRule="auto" w:before="1"/>
        <w:rPr>
          <w:rFonts w:ascii="宋体" w:hAnsi="宋体" w:cs="宋体" w:eastAsia="宋体" w:hint="default"/>
          <w:sz w:val="17"/>
          <w:szCs w:val="17"/>
        </w:rPr>
      </w:pPr>
    </w:p>
    <w:p>
      <w:pPr>
        <w:pStyle w:val="BodyText"/>
        <w:spacing w:line="273" w:lineRule="auto"/>
        <w:ind w:right="1130" w:firstLine="370"/>
        <w:jc w:val="both"/>
        <w:rPr>
          <w:rFonts w:ascii="Times New Roman" w:hAnsi="Times New Roman" w:cs="Times New Roman" w:eastAsia="Times New Roman" w:hint="default"/>
        </w:rPr>
      </w:pPr>
      <w:r>
        <w:rPr/>
        <w:t>期末对存货中项目成本（园林业务）与其可变现净值进行比较，按成本高于可变现净值的差额计提存 </w:t>
      </w:r>
      <w:r>
        <w:rPr>
          <w:spacing w:val="-3"/>
        </w:rPr>
        <w:t>货跌价准备。对于超过</w:t>
      </w:r>
      <w:r>
        <w:rPr>
          <w:rFonts w:ascii="Times New Roman" w:hAnsi="Times New Roman" w:cs="Times New Roman" w:eastAsia="Times New Roman" w:hint="default"/>
          <w:spacing w:val="-3"/>
        </w:rPr>
        <w:t>2</w:t>
      </w:r>
      <w:r>
        <w:rPr>
          <w:spacing w:val="-3"/>
        </w:rPr>
        <w:t>年已完工未结算的项目，按照比例计提存货跌价准备，</w:t>
      </w:r>
      <w:r>
        <w:rPr>
          <w:rFonts w:ascii="Times New Roman" w:hAnsi="Times New Roman" w:cs="Times New Roman" w:eastAsia="Times New Roman" w:hint="default"/>
          <w:spacing w:val="-3"/>
        </w:rPr>
        <w:t>2-3</w:t>
      </w:r>
      <w:r>
        <w:rPr>
          <w:spacing w:val="-3"/>
        </w:rPr>
        <w:t>年的计提比例为</w:t>
      </w:r>
      <w:r>
        <w:rPr>
          <w:rFonts w:ascii="Times New Roman" w:hAnsi="Times New Roman" w:cs="Times New Roman" w:eastAsia="Times New Roman" w:hint="default"/>
          <w:spacing w:val="-3"/>
        </w:rPr>
        <w:t>5%</w:t>
      </w:r>
      <w:r>
        <w:rPr>
          <w:spacing w:val="-3"/>
        </w:rPr>
        <w:t>，</w:t>
      </w:r>
      <w:r>
        <w:rPr>
          <w:rFonts w:ascii="Times New Roman" w:hAnsi="Times New Roman" w:cs="Times New Roman" w:eastAsia="Times New Roman" w:hint="default"/>
          <w:spacing w:val="-3"/>
        </w:rPr>
        <w:t>3-4</w:t>
      </w:r>
    </w:p>
    <w:p>
      <w:pPr>
        <w:spacing w:after="0" w:line="273" w:lineRule="auto"/>
        <w:jc w:val="both"/>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1"/>
        <w:rPr>
          <w:rFonts w:ascii="Times New Roman" w:hAnsi="Times New Roman" w:cs="Times New Roman" w:eastAsia="Times New Roman" w:hint="default"/>
          <w:sz w:val="28"/>
          <w:szCs w:val="28"/>
        </w:rPr>
      </w:pPr>
    </w:p>
    <w:p>
      <w:pPr>
        <w:pStyle w:val="BodyText"/>
        <w:spacing w:line="256" w:lineRule="auto" w:before="35"/>
        <w:ind w:right="1130"/>
        <w:jc w:val="both"/>
      </w:pPr>
      <w:r>
        <w:rPr/>
        <w:t>年的计提比例为</w:t>
      </w:r>
      <w:r>
        <w:rPr>
          <w:rFonts w:ascii="Times New Roman" w:hAnsi="Times New Roman" w:cs="Times New Roman" w:eastAsia="Times New Roman" w:hint="default"/>
        </w:rPr>
        <w:t>10%</w:t>
      </w:r>
      <w:r>
        <w:rPr/>
        <w:t>，</w:t>
      </w:r>
      <w:r>
        <w:rPr>
          <w:rFonts w:ascii="Times New Roman" w:hAnsi="Times New Roman" w:cs="Times New Roman" w:eastAsia="Times New Roman" w:hint="default"/>
        </w:rPr>
        <w:t>4-5</w:t>
      </w:r>
      <w:r>
        <w:rPr/>
        <w:t>年的计提比例为</w:t>
      </w:r>
      <w:r>
        <w:rPr>
          <w:rFonts w:ascii="Times New Roman" w:hAnsi="Times New Roman" w:cs="Times New Roman" w:eastAsia="Times New Roman" w:hint="default"/>
        </w:rPr>
        <w:t>20%</w:t>
      </w:r>
      <w:r>
        <w:rPr/>
        <w:t>，</w:t>
      </w:r>
      <w:r>
        <w:rPr>
          <w:rFonts w:ascii="Times New Roman" w:hAnsi="Times New Roman" w:cs="Times New Roman" w:eastAsia="Times New Roman" w:hint="default"/>
        </w:rPr>
        <w:t>5-6</w:t>
      </w:r>
      <w:r>
        <w:rPr/>
        <w:t>年的计提比例为</w:t>
      </w:r>
      <w:r>
        <w:rPr>
          <w:rFonts w:ascii="Times New Roman" w:hAnsi="Times New Roman" w:cs="Times New Roman" w:eastAsia="Times New Roman" w:hint="default"/>
        </w:rPr>
        <w:t>30%</w:t>
      </w:r>
      <w:r>
        <w:rPr/>
        <w:t>，</w:t>
      </w:r>
      <w:r>
        <w:rPr>
          <w:rFonts w:ascii="Times New Roman" w:hAnsi="Times New Roman" w:cs="Times New Roman" w:eastAsia="Times New Roman" w:hint="default"/>
        </w:rPr>
        <w:t>6-7</w:t>
      </w:r>
      <w:r>
        <w:rPr/>
        <w:t>年的计提比例为</w:t>
      </w:r>
      <w:r>
        <w:rPr>
          <w:rFonts w:ascii="Times New Roman" w:hAnsi="Times New Roman" w:cs="Times New Roman" w:eastAsia="Times New Roman" w:hint="default"/>
        </w:rPr>
        <w:t>50%</w:t>
      </w:r>
      <w:r>
        <w:rPr/>
        <w:t>，</w:t>
      </w:r>
      <w:r>
        <w:rPr>
          <w:rFonts w:ascii="Times New Roman" w:hAnsi="Times New Roman" w:cs="Times New Roman" w:eastAsia="Times New Roman" w:hint="default"/>
        </w:rPr>
        <w:t>7</w:t>
      </w:r>
      <w:r>
        <w:rPr/>
        <w:t>年以 上的计提比例为</w:t>
      </w:r>
      <w:r>
        <w:rPr>
          <w:rFonts w:ascii="Times New Roman" w:hAnsi="Times New Roman" w:cs="Times New Roman" w:eastAsia="Times New Roman" w:hint="default"/>
        </w:rPr>
        <w:t>100%</w:t>
      </w:r>
      <w:r>
        <w:rPr/>
        <w:t>。</w:t>
      </w:r>
    </w:p>
    <w:p>
      <w:pPr>
        <w:pStyle w:val="BodyText"/>
        <w:spacing w:line="528" w:lineRule="exact" w:before="44"/>
        <w:ind w:left="524" w:right="0"/>
        <w:jc w:val="left"/>
      </w:pPr>
      <w:r>
        <w:rPr/>
        <w:t>（</w:t>
      </w:r>
      <w:r>
        <w:rPr>
          <w:rFonts w:ascii="Times New Roman" w:hAnsi="Times New Roman" w:cs="Times New Roman" w:eastAsia="Times New Roman" w:hint="default"/>
        </w:rPr>
        <w:t>4</w:t>
      </w:r>
      <w:r>
        <w:rPr/>
        <w:t>）存货可变现净值的确认方法 可变现净值是指在日常活动中，存货的估计售价减去至完工时估计将要发生的成本、估计的销售费用</w:t>
      </w:r>
    </w:p>
    <w:p>
      <w:pPr>
        <w:pStyle w:val="BodyText"/>
        <w:spacing w:line="236" w:lineRule="exact"/>
        <w:ind w:right="0"/>
        <w:jc w:val="both"/>
      </w:pPr>
      <w:r>
        <w:rPr/>
        <w:t>以及相关税费后的金额。在确定存货的可变现净值时，以取得的确凿证据为基础，同时考虑持有存货的目</w:t>
      </w:r>
    </w:p>
    <w:p>
      <w:pPr>
        <w:pStyle w:val="BodyText"/>
        <w:spacing w:line="240" w:lineRule="auto" w:before="37"/>
        <w:ind w:right="0"/>
        <w:jc w:val="both"/>
      </w:pPr>
      <w:r>
        <w:rPr/>
        <w:t>的以及资产负债表日后事项的影响。</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590" w:lineRule="atLeast"/>
        <w:ind w:left="524" w:right="0" w:hanging="371"/>
        <w:jc w:val="left"/>
      </w:pPr>
      <w:bookmarkStart w:name="13、持有待售资产" w:id="200"/>
      <w:bookmarkEnd w:id="200"/>
      <w:r>
        <w:rPr/>
      </w:r>
      <w:r>
        <w:rPr>
          <w:rFonts w:ascii="Times New Roman" w:hAnsi="Times New Roman" w:cs="Times New Roman" w:eastAsia="Times New Roman" w:hint="default"/>
          <w:b/>
          <w:bCs/>
        </w:rPr>
        <w:t>13</w:t>
      </w:r>
      <w:r>
        <w:rPr>
          <w:rFonts w:ascii="宋体" w:hAnsi="宋体" w:cs="宋体" w:eastAsia="宋体" w:hint="default"/>
          <w:b/>
          <w:bCs/>
        </w:rPr>
        <w:t>、持有待售资产</w:t>
      </w:r>
      <w:r>
        <w:rPr>
          <w:rFonts w:ascii="宋体" w:hAnsi="宋体" w:cs="宋体" w:eastAsia="宋体" w:hint="default"/>
          <w:b/>
          <w:bCs/>
          <w:w w:val="99"/>
        </w:rPr>
        <w:t> </w:t>
      </w:r>
      <w:r>
        <w:rPr/>
        <w:t>本公司将通过出售（包括具有商业实质的非货币性资产交换，下同）而非持续使用一项非流动资产或</w:t>
      </w:r>
    </w:p>
    <w:p>
      <w:pPr>
        <w:pStyle w:val="BodyText"/>
        <w:spacing w:line="261" w:lineRule="auto" w:before="37"/>
        <w:ind w:right="1129"/>
        <w:jc w:val="both"/>
      </w:pPr>
      <w:r>
        <w:rPr/>
        <w:t>处置组收回其账面价值，并同时满足以下两个条件的，划分为持有待售类别：（</w:t>
      </w:r>
      <w:r>
        <w:rPr>
          <w:rFonts w:ascii="Times New Roman" w:hAnsi="Times New Roman" w:cs="Times New Roman" w:eastAsia="Times New Roman" w:hint="default"/>
        </w:rPr>
        <w:t>1</w:t>
      </w:r>
      <w:r>
        <w:rPr/>
        <w:t>）某项非流动资产或处</w:t>
      </w:r>
      <w:r>
        <w:rPr>
          <w:spacing w:val="-26"/>
        </w:rPr>
        <w:t> </w:t>
      </w:r>
      <w:r>
        <w:rPr>
          <w:spacing w:val="-26"/>
        </w:rPr>
      </w:r>
      <w:r>
        <w:rPr/>
        <w:t>置组根据类似交易中出售此类资产或处置组的惯例，在当前状况下即可立即出售；（</w:t>
      </w:r>
      <w:r>
        <w:rPr>
          <w:rFonts w:ascii="Times New Roman" w:hAnsi="Times New Roman" w:cs="Times New Roman" w:eastAsia="Times New Roman" w:hint="default"/>
        </w:rPr>
        <w:t>2</w:t>
      </w:r>
      <w:r>
        <w:rPr/>
        <w:t>）本公司已经就出</w:t>
      </w:r>
      <w:r>
        <w:rPr>
          <w:spacing w:val="-24"/>
        </w:rPr>
        <w:t> </w:t>
      </w:r>
      <w:r>
        <w:rPr>
          <w:spacing w:val="-24"/>
        </w:rPr>
      </w:r>
      <w:r>
        <w:rPr>
          <w:spacing w:val="-1"/>
        </w:rPr>
        <w:t>售计划作出决议且获得确定的购买承诺，预计出售将在一年内完成。（有关规定要求相关权力机构或者监</w:t>
      </w:r>
      <w:r>
        <w:rPr>
          <w:spacing w:val="-82"/>
        </w:rPr>
        <w:t> </w:t>
      </w:r>
      <w:r>
        <w:rPr>
          <w:spacing w:val="-82"/>
        </w:rPr>
      </w:r>
      <w:r>
        <w:rPr/>
        <w:t>管部门批准后方可出售的，已经获得批准。）</w:t>
      </w:r>
    </w:p>
    <w:p>
      <w:pPr>
        <w:spacing w:line="240" w:lineRule="auto" w:before="12"/>
        <w:rPr>
          <w:rFonts w:ascii="宋体" w:hAnsi="宋体" w:cs="宋体" w:eastAsia="宋体" w:hint="default"/>
          <w:sz w:val="17"/>
          <w:szCs w:val="17"/>
        </w:rPr>
      </w:pPr>
    </w:p>
    <w:p>
      <w:pPr>
        <w:pStyle w:val="BodyText"/>
        <w:spacing w:line="256" w:lineRule="auto"/>
        <w:ind w:right="1131" w:firstLine="370"/>
        <w:jc w:val="both"/>
      </w:pPr>
      <w:r>
        <w:rPr/>
        <w:t>本公司将专为转售而取得的非流动资产或处置组，在取得日满足</w:t>
      </w:r>
      <w:r>
        <w:rPr>
          <w:rFonts w:ascii="Times New Roman" w:hAnsi="Times New Roman" w:cs="Times New Roman" w:eastAsia="Times New Roman" w:hint="default"/>
        </w:rPr>
        <w:t>“</w:t>
      </w:r>
      <w:r>
        <w:rPr/>
        <w:t>预计出售将在一年内完成</w:t>
      </w:r>
      <w:r>
        <w:rPr>
          <w:rFonts w:ascii="Times New Roman" w:hAnsi="Times New Roman" w:cs="Times New Roman" w:eastAsia="Times New Roman" w:hint="default"/>
        </w:rPr>
        <w:t>”</w:t>
      </w:r>
      <w:r>
        <w:rPr/>
        <w:t>的规定条 件，且短期（通常为</w:t>
      </w:r>
      <w:r>
        <w:rPr>
          <w:rFonts w:ascii="Times New Roman" w:hAnsi="Times New Roman" w:cs="Times New Roman" w:eastAsia="Times New Roman" w:hint="default"/>
        </w:rPr>
        <w:t>3</w:t>
      </w:r>
      <w:r>
        <w:rPr/>
        <w:t>个月）内很可能满足持有待售类别的其他划分条件的，在取得日划分为持有待售类</w:t>
      </w:r>
      <w:r>
        <w:rPr>
          <w:spacing w:val="-32"/>
        </w:rPr>
        <w:t> </w:t>
      </w:r>
      <w:r>
        <w:rPr>
          <w:spacing w:val="-32"/>
        </w:rPr>
      </w:r>
      <w:r>
        <w:rPr/>
        <w:t>别。</w:t>
      </w:r>
    </w:p>
    <w:p>
      <w:pPr>
        <w:spacing w:line="240" w:lineRule="auto" w:before="3"/>
        <w:rPr>
          <w:rFonts w:ascii="宋体" w:hAnsi="宋体" w:cs="宋体" w:eastAsia="宋体" w:hint="default"/>
          <w:sz w:val="18"/>
          <w:szCs w:val="18"/>
        </w:rPr>
      </w:pPr>
    </w:p>
    <w:p>
      <w:pPr>
        <w:pStyle w:val="BodyText"/>
        <w:spacing w:line="268" w:lineRule="auto"/>
        <w:ind w:right="1130" w:firstLine="370"/>
        <w:jc w:val="both"/>
      </w:pPr>
      <w:r>
        <w:rPr/>
        <w:t>本公司初始计量或在资产负债表日重新计量划分为持有待售的非流动资产和处置组时，其账面价值高 </w:t>
      </w:r>
      <w:r>
        <w:rPr>
          <w:spacing w:val="-1"/>
        </w:rPr>
        <w:t>于公允价值减去出售费用后的净额的，将账面价值减记至公允价值减去出售费用后的净额，减记的金额确</w:t>
      </w:r>
      <w:r>
        <w:rPr>
          <w:spacing w:val="-81"/>
        </w:rPr>
        <w:t> </w:t>
      </w:r>
      <w:r>
        <w:rPr>
          <w:spacing w:val="-81"/>
        </w:rPr>
      </w:r>
      <w:r>
        <w:rPr>
          <w:spacing w:val="-1"/>
        </w:rPr>
        <w:t>认为资产减值损失，计入当期损益，同时计提持有待售资产减值准备。对于持有待售的处置组确认的资产</w:t>
      </w:r>
      <w:r>
        <w:rPr>
          <w:spacing w:val="-83"/>
        </w:rPr>
        <w:t> </w:t>
      </w:r>
      <w:r>
        <w:rPr>
          <w:spacing w:val="-83"/>
        </w:rPr>
      </w:r>
      <w:r>
        <w:rPr>
          <w:spacing w:val="-1"/>
        </w:rPr>
        <w:t>减值损失金额，先抵减处置组中商誉的账面价值，再根据处置组中适用《企业会计准则第</w:t>
      </w:r>
      <w:r>
        <w:rPr>
          <w:rFonts w:ascii="Times New Roman" w:hAnsi="Times New Roman" w:cs="Times New Roman" w:eastAsia="Times New Roman" w:hint="default"/>
          <w:spacing w:val="-1"/>
        </w:rPr>
        <w:t>42</w:t>
      </w:r>
      <w:r>
        <w:rPr>
          <w:spacing w:val="-1"/>
        </w:rPr>
        <w:t>号</w:t>
      </w:r>
      <w:r>
        <w:rPr>
          <w:rFonts w:ascii="Times New Roman" w:hAnsi="Times New Roman" w:cs="Times New Roman" w:eastAsia="Times New Roman" w:hint="default"/>
          <w:spacing w:val="-1"/>
        </w:rPr>
        <w:t>——</w:t>
      </w:r>
      <w:r>
        <w:rPr>
          <w:spacing w:val="-1"/>
        </w:rPr>
        <w:t>持有待</w:t>
      </w:r>
      <w:r>
        <w:rPr>
          <w:spacing w:val="-82"/>
        </w:rPr>
        <w:t> </w:t>
      </w:r>
      <w:r>
        <w:rPr>
          <w:spacing w:val="-1"/>
        </w:rPr>
        <w:t>售的非流动资产、处置组和终止经营》计量规定的各项非流动资产账面价值所占比重，按比例抵减其账面</w:t>
      </w:r>
      <w:r>
        <w:rPr>
          <w:spacing w:val="-83"/>
        </w:rPr>
        <w:t> </w:t>
      </w:r>
      <w:r>
        <w:rPr>
          <w:spacing w:val="-83"/>
        </w:rPr>
      </w:r>
      <w:r>
        <w:rPr/>
        <w:t>价值。</w:t>
      </w:r>
    </w:p>
    <w:p>
      <w:pPr>
        <w:spacing w:line="240" w:lineRule="auto" w:before="6"/>
        <w:rPr>
          <w:rFonts w:ascii="宋体" w:hAnsi="宋体" w:cs="宋体" w:eastAsia="宋体" w:hint="default"/>
          <w:sz w:val="17"/>
          <w:szCs w:val="17"/>
        </w:rPr>
      </w:pPr>
    </w:p>
    <w:p>
      <w:pPr>
        <w:pStyle w:val="BodyText"/>
        <w:spacing w:line="268" w:lineRule="auto"/>
        <w:ind w:right="1131" w:firstLine="370"/>
        <w:jc w:val="both"/>
      </w:pPr>
      <w:r>
        <w:rPr/>
        <w:t>后续资产负债表日持有待售的非流动资产公允价值减去出售费用后的净额增加的，以前减记的金额予 </w:t>
      </w:r>
      <w:r>
        <w:rPr>
          <w:spacing w:val="-1"/>
        </w:rPr>
        <w:t>以恢复，并在划分为持有待售类别后确认的资产减值损失金额内转回，转回金额计入当期损益。划分为持</w:t>
      </w:r>
      <w:r>
        <w:rPr>
          <w:spacing w:val="-83"/>
        </w:rPr>
        <w:t> </w:t>
      </w:r>
      <w:r>
        <w:rPr>
          <w:spacing w:val="-83"/>
        </w:rPr>
      </w:r>
      <w:r>
        <w:rPr>
          <w:spacing w:val="-1"/>
        </w:rPr>
        <w:t>有待售类别前确认的资产减值损失不转回。持有待售的处置组以前减记的金额应当予以恢复，并在划分为</w:t>
      </w:r>
      <w:r>
        <w:rPr>
          <w:spacing w:val="-81"/>
        </w:rPr>
        <w:t> </w:t>
      </w:r>
      <w:r>
        <w:rPr>
          <w:spacing w:val="-81"/>
        </w:rPr>
      </w:r>
      <w:r>
        <w:rPr>
          <w:spacing w:val="-1"/>
        </w:rPr>
        <w:t>持有待售类别后适用《企业会计准则第</w:t>
      </w:r>
      <w:r>
        <w:rPr>
          <w:rFonts w:ascii="Times New Roman" w:hAnsi="Times New Roman" w:cs="Times New Roman" w:eastAsia="Times New Roman" w:hint="default"/>
          <w:spacing w:val="-1"/>
        </w:rPr>
        <w:t>42</w:t>
      </w:r>
      <w:r>
        <w:rPr>
          <w:spacing w:val="-1"/>
        </w:rPr>
        <w:t>号</w:t>
      </w:r>
      <w:r>
        <w:rPr>
          <w:rFonts w:ascii="Times New Roman" w:hAnsi="Times New Roman" w:cs="Times New Roman" w:eastAsia="Times New Roman" w:hint="default"/>
          <w:spacing w:val="-1"/>
        </w:rPr>
        <w:t>——</w:t>
      </w:r>
      <w:r>
        <w:rPr>
          <w:spacing w:val="-1"/>
        </w:rPr>
        <w:t>持有待售的非流动资产、处置组和终止经营》计量规定的</w:t>
      </w:r>
      <w:r>
        <w:rPr>
          <w:spacing w:val="-83"/>
        </w:rPr>
        <w:t> </w:t>
      </w:r>
      <w:r>
        <w:rPr>
          <w:spacing w:val="-83"/>
        </w:rPr>
      </w:r>
      <w:r>
        <w:rPr>
          <w:spacing w:val="-1"/>
        </w:rPr>
        <w:t>非流动资产确认的资产减值损失金额内转回，转回金额计入当期损益。已抵减的商誉账面价值，以及适用</w:t>
      </w:r>
      <w:r>
        <w:rPr>
          <w:spacing w:val="-83"/>
        </w:rPr>
        <w:t> </w:t>
      </w:r>
      <w:r>
        <w:rPr>
          <w:spacing w:val="-83"/>
        </w:rPr>
      </w:r>
      <w:r>
        <w:rPr/>
        <w:t>本准则计量规定的非流动资产在划分为持有待售类别前确认的资产减值损失不得转回。</w:t>
      </w:r>
    </w:p>
    <w:p>
      <w:pPr>
        <w:spacing w:line="240" w:lineRule="auto" w:before="6"/>
        <w:rPr>
          <w:rFonts w:ascii="宋体" w:hAnsi="宋体" w:cs="宋体" w:eastAsia="宋体" w:hint="default"/>
          <w:sz w:val="17"/>
          <w:szCs w:val="17"/>
        </w:rPr>
      </w:pPr>
    </w:p>
    <w:p>
      <w:pPr>
        <w:pStyle w:val="BodyText"/>
        <w:spacing w:line="273" w:lineRule="auto"/>
        <w:ind w:right="1133" w:firstLine="370"/>
        <w:jc w:val="both"/>
      </w:pPr>
      <w:r>
        <w:rPr/>
        <w:t>持有待售的非流动资产或处置组中的非流动资产不计提折旧或摊销，持有待售的处置组中负债的利息 和其他费用继续予以确认。</w:t>
      </w:r>
    </w:p>
    <w:p>
      <w:pPr>
        <w:spacing w:line="240" w:lineRule="auto" w:before="1"/>
        <w:rPr>
          <w:rFonts w:ascii="宋体" w:hAnsi="宋体" w:cs="宋体" w:eastAsia="宋体" w:hint="default"/>
          <w:sz w:val="17"/>
          <w:szCs w:val="17"/>
        </w:rPr>
      </w:pPr>
    </w:p>
    <w:p>
      <w:pPr>
        <w:pStyle w:val="BodyText"/>
        <w:spacing w:line="261" w:lineRule="auto"/>
        <w:ind w:right="1017" w:firstLine="370"/>
        <w:jc w:val="left"/>
      </w:pPr>
      <w:r>
        <w:rPr/>
        <w:t>非流动资产或处置组因不再满足持有待售类别的划分条件时，本公司不再将其继续划分为持有待售类 别或非流动资产从持有待售的处置组中移除，并按照以下两者孰低计量：（</w:t>
      </w:r>
      <w:r>
        <w:rPr>
          <w:rFonts w:ascii="Times New Roman" w:hAnsi="Times New Roman" w:cs="Times New Roman" w:eastAsia="Times New Roman" w:hint="default"/>
        </w:rPr>
        <w:t>1</w:t>
      </w:r>
      <w:r>
        <w:rPr/>
        <w:t>）划分为持有待售类别前的</w:t>
      </w:r>
      <w:r>
        <w:rPr>
          <w:spacing w:val="-26"/>
        </w:rPr>
        <w:t> </w:t>
      </w:r>
      <w:r>
        <w:rPr>
          <w:spacing w:val="-26"/>
        </w:rPr>
      </w:r>
      <w:r>
        <w:rPr>
          <w:spacing w:val="-5"/>
        </w:rPr>
        <w:t>账面价值，按照假定不划分为持有待售类别情况下本应确认的折旧、摊销或减值等进行调整后的金额；（</w:t>
      </w:r>
      <w:r>
        <w:rPr>
          <w:rFonts w:ascii="Times New Roman" w:hAnsi="Times New Roman" w:cs="Times New Roman" w:eastAsia="Times New Roman" w:hint="default"/>
          <w:spacing w:val="-5"/>
        </w:rPr>
        <w:t>2</w:t>
      </w:r>
      <w:r>
        <w:rPr>
          <w:spacing w:val="-5"/>
        </w:rPr>
        <w:t>）</w:t>
      </w:r>
      <w:r>
        <w:rPr>
          <w:spacing w:val="-97"/>
        </w:rPr>
        <w:t> </w:t>
      </w:r>
      <w:r>
        <w:rPr/>
        <w:t>可收回金额。</w:t>
      </w:r>
    </w:p>
    <w:p>
      <w:pPr>
        <w:spacing w:line="240" w:lineRule="auto" w:before="12"/>
        <w:rPr>
          <w:rFonts w:ascii="宋体" w:hAnsi="宋体" w:cs="宋体" w:eastAsia="宋体" w:hint="default"/>
          <w:sz w:val="17"/>
          <w:szCs w:val="17"/>
        </w:rPr>
      </w:pPr>
    </w:p>
    <w:p>
      <w:pPr>
        <w:pStyle w:val="BodyText"/>
        <w:spacing w:line="240" w:lineRule="auto"/>
        <w:ind w:left="742" w:right="0"/>
        <w:jc w:val="left"/>
      </w:pPr>
      <w:r>
        <w:rPr/>
        <w:t>终止确认持有待售的非流动资产或处置组时，本公司将尚未确认的利得或损失计入当期损益。</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4、长期股权投资" w:id="201"/>
      <w:bookmarkEnd w:id="201"/>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firstLine="493"/>
        <w:jc w:val="left"/>
      </w:pPr>
      <w:r>
        <w:rPr/>
        <w:t>本部分所指的长期股权投资是指本公司对被投资单位具有控制、共同控制或重大影响的长期股权投 </w:t>
      </w:r>
      <w:r>
        <w:rPr>
          <w:spacing w:val="-1"/>
        </w:rPr>
        <w:t>资。本公司对被投资单位不具有控制、共同控制或重大影响的长期股权投资，作为可供出售金融资产或以</w:t>
      </w:r>
      <w:r>
        <w:rPr>
          <w:spacing w:val="-83"/>
        </w:rPr>
        <w:t> </w:t>
      </w:r>
      <w:r>
        <w:rPr>
          <w:spacing w:val="-83"/>
        </w:rPr>
      </w:r>
      <w:r>
        <w:rPr/>
        <w:t>公允价值计量且其变动计入当期损益的金融资产核算，其会计政策详见附注五、</w:t>
      </w:r>
      <w:r>
        <w:rPr>
          <w:rFonts w:ascii="Times New Roman" w:hAnsi="Times New Roman" w:cs="Times New Roman" w:eastAsia="Times New Roman" w:hint="default"/>
        </w:rPr>
        <w:t>10</w:t>
      </w: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15"/>
          <w:szCs w:val="15"/>
        </w:rPr>
      </w:pPr>
    </w:p>
    <w:p>
      <w:pPr>
        <w:pStyle w:val="BodyText"/>
        <w:spacing w:line="273" w:lineRule="auto"/>
        <w:ind w:right="1131" w:firstLine="493"/>
        <w:jc w:val="both"/>
      </w:pPr>
      <w:r>
        <w:rPr>
          <w:spacing w:val="-3"/>
        </w:rPr>
        <w:t>共同控制，是指本公司按照相关约定对某项安排所共有的控制，并且该安排的相关活动必须经过分享</w:t>
      </w:r>
      <w:r>
        <w:rPr/>
        <w:t> </w:t>
      </w:r>
      <w:r>
        <w:rPr>
          <w:spacing w:val="-1"/>
        </w:rPr>
        <w:t>控制权的参与方一致同意后才能决策。重大影响，是指本公司对被投资单位的财务和经营政策有参与决策</w:t>
      </w:r>
      <w:r>
        <w:rPr>
          <w:spacing w:val="-81"/>
        </w:rPr>
        <w:t> </w:t>
      </w:r>
      <w:r>
        <w:rPr>
          <w:spacing w:val="-81"/>
        </w:rPr>
      </w:r>
      <w:r>
        <w:rPr/>
        <w:t>的权力，但并不能够控制或者与其他方一起共同控制这些政策的制定。</w:t>
      </w:r>
    </w:p>
    <w:p>
      <w:pPr>
        <w:pStyle w:val="BodyText"/>
        <w:spacing w:line="510" w:lineRule="atLeast" w:before="4"/>
        <w:ind w:left="524" w:right="1142"/>
        <w:jc w:val="left"/>
      </w:pPr>
      <w:r>
        <w:rPr/>
        <w:t>（</w:t>
      </w:r>
      <w:r>
        <w:rPr>
          <w:rFonts w:ascii="Times New Roman" w:hAnsi="Times New Roman" w:cs="Times New Roman" w:eastAsia="Times New Roman" w:hint="default"/>
        </w:rPr>
        <w:t>1</w:t>
      </w:r>
      <w:r>
        <w:rPr/>
        <w:t>）投资成本的确定 对于同一控制下的企业合并取得的长期股权投资，在合并日按照被合并方股东权益在最终控制方合并</w:t>
      </w:r>
    </w:p>
    <w:p>
      <w:pPr>
        <w:pStyle w:val="BodyText"/>
        <w:spacing w:line="268" w:lineRule="auto" w:before="37"/>
        <w:ind w:right="1023"/>
        <w:jc w:val="left"/>
      </w:pPr>
      <w:r>
        <w:rPr/>
        <w:t>财务报表中的账面价值的份额作为长期股权投资的初始投资成本。长期股权投资初始投资成本与支付的现 金、转让的非现金资产以及所承担债务账面价值之间的差额，调整资本公积；资本公积不足冲减的，调整 留存收益。以发行权益性证券作为合并对价的，在合并日按照被合并方股东权益在最终控制方合并财务报 表中的账面价值的份额作为长期股权投资的初始投资成本，按照发行股份的面值总额作为股本，长期股权 投资初始投资成本与所发行股份面值总额之间的差额，调整资本公积；资本公积不足冲减的，调整留存收 益。通过多次交易分步取得同一控制下被合并方的股权，最终形成同一控制下企业合并的，应分别是否属 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 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的，在合并日按照应享有被合并方股东权益在最终控制方合并财务报表中的账面价值 的份额作为长期股权投资的初始投资成本，长期股权投资初始投资成本与达到合并前的长期股权投资账面 </w:t>
      </w:r>
      <w:r>
        <w:rPr>
          <w:spacing w:val="-3"/>
        </w:rPr>
        <w:t>价值加上合并日进一步取得股份新支付对价的账面价值之和的差额，调整资本公积；资本公积不足冲减的，</w:t>
      </w:r>
      <w:r>
        <w:rPr>
          <w:spacing w:val="-92"/>
        </w:rPr>
        <w:t> </w:t>
      </w:r>
      <w:r>
        <w:rPr>
          <w:spacing w:val="-92"/>
        </w:rPr>
      </w:r>
      <w:r>
        <w:rPr/>
        <w:t>调整留存收益。合并日之前持有的股权投资因采用权益法核算或为可供出售金融资产而确认的其他综合收</w:t>
      </w:r>
      <w:r>
        <w:rPr/>
        <w:t> 益，暂不进行会计处理。</w:t>
      </w:r>
    </w:p>
    <w:p>
      <w:pPr>
        <w:spacing w:line="240" w:lineRule="auto" w:before="6"/>
        <w:rPr>
          <w:rFonts w:ascii="宋体" w:hAnsi="宋体" w:cs="宋体" w:eastAsia="宋体" w:hint="default"/>
          <w:sz w:val="17"/>
          <w:szCs w:val="17"/>
        </w:rPr>
      </w:pPr>
    </w:p>
    <w:p>
      <w:pPr>
        <w:pStyle w:val="BodyText"/>
        <w:spacing w:line="266" w:lineRule="auto"/>
        <w:ind w:right="0" w:firstLine="370"/>
        <w:jc w:val="left"/>
      </w:pPr>
      <w:r>
        <w:rPr/>
        <w:t>对于非同一控制下的企业合并取得的长期股权投资，在购买日按照合并成本作为长期股权投资的初始 </w:t>
      </w:r>
      <w:r>
        <w:rPr>
          <w:spacing w:val="-1"/>
        </w:rPr>
        <w:t>投资成本，合并成本包括购买方付出的资产、发生或承担的负债、发行的权益性证券的公允价值之和。通</w:t>
      </w:r>
      <w:r>
        <w:rPr>
          <w:spacing w:val="-85"/>
        </w:rPr>
        <w:t> </w:t>
      </w:r>
      <w:r>
        <w:rPr>
          <w:spacing w:val="-85"/>
        </w:rPr>
      </w:r>
      <w:r>
        <w:rPr/>
        <w:t>过多次交易分步取得被购买方的股权，最终形成非同一控制下的企业合并的，应分别是否属于</w:t>
      </w:r>
      <w:r>
        <w:rPr>
          <w:rFonts w:ascii="Times New Roman" w:hAnsi="Times New Roman" w:cs="Times New Roman" w:eastAsia="Times New Roman" w:hint="default"/>
        </w:rPr>
        <w:t>“</w:t>
      </w:r>
      <w:r>
        <w:rPr/>
        <w:t>一揽子交 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 子交易</w:t>
      </w:r>
      <w:r>
        <w:rPr>
          <w:rFonts w:ascii="Times New Roman" w:hAnsi="Times New Roman" w:cs="Times New Roman" w:eastAsia="Times New Roman" w:hint="default"/>
        </w:rPr>
        <w:t>”</w:t>
      </w:r>
      <w:r>
        <w:rPr/>
        <w:t>的，按照原持有被购买方的股权投资账面价值加上新增投资成本之和，作为改按成本法核算的长 </w:t>
      </w:r>
      <w:r>
        <w:rPr>
          <w:spacing w:val="-1"/>
        </w:rPr>
        <w:t>期股权投资的初始投资成本。原持有的股权采用权益法核算的，相关其他综合收益暂不进行会计处理。原</w:t>
      </w:r>
      <w:r>
        <w:rPr>
          <w:spacing w:val="-83"/>
        </w:rPr>
        <w:t> </w:t>
      </w:r>
      <w:r>
        <w:rPr>
          <w:spacing w:val="-83"/>
        </w:rPr>
      </w:r>
      <w:r>
        <w:rPr>
          <w:spacing w:val="-1"/>
        </w:rPr>
        <w:t>持有股权投资为可供出售金融资产的，其公允价值与账面价值之间的差额，以及原计入其他综合收益的累</w:t>
      </w:r>
      <w:r>
        <w:rPr>
          <w:spacing w:val="-81"/>
        </w:rPr>
        <w:t> </w:t>
      </w:r>
      <w:r>
        <w:rPr>
          <w:spacing w:val="-81"/>
        </w:rPr>
      </w:r>
      <w:r>
        <w:rPr/>
        <w:t>计公允价值变动转入当期损益。</w:t>
      </w:r>
    </w:p>
    <w:p>
      <w:pPr>
        <w:spacing w:line="240" w:lineRule="auto" w:before="8"/>
        <w:rPr>
          <w:rFonts w:ascii="宋体" w:hAnsi="宋体" w:cs="宋体" w:eastAsia="宋体" w:hint="default"/>
          <w:sz w:val="17"/>
          <w:szCs w:val="17"/>
        </w:rPr>
      </w:pPr>
    </w:p>
    <w:p>
      <w:pPr>
        <w:pStyle w:val="BodyText"/>
        <w:spacing w:line="273" w:lineRule="auto"/>
        <w:ind w:right="1142" w:firstLine="370"/>
        <w:jc w:val="left"/>
      </w:pPr>
      <w:r>
        <w:rPr/>
        <w:t>合并方或购买方为企业合并发生的审计、法律服务、评估咨询等中介费用以及其他相关管理费用，于 发生时计入当期损益。</w:t>
      </w:r>
    </w:p>
    <w:p>
      <w:pPr>
        <w:spacing w:line="240" w:lineRule="auto" w:before="1"/>
        <w:rPr>
          <w:rFonts w:ascii="宋体" w:hAnsi="宋体" w:cs="宋体" w:eastAsia="宋体" w:hint="default"/>
          <w:sz w:val="17"/>
          <w:szCs w:val="17"/>
        </w:rPr>
      </w:pPr>
    </w:p>
    <w:p>
      <w:pPr>
        <w:pStyle w:val="BodyText"/>
        <w:spacing w:line="271" w:lineRule="auto"/>
        <w:ind w:right="1110" w:firstLine="370"/>
        <w:jc w:val="both"/>
      </w:pPr>
      <w:r>
        <w:rPr/>
        <w:t>除企业合并形成的长期股权投资外的其他股权投资，按成本进行初始计量，该成本视长期股权投资取 </w:t>
      </w:r>
      <w:r>
        <w:rPr>
          <w:spacing w:val="-1"/>
        </w:rPr>
        <w:t>得方式的不同，分别按照本公司实际支付的现金购买价款、本公司发行的权益性证券的公允价值、投资合</w:t>
      </w:r>
      <w:r>
        <w:rPr>
          <w:spacing w:val="-83"/>
        </w:rPr>
        <w:t> </w:t>
      </w:r>
      <w:r>
        <w:rPr>
          <w:spacing w:val="-83"/>
        </w:rPr>
      </w:r>
      <w:r>
        <w:rPr>
          <w:spacing w:val="-1"/>
        </w:rPr>
        <w:t>同或协议约定的价值、非货币性资产交换交易中换出资产的公允价值或原账面价值、该项长期股权投资自</w:t>
      </w:r>
      <w:r>
        <w:rPr>
          <w:spacing w:val="-81"/>
        </w:rPr>
        <w:t> </w:t>
      </w:r>
      <w:r>
        <w:rPr>
          <w:spacing w:val="-81"/>
        </w:rPr>
      </w:r>
      <w:r>
        <w:rPr/>
        <w:t>身的公允价值等方式确定。与取得长期股权投资直接相关的费用、税金及其他必要支出也计入投资成本。 </w:t>
      </w:r>
      <w:r>
        <w:rPr>
          <w:spacing w:val="-1"/>
        </w:rPr>
        <w:t>对于因追加投资能够对被投资单位实施重大影响或实施共同控制但不构成控制的，长期股权投资成本为按</w:t>
      </w:r>
      <w:r>
        <w:rPr>
          <w:spacing w:val="-81"/>
        </w:rPr>
        <w:t> </w:t>
      </w:r>
      <w:r>
        <w:rPr>
          <w:spacing w:val="-81"/>
        </w:rPr>
      </w:r>
      <w:r>
        <w:rPr>
          <w:spacing w:val="-1"/>
        </w:rPr>
        <w:t>照《企业会计准则第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金融工具确认和计量》确定的原持有股权投资的公允价值加上新增投资成本</w:t>
      </w:r>
      <w:r>
        <w:rPr>
          <w:spacing w:val="-81"/>
        </w:rPr>
        <w:t> </w:t>
      </w:r>
      <w:r>
        <w:rPr>
          <w:spacing w:val="-81"/>
        </w:rPr>
      </w:r>
      <w:r>
        <w:rPr/>
        <w:t>之和。</w:t>
      </w:r>
    </w:p>
    <w:p>
      <w:pPr>
        <w:spacing w:after="0" w:line="271"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524" w:right="0"/>
        <w:jc w:val="left"/>
      </w:pPr>
      <w:r>
        <w:rPr/>
        <w:t>（</w:t>
      </w:r>
      <w:r>
        <w:rPr>
          <w:rFonts w:ascii="Times New Roman" w:hAnsi="Times New Roman" w:cs="Times New Roman" w:eastAsia="Times New Roman" w:hint="default"/>
        </w:rPr>
        <w:t>2</w:t>
      </w:r>
      <w:r>
        <w:rPr/>
        <w:t>）后续计量及损益确认方法</w:t>
      </w:r>
    </w:p>
    <w:p>
      <w:pPr>
        <w:spacing w:line="240" w:lineRule="auto" w:before="2"/>
        <w:rPr>
          <w:rFonts w:ascii="宋体" w:hAnsi="宋体" w:cs="宋体" w:eastAsia="宋体" w:hint="default"/>
          <w:sz w:val="18"/>
          <w:szCs w:val="18"/>
        </w:rPr>
      </w:pPr>
    </w:p>
    <w:p>
      <w:pPr>
        <w:pStyle w:val="BodyText"/>
        <w:spacing w:line="273" w:lineRule="auto"/>
        <w:ind w:right="1159" w:firstLine="370"/>
        <w:jc w:val="both"/>
      </w:pPr>
      <w:r>
        <w:rPr/>
        <w:t>对被投资单位具有共同控制（构成共同经营者除外）或重大影响的长期股权投资，采用权益法核算。 此外，公司财务报表采用成本法核算能够对被投资单位实施控制的长期股权投资。</w:t>
      </w:r>
    </w:p>
    <w:p>
      <w:pPr>
        <w:pStyle w:val="BodyText"/>
        <w:spacing w:line="528" w:lineRule="exact" w:before="47"/>
        <w:ind w:left="524" w:right="1142"/>
        <w:jc w:val="left"/>
      </w:pPr>
      <w:r>
        <w:rPr/>
        <w:t>①成本法核算的长期股权投资 采用成本法核算时，长期股权投资按初始投资成本计价，追加或收回投资调整长期股权投资的成本。</w:t>
      </w:r>
    </w:p>
    <w:p>
      <w:pPr>
        <w:pStyle w:val="BodyText"/>
        <w:spacing w:line="236" w:lineRule="exact"/>
        <w:ind w:right="0"/>
        <w:jc w:val="left"/>
      </w:pPr>
      <w:r>
        <w:rPr/>
        <w:t>除取得投资时实际支付的价款或者对价中包含的已宣告但尚未发放的现金股利或者利润外，当期投资收益</w:t>
      </w:r>
    </w:p>
    <w:p>
      <w:pPr>
        <w:pStyle w:val="BodyText"/>
        <w:spacing w:line="240" w:lineRule="auto" w:before="37"/>
        <w:ind w:right="0"/>
        <w:jc w:val="left"/>
      </w:pPr>
      <w:r>
        <w:rPr/>
        <w:t>按照享有被投资单位宣告发放的现金股利或利润确认。</w:t>
      </w:r>
    </w:p>
    <w:p>
      <w:pPr>
        <w:pStyle w:val="BodyText"/>
        <w:spacing w:line="520" w:lineRule="atLeast" w:before="8"/>
        <w:ind w:left="524" w:right="1142"/>
        <w:jc w:val="left"/>
      </w:pPr>
      <w:r>
        <w:rPr/>
        <w:t>②权益法核算的长期股权投资 采用权益法核算时，长期股权投资的初始投资成本大于投资时应享有被投资单位可辨认净资产公允价</w:t>
      </w:r>
    </w:p>
    <w:p>
      <w:pPr>
        <w:pStyle w:val="BodyText"/>
        <w:spacing w:line="273" w:lineRule="auto" w:before="37"/>
        <w:ind w:right="0"/>
        <w:jc w:val="left"/>
      </w:pPr>
      <w:r>
        <w:rPr>
          <w:spacing w:val="-1"/>
        </w:rPr>
        <w:t>值份额的，不调整长期股权投资的初始投资成本；初始投资成本小于投资时应享有被投资单位可辨认净资</w:t>
      </w:r>
      <w:r>
        <w:rPr>
          <w:spacing w:val="-81"/>
        </w:rPr>
        <w:t> </w:t>
      </w:r>
      <w:r>
        <w:rPr>
          <w:spacing w:val="-81"/>
        </w:rPr>
      </w:r>
      <w:r>
        <w:rPr/>
        <w:t>产公允价值份额的，其差额计入当期损益，同时调整长期股权投资的成本。</w:t>
      </w:r>
    </w:p>
    <w:p>
      <w:pPr>
        <w:spacing w:line="240" w:lineRule="auto" w:before="1"/>
        <w:rPr>
          <w:rFonts w:ascii="宋体" w:hAnsi="宋体" w:cs="宋体" w:eastAsia="宋体" w:hint="default"/>
          <w:sz w:val="17"/>
          <w:szCs w:val="17"/>
        </w:rPr>
      </w:pPr>
    </w:p>
    <w:p>
      <w:pPr>
        <w:pStyle w:val="BodyText"/>
        <w:spacing w:line="271" w:lineRule="auto"/>
        <w:ind w:right="1130" w:firstLine="370"/>
        <w:jc w:val="both"/>
      </w:pPr>
      <w:r>
        <w:rPr/>
        <w:t>采用权益法核算时，按照应享有或应分担的被投资单位实现的净损益和其他综合收益的份额，分别确 </w:t>
      </w:r>
      <w:r>
        <w:rPr>
          <w:spacing w:val="-1"/>
        </w:rPr>
        <w:t>认投资收益和其他综合收益，同时调整长期股权投资的账面价值；按照被投资单位宣告分派的利润或现金</w:t>
      </w:r>
      <w:r>
        <w:rPr>
          <w:spacing w:val="-81"/>
        </w:rPr>
        <w:t> </w:t>
      </w:r>
      <w:r>
        <w:rPr>
          <w:spacing w:val="-81"/>
        </w:rPr>
      </w:r>
      <w:r>
        <w:rPr>
          <w:spacing w:val="-1"/>
        </w:rPr>
        <w:t>股利计算应享有的部分，相应减少长期股权投资的账面价值；对于被投资单位除净损益、其他综合收益和</w:t>
      </w:r>
      <w:r>
        <w:rPr>
          <w:spacing w:val="-83"/>
        </w:rPr>
        <w:t> </w:t>
      </w:r>
      <w:r>
        <w:rPr>
          <w:spacing w:val="-83"/>
        </w:rPr>
      </w:r>
      <w:r>
        <w:rPr>
          <w:spacing w:val="-1"/>
        </w:rPr>
        <w:t>利润分配以外所有者权益的其他变动，调整长期股权投资的账面价值并计入资本公积。在确认应享有被投</w:t>
      </w:r>
      <w:r>
        <w:rPr>
          <w:spacing w:val="-81"/>
        </w:rPr>
        <w:t> </w:t>
      </w:r>
      <w:r>
        <w:rPr>
          <w:spacing w:val="-81"/>
        </w:rPr>
      </w:r>
      <w:r>
        <w:rPr>
          <w:spacing w:val="-1"/>
        </w:rPr>
        <w:t>资单位净损益的份额时，以取得投资时被投资单位各项可辨认资产等的公允价值为基础，对被投资单位的</w:t>
      </w:r>
      <w:r>
        <w:rPr>
          <w:spacing w:val="-81"/>
        </w:rPr>
        <w:t> </w:t>
      </w:r>
      <w:r>
        <w:rPr>
          <w:spacing w:val="-81"/>
        </w:rPr>
      </w:r>
      <w:r>
        <w:rPr>
          <w:spacing w:val="-1"/>
        </w:rPr>
        <w:t>净利润进行调整后确认。被投资单位采用的会计政策及会计期间与本公司不一致的，按照本公司的会计政</w:t>
      </w:r>
      <w:r>
        <w:rPr>
          <w:spacing w:val="-81"/>
        </w:rPr>
        <w:t> </w:t>
      </w:r>
      <w:r>
        <w:rPr>
          <w:spacing w:val="-81"/>
        </w:rPr>
      </w:r>
      <w:r>
        <w:rPr>
          <w:spacing w:val="-1"/>
        </w:rPr>
        <w:t>策及会计期间对被投资单位的财务报表进行调整，并据以确认投资收益和其他综合收益。对于本公司与联</w:t>
      </w:r>
      <w:r>
        <w:rPr>
          <w:spacing w:val="-81"/>
        </w:rPr>
        <w:t> </w:t>
      </w:r>
      <w:r>
        <w:rPr>
          <w:spacing w:val="-81"/>
        </w:rPr>
      </w:r>
      <w:r>
        <w:rPr>
          <w:spacing w:val="-1"/>
        </w:rPr>
        <w:t>营企业及合营企业之间发生的交易，投出或出售的资产不构成业务的，未实现内部交易损益按照享有的比</w:t>
      </w:r>
      <w:r>
        <w:rPr>
          <w:spacing w:val="-80"/>
        </w:rPr>
        <w:t> </w:t>
      </w:r>
      <w:r>
        <w:rPr>
          <w:spacing w:val="-80"/>
        </w:rPr>
      </w:r>
      <w:r>
        <w:rPr>
          <w:spacing w:val="-1"/>
        </w:rPr>
        <w:t>例计算归属于本公司的部分予以抵销，在此基础上确认投资损益。但本公司与被投资单位发生的未实现内</w:t>
      </w:r>
      <w:r>
        <w:rPr>
          <w:spacing w:val="-81"/>
        </w:rPr>
        <w:t> </w:t>
      </w:r>
      <w:r>
        <w:rPr>
          <w:spacing w:val="-81"/>
        </w:rPr>
      </w:r>
      <w:r>
        <w:rPr>
          <w:spacing w:val="-1"/>
        </w:rPr>
        <w:t>部交易损失，属于所转让资产减值损失的，不予以抵销。本公司向合营企业或联营企业投出的资产构成业</w:t>
      </w:r>
      <w:r>
        <w:rPr>
          <w:spacing w:val="-83"/>
        </w:rPr>
        <w:t> </w:t>
      </w:r>
      <w:r>
        <w:rPr>
          <w:spacing w:val="-83"/>
        </w:rPr>
      </w:r>
      <w:r>
        <w:rPr>
          <w:spacing w:val="-1"/>
        </w:rPr>
        <w:t>务的，投资方因此取得长期股权投资但未取得控制权的，以投出业务的公允价值作为新增长期股权投资的</w:t>
      </w:r>
      <w:r>
        <w:rPr>
          <w:spacing w:val="-81"/>
        </w:rPr>
        <w:t> </w:t>
      </w:r>
      <w:r>
        <w:rPr>
          <w:spacing w:val="-81"/>
        </w:rPr>
      </w:r>
      <w:r>
        <w:rPr>
          <w:spacing w:val="-1"/>
        </w:rPr>
        <w:t>初始投资成本，初始投资成本与投出业务的账面价值之差，全额计入当期损益。本公司向合营企业或联营</w:t>
      </w:r>
      <w:r>
        <w:rPr>
          <w:spacing w:val="-83"/>
        </w:rPr>
        <w:t> </w:t>
      </w:r>
      <w:r>
        <w:rPr>
          <w:spacing w:val="-83"/>
        </w:rPr>
      </w:r>
      <w:r>
        <w:rPr>
          <w:spacing w:val="-1"/>
        </w:rPr>
        <w:t>企业出售的资产构成业务的，取得的对价与业务的账面价值之差，全额计入当期损益。本公司自联营企业</w:t>
      </w:r>
      <w:r>
        <w:rPr>
          <w:spacing w:val="-83"/>
        </w:rPr>
        <w:t> </w:t>
      </w:r>
      <w:r>
        <w:rPr>
          <w:spacing w:val="-83"/>
        </w:rPr>
      </w:r>
      <w:r>
        <w:rPr>
          <w:spacing w:val="-1"/>
        </w:rPr>
        <w:t>及合营企业购入的资产构成业务的，按《企业会计准则第</w:t>
      </w:r>
      <w:r>
        <w:rPr>
          <w:rFonts w:ascii="Times New Roman" w:hAnsi="Times New Roman" w:cs="Times New Roman" w:eastAsia="Times New Roman" w:hint="default"/>
          <w:spacing w:val="-1"/>
        </w:rPr>
        <w:t>20</w:t>
      </w:r>
      <w:r>
        <w:rPr>
          <w:spacing w:val="-1"/>
        </w:rPr>
        <w:t>号</w:t>
      </w:r>
      <w:r>
        <w:rPr>
          <w:rFonts w:ascii="Times New Roman" w:hAnsi="Times New Roman" w:cs="Times New Roman" w:eastAsia="Times New Roman" w:hint="default"/>
          <w:spacing w:val="-1"/>
        </w:rPr>
        <w:t>——</w:t>
      </w:r>
      <w:r>
        <w:rPr>
          <w:spacing w:val="-1"/>
        </w:rPr>
        <w:t>企业合并》的规定进行会计处理，全额</w:t>
      </w:r>
      <w:r>
        <w:rPr>
          <w:spacing w:val="-86"/>
        </w:rPr>
        <w:t> </w:t>
      </w:r>
      <w:r>
        <w:rPr>
          <w:spacing w:val="-86"/>
        </w:rPr>
      </w:r>
      <w:r>
        <w:rPr/>
        <w:t>确认与交易相关的利得或损失。</w:t>
      </w:r>
    </w:p>
    <w:p>
      <w:pPr>
        <w:spacing w:line="240" w:lineRule="auto" w:before="3"/>
        <w:rPr>
          <w:rFonts w:ascii="宋体" w:hAnsi="宋体" w:cs="宋体" w:eastAsia="宋体" w:hint="default"/>
          <w:sz w:val="17"/>
          <w:szCs w:val="17"/>
        </w:rPr>
      </w:pPr>
    </w:p>
    <w:p>
      <w:pPr>
        <w:pStyle w:val="BodyText"/>
        <w:spacing w:line="273" w:lineRule="auto"/>
        <w:ind w:right="1131" w:firstLine="370"/>
        <w:jc w:val="both"/>
      </w:pPr>
      <w:r>
        <w:rPr/>
        <w:t>在确认应分担被投资单位发生的净亏损时，以长期股权投资的账面价值和其他实质上构成对被投资单 </w:t>
      </w:r>
      <w:r>
        <w:rPr>
          <w:spacing w:val="-1"/>
        </w:rPr>
        <w:t>位净投资的长期权益减记至零为限。此外，如本公司对被投资单位负有承担额外损失的义务，则按预计承</w:t>
      </w:r>
      <w:r>
        <w:rPr>
          <w:spacing w:val="-83"/>
        </w:rPr>
        <w:t> </w:t>
      </w:r>
      <w:r>
        <w:rPr>
          <w:spacing w:val="-83"/>
        </w:rPr>
      </w:r>
      <w:r>
        <w:rPr>
          <w:spacing w:val="-1"/>
        </w:rPr>
        <w:t>担的义务确认预计负债，计入当期投资损失。被投资单位以后期间实现净利润的，本公司在收益分享额弥</w:t>
      </w:r>
      <w:r>
        <w:rPr>
          <w:spacing w:val="-83"/>
        </w:rPr>
        <w:t> </w:t>
      </w:r>
      <w:r>
        <w:rPr>
          <w:spacing w:val="-83"/>
        </w:rPr>
      </w:r>
      <w:r>
        <w:rPr/>
        <w:t>补未确认的亏损分担额后，恢复确认收益分享额。</w:t>
      </w:r>
    </w:p>
    <w:p>
      <w:pPr>
        <w:pStyle w:val="BodyText"/>
        <w:spacing w:line="528" w:lineRule="exact" w:before="46"/>
        <w:ind w:left="524" w:right="1142"/>
        <w:jc w:val="left"/>
      </w:pPr>
      <w:r>
        <w:rPr/>
        <w:t>③收购少数股权 在编制合并财务报表时，因购买少数股权新增的长期股权投资与按照新增持股比例计算应享有子公司</w:t>
      </w:r>
    </w:p>
    <w:p>
      <w:pPr>
        <w:pStyle w:val="BodyText"/>
        <w:spacing w:line="236" w:lineRule="exact"/>
        <w:ind w:right="0"/>
        <w:jc w:val="left"/>
      </w:pPr>
      <w:r>
        <w:rPr/>
        <w:t>自购买日（或合并日）开始持续计算的净资产份额之间的差额，调整资本公积，资本公积不足冲减的，调</w:t>
      </w:r>
    </w:p>
    <w:p>
      <w:pPr>
        <w:pStyle w:val="BodyText"/>
        <w:spacing w:line="240" w:lineRule="auto" w:before="37"/>
        <w:ind w:right="0"/>
        <w:jc w:val="left"/>
      </w:pPr>
      <w:r>
        <w:rPr/>
        <w:t>整留存收益。</w:t>
      </w:r>
    </w:p>
    <w:p>
      <w:pPr>
        <w:pStyle w:val="BodyText"/>
        <w:spacing w:line="530" w:lineRule="atLeast"/>
        <w:ind w:left="524" w:right="1142"/>
        <w:jc w:val="left"/>
      </w:pPr>
      <w:r>
        <w:rPr/>
        <w:t>④处置长期股权投资 在合并财务报表中，母公司在不丧失控制权的情况下部分处置对子公司的长期股权投资，处置价款与</w:t>
      </w:r>
    </w:p>
    <w:p>
      <w:pPr>
        <w:pStyle w:val="BodyText"/>
        <w:spacing w:line="240" w:lineRule="auto" w:before="37"/>
        <w:ind w:right="0"/>
        <w:jc w:val="left"/>
      </w:pPr>
      <w:r>
        <w:rPr/>
        <w:t>处置长期股权投资相对应享有子公司净资产的差额计入股东权益；母公司部分处置对子公司的长期股权投</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116"/>
        <w:jc w:val="left"/>
      </w:pPr>
      <w:r>
        <w:rPr/>
        <w:t>资导致丧失对子公司控制权的，按本附注五、</w:t>
      </w:r>
      <w:r>
        <w:rPr>
          <w:rFonts w:ascii="Times New Roman" w:hAnsi="Times New Roman" w:cs="Times New Roman" w:eastAsia="Times New Roman" w:hint="default"/>
        </w:rPr>
        <w:t>6</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 处理。</w:t>
      </w:r>
    </w:p>
    <w:p>
      <w:pPr>
        <w:spacing w:line="240" w:lineRule="auto" w:before="3"/>
        <w:rPr>
          <w:rFonts w:ascii="宋体" w:hAnsi="宋体" w:cs="宋体" w:eastAsia="宋体" w:hint="default"/>
          <w:sz w:val="18"/>
          <w:szCs w:val="18"/>
        </w:rPr>
      </w:pPr>
    </w:p>
    <w:p>
      <w:pPr>
        <w:pStyle w:val="BodyText"/>
        <w:spacing w:line="273" w:lineRule="auto"/>
        <w:ind w:right="1159" w:firstLine="370"/>
        <w:jc w:val="both"/>
      </w:pPr>
      <w:r>
        <w:rPr/>
        <w:t>其他情形下的长期股权投资处置，对于处置的股权，其账面价值与实际取得价款的差额，计入当期损 益。</w:t>
      </w:r>
    </w:p>
    <w:p>
      <w:pPr>
        <w:spacing w:line="240" w:lineRule="auto" w:before="1"/>
        <w:rPr>
          <w:rFonts w:ascii="宋体" w:hAnsi="宋体" w:cs="宋体" w:eastAsia="宋体" w:hint="default"/>
          <w:sz w:val="17"/>
          <w:szCs w:val="17"/>
        </w:rPr>
      </w:pPr>
    </w:p>
    <w:p>
      <w:pPr>
        <w:pStyle w:val="BodyText"/>
        <w:spacing w:line="273" w:lineRule="auto"/>
        <w:ind w:right="0" w:firstLine="370"/>
        <w:jc w:val="left"/>
      </w:pPr>
      <w:r>
        <w:rPr/>
        <w:t>采用权益法核算的长期股权投资，处置后的剩余股权仍采用权益法核算的，在处置时将原计入股东权 益的其他综合收益部分按相应的比例采用与被投资单位直接处置相关资产或负债相同的基础进行会计处 </w:t>
      </w:r>
      <w:r>
        <w:rPr>
          <w:spacing w:val="-1"/>
        </w:rPr>
        <w:t>理。因被投资方除净损益、其他综合收益和利润分配以外的其他所有者权益变动而确认的所有者权益，按</w:t>
      </w:r>
      <w:r>
        <w:rPr>
          <w:spacing w:val="-83"/>
        </w:rPr>
        <w:t> </w:t>
      </w:r>
      <w:r>
        <w:rPr>
          <w:spacing w:val="-83"/>
        </w:rPr>
      </w:r>
      <w:r>
        <w:rPr/>
        <w:t>比例结转入当期损益。</w:t>
      </w:r>
    </w:p>
    <w:p>
      <w:pPr>
        <w:spacing w:line="240" w:lineRule="auto" w:before="1"/>
        <w:rPr>
          <w:rFonts w:ascii="宋体" w:hAnsi="宋体" w:cs="宋体" w:eastAsia="宋体" w:hint="default"/>
          <w:sz w:val="17"/>
          <w:szCs w:val="17"/>
        </w:rPr>
      </w:pPr>
    </w:p>
    <w:p>
      <w:pPr>
        <w:pStyle w:val="BodyText"/>
        <w:spacing w:line="273" w:lineRule="auto"/>
        <w:ind w:right="1131" w:firstLine="370"/>
        <w:jc w:val="both"/>
      </w:pPr>
      <w:r>
        <w:rPr/>
        <w:t>采用成本法核算的长期股权投资，处置后剩余股权仍采用成本法核算的，其在取得对被投资单位的控 </w:t>
      </w:r>
      <w:r>
        <w:rPr>
          <w:spacing w:val="-1"/>
        </w:rPr>
        <w:t>制之前因采用权益法核算或金融工具确认和计量准则核算而确认的其他综合收益，采用与被投资单位直接</w:t>
      </w:r>
      <w:r>
        <w:rPr>
          <w:spacing w:val="-81"/>
        </w:rPr>
        <w:t> </w:t>
      </w:r>
      <w:r>
        <w:rPr>
          <w:spacing w:val="-81"/>
        </w:rPr>
      </w:r>
      <w:r>
        <w:rPr>
          <w:spacing w:val="-1"/>
        </w:rPr>
        <w:t>处置相关资产或负债相同的基础进行会计处理，并按比例结转当期损益；因采用权益法核算而确认的被投</w:t>
      </w:r>
      <w:r>
        <w:rPr>
          <w:spacing w:val="-81"/>
        </w:rPr>
        <w:t> </w:t>
      </w:r>
      <w:r>
        <w:rPr>
          <w:spacing w:val="-81"/>
        </w:rPr>
      </w:r>
      <w:r>
        <w:rPr/>
        <w:t>资单位净资产中除净损益、其他综合收益和利润分配以外的其他所有者权益变动按比例结转当期损益。</w:t>
      </w:r>
    </w:p>
    <w:p>
      <w:pPr>
        <w:spacing w:line="240" w:lineRule="auto" w:before="1"/>
        <w:rPr>
          <w:rFonts w:ascii="宋体" w:hAnsi="宋体" w:cs="宋体" w:eastAsia="宋体" w:hint="default"/>
          <w:sz w:val="17"/>
          <w:szCs w:val="17"/>
        </w:rPr>
      </w:pPr>
    </w:p>
    <w:p>
      <w:pPr>
        <w:pStyle w:val="BodyText"/>
        <w:spacing w:line="273" w:lineRule="auto"/>
        <w:ind w:right="1131" w:firstLine="370"/>
        <w:jc w:val="both"/>
      </w:pPr>
      <w:r>
        <w:rPr/>
        <w:t>本公司因处置部分股权投资丧失了对被投资单位的控制的，在编制个别财务报表时，处置后的剩余股 </w:t>
      </w:r>
      <w:r>
        <w:rPr>
          <w:spacing w:val="-1"/>
        </w:rPr>
        <w:t>权能够对被投资单位实施共同控制或施加重大影响的，改按权益法核算，并对该剩余股权视同自取得时即</w:t>
      </w:r>
      <w:r>
        <w:rPr>
          <w:spacing w:val="-81"/>
        </w:rPr>
        <w:t> </w:t>
      </w:r>
      <w:r>
        <w:rPr>
          <w:spacing w:val="-81"/>
        </w:rPr>
      </w:r>
      <w:r>
        <w:rPr>
          <w:spacing w:val="-1"/>
        </w:rPr>
        <w:t>采用权益法核算进行调整；处置后的剩余股权不能对被投资单位实施共同控制或施加重大影响的，改按金</w:t>
      </w:r>
      <w:r>
        <w:rPr>
          <w:spacing w:val="-81"/>
        </w:rPr>
        <w:t> </w:t>
      </w:r>
      <w:r>
        <w:rPr>
          <w:spacing w:val="-81"/>
        </w:rPr>
      </w:r>
      <w:r>
        <w:rPr>
          <w:spacing w:val="-1"/>
        </w:rPr>
        <w:t>融工具确认和计量准则的有关规定进行会计处理，其在丧失控制之日的公允价值与账面价值之间的差额计</w:t>
      </w:r>
      <w:r>
        <w:rPr>
          <w:spacing w:val="-81"/>
        </w:rPr>
        <w:t> </w:t>
      </w:r>
      <w:r>
        <w:rPr>
          <w:spacing w:val="-81"/>
        </w:rPr>
      </w:r>
      <w:r>
        <w:rPr>
          <w:spacing w:val="-1"/>
        </w:rPr>
        <w:t>入当期损益。对于本公司取得对被投资单位的控制之前，因采用权益法核算或金融工具确认和计量准则核</w:t>
      </w:r>
      <w:r>
        <w:rPr>
          <w:spacing w:val="-81"/>
        </w:rPr>
        <w:t> </w:t>
      </w:r>
      <w:r>
        <w:rPr>
          <w:spacing w:val="-81"/>
        </w:rPr>
      </w:r>
      <w:r>
        <w:rPr>
          <w:spacing w:val="-1"/>
        </w:rPr>
        <w:t>算而确认的其他综合收益，在丧失对被投资单位控制时采用与被投资单位直接处置相关资产或负债相同的</w:t>
      </w:r>
      <w:r>
        <w:rPr>
          <w:spacing w:val="-81"/>
        </w:rPr>
        <w:t> </w:t>
      </w:r>
      <w:r>
        <w:rPr>
          <w:spacing w:val="-81"/>
        </w:rPr>
      </w:r>
      <w:r>
        <w:rPr>
          <w:spacing w:val="-1"/>
        </w:rPr>
        <w:t>基础进行会计处理，因采用权益法核算而确认的被投资单位净资产中除净损益、其他综合收益和利润分配</w:t>
      </w:r>
      <w:r>
        <w:rPr>
          <w:spacing w:val="-81"/>
        </w:rPr>
        <w:t> </w:t>
      </w:r>
      <w:r>
        <w:rPr>
          <w:spacing w:val="-81"/>
        </w:rPr>
      </w:r>
      <w:r>
        <w:rPr>
          <w:spacing w:val="-1"/>
        </w:rPr>
        <w:t>以外的其他所有者权益变动在丧失对被投资单位控制时结转入当期损益。其中，处置后的剩余股权采用权</w:t>
      </w:r>
      <w:r>
        <w:rPr>
          <w:spacing w:val="-81"/>
        </w:rPr>
        <w:t> </w:t>
      </w:r>
      <w:r>
        <w:rPr>
          <w:spacing w:val="-81"/>
        </w:rPr>
      </w:r>
      <w:r>
        <w:rPr>
          <w:spacing w:val="-1"/>
        </w:rPr>
        <w:t>益法核算的，其他综合收益和其他所有者权益按比例结转；处置后的剩余股权改按金融工具确认和计量准</w:t>
      </w:r>
      <w:r>
        <w:rPr>
          <w:spacing w:val="-81"/>
        </w:rPr>
        <w:t> </w:t>
      </w:r>
      <w:r>
        <w:rPr>
          <w:spacing w:val="-81"/>
        </w:rPr>
      </w:r>
      <w:r>
        <w:rPr/>
        <w:t>则进行会计处理的，其他综合收益和其他所有者权益全部结转。</w:t>
      </w:r>
    </w:p>
    <w:p>
      <w:pPr>
        <w:spacing w:line="240" w:lineRule="auto" w:before="1"/>
        <w:rPr>
          <w:rFonts w:ascii="宋体" w:hAnsi="宋体" w:cs="宋体" w:eastAsia="宋体" w:hint="default"/>
          <w:sz w:val="17"/>
          <w:szCs w:val="17"/>
        </w:rPr>
      </w:pPr>
    </w:p>
    <w:p>
      <w:pPr>
        <w:pStyle w:val="BodyText"/>
        <w:spacing w:line="273" w:lineRule="auto"/>
        <w:ind w:right="1131" w:firstLine="370"/>
        <w:jc w:val="both"/>
      </w:pPr>
      <w:r>
        <w:rPr/>
        <w:t>本公司因处置部分股权投资丧失了对被投资单位的共同控制或重大影响的，处置后的剩余股权改按金 </w:t>
      </w: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r>
        <w:rPr>
          <w:spacing w:val="-81"/>
        </w:rPr>
        <w:t> </w:t>
      </w:r>
      <w:r>
        <w:rPr>
          <w:spacing w:val="-81"/>
        </w:rPr>
      </w:r>
      <w:r>
        <w:rPr/>
        <w:t>外的其他所有者权益变动而确认的所有者权益，在终止采用权益法时全部转入当期投资收益。</w:t>
      </w:r>
    </w:p>
    <w:p>
      <w:pPr>
        <w:spacing w:line="240" w:lineRule="auto" w:before="1"/>
        <w:rPr>
          <w:rFonts w:ascii="宋体" w:hAnsi="宋体" w:cs="宋体" w:eastAsia="宋体" w:hint="default"/>
          <w:sz w:val="17"/>
          <w:szCs w:val="17"/>
        </w:rPr>
      </w:pPr>
    </w:p>
    <w:p>
      <w:pPr>
        <w:pStyle w:val="BodyText"/>
        <w:spacing w:line="273" w:lineRule="auto"/>
        <w:ind w:right="1128" w:firstLine="370"/>
        <w:jc w:val="both"/>
      </w:pPr>
      <w:r>
        <w:rPr/>
        <w:t>本公司通过多次交易分步处置对子公司股权投资直至丧失控制权，如果上述交易属于一揽子交易的， </w:t>
      </w:r>
      <w:r>
        <w:rPr>
          <w:spacing w:val="-1"/>
        </w:rPr>
        <w:t>将各项交易作为一项处置子公司股权投资并丧失控制权的交易进行会计处理，在丧失控制权之前每一次处</w:t>
      </w:r>
      <w:r>
        <w:rPr>
          <w:spacing w:val="-81"/>
        </w:rPr>
        <w:t> </w:t>
      </w:r>
      <w:r>
        <w:rPr>
          <w:spacing w:val="-81"/>
        </w:rPr>
      </w:r>
      <w:r>
        <w:rPr>
          <w:spacing w:val="-1"/>
        </w:rPr>
        <w:t>置价款与所处置的股权对应的长期股权投资账面价值之间的差额，先确认为其他综合收益，到丧失控制权</w:t>
      </w:r>
      <w:r>
        <w:rPr>
          <w:spacing w:val="-81"/>
        </w:rPr>
        <w:t> </w:t>
      </w:r>
      <w:r>
        <w:rPr>
          <w:spacing w:val="-81"/>
        </w:rPr>
      </w:r>
      <w:r>
        <w:rPr/>
        <w:t>时再一并转入丧失控制权的当期损益。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4"/>
        <w:spacing w:line="240" w:lineRule="auto"/>
        <w:ind w:right="0"/>
        <w:jc w:val="left"/>
        <w:rPr>
          <w:b w:val="0"/>
          <w:bCs w:val="0"/>
        </w:rPr>
      </w:pPr>
      <w:bookmarkStart w:name="15、投资性房地产" w:id="202"/>
      <w:bookmarkEnd w:id="202"/>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74" w:lineRule="exact"/>
        <w:ind w:left="524" w:right="0"/>
        <w:jc w:val="left"/>
      </w:pPr>
      <w:r>
        <w:rPr/>
        <w:t>投资性房地产是指为赚取租金或资本增值，或两者兼有而持有的房地产。本公司投资性房地产包括已</w:t>
      </w:r>
    </w:p>
    <w:p>
      <w:pPr>
        <w:spacing w:after="0" w:line="274" w:lineRule="exact"/>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出租的土地使用权、持有并准备增值后转让的土地使用权、已出租的建筑物。</w:t>
      </w:r>
    </w:p>
    <w:p>
      <w:pPr>
        <w:spacing w:line="240" w:lineRule="auto" w:before="5"/>
        <w:rPr>
          <w:rFonts w:ascii="宋体" w:hAnsi="宋体" w:cs="宋体" w:eastAsia="宋体" w:hint="default"/>
          <w:sz w:val="19"/>
          <w:szCs w:val="19"/>
        </w:rPr>
      </w:pPr>
    </w:p>
    <w:p>
      <w:pPr>
        <w:pStyle w:val="BodyText"/>
        <w:spacing w:line="273" w:lineRule="auto"/>
        <w:ind w:right="1130" w:firstLine="370"/>
        <w:jc w:val="both"/>
      </w:pPr>
      <w:r>
        <w:rPr/>
        <w:t>本公司投资性房地产按照取得时的成本进行初始计量，与投资性房地产有关的后续支出，如果与该资 </w:t>
      </w:r>
      <w:r>
        <w:rPr>
          <w:spacing w:val="-1"/>
        </w:rPr>
        <w:t>产有关的经济利益很可能流入且其成本能可靠地计量，则计入投资性房地产成本，其他后续支出，在发生</w:t>
      </w:r>
      <w:r>
        <w:rPr>
          <w:spacing w:val="-83"/>
        </w:rPr>
        <w:t> </w:t>
      </w:r>
      <w:r>
        <w:rPr>
          <w:spacing w:val="-83"/>
        </w:rPr>
      </w:r>
      <w:r>
        <w:rPr/>
        <w:t>时计入当期损益。并按照固定资产或无形资产的有关规定，按期计提折旧或摊销。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4"/>
        <w:spacing w:line="240" w:lineRule="auto"/>
        <w:ind w:right="0"/>
        <w:jc w:val="both"/>
        <w:rPr>
          <w:b w:val="0"/>
          <w:bCs w:val="0"/>
        </w:rPr>
      </w:pPr>
      <w:bookmarkStart w:name="16、固定资产" w:id="203"/>
      <w:bookmarkEnd w:id="203"/>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确认条件" w:id="204"/>
      <w:bookmarkEnd w:id="204"/>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1131" w:firstLine="0"/>
        <w:jc w:val="both"/>
        <w:rPr>
          <w:rFonts w:ascii="宋体" w:hAnsi="宋体" w:cs="宋体" w:eastAsia="宋体" w:hint="default"/>
          <w:sz w:val="18"/>
          <w:szCs w:val="18"/>
        </w:rPr>
      </w:pPr>
      <w:r>
        <w:rPr>
          <w:rFonts w:ascii="宋体" w:hAnsi="宋体" w:cs="宋体" w:eastAsia="宋体" w:hint="default"/>
          <w:spacing w:val="-2"/>
          <w:sz w:val="18"/>
          <w:szCs w:val="18"/>
        </w:rPr>
        <w:t>本公司固定资产是指为生产商品、提供劳务、出租或经营管理而持有的，使用寿命超过一个会计年度的有形资产。与该固定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资产有关的经济利益很可能流入企业，并且该固定资产的成本能够可靠地计量时，固定资产才能予以确认。本公司固定资产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按照取得时的实际成本进行初始计量。</w:t>
      </w:r>
    </w:p>
    <w:p>
      <w:pPr>
        <w:spacing w:line="240" w:lineRule="auto" w:before="3"/>
        <w:rPr>
          <w:rFonts w:ascii="宋体" w:hAnsi="宋体" w:cs="宋体" w:eastAsia="宋体" w:hint="default"/>
          <w:sz w:val="22"/>
          <w:szCs w:val="22"/>
        </w:rPr>
      </w:pPr>
    </w:p>
    <w:p>
      <w:pPr>
        <w:pStyle w:val="Heading4"/>
        <w:spacing w:line="240" w:lineRule="auto"/>
        <w:ind w:right="0"/>
        <w:jc w:val="both"/>
        <w:rPr>
          <w:b w:val="0"/>
          <w:bCs w:val="0"/>
        </w:rPr>
      </w:pPr>
      <w:bookmarkStart w:name="（2）折旧方法" w:id="205"/>
      <w:bookmarkEnd w:id="205"/>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2.38-4.85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4.75-19.40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9.50-24.25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9.50-19.40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9.50-32.33</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both"/>
        <w:rPr>
          <w:b w:val="0"/>
          <w:bCs w:val="0"/>
        </w:rPr>
      </w:pPr>
      <w:bookmarkStart w:name="（3）融资租入固定资产的认定依据、计价和折旧方法" w:id="206"/>
      <w:bookmarkEnd w:id="206"/>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1130" w:firstLine="0"/>
        <w:jc w:val="both"/>
        <w:rPr>
          <w:rFonts w:ascii="宋体" w:hAnsi="宋体" w:cs="宋体" w:eastAsia="宋体" w:hint="default"/>
          <w:sz w:val="18"/>
          <w:szCs w:val="18"/>
        </w:rPr>
      </w:pPr>
      <w:r>
        <w:rPr>
          <w:rFonts w:ascii="宋体" w:hAnsi="宋体" w:cs="宋体" w:eastAsia="宋体" w:hint="default"/>
          <w:spacing w:val="-2"/>
          <w:sz w:val="18"/>
          <w:szCs w:val="18"/>
        </w:rPr>
        <w:t>本公司租入的固定资产符合下列一项或数项标准时，确认为融资租入固定资产：①在租赁期届满时，租赁资产的所有权转移</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给本公司。②本公司有购买租赁资产的选择权，所订立的购买价款预计将远低于行使选择权时租赁资产的公允价值，因而在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租赁开始日就可以合理确定本公司将会行使这种选择权。③即使资产的所有权不转移，但租赁期占租赁资产使用寿命的大部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分。④本公司在租赁开始日的最低租赁付款额现值，几乎相当于租赁开始日租赁资产公允价值。⑤租赁资产性质特殊，如果</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不作较大改造，只有本公司才能使用。融资租入的固定资产，能够合理确定租赁期届满时将会取得租赁资产所有权的，在租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赁资产尚可使用年限内计提折旧；无法合理确定租赁期届满时能够取得租赁资产所有权的，在租赁期与租赁资产尚可使用年</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限两者中较短的期间内计提折旧。</w:t>
      </w:r>
    </w:p>
    <w:p>
      <w:pPr>
        <w:spacing w:line="240" w:lineRule="auto" w:before="3"/>
        <w:rPr>
          <w:rFonts w:ascii="宋体" w:hAnsi="宋体" w:cs="宋体" w:eastAsia="宋体" w:hint="default"/>
          <w:sz w:val="22"/>
          <w:szCs w:val="22"/>
        </w:rPr>
      </w:pPr>
    </w:p>
    <w:p>
      <w:pPr>
        <w:pStyle w:val="Heading4"/>
        <w:spacing w:line="240" w:lineRule="auto"/>
        <w:ind w:right="0"/>
        <w:jc w:val="both"/>
        <w:rPr>
          <w:b w:val="0"/>
          <w:bCs w:val="0"/>
        </w:rPr>
      </w:pPr>
      <w:bookmarkStart w:name="17、在建工程" w:id="207"/>
      <w:bookmarkEnd w:id="207"/>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73" w:lineRule="auto" w:before="1"/>
        <w:ind w:right="1142" w:firstLine="370"/>
        <w:jc w:val="left"/>
      </w:pPr>
      <w:r>
        <w:rPr/>
        <w:t>本公司在建工程成本按实际工程支出确定﹐包括在建期间发生的各项必要工程支出、工程达到预定可 使用状态前的应予资本化的借款费用以及其他相关费用等。</w:t>
      </w:r>
    </w:p>
    <w:p>
      <w:pPr>
        <w:spacing w:line="240" w:lineRule="auto" w:before="1"/>
        <w:rPr>
          <w:rFonts w:ascii="宋体" w:hAnsi="宋体" w:cs="宋体" w:eastAsia="宋体" w:hint="default"/>
          <w:sz w:val="17"/>
          <w:szCs w:val="17"/>
        </w:rPr>
      </w:pPr>
    </w:p>
    <w:p>
      <w:pPr>
        <w:pStyle w:val="BodyText"/>
        <w:spacing w:line="240" w:lineRule="auto"/>
        <w:ind w:left="524" w:right="0"/>
        <w:jc w:val="left"/>
      </w:pPr>
      <w:r>
        <w:rPr/>
        <w:t>在建工程在达到预定可使用状态时转入固定资产。</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6"/>
        <w:ind w:right="0"/>
        <w:jc w:val="left"/>
        <w:rPr>
          <w:b w:val="0"/>
          <w:bCs w:val="0"/>
        </w:rPr>
      </w:pPr>
      <w:bookmarkStart w:name="18、借款费用" w:id="208"/>
      <w:bookmarkEnd w:id="208"/>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31" w:firstLine="370"/>
        <w:jc w:val="both"/>
      </w:pPr>
      <w:r>
        <w:rPr/>
        <w:t>借款费用包括借款利息、折价或溢价的摊销、辅助费用以及因外币借款而发生的汇兑差额等。可直接 </w:t>
      </w:r>
      <w:r>
        <w:rPr>
          <w:spacing w:val="-1"/>
        </w:rPr>
        <w:t>归属于符合资本化条件的资产的购建或者生产的借款费用，在资产支出已经发生、借款费用已经发生、为</w:t>
      </w:r>
      <w:r>
        <w:rPr>
          <w:spacing w:val="-83"/>
        </w:rPr>
        <w:t> </w:t>
      </w:r>
      <w:r>
        <w:rPr>
          <w:spacing w:val="-83"/>
        </w:rPr>
      </w:r>
      <w:r>
        <w:rPr>
          <w:spacing w:val="-1"/>
        </w:rPr>
        <w:t>使资产达到预定可使用或可销售状态所必要的购建或生产活动已经开始时，开始资本化；构建或者生产的</w:t>
      </w:r>
      <w:r>
        <w:rPr>
          <w:spacing w:val="-81"/>
        </w:rPr>
        <w:t> </w:t>
      </w:r>
      <w:r>
        <w:rPr>
          <w:spacing w:val="-81"/>
        </w:rPr>
      </w:r>
      <w:r>
        <w:rPr>
          <w:spacing w:val="-1"/>
        </w:rPr>
        <w:t>符合资本化条件的资产达到预定可使用状态或者可销售状态时，停止资本化。其余借款费用在发生当期确</w:t>
      </w:r>
      <w:r>
        <w:rPr>
          <w:spacing w:val="-81"/>
        </w:rPr>
        <w:t> </w:t>
      </w:r>
      <w:r>
        <w:rPr>
          <w:spacing w:val="-81"/>
        </w:rPr>
      </w:r>
      <w:r>
        <w:rPr/>
        <w:t>认为费用。</w:t>
      </w:r>
    </w:p>
    <w:p>
      <w:pPr>
        <w:spacing w:line="240" w:lineRule="auto" w:before="1"/>
        <w:rPr>
          <w:rFonts w:ascii="宋体" w:hAnsi="宋体" w:cs="宋体" w:eastAsia="宋体" w:hint="default"/>
          <w:sz w:val="17"/>
          <w:szCs w:val="17"/>
        </w:rPr>
      </w:pPr>
    </w:p>
    <w:p>
      <w:pPr>
        <w:pStyle w:val="BodyText"/>
        <w:spacing w:line="273" w:lineRule="auto"/>
        <w:ind w:right="1131" w:firstLine="370"/>
        <w:jc w:val="both"/>
      </w:pPr>
      <w:r>
        <w:rPr/>
        <w:t>专门借款当期实际发生的利息费用，减去尚未动用的借款资金存入银行取得的利息收入或进行暂时性 </w:t>
      </w:r>
      <w:r>
        <w:rPr>
          <w:spacing w:val="-1"/>
        </w:rPr>
        <w:t>投资取得的投资收益后的金额予以资本化；一般借款根据累计资产支出超过专门借款部分的资产支出加权</w:t>
      </w:r>
      <w:r>
        <w:rPr>
          <w:spacing w:val="-81"/>
        </w:rPr>
        <w:t> </w:t>
      </w:r>
      <w:r>
        <w:rPr>
          <w:spacing w:val="-81"/>
        </w:rPr>
      </w:r>
      <w:r>
        <w:rPr>
          <w:spacing w:val="-1"/>
        </w:rPr>
        <w:t>平均数乘以所占用一般借款的资本化率，确定资本化金额。资本化率根据一般借款的加权平均利率计算确</w:t>
      </w:r>
      <w:r>
        <w:rPr>
          <w:spacing w:val="-81"/>
        </w:rPr>
        <w:t> </w:t>
      </w:r>
      <w:r>
        <w:rPr>
          <w:spacing w:val="-81"/>
        </w:rPr>
      </w:r>
      <w:r>
        <w:rPr/>
        <w:t>定。</w:t>
      </w:r>
    </w:p>
    <w:p>
      <w:pPr>
        <w:pStyle w:val="BodyText"/>
        <w:spacing w:line="528" w:lineRule="exact" w:before="46"/>
        <w:ind w:left="524" w:right="1142"/>
        <w:jc w:val="left"/>
      </w:pPr>
      <w:r>
        <w:rPr/>
        <w:t>资本化期间内，外币专门借款的汇兑差额全部予以资本化；外币一般借款的汇兑差额计入当期损益。 符合资本化条件的资产指需要经过相当长时间的购建或者生产活动才能达到预定可使用或可销售状态</w:t>
      </w:r>
    </w:p>
    <w:p>
      <w:pPr>
        <w:pStyle w:val="BodyText"/>
        <w:spacing w:line="236" w:lineRule="exact"/>
        <w:ind w:right="0"/>
        <w:jc w:val="left"/>
      </w:pPr>
      <w:r>
        <w:rPr/>
        <w:t>的固定资产、投资性房地产和存货等资产。</w:t>
      </w:r>
    </w:p>
    <w:p>
      <w:pPr>
        <w:spacing w:line="240" w:lineRule="auto" w:before="5"/>
        <w:rPr>
          <w:rFonts w:ascii="宋体" w:hAnsi="宋体" w:cs="宋体" w:eastAsia="宋体" w:hint="default"/>
          <w:sz w:val="19"/>
          <w:szCs w:val="19"/>
        </w:rPr>
      </w:pPr>
    </w:p>
    <w:p>
      <w:pPr>
        <w:pStyle w:val="BodyText"/>
        <w:spacing w:line="256" w:lineRule="auto"/>
        <w:ind w:right="1130" w:firstLine="370"/>
        <w:jc w:val="both"/>
      </w:pPr>
      <w:r>
        <w:rPr>
          <w:spacing w:val="-2"/>
        </w:rPr>
        <w:t>如果符合资本化条件的资产在购建或生产过程中发生非正常中断、并且中断时间连续超过</w:t>
      </w:r>
      <w:r>
        <w:rPr>
          <w:rFonts w:ascii="Times New Roman" w:hAnsi="Times New Roman" w:cs="Times New Roman" w:eastAsia="Times New Roman" w:hint="default"/>
          <w:spacing w:val="-2"/>
        </w:rPr>
        <w:t>3</w:t>
      </w:r>
      <w:r>
        <w:rPr>
          <w:spacing w:val="-2"/>
        </w:rPr>
        <w:t>个月的，暂</w:t>
      </w:r>
      <w:r>
        <w:rPr/>
        <w:t> 停借款费用的资本化，直至资产的购建或生产活动重新开始。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506" w:lineRule="auto"/>
        <w:ind w:left="524" w:right="3032" w:hanging="371"/>
        <w:jc w:val="left"/>
      </w:pPr>
      <w:bookmarkStart w:name="19、生物资产" w:id="209"/>
      <w:bookmarkEnd w:id="209"/>
      <w:r>
        <w:rPr/>
      </w:r>
      <w:r>
        <w:rPr>
          <w:rFonts w:ascii="Times New Roman" w:hAnsi="Times New Roman" w:cs="Times New Roman" w:eastAsia="Times New Roman" w:hint="default"/>
          <w:b/>
          <w:bCs/>
        </w:rPr>
        <w:t>19</w:t>
      </w:r>
      <w:r>
        <w:rPr>
          <w:rFonts w:ascii="宋体" w:hAnsi="宋体" w:cs="宋体" w:eastAsia="宋体" w:hint="default"/>
          <w:b/>
          <w:bCs/>
        </w:rPr>
        <w:t>、生物资产</w:t>
      </w:r>
      <w:r>
        <w:rPr>
          <w:rFonts w:ascii="宋体" w:hAnsi="宋体" w:cs="宋体" w:eastAsia="宋体" w:hint="default"/>
          <w:b/>
          <w:bCs/>
          <w:w w:val="99"/>
        </w:rPr>
        <w:t> </w:t>
      </w:r>
      <w:r>
        <w:rPr/>
        <w:t>本公司的生物资产为苗木资产，全部为消耗性生物资产，按成本进行初始计量。</w:t>
      </w:r>
    </w:p>
    <w:p>
      <w:pPr>
        <w:pStyle w:val="BodyText"/>
        <w:spacing w:line="273" w:lineRule="auto" w:before="20"/>
        <w:ind w:right="1159" w:firstLine="370"/>
        <w:jc w:val="both"/>
      </w:pPr>
      <w:r>
        <w:rPr/>
        <w:t>消耗性生物资产在郁闭前发生的实际费用资本化，构成消耗性生物资产的成本，郁闭后发生的后续支 出费用化，计入当期损益。</w:t>
      </w:r>
    </w:p>
    <w:p>
      <w:pPr>
        <w:spacing w:line="240" w:lineRule="auto" w:before="1"/>
        <w:rPr>
          <w:rFonts w:ascii="宋体" w:hAnsi="宋体" w:cs="宋体" w:eastAsia="宋体" w:hint="default"/>
          <w:sz w:val="17"/>
          <w:szCs w:val="17"/>
        </w:rPr>
      </w:pPr>
    </w:p>
    <w:p>
      <w:pPr>
        <w:pStyle w:val="BodyText"/>
        <w:spacing w:line="273" w:lineRule="auto"/>
        <w:ind w:right="1131" w:firstLine="370"/>
        <w:jc w:val="both"/>
      </w:pPr>
      <w:r>
        <w:rPr/>
        <w:t>林木郁闭规定：园林工程建设适用规格苗木的质量及起点规格指标代表了苗木生产的出圃指标。量化 </w:t>
      </w:r>
      <w:r>
        <w:rPr>
          <w:spacing w:val="-1"/>
        </w:rPr>
        <w:t>指标有：高度、胸径、木质化程度、冠幅根幅、重量、冠根比。依据苗木的生理特性及形态分类，本公司</w:t>
      </w:r>
      <w:r>
        <w:rPr>
          <w:spacing w:val="-86"/>
        </w:rPr>
        <w:t> </w:t>
      </w:r>
      <w:r>
        <w:rPr>
          <w:spacing w:val="-86"/>
        </w:rPr>
      </w:r>
      <w:r>
        <w:rPr>
          <w:spacing w:val="-1"/>
        </w:rPr>
        <w:t>苗木基地主要生产乔木类植物。乔木类植物的特征为植株有明显主干，规格的计量指标主要以胸径的计量</w:t>
      </w:r>
      <w:r>
        <w:rPr>
          <w:spacing w:val="-81"/>
        </w:rPr>
        <w:t> </w:t>
      </w:r>
      <w:r>
        <w:rPr>
          <w:spacing w:val="-81"/>
        </w:rPr>
      </w:r>
      <w:r>
        <w:rPr/>
        <w:t>为主。</w:t>
      </w:r>
    </w:p>
    <w:p>
      <w:pPr>
        <w:spacing w:line="240" w:lineRule="auto" w:before="1"/>
        <w:rPr>
          <w:rFonts w:ascii="宋体" w:hAnsi="宋体" w:cs="宋体" w:eastAsia="宋体" w:hint="default"/>
          <w:sz w:val="17"/>
          <w:szCs w:val="17"/>
        </w:rPr>
      </w:pPr>
    </w:p>
    <w:p>
      <w:pPr>
        <w:pStyle w:val="BodyText"/>
        <w:spacing w:line="256" w:lineRule="auto"/>
        <w:ind w:right="1131" w:firstLine="370"/>
        <w:jc w:val="both"/>
      </w:pPr>
      <w:r>
        <w:rPr>
          <w:spacing w:val="-2"/>
        </w:rPr>
        <w:t>苗木达到出圃标准时</w:t>
      </w:r>
      <w:r>
        <w:rPr>
          <w:rFonts w:ascii="Times New Roman" w:hAnsi="Times New Roman" w:cs="Times New Roman" w:eastAsia="Times New Roman" w:hint="default"/>
          <w:spacing w:val="-2"/>
        </w:rPr>
        <w:t>,</w:t>
      </w:r>
      <w:r>
        <w:rPr>
          <w:spacing w:val="-2"/>
        </w:rPr>
        <w:t>苗木基本上可以较稳定地生长</w:t>
      </w:r>
      <w:r>
        <w:rPr>
          <w:rFonts w:ascii="Times New Roman" w:hAnsi="Times New Roman" w:cs="Times New Roman" w:eastAsia="Times New Roman" w:hint="default"/>
          <w:spacing w:val="-2"/>
        </w:rPr>
        <w:t>,</w:t>
      </w:r>
      <w:r>
        <w:rPr>
          <w:spacing w:val="-2"/>
        </w:rPr>
        <w:t>一般只需相对较少的维护费用及生产物资。此时点</w:t>
      </w:r>
      <w:r>
        <w:rPr/>
        <w:t> 的苗木可视为已达到郁闭。</w:t>
      </w:r>
    </w:p>
    <w:p>
      <w:pPr>
        <w:spacing w:line="240" w:lineRule="auto" w:before="3"/>
        <w:rPr>
          <w:rFonts w:ascii="宋体" w:hAnsi="宋体" w:cs="宋体" w:eastAsia="宋体" w:hint="default"/>
          <w:sz w:val="18"/>
          <w:szCs w:val="18"/>
        </w:rPr>
      </w:pPr>
    </w:p>
    <w:p>
      <w:pPr>
        <w:pStyle w:val="BodyText"/>
        <w:spacing w:line="273" w:lineRule="auto"/>
        <w:ind w:right="1022" w:firstLine="370"/>
        <w:jc w:val="left"/>
      </w:pPr>
      <w:r>
        <w:rPr>
          <w:spacing w:val="-2"/>
        </w:rPr>
        <w:t>在确定苗木大田种植的株行距时，综合考虑苗木生长速度、生产成本等因素，合理配给植株生长空间。</w:t>
      </w:r>
      <w:r>
        <w:rPr/>
        <w:t> 按本公司对苗木质量的要求，在苗木达到出圃标准时，取其出圃起点规格的各数据进行郁闭度的测算。</w:t>
      </w:r>
    </w:p>
    <w:p>
      <w:pPr>
        <w:spacing w:line="240" w:lineRule="auto" w:before="2"/>
        <w:rPr>
          <w:rFonts w:ascii="宋体" w:hAnsi="宋体" w:cs="宋体" w:eastAsia="宋体" w:hint="default"/>
          <w:sz w:val="17"/>
          <w:szCs w:val="17"/>
        </w:rPr>
      </w:pPr>
    </w:p>
    <w:p>
      <w:pPr>
        <w:pStyle w:val="BodyText"/>
        <w:spacing w:line="261" w:lineRule="auto"/>
        <w:ind w:right="0" w:firstLine="370"/>
        <w:jc w:val="left"/>
      </w:pPr>
      <w:r>
        <w:rPr/>
        <w:t>本公司消耗性生物资产主要为乔木类。对于胸径在</w:t>
      </w:r>
      <w:r>
        <w:rPr>
          <w:rFonts w:ascii="Times New Roman" w:hAnsi="Times New Roman" w:cs="Times New Roman" w:eastAsia="Times New Roman" w:hint="default"/>
        </w:rPr>
        <w:t>15cm</w:t>
      </w:r>
      <w:r>
        <w:rPr/>
        <w:t>以下的乔木，栽植时要求裸根并且去掉树冠， 以降低栽植成本和提高成活率，同时再生发新树冠也有利于树形的一致和美观。该类苗木在树冠达到全冠 </w:t>
      </w:r>
      <w:r>
        <w:rPr>
          <w:spacing w:val="-1"/>
        </w:rPr>
        <w:t>前都视为未郁闭。对于胸径在</w:t>
      </w:r>
      <w:r>
        <w:rPr>
          <w:rFonts w:ascii="Times New Roman" w:hAnsi="Times New Roman" w:cs="Times New Roman" w:eastAsia="Times New Roman" w:hint="default"/>
          <w:spacing w:val="-1"/>
        </w:rPr>
        <w:t>15cm</w:t>
      </w:r>
      <w:r>
        <w:rPr>
          <w:spacing w:val="-1"/>
        </w:rPr>
        <w:t>以上（含</w:t>
      </w:r>
      <w:r>
        <w:rPr>
          <w:rFonts w:ascii="Times New Roman" w:hAnsi="Times New Roman" w:cs="Times New Roman" w:eastAsia="Times New Roman" w:hint="default"/>
          <w:spacing w:val="-1"/>
        </w:rPr>
        <w:t>15cm</w:t>
      </w:r>
      <w:r>
        <w:rPr>
          <w:spacing w:val="-1"/>
        </w:rPr>
        <w:t>）的乔木，由于干径较粗，树龄较大，不宜去树冠栽植，</w:t>
      </w:r>
      <w:r>
        <w:rPr>
          <w:spacing w:val="-70"/>
        </w:rPr>
        <w:t> </w:t>
      </w:r>
      <w:r>
        <w:rPr>
          <w:spacing w:val="-70"/>
        </w:rPr>
      </w:r>
      <w:r>
        <w:rPr/>
        <w:t>该类苗木自采购入圃即为达到郁闭期。灌木类消耗性生物资产不划分郁闭期。</w:t>
      </w:r>
    </w:p>
    <w:p>
      <w:pPr>
        <w:spacing w:after="0" w:line="261"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524" w:right="0"/>
        <w:jc w:val="left"/>
      </w:pPr>
      <w:r>
        <w:rPr/>
        <w:t>消耗性生物资产在出圃时按加权平均法结转成本。</w:t>
      </w:r>
    </w:p>
    <w:p>
      <w:pPr>
        <w:spacing w:line="240" w:lineRule="auto" w:before="5"/>
        <w:rPr>
          <w:rFonts w:ascii="宋体" w:hAnsi="宋体" w:cs="宋体" w:eastAsia="宋体" w:hint="default"/>
          <w:sz w:val="19"/>
          <w:szCs w:val="19"/>
        </w:rPr>
      </w:pPr>
    </w:p>
    <w:p>
      <w:pPr>
        <w:pStyle w:val="BodyText"/>
        <w:spacing w:line="273" w:lineRule="auto"/>
        <w:ind w:right="1133" w:firstLine="370"/>
        <w:jc w:val="both"/>
      </w:pPr>
      <w:r>
        <w:rPr/>
        <w:t>每年每年度终了对消耗性生物资产进行检查，有确凿证据表明消耗性生物资产的可变现净值低于其账 </w:t>
      </w:r>
      <w:r>
        <w:rPr>
          <w:spacing w:val="-1"/>
        </w:rPr>
        <w:t>面价值的，按低于金额计提消耗性生物资产跌价准备，计入当期损益；跌价因素消失的，原已计提的跌价</w:t>
      </w:r>
      <w:r>
        <w:rPr>
          <w:spacing w:val="-86"/>
        </w:rPr>
        <w:t> </w:t>
      </w:r>
      <w:r>
        <w:rPr>
          <w:spacing w:val="-86"/>
        </w:rPr>
      </w:r>
      <w:r>
        <w:rPr/>
        <w:t>准备转回，转回金额计入当期损益。</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20、油气资产" w:id="210"/>
      <w:bookmarkEnd w:id="210"/>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1、无形资产" w:id="211"/>
      <w:bookmarkEnd w:id="211"/>
      <w:r>
        <w:rPr>
          <w:b w:val="0"/>
          <w:bCs w:val="0"/>
        </w:rPr>
      </w:r>
      <w:r>
        <w:rPr>
          <w:rFonts w:ascii="Times New Roman" w:hAnsi="Times New Roman" w:cs="Times New Roman" w:eastAsia="Times New Roman" w:hint="default"/>
        </w:rPr>
        <w:t>21</w:t>
      </w:r>
      <w:r>
        <w:rPr/>
        <w:t>、无形资产</w:t>
      </w:r>
      <w:r>
        <w:rPr>
          <w:b w:val="0"/>
          <w:bCs w:val="0"/>
        </w:rPr>
      </w:r>
    </w:p>
    <w:p>
      <w:pPr>
        <w:spacing w:line="590" w:lineRule="atLeast" w:before="23"/>
        <w:ind w:left="524" w:right="0" w:hanging="371"/>
        <w:jc w:val="left"/>
        <w:rPr>
          <w:rFonts w:ascii="宋体" w:hAnsi="宋体" w:cs="宋体" w:eastAsia="宋体" w:hint="default"/>
          <w:sz w:val="21"/>
          <w:szCs w:val="21"/>
        </w:rPr>
      </w:pPr>
      <w:bookmarkStart w:name="（1）计价方法、使用寿命、减值测试" w:id="212"/>
      <w:bookmarkEnd w:id="2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sz w:val="21"/>
          <w:szCs w:val="21"/>
        </w:rPr>
        <w:t>本公司无形资产按照成本进行初始计量，并于取得无形资产时分析判断其使用寿命。使用寿命为有限</w:t>
      </w:r>
    </w:p>
    <w:p>
      <w:pPr>
        <w:pStyle w:val="BodyText"/>
        <w:spacing w:line="273" w:lineRule="auto" w:before="37"/>
        <w:ind w:right="1131"/>
        <w:jc w:val="both"/>
      </w:pPr>
      <w:r>
        <w:rPr>
          <w:spacing w:val="-1"/>
        </w:rPr>
        <w:t>的，自无形资产可供使用时起，采用能反映与该资产有关的经济利益的预期实现方式的摊销方法，在预计</w:t>
      </w:r>
      <w:r>
        <w:rPr>
          <w:spacing w:val="-83"/>
        </w:rPr>
        <w:t> </w:t>
      </w:r>
      <w:r>
        <w:rPr>
          <w:spacing w:val="-83"/>
        </w:rPr>
      </w:r>
      <w:r>
        <w:rPr>
          <w:spacing w:val="-1"/>
        </w:rPr>
        <w:t>使用年限内摊销；无法可靠确定预期实现方式的，采用直线法摊销；使用寿命不确定的无形资产，不作摊</w:t>
      </w:r>
      <w:r>
        <w:rPr>
          <w:spacing w:val="-85"/>
        </w:rPr>
        <w:t> </w:t>
      </w:r>
      <w:r>
        <w:rPr>
          <w:spacing w:val="-85"/>
        </w:rPr>
      </w:r>
      <w:r>
        <w:rPr/>
        <w:t>销。</w:t>
      </w:r>
    </w:p>
    <w:p>
      <w:pPr>
        <w:spacing w:line="240" w:lineRule="auto" w:before="1"/>
        <w:rPr>
          <w:rFonts w:ascii="宋体" w:hAnsi="宋体" w:cs="宋体" w:eastAsia="宋体" w:hint="default"/>
          <w:sz w:val="17"/>
          <w:szCs w:val="17"/>
        </w:rPr>
      </w:pPr>
    </w:p>
    <w:p>
      <w:pPr>
        <w:pStyle w:val="BodyText"/>
        <w:spacing w:line="273" w:lineRule="auto"/>
        <w:ind w:right="1133" w:firstLine="370"/>
        <w:jc w:val="both"/>
      </w:pPr>
      <w:r>
        <w:rPr/>
        <w:t>本公司于每年年度终了，对使用寿命有限的无形资产的使用寿命及摊销方法进行复核，与以前估计不 同的，调整原先估计数，并按会计估计变更处理。</w:t>
      </w:r>
    </w:p>
    <w:p>
      <w:pPr>
        <w:spacing w:line="240" w:lineRule="auto" w:before="1"/>
        <w:rPr>
          <w:rFonts w:ascii="宋体" w:hAnsi="宋体" w:cs="宋体" w:eastAsia="宋体" w:hint="default"/>
          <w:sz w:val="17"/>
          <w:szCs w:val="17"/>
        </w:rPr>
      </w:pPr>
    </w:p>
    <w:p>
      <w:pPr>
        <w:pStyle w:val="BodyText"/>
        <w:spacing w:line="273" w:lineRule="auto"/>
        <w:ind w:right="1133" w:firstLine="370"/>
        <w:jc w:val="both"/>
      </w:pPr>
      <w:r>
        <w:rPr/>
        <w:t>本公司期末预计某项无形资产已经不能给企业带来未来经济利益的，将该项无形资产的账面价值全部 转入当期损益。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line="482" w:lineRule="auto" w:before="0"/>
        <w:ind w:left="524" w:right="2562" w:hanging="371"/>
        <w:jc w:val="left"/>
        <w:rPr>
          <w:rFonts w:ascii="宋体" w:hAnsi="宋体" w:cs="宋体" w:eastAsia="宋体" w:hint="default"/>
          <w:sz w:val="21"/>
          <w:szCs w:val="21"/>
        </w:rPr>
      </w:pPr>
      <w:bookmarkStart w:name="（2）内部研究开发支出会计政策" w:id="213"/>
      <w:bookmarkEnd w:id="2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z w:val="21"/>
          <w:szCs w:val="21"/>
        </w:rPr>
        <w:t>本公司将内部研究开发项目的支出，区分为研究阶段支出和开发阶段支出。 研究阶段的支出，于发生时计入当期损益。</w:t>
      </w:r>
    </w:p>
    <w:p>
      <w:pPr>
        <w:pStyle w:val="BodyText"/>
        <w:spacing w:line="273" w:lineRule="auto" w:before="41"/>
        <w:ind w:right="1131" w:firstLine="370"/>
        <w:jc w:val="both"/>
      </w:pPr>
      <w:r>
        <w:rPr/>
        <w:t>开发阶段的支出，同时满足下列条件的，才能予以资本化，即：完成该无形资产以使其能够使用或出 </w:t>
      </w:r>
      <w:r>
        <w:rPr>
          <w:spacing w:val="-1"/>
        </w:rPr>
        <w:t>售在技术上具有可行性；具有完成该无形资产并使用或出售的意图；无形资产产生经济利益的方式，包括</w:t>
      </w:r>
      <w:r>
        <w:rPr>
          <w:spacing w:val="-83"/>
        </w:rPr>
        <w:t> </w:t>
      </w:r>
      <w:r>
        <w:rPr>
          <w:spacing w:val="-83"/>
        </w:rPr>
      </w:r>
      <w:r>
        <w:rPr>
          <w:spacing w:val="-1"/>
        </w:rPr>
        <w:t>能够证明运用该无形资产生产的产品存在市场或无形资产自身存在市场，无形资产将在内部使用的，能够</w:t>
      </w:r>
      <w:r>
        <w:rPr>
          <w:spacing w:val="-81"/>
        </w:rPr>
        <w:t> </w:t>
      </w:r>
      <w:r>
        <w:rPr>
          <w:spacing w:val="-81"/>
        </w:rPr>
      </w:r>
      <w:r>
        <w:rPr>
          <w:spacing w:val="-1"/>
        </w:rPr>
        <w:t>证明其有用性；有足够的技术、财务资源和其他资源支持，以完成该无形资产的开发，并有能力使用或出</w:t>
      </w:r>
      <w:r>
        <w:rPr>
          <w:spacing w:val="-86"/>
        </w:rPr>
        <w:t> </w:t>
      </w:r>
      <w:r>
        <w:rPr>
          <w:spacing w:val="-86"/>
        </w:rPr>
      </w:r>
      <w:r>
        <w:rPr>
          <w:spacing w:val="-1"/>
        </w:rPr>
        <w:t>售该无形资产；归属于该无形资产开发阶段的支出能够可靠地计量。不满足上述条件的开发支出计入当期</w:t>
      </w:r>
      <w:r>
        <w:rPr>
          <w:spacing w:val="-81"/>
        </w:rPr>
        <w:t> </w:t>
      </w:r>
      <w:r>
        <w:rPr>
          <w:spacing w:val="-81"/>
        </w:rPr>
      </w:r>
      <w:r>
        <w:rPr/>
        <w:t>损益。</w:t>
      </w:r>
    </w:p>
    <w:p>
      <w:pPr>
        <w:spacing w:line="240" w:lineRule="auto" w:before="1"/>
        <w:rPr>
          <w:rFonts w:ascii="宋体" w:hAnsi="宋体" w:cs="宋体" w:eastAsia="宋体" w:hint="default"/>
          <w:sz w:val="17"/>
          <w:szCs w:val="17"/>
        </w:rPr>
      </w:pPr>
    </w:p>
    <w:p>
      <w:pPr>
        <w:pStyle w:val="BodyText"/>
        <w:spacing w:line="273" w:lineRule="auto"/>
        <w:ind w:right="1133" w:firstLine="370"/>
        <w:jc w:val="both"/>
      </w:pPr>
      <w:r>
        <w:rPr/>
        <w:t>本公司相应项目在满足上述条件，通过技术可行性及经济可行性研究，形成项目立项后，进入开发阶 段。</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590" w:lineRule="atLeast"/>
        <w:ind w:left="524" w:right="0" w:hanging="371"/>
        <w:jc w:val="left"/>
      </w:pPr>
      <w:bookmarkStart w:name="22、长期资产减值" w:id="214"/>
      <w:bookmarkEnd w:id="214"/>
      <w:r>
        <w:rPr/>
      </w: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w w:val="99"/>
        </w:rPr>
        <w:t> </w:t>
      </w:r>
      <w:r>
        <w:rPr/>
        <w:t>对于固定资产、在建工程、使用寿命有限的无形资产、以成本模式计量的投资性房地产及对子公司、</w:t>
      </w:r>
    </w:p>
    <w:p>
      <w:pPr>
        <w:pStyle w:val="BodyText"/>
        <w:spacing w:line="240" w:lineRule="auto" w:before="37"/>
        <w:ind w:right="0"/>
        <w:jc w:val="left"/>
      </w:pPr>
      <w:r>
        <w:rPr>
          <w:spacing w:val="-3"/>
        </w:rPr>
        <w:t>合营企业、联营企业的长期股权投资等非流动非金融资产，本公司于资产负债表日判断是否存在减值迹象。</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spacing w:val="-1"/>
        </w:rPr>
        <w:t>如存在减值迹象的，则估计其可收回金额，进行减值测试。商誉、使用寿命不确定的无形资产和尚未达到</w:t>
      </w:r>
      <w:r>
        <w:rPr>
          <w:spacing w:val="-86"/>
        </w:rPr>
        <w:t> </w:t>
      </w:r>
      <w:r>
        <w:rPr>
          <w:spacing w:val="-86"/>
        </w:rPr>
      </w:r>
      <w:r>
        <w:rPr/>
        <w:t>可使用状态的无形资产，无论是否存在减值迹象，每年均进行减值测试。</w:t>
      </w:r>
    </w:p>
    <w:p>
      <w:pPr>
        <w:spacing w:line="240" w:lineRule="auto" w:before="1"/>
        <w:rPr>
          <w:rFonts w:ascii="宋体" w:hAnsi="宋体" w:cs="宋体" w:eastAsia="宋体" w:hint="default"/>
          <w:sz w:val="17"/>
          <w:szCs w:val="17"/>
        </w:rPr>
      </w:pPr>
    </w:p>
    <w:p>
      <w:pPr>
        <w:pStyle w:val="BodyText"/>
        <w:spacing w:line="273" w:lineRule="auto"/>
        <w:ind w:right="1109" w:firstLine="370"/>
        <w:jc w:val="both"/>
      </w:pPr>
      <w:r>
        <w:rPr/>
        <w:t>减值测试结果表明资产的可收回金额低于其账面价值的，按其差额计提减值准备并计入减值损失。可 </w:t>
      </w:r>
      <w:r>
        <w:rPr>
          <w:spacing w:val="-1"/>
        </w:rPr>
        <w:t>收回金额为资产的公允价值减去处置费用后的净额与资产预计未来现金流量的现值两者之间的较高者。资</w:t>
      </w:r>
      <w:r>
        <w:rPr>
          <w:spacing w:val="-81"/>
        </w:rPr>
        <w:t> </w:t>
      </w:r>
      <w:r>
        <w:rPr>
          <w:spacing w:val="-81"/>
        </w:rPr>
      </w:r>
      <w:r>
        <w:rPr>
          <w:spacing w:val="-1"/>
        </w:rPr>
        <w:t>产的公允价值根据公平交易中销售协议价格确定；不存在销售协议但存在资产活跃市场的，公允价值按照</w:t>
      </w:r>
      <w:r>
        <w:rPr>
          <w:spacing w:val="-81"/>
        </w:rPr>
        <w:t> </w:t>
      </w:r>
      <w:r>
        <w:rPr>
          <w:spacing w:val="-81"/>
        </w:rPr>
      </w:r>
      <w:r>
        <w:rPr>
          <w:spacing w:val="-1"/>
        </w:rPr>
        <w:t>该资产的买方出价确定；不存在销售协议和资产活跃市场的，则以可获取的最佳信息为基础估计资产的公</w:t>
      </w:r>
      <w:r>
        <w:rPr>
          <w:spacing w:val="-81"/>
        </w:rPr>
        <w:t> </w:t>
      </w:r>
      <w:r>
        <w:rPr>
          <w:spacing w:val="-81"/>
        </w:rPr>
      </w:r>
      <w:r>
        <w:rPr>
          <w:spacing w:val="-1"/>
        </w:rPr>
        <w:t>允价值。处置费用包括与资产处置有关的法律费用、相关税费、搬运费以及为使资产达到可销售状态所发</w:t>
      </w:r>
      <w:r>
        <w:rPr>
          <w:spacing w:val="-83"/>
        </w:rPr>
        <w:t> </w:t>
      </w:r>
      <w:r>
        <w:rPr>
          <w:spacing w:val="-83"/>
        </w:rPr>
      </w:r>
      <w:r>
        <w:rPr>
          <w:spacing w:val="-1"/>
        </w:rPr>
        <w:t>生的直接费用。资产预计未来现金流量的现值，按照资产在持续使用过程中和最终处置时所产生的预计未</w:t>
      </w:r>
      <w:r>
        <w:rPr>
          <w:spacing w:val="-81"/>
        </w:rPr>
        <w:t> </w:t>
      </w:r>
      <w:r>
        <w:rPr>
          <w:spacing w:val="-81"/>
        </w:rPr>
      </w:r>
      <w:r>
        <w:rPr>
          <w:spacing w:val="-1"/>
        </w:rPr>
        <w:t>来现金流量，选择恰当的折现率对其进行折现后的金额加以确定。资产减值准备按单项资产为基础计算并</w:t>
      </w:r>
      <w:r>
        <w:rPr>
          <w:spacing w:val="-81"/>
        </w:rPr>
        <w:t> </w:t>
      </w:r>
      <w:r>
        <w:rPr>
          <w:spacing w:val="-81"/>
        </w:rPr>
      </w:r>
      <w:r>
        <w:rPr/>
        <w:t>确认，如果难以对单项资产的可收回金额进行估计的，以该资产所属的资产组确定资产组的可收回金额。</w:t>
      </w:r>
      <w:r>
        <w:rPr/>
        <w:t> 资产组是能够独立产生现金流入的最小资产组合。</w:t>
      </w:r>
    </w:p>
    <w:p>
      <w:pPr>
        <w:spacing w:line="240" w:lineRule="auto" w:before="1"/>
        <w:rPr>
          <w:rFonts w:ascii="宋体" w:hAnsi="宋体" w:cs="宋体" w:eastAsia="宋体" w:hint="default"/>
          <w:sz w:val="17"/>
          <w:szCs w:val="17"/>
        </w:rPr>
      </w:pPr>
    </w:p>
    <w:p>
      <w:pPr>
        <w:pStyle w:val="BodyText"/>
        <w:spacing w:line="273" w:lineRule="auto"/>
        <w:ind w:right="1131" w:firstLine="370"/>
        <w:jc w:val="both"/>
      </w:pPr>
      <w:r>
        <w:rPr/>
        <w:t>在财务报表中单独列示的商誉，在进行减值测试时，将商誉的账面价值分摊至预期从企业合并的协同 </w:t>
      </w:r>
      <w:r>
        <w:rPr>
          <w:spacing w:val="-1"/>
        </w:rPr>
        <w:t>效应中受益的资产组或资产组组合。测试结果表明包含分摊的商誉的资产组或资产组组合的可收回金额低</w:t>
      </w:r>
      <w:r>
        <w:rPr>
          <w:spacing w:val="-81"/>
        </w:rPr>
        <w:t> </w:t>
      </w:r>
      <w:r>
        <w:rPr>
          <w:spacing w:val="-81"/>
        </w:rPr>
      </w:r>
      <w:r>
        <w:rPr>
          <w:spacing w:val="-1"/>
        </w:rPr>
        <w:t>于其账面价值的，确认相应的减值损失。减值损失金额先抵减分摊至该资产组或资产组组合的商誉的账面</w:t>
      </w:r>
      <w:r>
        <w:rPr>
          <w:spacing w:val="-81"/>
        </w:rPr>
        <w:t> </w:t>
      </w:r>
      <w:r>
        <w:rPr>
          <w:spacing w:val="-81"/>
        </w:rPr>
      </w:r>
      <w:r>
        <w:rPr>
          <w:spacing w:val="-1"/>
        </w:rPr>
        <w:t>价值，再根据资产组或资产组组合中除商誉以外的其他各项资产的账面价值所占比重，按比例抵减其他各</w:t>
      </w:r>
      <w:r>
        <w:rPr>
          <w:spacing w:val="-81"/>
        </w:rPr>
        <w:t> </w:t>
      </w:r>
      <w:r>
        <w:rPr>
          <w:spacing w:val="-81"/>
        </w:rPr>
      </w:r>
      <w:r>
        <w:rPr/>
        <w:t>项资产的账面价值。</w:t>
      </w:r>
    </w:p>
    <w:p>
      <w:pPr>
        <w:spacing w:line="240" w:lineRule="auto" w:before="1"/>
        <w:rPr>
          <w:rFonts w:ascii="宋体" w:hAnsi="宋体" w:cs="宋体" w:eastAsia="宋体" w:hint="default"/>
          <w:sz w:val="17"/>
          <w:szCs w:val="17"/>
        </w:rPr>
      </w:pPr>
    </w:p>
    <w:p>
      <w:pPr>
        <w:pStyle w:val="BodyText"/>
        <w:spacing w:line="240" w:lineRule="auto"/>
        <w:ind w:left="524" w:right="0"/>
        <w:jc w:val="left"/>
      </w:pPr>
      <w:r>
        <w:rPr/>
        <w:t>上述资产减值损失一经确认，以后期间不予转回价值得以恢复的部分。</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590" w:lineRule="atLeast"/>
        <w:ind w:left="524" w:right="0" w:hanging="371"/>
        <w:jc w:val="left"/>
      </w:pPr>
      <w:bookmarkStart w:name="23、长期待摊费用" w:id="215"/>
      <w:bookmarkEnd w:id="215"/>
      <w:r>
        <w:rPr/>
      </w:r>
      <w:r>
        <w:rPr>
          <w:rFonts w:ascii="Times New Roman" w:hAnsi="Times New Roman" w:cs="Times New Roman" w:eastAsia="Times New Roman" w:hint="default"/>
          <w:b/>
          <w:bCs/>
        </w:rPr>
        <w:t>23</w:t>
      </w:r>
      <w:r>
        <w:rPr>
          <w:rFonts w:ascii="宋体" w:hAnsi="宋体" w:cs="宋体" w:eastAsia="宋体" w:hint="default"/>
          <w:b/>
          <w:bCs/>
        </w:rPr>
        <w:t>、长期待摊费用</w:t>
      </w:r>
      <w:r>
        <w:rPr>
          <w:rFonts w:ascii="宋体" w:hAnsi="宋体" w:cs="宋体" w:eastAsia="宋体" w:hint="default"/>
          <w:b/>
          <w:bCs/>
          <w:spacing w:val="1"/>
          <w:w w:val="99"/>
        </w:rPr>
        <w:t> </w:t>
      </w:r>
      <w:r>
        <w:rPr/>
        <w:t>本公司发生的长期待摊费用按实际成本计价，并按预计受益期限平均摊销。对不能使以后会计期间受</w:t>
      </w:r>
    </w:p>
    <w:p>
      <w:pPr>
        <w:pStyle w:val="BodyText"/>
        <w:spacing w:line="240" w:lineRule="auto" w:before="37"/>
        <w:ind w:right="0"/>
        <w:jc w:val="left"/>
      </w:pPr>
      <w:r>
        <w:rPr/>
        <w:t>益的长期待摊费用项目，其摊余价值全部计入当期损益。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4"/>
        <w:spacing w:line="240" w:lineRule="auto"/>
        <w:ind w:right="0"/>
        <w:jc w:val="left"/>
        <w:rPr>
          <w:b w:val="0"/>
          <w:bCs w:val="0"/>
        </w:rPr>
      </w:pPr>
      <w:bookmarkStart w:name="24、职工薪酬" w:id="216"/>
      <w:bookmarkEnd w:id="216"/>
      <w:r>
        <w:rPr>
          <w:b w:val="0"/>
          <w:bCs w:val="0"/>
        </w:rPr>
      </w:r>
      <w:r>
        <w:rPr>
          <w:rFonts w:ascii="Times New Roman" w:hAnsi="Times New Roman" w:cs="Times New Roman" w:eastAsia="Times New Roman" w:hint="default"/>
        </w:rPr>
        <w:t>24</w:t>
      </w:r>
      <w:r>
        <w:rPr/>
        <w:t>、职工薪酬</w:t>
      </w:r>
      <w:r>
        <w:rPr>
          <w:b w:val="0"/>
          <w:bCs w:val="0"/>
        </w:rPr>
      </w:r>
    </w:p>
    <w:p>
      <w:pPr>
        <w:spacing w:line="590" w:lineRule="atLeast" w:before="23"/>
        <w:ind w:left="524" w:right="0" w:hanging="371"/>
        <w:jc w:val="left"/>
        <w:rPr>
          <w:rFonts w:ascii="宋体" w:hAnsi="宋体" w:cs="宋体" w:eastAsia="宋体" w:hint="default"/>
          <w:sz w:val="21"/>
          <w:szCs w:val="21"/>
        </w:rPr>
      </w:pPr>
      <w:bookmarkStart w:name="（1）短期薪酬的会计处理方法" w:id="217"/>
      <w:bookmarkEnd w:id="21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z w:val="21"/>
          <w:szCs w:val="21"/>
        </w:rPr>
        <w:t>短期薪酬主要包括工资、奖金、津贴和补贴、职工福利费、医疗保险费、生育保险费、工伤保险费、</w:t>
      </w:r>
    </w:p>
    <w:p>
      <w:pPr>
        <w:pStyle w:val="BodyText"/>
        <w:spacing w:line="273" w:lineRule="auto" w:before="37"/>
        <w:ind w:right="1131"/>
        <w:jc w:val="both"/>
      </w:pPr>
      <w:r>
        <w:rPr>
          <w:spacing w:val="-1"/>
        </w:rPr>
        <w:t>住房公积金、工会经费和职工教育经费、非货币性福利等。本公司在职工为本公司提供服务的会计期间将</w:t>
      </w:r>
      <w:r>
        <w:rPr>
          <w:spacing w:val="-83"/>
        </w:rPr>
        <w:t> </w:t>
      </w:r>
      <w:r>
        <w:rPr>
          <w:spacing w:val="-83"/>
        </w:rPr>
      </w:r>
      <w:r>
        <w:rPr>
          <w:spacing w:val="-1"/>
        </w:rPr>
        <w:t>实际发生的短期职工薪酬确认为负债，并计入当期损益或相关资产成本。其中非货币性福利按公允价值计</w:t>
      </w:r>
      <w:r>
        <w:rPr>
          <w:spacing w:val="-81"/>
        </w:rPr>
        <w:t> </w:t>
      </w:r>
      <w:r>
        <w:rPr>
          <w:spacing w:val="-81"/>
        </w:rPr>
      </w:r>
      <w:r>
        <w:rPr/>
        <w:t>量。</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line="590" w:lineRule="atLeast" w:before="0"/>
        <w:ind w:left="524" w:right="1022" w:hanging="371"/>
        <w:jc w:val="left"/>
        <w:rPr>
          <w:rFonts w:ascii="宋体" w:hAnsi="宋体" w:cs="宋体" w:eastAsia="宋体" w:hint="default"/>
          <w:sz w:val="21"/>
          <w:szCs w:val="21"/>
        </w:rPr>
      </w:pPr>
      <w:bookmarkStart w:name="（2）离职后福利的会计处理方法" w:id="218"/>
      <w:bookmarkEnd w:id="21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pacing w:val="-2"/>
          <w:sz w:val="21"/>
          <w:szCs w:val="21"/>
        </w:rPr>
        <w:t>离职后福利主要包括设定提存计划。其中设定提存计划主要包括基本养老保险、失业保险以及年金等，</w:t>
      </w:r>
    </w:p>
    <w:p>
      <w:pPr>
        <w:pStyle w:val="BodyText"/>
        <w:spacing w:line="240" w:lineRule="auto" w:before="37"/>
        <w:ind w:right="0"/>
        <w:jc w:val="left"/>
      </w:pPr>
      <w:r>
        <w:rPr/>
        <w:t>相应的应缴存金额于发生时计入相关资产成本或当期损益。</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辞退福利的会计处理方法" w:id="219"/>
      <w:bookmarkEnd w:id="219"/>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022" w:firstLine="370"/>
        <w:jc w:val="left"/>
      </w:pPr>
      <w:r>
        <w:rPr>
          <w:spacing w:val="-2"/>
        </w:rPr>
        <w:t>在职工劳动合同到期之前解除与职工的劳动关系，或为鼓励职工自愿接受裁减而提出给予补偿的建议，</w:t>
      </w:r>
      <w:r>
        <w:rPr/>
        <w:t> 在本公司不能单方面撤回因解除劳动关系计划或裁减建议所提供的辞退福利时，和本公司确认与涉及支付 辞退福利的重组相关的成本两者孰早日，确认辞退福利产生的职工薪酬负债，并计入当期损益。但辞退福 利预期在年度报告期结束后十二个月不能完全支付的，按照其他长期职工薪酬处理。</w:t>
      </w:r>
    </w:p>
    <w:p>
      <w:pPr>
        <w:spacing w:line="240" w:lineRule="auto" w:before="1"/>
        <w:rPr>
          <w:rFonts w:ascii="宋体" w:hAnsi="宋体" w:cs="宋体" w:eastAsia="宋体" w:hint="default"/>
          <w:sz w:val="17"/>
          <w:szCs w:val="17"/>
        </w:rPr>
      </w:pPr>
    </w:p>
    <w:p>
      <w:pPr>
        <w:pStyle w:val="BodyText"/>
        <w:spacing w:line="273" w:lineRule="auto"/>
        <w:ind w:right="1131" w:firstLine="370"/>
        <w:jc w:val="both"/>
      </w:pPr>
      <w:r>
        <w:rPr/>
        <w:t>职工内部退休计划采用上述辞退福利相同的原则处理。本公司将自职工停止提供服务日至正常退休日 </w:t>
      </w:r>
      <w:r>
        <w:rPr>
          <w:spacing w:val="-1"/>
        </w:rPr>
        <w:t>的期间拟支付的内退人员工资和缴纳的社会保险费等，在符合预计负债确认条件时，计入当期损益（辞退</w:t>
      </w:r>
      <w:r>
        <w:rPr>
          <w:spacing w:val="-83"/>
        </w:rPr>
        <w:t> </w:t>
      </w:r>
      <w:r>
        <w:rPr>
          <w:spacing w:val="-83"/>
        </w:rPr>
      </w:r>
      <w:r>
        <w:rPr/>
        <w:t>福利）。</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line="590" w:lineRule="atLeast" w:before="0"/>
        <w:ind w:left="524" w:right="0" w:hanging="371"/>
        <w:jc w:val="left"/>
        <w:rPr>
          <w:rFonts w:ascii="宋体" w:hAnsi="宋体" w:cs="宋体" w:eastAsia="宋体" w:hint="default"/>
          <w:sz w:val="21"/>
          <w:szCs w:val="21"/>
        </w:rPr>
      </w:pPr>
      <w:bookmarkStart w:name="（4）其他长期职工福利的会计处理方法" w:id="220"/>
      <w:bookmarkEnd w:id="2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本公司向职工提供的其他长期职工福利，符合设定提存计划的，按照设定提存计划进行会计处理，除</w:t>
      </w:r>
    </w:p>
    <w:p>
      <w:pPr>
        <w:pStyle w:val="BodyText"/>
        <w:spacing w:line="240" w:lineRule="auto" w:before="37"/>
        <w:ind w:right="0"/>
        <w:jc w:val="left"/>
      </w:pPr>
      <w:r>
        <w:rPr/>
        <w:t>此之外按照设定收益计划进行会计处理。</w:t>
      </w:r>
    </w:p>
    <w:p>
      <w:pPr>
        <w:spacing w:line="240" w:lineRule="auto" w:before="11"/>
        <w:rPr>
          <w:rFonts w:ascii="宋体" w:hAnsi="宋体" w:cs="宋体" w:eastAsia="宋体" w:hint="default"/>
          <w:sz w:val="25"/>
          <w:szCs w:val="25"/>
        </w:rPr>
      </w:pPr>
    </w:p>
    <w:p>
      <w:pPr>
        <w:pStyle w:val="BodyText"/>
        <w:spacing w:line="506" w:lineRule="auto"/>
        <w:ind w:left="524" w:right="3242" w:hanging="371"/>
        <w:jc w:val="left"/>
      </w:pPr>
      <w:bookmarkStart w:name="25、预计负债" w:id="221"/>
      <w:bookmarkEnd w:id="221"/>
      <w:r>
        <w:rPr/>
      </w:r>
      <w:r>
        <w:rPr>
          <w:rFonts w:ascii="Times New Roman" w:hAnsi="Times New Roman" w:cs="Times New Roman" w:eastAsia="Times New Roman" w:hint="default"/>
          <w:b/>
          <w:bCs/>
        </w:rPr>
        <w:t>25</w:t>
      </w:r>
      <w:r>
        <w:rPr>
          <w:rFonts w:ascii="宋体" w:hAnsi="宋体" w:cs="宋体" w:eastAsia="宋体" w:hint="default"/>
          <w:b/>
          <w:bCs/>
        </w:rPr>
        <w:t>、预计负债</w:t>
      </w:r>
      <w:r>
        <w:rPr>
          <w:rFonts w:ascii="宋体" w:hAnsi="宋体" w:cs="宋体" w:eastAsia="宋体" w:hint="default"/>
          <w:b/>
          <w:bCs/>
          <w:w w:val="99"/>
        </w:rPr>
        <w:t> </w:t>
      </w:r>
      <w:r>
        <w:rPr/>
        <w:t>如果与或有事项相关的义务同时符合以下条件，本公司将其确认为预计负债：</w:t>
      </w:r>
    </w:p>
    <w:p>
      <w:pPr>
        <w:pStyle w:val="BodyText"/>
        <w:spacing w:line="240" w:lineRule="auto" w:before="20"/>
        <w:ind w:left="524" w:right="0"/>
        <w:jc w:val="left"/>
      </w:pPr>
      <w:r>
        <w:rPr/>
        <w:t>（</w:t>
      </w:r>
      <w:r>
        <w:rPr>
          <w:rFonts w:ascii="Times New Roman" w:hAnsi="Times New Roman" w:cs="Times New Roman" w:eastAsia="Times New Roman" w:hint="default"/>
        </w:rPr>
        <w:t>1</w:t>
      </w:r>
      <w:r>
        <w:rPr/>
        <w:t>）该义务是本公司承担的现时义务；</w:t>
      </w:r>
    </w:p>
    <w:p>
      <w:pPr>
        <w:spacing w:line="240" w:lineRule="auto" w:before="2"/>
        <w:rPr>
          <w:rFonts w:ascii="宋体" w:hAnsi="宋体" w:cs="宋体" w:eastAsia="宋体" w:hint="default"/>
          <w:sz w:val="18"/>
          <w:szCs w:val="18"/>
        </w:rPr>
      </w:pPr>
    </w:p>
    <w:p>
      <w:pPr>
        <w:pStyle w:val="BodyText"/>
        <w:spacing w:line="240" w:lineRule="auto"/>
        <w:ind w:left="524" w:right="0"/>
        <w:jc w:val="left"/>
      </w:pPr>
      <w:r>
        <w:rPr/>
        <w:t>（</w:t>
      </w:r>
      <w:r>
        <w:rPr>
          <w:rFonts w:ascii="Times New Roman" w:hAnsi="Times New Roman" w:cs="Times New Roman" w:eastAsia="Times New Roman" w:hint="default"/>
        </w:rPr>
        <w:t>2</w:t>
      </w:r>
      <w:r>
        <w:rPr/>
        <w:t>）该义务的履行很可能导致经济利益流出本公司；</w:t>
      </w:r>
    </w:p>
    <w:p>
      <w:pPr>
        <w:pStyle w:val="BodyText"/>
        <w:spacing w:line="510" w:lineRule="atLeast" w:before="18"/>
        <w:ind w:left="524" w:right="0"/>
        <w:jc w:val="left"/>
      </w:pPr>
      <w:r>
        <w:rPr/>
        <w:t>（</w:t>
      </w:r>
      <w:r>
        <w:rPr>
          <w:rFonts w:ascii="Times New Roman" w:hAnsi="Times New Roman" w:cs="Times New Roman" w:eastAsia="Times New Roman" w:hint="default"/>
        </w:rPr>
        <w:t>3</w:t>
      </w:r>
      <w:r>
        <w:rPr/>
        <w:t>）该义务的金额能够可靠地计量。 预计负债按照履行相关现时义务所需支出的最佳估计数进行初始计量，综合考虑与或有事项有关的风</w:t>
      </w:r>
    </w:p>
    <w:p>
      <w:pPr>
        <w:pStyle w:val="BodyText"/>
        <w:spacing w:line="273" w:lineRule="auto" w:before="37"/>
        <w:ind w:right="0"/>
        <w:jc w:val="left"/>
      </w:pPr>
      <w:r>
        <w:rPr>
          <w:spacing w:val="-1"/>
        </w:rPr>
        <w:t>险、不确定性和货币时间价值等因素。货币时间价值影响重大的，通过对相关未来现金流出进行折现后确</w:t>
      </w:r>
      <w:r>
        <w:rPr>
          <w:spacing w:val="-83"/>
        </w:rPr>
        <w:t> </w:t>
      </w:r>
      <w:r>
        <w:rPr>
          <w:spacing w:val="-83"/>
        </w:rPr>
      </w:r>
      <w:r>
        <w:rPr/>
        <w:t>定最佳估计数。</w:t>
      </w:r>
    </w:p>
    <w:p>
      <w:pPr>
        <w:spacing w:line="240" w:lineRule="auto" w:before="1"/>
        <w:rPr>
          <w:rFonts w:ascii="宋体" w:hAnsi="宋体" w:cs="宋体" w:eastAsia="宋体" w:hint="default"/>
          <w:sz w:val="17"/>
          <w:szCs w:val="17"/>
        </w:rPr>
      </w:pPr>
    </w:p>
    <w:p>
      <w:pPr>
        <w:pStyle w:val="BodyText"/>
        <w:spacing w:line="273" w:lineRule="auto"/>
        <w:ind w:right="0" w:firstLine="370"/>
        <w:jc w:val="left"/>
      </w:pPr>
      <w:r>
        <w:rPr/>
        <w:t>如果清偿已确认预计负债所需支出全部或部分预期由第三方或其他方补偿，则补偿金额只能在基本确 定能收到时，作为资产单独确认。确认的补偿金额不超过所确认负债的账面价值。</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4"/>
        <w:spacing w:line="240" w:lineRule="auto"/>
        <w:ind w:right="0"/>
        <w:jc w:val="left"/>
        <w:rPr>
          <w:b w:val="0"/>
          <w:bCs w:val="0"/>
        </w:rPr>
      </w:pPr>
      <w:bookmarkStart w:name="26、股份支付" w:id="222"/>
      <w:bookmarkEnd w:id="222"/>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4"/>
          <w:szCs w:val="24"/>
        </w:rPr>
      </w:pPr>
    </w:p>
    <w:p>
      <w:pPr>
        <w:pStyle w:val="BodyText"/>
        <w:spacing w:line="436" w:lineRule="auto"/>
        <w:ind w:left="524" w:right="3872"/>
        <w:jc w:val="left"/>
      </w:pPr>
      <w:r>
        <w:rPr/>
        <w:t>（</w:t>
      </w:r>
      <w:r>
        <w:rPr>
          <w:rFonts w:ascii="Times New Roman" w:hAnsi="Times New Roman" w:cs="Times New Roman" w:eastAsia="Times New Roman" w:hint="default"/>
        </w:rPr>
        <w:t>1</w:t>
      </w:r>
      <w:r>
        <w:rPr/>
        <w:t>）股份支付的种类 本公司股份支付分为以权益结算的股份支付和以现金结算的股份支付。</w:t>
      </w:r>
    </w:p>
    <w:p>
      <w:pPr>
        <w:pStyle w:val="BodyText"/>
        <w:spacing w:line="240" w:lineRule="auto" w:before="81"/>
        <w:ind w:left="524" w:right="0"/>
        <w:jc w:val="left"/>
      </w:pPr>
      <w:r>
        <w:rPr/>
        <w:t>（</w:t>
      </w:r>
      <w:r>
        <w:rPr>
          <w:rFonts w:ascii="Times New Roman" w:hAnsi="Times New Roman" w:cs="Times New Roman" w:eastAsia="Times New Roman" w:hint="default"/>
        </w:rPr>
        <w:t>2</w:t>
      </w:r>
      <w:r>
        <w:rPr/>
        <w:t>）权益工具公允价值的确定方法</w:t>
      </w:r>
    </w:p>
    <w:p>
      <w:pPr>
        <w:spacing w:line="240" w:lineRule="auto" w:before="2"/>
        <w:rPr>
          <w:rFonts w:ascii="宋体" w:hAnsi="宋体" w:cs="宋体" w:eastAsia="宋体" w:hint="default"/>
          <w:sz w:val="18"/>
          <w:szCs w:val="18"/>
        </w:rPr>
      </w:pPr>
    </w:p>
    <w:p>
      <w:pPr>
        <w:pStyle w:val="BodyText"/>
        <w:spacing w:line="273" w:lineRule="auto"/>
        <w:ind w:right="0" w:firstLine="370"/>
        <w:jc w:val="left"/>
      </w:pPr>
      <w:r>
        <w:rPr/>
        <w:t>本公司对于授予的存在活跃市场的期权等权益工具，按照活跃市场中的报价确定其公允价值。对于授 予的不存在活跃市场的期权等权益工具，采用期权定价模型等确定其公允价值。</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524" w:right="0"/>
        <w:jc w:val="left"/>
      </w:pPr>
      <w:r>
        <w:rPr/>
        <w:t>（</w:t>
      </w:r>
      <w:r>
        <w:rPr>
          <w:rFonts w:ascii="Times New Roman" w:hAnsi="Times New Roman" w:cs="Times New Roman" w:eastAsia="Times New Roman" w:hint="default"/>
        </w:rPr>
        <w:t>3</w:t>
      </w:r>
      <w:r>
        <w:rPr/>
        <w:t>）确认可行权权益工具最佳估计的依据</w:t>
      </w:r>
    </w:p>
    <w:p>
      <w:pPr>
        <w:spacing w:line="240" w:lineRule="auto" w:before="2"/>
        <w:rPr>
          <w:rFonts w:ascii="宋体" w:hAnsi="宋体" w:cs="宋体" w:eastAsia="宋体" w:hint="default"/>
          <w:sz w:val="18"/>
          <w:szCs w:val="18"/>
        </w:rPr>
      </w:pPr>
    </w:p>
    <w:p>
      <w:pPr>
        <w:pStyle w:val="BodyText"/>
        <w:spacing w:line="273" w:lineRule="auto"/>
        <w:ind w:right="1131" w:firstLine="370"/>
        <w:jc w:val="both"/>
      </w:pPr>
      <w:r>
        <w:rPr/>
        <w:t>等待期内每个资产负债表日，本公司根据最新取得的可行权职工人数变动等后续信息作出最佳估计， </w:t>
      </w:r>
      <w:r>
        <w:rPr>
          <w:spacing w:val="-1"/>
        </w:rPr>
        <w:t>修正预计可行权的权益工具数量。在可行权日，最终预计可行权权益工具的数量应当与实际可行权数量一</w:t>
      </w:r>
      <w:r>
        <w:rPr>
          <w:spacing w:val="-81"/>
        </w:rPr>
        <w:t> </w:t>
      </w:r>
      <w:r>
        <w:rPr>
          <w:spacing w:val="-81"/>
        </w:rPr>
      </w:r>
      <w:r>
        <w:rPr/>
        <w:t>致。</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27、优先股、永续债等其他金融工具" w:id="223"/>
      <w:bookmarkEnd w:id="223"/>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8、收入" w:id="224"/>
      <w:bookmarkEnd w:id="224"/>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40" w:lineRule="auto" w:before="2"/>
        <w:ind w:left="524" w:right="0"/>
        <w:jc w:val="left"/>
      </w:pPr>
      <w:r>
        <w:rPr/>
        <w:t>（</w:t>
      </w:r>
      <w:r>
        <w:rPr>
          <w:rFonts w:ascii="Times New Roman" w:hAnsi="Times New Roman" w:cs="Times New Roman" w:eastAsia="Times New Roman" w:hint="default"/>
        </w:rPr>
        <w:t>1</w:t>
      </w:r>
      <w:r>
        <w:rPr/>
        <w:t>）销售商品</w:t>
      </w:r>
    </w:p>
    <w:p>
      <w:pPr>
        <w:spacing w:line="240" w:lineRule="auto" w:before="2"/>
        <w:rPr>
          <w:rFonts w:ascii="宋体" w:hAnsi="宋体" w:cs="宋体" w:eastAsia="宋体" w:hint="default"/>
          <w:sz w:val="18"/>
          <w:szCs w:val="18"/>
        </w:rPr>
      </w:pPr>
    </w:p>
    <w:p>
      <w:pPr>
        <w:pStyle w:val="BodyText"/>
        <w:spacing w:line="273" w:lineRule="auto"/>
        <w:ind w:right="1131" w:firstLine="370"/>
        <w:jc w:val="both"/>
      </w:pPr>
      <w:r>
        <w:rPr/>
        <w:t>对已将商品所有权上的主要风险或报酬转移给购货方，不再对该商品实施继续管理权和实际控制权， </w:t>
      </w:r>
      <w:r>
        <w:rPr>
          <w:spacing w:val="-1"/>
        </w:rPr>
        <w:t>相关的收入已经取得或取得了收款的凭据，且与销售该商品有关的成本能够可靠地计量时，本公司确认商</w:t>
      </w:r>
      <w:r>
        <w:rPr>
          <w:spacing w:val="-81"/>
        </w:rPr>
        <w:t> </w:t>
      </w:r>
      <w:r>
        <w:rPr>
          <w:spacing w:val="-81"/>
        </w:rPr>
      </w:r>
      <w:r>
        <w:rPr/>
        <w:t>品销售收入的实现。</w:t>
      </w:r>
    </w:p>
    <w:p>
      <w:pPr>
        <w:pStyle w:val="BodyText"/>
        <w:spacing w:line="528" w:lineRule="exact" w:before="46"/>
        <w:ind w:left="524" w:right="1118"/>
        <w:jc w:val="left"/>
      </w:pPr>
      <w:r>
        <w:rPr/>
        <w:t>（</w:t>
      </w:r>
      <w:r>
        <w:rPr>
          <w:rFonts w:ascii="Times New Roman" w:hAnsi="Times New Roman" w:cs="Times New Roman" w:eastAsia="Times New Roman" w:hint="default"/>
        </w:rPr>
        <w:t>2</w:t>
      </w:r>
      <w:r>
        <w:rPr/>
        <w:t>）提供劳务 对在提供劳务交易的结果能够可靠估计的情况下，本公司在期末按完工百分比法确认收入。 如果提供劳务交易的结果不能够可靠估计，则按已经发生并预计能够得到补偿的劳务成本金额确认提</w:t>
      </w:r>
    </w:p>
    <w:p>
      <w:pPr>
        <w:pStyle w:val="BodyText"/>
        <w:spacing w:line="236" w:lineRule="exact"/>
        <w:ind w:right="0"/>
        <w:jc w:val="left"/>
      </w:pPr>
      <w:r>
        <w:rPr/>
        <w:t>供的劳务收入，并将已发生的劳务成本作为当期费用。已经发生的劳务成本如预计不能得到补偿的，则不</w:t>
      </w:r>
    </w:p>
    <w:p>
      <w:pPr>
        <w:pStyle w:val="BodyText"/>
        <w:spacing w:line="240" w:lineRule="auto" w:before="37"/>
        <w:ind w:right="0"/>
        <w:jc w:val="left"/>
      </w:pPr>
      <w:r>
        <w:rPr/>
        <w:t>确认收入。</w:t>
      </w:r>
    </w:p>
    <w:p>
      <w:pPr>
        <w:spacing w:line="240" w:lineRule="auto" w:before="5"/>
        <w:rPr>
          <w:rFonts w:ascii="宋体" w:hAnsi="宋体" w:cs="宋体" w:eastAsia="宋体" w:hint="default"/>
          <w:sz w:val="19"/>
          <w:szCs w:val="19"/>
        </w:rPr>
      </w:pPr>
    </w:p>
    <w:p>
      <w:pPr>
        <w:pStyle w:val="BodyText"/>
        <w:spacing w:line="273" w:lineRule="auto"/>
        <w:ind w:right="1131" w:firstLine="370"/>
        <w:jc w:val="both"/>
      </w:pPr>
      <w:r>
        <w:rPr/>
        <w:t>本公司与其他企业签订的合同或协议包括销售商品和提供劳务时，如销售商品部分和提供劳务部分能 </w:t>
      </w:r>
      <w:r>
        <w:rPr>
          <w:spacing w:val="-1"/>
        </w:rPr>
        <w:t>够区分并单独计量的，将销售商品部分和提供劳务部分分别处理；如销售商品部分和提供劳务部分不能够</w:t>
      </w:r>
      <w:r>
        <w:rPr>
          <w:spacing w:val="-81"/>
        </w:rPr>
        <w:t> </w:t>
      </w:r>
      <w:r>
        <w:rPr>
          <w:spacing w:val="-81"/>
        </w:rPr>
      </w:r>
      <w:r>
        <w:rPr/>
        <w:t>区分，或虽能区分但不能够单独计量的，将该合同全部作为销售商品处理。</w:t>
      </w:r>
    </w:p>
    <w:p>
      <w:pPr>
        <w:spacing w:line="240" w:lineRule="auto" w:before="1"/>
        <w:rPr>
          <w:rFonts w:ascii="宋体" w:hAnsi="宋体" w:cs="宋体" w:eastAsia="宋体" w:hint="default"/>
          <w:sz w:val="17"/>
          <w:szCs w:val="17"/>
        </w:rPr>
      </w:pPr>
    </w:p>
    <w:p>
      <w:pPr>
        <w:pStyle w:val="BodyText"/>
        <w:spacing w:line="273" w:lineRule="auto"/>
        <w:ind w:right="1133" w:firstLine="370"/>
        <w:jc w:val="both"/>
      </w:pPr>
      <w:r>
        <w:rPr/>
        <w:t>本公司按完工百分比法确认提供劳务收入的具体原则如下：设计收入，公司将设计合同细分为现场勘 </w:t>
      </w:r>
      <w:r>
        <w:rPr>
          <w:spacing w:val="-1"/>
        </w:rPr>
        <w:t>查及设计方案确定阶段、扩初设计阶段、施工图设计阶段、施工配合阶段等，公司根据达到各设计阶段所</w:t>
      </w:r>
      <w:r>
        <w:rPr>
          <w:spacing w:val="-86"/>
        </w:rPr>
        <w:t> </w:t>
      </w:r>
      <w:r>
        <w:rPr>
          <w:spacing w:val="-86"/>
        </w:rPr>
      </w:r>
      <w:r>
        <w:rPr/>
        <w:t>需提供劳务工作量占预计总工作量的比例来确定完成各具体设计阶段的收入完工比例。</w:t>
      </w:r>
    </w:p>
    <w:p>
      <w:pPr>
        <w:spacing w:line="240" w:lineRule="auto" w:before="1"/>
        <w:rPr>
          <w:rFonts w:ascii="宋体" w:hAnsi="宋体" w:cs="宋体" w:eastAsia="宋体" w:hint="default"/>
          <w:sz w:val="17"/>
          <w:szCs w:val="17"/>
        </w:rPr>
      </w:pPr>
    </w:p>
    <w:p>
      <w:pPr>
        <w:pStyle w:val="BodyText"/>
        <w:spacing w:line="436" w:lineRule="auto"/>
        <w:ind w:left="524" w:right="1562"/>
        <w:jc w:val="left"/>
      </w:pPr>
      <w:r>
        <w:rPr/>
        <w:t>（</w:t>
      </w:r>
      <w:r>
        <w:rPr>
          <w:rFonts w:ascii="Times New Roman" w:hAnsi="Times New Roman" w:cs="Times New Roman" w:eastAsia="Times New Roman" w:hint="default"/>
        </w:rPr>
        <w:t>3</w:t>
      </w:r>
      <w:r>
        <w:rPr/>
        <w:t>）让渡资产使用权 与资产使用权让渡相关的经济利益能够流入及收入的金额能够可靠地计量时，本公司确认收入。</w:t>
      </w:r>
    </w:p>
    <w:p>
      <w:pPr>
        <w:pStyle w:val="BodyText"/>
        <w:spacing w:line="240" w:lineRule="auto" w:before="81"/>
        <w:ind w:left="524" w:right="0"/>
        <w:jc w:val="left"/>
      </w:pPr>
      <w:r>
        <w:rPr/>
        <w:t>（</w:t>
      </w:r>
      <w:r>
        <w:rPr>
          <w:rFonts w:ascii="Times New Roman" w:hAnsi="Times New Roman" w:cs="Times New Roman" w:eastAsia="Times New Roman" w:hint="default"/>
        </w:rPr>
        <w:t>4</w:t>
      </w:r>
      <w:r>
        <w:rPr/>
        <w:t>）建造合同</w:t>
      </w:r>
    </w:p>
    <w:p>
      <w:pPr>
        <w:spacing w:line="240" w:lineRule="auto" w:before="13"/>
        <w:rPr>
          <w:rFonts w:ascii="宋体" w:hAnsi="宋体" w:cs="宋体" w:eastAsia="宋体" w:hint="default"/>
          <w:sz w:val="19"/>
          <w:szCs w:val="19"/>
        </w:rPr>
      </w:pPr>
    </w:p>
    <w:p>
      <w:pPr>
        <w:pStyle w:val="BodyText"/>
        <w:spacing w:line="273" w:lineRule="auto"/>
        <w:ind w:right="1131" w:firstLine="441"/>
        <w:jc w:val="both"/>
      </w:pPr>
      <w:r>
        <w:rPr>
          <w:spacing w:val="-1"/>
        </w:rPr>
        <w:t>本公司在建造合同的结果能够可靠估计的情况下，根据完工百分比法确认合同收入及成本。建造合同</w:t>
      </w:r>
      <w:r>
        <w:rPr/>
        <w:t> </w:t>
      </w:r>
      <w:r>
        <w:rPr>
          <w:spacing w:val="-1"/>
        </w:rPr>
        <w:t>的结果能够可靠地估计是指合同总收入能可靠地计量，与合同相关的经济利益能够流入企业，在资产负债</w:t>
      </w:r>
      <w:r>
        <w:rPr>
          <w:spacing w:val="-81"/>
        </w:rPr>
        <w:t> </w:t>
      </w:r>
      <w:r>
        <w:rPr>
          <w:spacing w:val="-81"/>
        </w:rPr>
      </w:r>
      <w:r>
        <w:rPr>
          <w:spacing w:val="-1"/>
        </w:rPr>
        <w:t>表日合同完工进度和未完成合同尚需发生的成本能够可靠的确定。当建造合同的结果不能可靠地估计，合</w:t>
      </w:r>
      <w:r>
        <w:rPr>
          <w:spacing w:val="-81"/>
        </w:rPr>
        <w:t> </w:t>
      </w:r>
      <w:r>
        <w:rPr>
          <w:spacing w:val="-81"/>
        </w:rPr>
      </w:r>
      <w:r>
        <w:rPr>
          <w:spacing w:val="-1"/>
        </w:rPr>
        <w:t>同成本能够收回的，合同收入根据能够收回的实际合同成本加以确认，合同成本在其发生的当期确认为合</w:t>
      </w:r>
      <w:r>
        <w:rPr>
          <w:spacing w:val="-81"/>
        </w:rPr>
        <w:t> </w:t>
      </w:r>
      <w:r>
        <w:rPr>
          <w:spacing w:val="-81"/>
        </w:rPr>
      </w:r>
      <w:r>
        <w:rPr/>
        <w:t>同费用；合同成本不能收回的，应在发生时立即确认为费用，不确认合同收入。</w:t>
      </w:r>
    </w:p>
    <w:p>
      <w:pPr>
        <w:spacing w:line="240" w:lineRule="auto" w:before="12"/>
        <w:rPr>
          <w:rFonts w:ascii="宋体" w:hAnsi="宋体" w:cs="宋体" w:eastAsia="宋体" w:hint="default"/>
          <w:sz w:val="18"/>
          <w:szCs w:val="18"/>
        </w:rPr>
      </w:pPr>
    </w:p>
    <w:p>
      <w:pPr>
        <w:pStyle w:val="BodyText"/>
        <w:spacing w:line="273" w:lineRule="auto"/>
        <w:ind w:right="1131" w:firstLine="441"/>
        <w:jc w:val="both"/>
      </w:pPr>
      <w:r>
        <w:rPr>
          <w:spacing w:val="-1"/>
        </w:rPr>
        <w:t>本公司对采用建设经营移交方式参与的公共基础设施建设业务，项目公司提供实际建造服务的，对于</w:t>
      </w:r>
      <w:r>
        <w:rPr/>
        <w:t> </w:t>
      </w:r>
      <w:r>
        <w:rPr>
          <w:spacing w:val="-1"/>
        </w:rPr>
        <w:t>建造期间所提供的建造服务确认按照本公司会计政策确认建造合同收入，基础设施建成后，确认与后续经</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营服务相关的收入。</w:t>
      </w:r>
    </w:p>
    <w:p>
      <w:pPr>
        <w:spacing w:line="240" w:lineRule="auto" w:before="2"/>
        <w:rPr>
          <w:rFonts w:ascii="宋体" w:hAnsi="宋体" w:cs="宋体" w:eastAsia="宋体" w:hint="default"/>
          <w:sz w:val="21"/>
          <w:szCs w:val="21"/>
        </w:rPr>
      </w:pPr>
    </w:p>
    <w:p>
      <w:pPr>
        <w:pStyle w:val="BodyText"/>
        <w:spacing w:line="273" w:lineRule="auto"/>
        <w:ind w:right="1132" w:firstLine="441"/>
        <w:jc w:val="both"/>
      </w:pPr>
      <w:r>
        <w:rPr>
          <w:spacing w:val="-1"/>
        </w:rPr>
        <w:t>建造合同收入按照收取或应收对价的公允价值计量，并分别以下情况在确认收入的同时，确认金融资</w:t>
      </w:r>
      <w:r>
        <w:rPr/>
        <w:t> 产或无形资产：</w:t>
      </w:r>
    </w:p>
    <w:p>
      <w:pPr>
        <w:spacing w:line="240" w:lineRule="auto" w:before="13"/>
        <w:rPr>
          <w:rFonts w:ascii="宋体" w:hAnsi="宋体" w:cs="宋体" w:eastAsia="宋体" w:hint="default"/>
          <w:sz w:val="18"/>
          <w:szCs w:val="18"/>
        </w:rPr>
      </w:pPr>
    </w:p>
    <w:p>
      <w:pPr>
        <w:pStyle w:val="BodyText"/>
        <w:spacing w:line="264" w:lineRule="auto"/>
        <w:ind w:right="1130" w:firstLine="441"/>
        <w:jc w:val="both"/>
      </w:pPr>
      <w:r>
        <w:rPr>
          <w:rFonts w:ascii="Times New Roman" w:hAnsi="Times New Roman" w:cs="Times New Roman" w:eastAsia="Times New Roman" w:hint="default"/>
        </w:rPr>
        <w:t>1</w:t>
      </w:r>
      <w:r>
        <w:rPr/>
        <w:t>）合同规定基础设施建成后的一定期间内，项目公司可以无条件地自合同授予方收取确定金额的货 </w:t>
      </w:r>
      <w:r>
        <w:rPr>
          <w:spacing w:val="-1"/>
        </w:rPr>
        <w:t>币资金或其他金融资产的；或在项目公司提供经营服务的收费低于某一限定金额的情况下，合同授予方按</w:t>
      </w:r>
      <w:r>
        <w:rPr>
          <w:spacing w:val="-80"/>
        </w:rPr>
        <w:t> </w:t>
      </w:r>
      <w:r>
        <w:rPr>
          <w:spacing w:val="-80"/>
        </w:rPr>
      </w:r>
      <w:r>
        <w:rPr/>
        <w:t>照合同规定负责将有关差价补偿给项目公司的，在确认收入的同时确认金融资产。</w:t>
      </w:r>
    </w:p>
    <w:p>
      <w:pPr>
        <w:spacing w:line="240" w:lineRule="auto" w:before="8"/>
        <w:rPr>
          <w:rFonts w:ascii="宋体" w:hAnsi="宋体" w:cs="宋体" w:eastAsia="宋体" w:hint="default"/>
          <w:sz w:val="19"/>
          <w:szCs w:val="19"/>
        </w:rPr>
      </w:pPr>
    </w:p>
    <w:p>
      <w:pPr>
        <w:pStyle w:val="BodyText"/>
        <w:spacing w:line="264" w:lineRule="auto"/>
        <w:ind w:right="1131" w:firstLine="441"/>
        <w:jc w:val="both"/>
      </w:pPr>
      <w:r>
        <w:rPr>
          <w:rFonts w:ascii="Times New Roman" w:hAnsi="Times New Roman" w:cs="Times New Roman" w:eastAsia="Times New Roman" w:hint="default"/>
        </w:rPr>
        <w:t>2</w:t>
      </w:r>
      <w:r>
        <w:rPr/>
        <w:t>）合同规定项目公司在有关基础设施建成后，从事经营的一定期间内有权利向获取服务的对象收取 </w:t>
      </w:r>
      <w:r>
        <w:rPr>
          <w:spacing w:val="-1"/>
        </w:rPr>
        <w:t>费用，但收费金额不确定的，该权利不构成一项无条件收取现金的权利，项目公司在确认收入的同时确认</w:t>
      </w:r>
      <w:r>
        <w:rPr>
          <w:spacing w:val="-83"/>
        </w:rPr>
        <w:t> </w:t>
      </w:r>
      <w:r>
        <w:rPr>
          <w:spacing w:val="-83"/>
        </w:rPr>
      </w:r>
      <w:r>
        <w:rPr/>
        <w:t>无形资产。建造过程中发生的借款利息按照借款费用相关政策进行核算。</w:t>
      </w:r>
    </w:p>
    <w:p>
      <w:pPr>
        <w:spacing w:line="240" w:lineRule="auto" w:before="8"/>
        <w:rPr>
          <w:rFonts w:ascii="宋体" w:hAnsi="宋体" w:cs="宋体" w:eastAsia="宋体" w:hint="default"/>
          <w:sz w:val="19"/>
          <w:szCs w:val="19"/>
        </w:rPr>
      </w:pPr>
    </w:p>
    <w:p>
      <w:pPr>
        <w:pStyle w:val="BodyText"/>
        <w:spacing w:line="273" w:lineRule="auto"/>
        <w:ind w:right="1132" w:firstLine="441"/>
        <w:jc w:val="both"/>
      </w:pPr>
      <w:r>
        <w:rPr>
          <w:spacing w:val="-2"/>
        </w:rPr>
        <w:t>项目公司未提供实际建造服务，将基础设施建造发包给其他方的，不确认建造服务收入，按照建造过</w:t>
      </w:r>
      <w:r>
        <w:rPr/>
        <w:t> 程中支付的工程价款等考虑合同规定，分别确认为金融资产或无形资产。</w:t>
      </w:r>
    </w:p>
    <w:p>
      <w:pPr>
        <w:pStyle w:val="BodyText"/>
        <w:spacing w:line="552" w:lineRule="exact" w:before="51"/>
        <w:ind w:left="595" w:right="1115"/>
        <w:jc w:val="left"/>
      </w:pPr>
      <w:r>
        <w:rPr/>
        <w:t>本公司建造合同收入确认的具体原则如下： </w:t>
      </w:r>
      <w:r>
        <w:rPr>
          <w:spacing w:val="-1"/>
        </w:rPr>
        <w:t>本公司按工程实际投入使用的材料成本、实际发生的工程、劳务成本及其他工程相关成本确认工程实</w:t>
      </w:r>
    </w:p>
    <w:p>
      <w:pPr>
        <w:pStyle w:val="BodyText"/>
        <w:spacing w:line="231" w:lineRule="exact"/>
        <w:ind w:right="0"/>
        <w:jc w:val="both"/>
      </w:pPr>
      <w:r>
        <w:rPr/>
        <w:t>际成本，并根据实际发生的成本占合同总成本的比例计算完工百分比，或者根据已经完成的合同工作量占</w:t>
      </w:r>
    </w:p>
    <w:p>
      <w:pPr>
        <w:pStyle w:val="BodyText"/>
        <w:spacing w:line="273" w:lineRule="auto" w:before="37"/>
        <w:ind w:right="1131"/>
        <w:jc w:val="both"/>
      </w:pPr>
      <w:r>
        <w:rPr>
          <w:spacing w:val="-1"/>
        </w:rPr>
        <w:t>合同预计总工作量的比例确定建造合同完工百分比。在资产负债表日，当期未完工的建造合同，本公司按</w:t>
      </w:r>
      <w:r>
        <w:rPr>
          <w:spacing w:val="-83"/>
        </w:rPr>
        <w:t> </w:t>
      </w:r>
      <w:r>
        <w:rPr>
          <w:spacing w:val="-83"/>
        </w:rPr>
      </w:r>
      <w:r>
        <w:rPr>
          <w:spacing w:val="-1"/>
        </w:rPr>
        <w:t>照合同总收入乘以完工百分比扣除以前会计期间累计已确认收入后的金额，确认为当期合同收入，并将合</w:t>
      </w:r>
      <w:r>
        <w:rPr>
          <w:spacing w:val="-81"/>
        </w:rPr>
        <w:t> </w:t>
      </w:r>
      <w:r>
        <w:rPr>
          <w:spacing w:val="-81"/>
        </w:rPr>
      </w:r>
      <w:r>
        <w:rPr>
          <w:spacing w:val="-1"/>
        </w:rPr>
        <w:t>同收入与合同成本差额确认为合同毛利；当期已完工的建造合同，本公司按照与业主实际结算金额（尚未</w:t>
      </w:r>
      <w:r>
        <w:rPr>
          <w:spacing w:val="-83"/>
        </w:rPr>
        <w:t> </w:t>
      </w:r>
      <w:r>
        <w:rPr>
          <w:spacing w:val="-83"/>
        </w:rPr>
      </w:r>
      <w:r>
        <w:rPr>
          <w:spacing w:val="-1"/>
        </w:rPr>
        <w:t>结算的按照合同总金额）扣除以前会计期间累计已确认收入后的金额，确认为当期合同收入。当合同施工</w:t>
      </w:r>
      <w:r>
        <w:rPr>
          <w:spacing w:val="-83"/>
        </w:rPr>
        <w:t> </w:t>
      </w:r>
      <w:r>
        <w:rPr>
          <w:spacing w:val="-83"/>
        </w:rPr>
      </w:r>
      <w:r>
        <w:rPr>
          <w:spacing w:val="-1"/>
        </w:rPr>
        <w:t>内容发生变化，从而导致预计总收入和预计总成本发生变化时，公司将对预计总收入及预计总成本进行调</w:t>
      </w:r>
      <w:r>
        <w:rPr>
          <w:spacing w:val="-81"/>
        </w:rPr>
        <w:t> </w:t>
      </w:r>
      <w:r>
        <w:rPr>
          <w:spacing w:val="-81"/>
        </w:rPr>
      </w:r>
      <w:r>
        <w:rPr/>
        <w:t>整，并按调整后的金额计算完工百分比，调整当期应确认的营业收入及营业成本。</w:t>
      </w:r>
    </w:p>
    <w:p>
      <w:pPr>
        <w:spacing w:line="240" w:lineRule="auto" w:before="12"/>
        <w:rPr>
          <w:rFonts w:ascii="宋体" w:hAnsi="宋体" w:cs="宋体" w:eastAsia="宋体" w:hint="default"/>
          <w:sz w:val="18"/>
          <w:szCs w:val="18"/>
        </w:rPr>
      </w:pPr>
    </w:p>
    <w:p>
      <w:pPr>
        <w:pStyle w:val="BodyText"/>
        <w:spacing w:line="240" w:lineRule="auto"/>
        <w:ind w:left="524" w:right="0"/>
        <w:jc w:val="left"/>
      </w:pPr>
      <w:r>
        <w:rPr/>
        <w:t>当合同预计总成本超过合同总收入的，将预计损失确认为当期费用。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4"/>
        <w:spacing w:line="240" w:lineRule="auto"/>
        <w:ind w:right="0"/>
        <w:jc w:val="both"/>
        <w:rPr>
          <w:b w:val="0"/>
          <w:bCs w:val="0"/>
        </w:rPr>
      </w:pPr>
      <w:bookmarkStart w:name="29、政府补助" w:id="225"/>
      <w:bookmarkEnd w:id="225"/>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31" w:firstLine="423"/>
        <w:jc w:val="both"/>
      </w:pPr>
      <w:r>
        <w:rPr>
          <w:spacing w:val="-1"/>
        </w:rPr>
        <w:t>政府补助是指本公司从政府无偿取得货币性资产或非货币性资产，不包括政府以投资者身份并享有相</w:t>
      </w:r>
      <w:r>
        <w:rPr/>
        <w:t> </w:t>
      </w:r>
      <w:r>
        <w:rPr>
          <w:spacing w:val="-1"/>
        </w:rPr>
        <w:t>应所有者权益而投入的资本。政府补助分为与资产相关的政府补助和与收益相关的政府补助。政府补助为</w:t>
      </w:r>
      <w:r>
        <w:rPr>
          <w:spacing w:val="-81"/>
        </w:rPr>
        <w:t> </w:t>
      </w:r>
      <w:r>
        <w:rPr>
          <w:spacing w:val="-81"/>
        </w:rPr>
      </w:r>
      <w:r>
        <w:rPr>
          <w:spacing w:val="-1"/>
        </w:rPr>
        <w:t>货币性资产的，按照收到或应收的金额计量。政府补助为非货币性资产的，应当按照公允价值计量；公允</w:t>
      </w:r>
      <w:r>
        <w:rPr>
          <w:spacing w:val="-86"/>
        </w:rPr>
        <w:t> </w:t>
      </w:r>
      <w:r>
        <w:rPr>
          <w:spacing w:val="-86"/>
        </w:rPr>
      </w:r>
      <w:r>
        <w:rPr/>
        <w:t>价值不能可靠取得的，按照名义金额计量。按照名义金额计量的政府补助，直接计入当期损益。</w:t>
      </w:r>
    </w:p>
    <w:p>
      <w:pPr>
        <w:spacing w:line="240" w:lineRule="auto" w:before="1"/>
        <w:rPr>
          <w:rFonts w:ascii="宋体" w:hAnsi="宋体" w:cs="宋体" w:eastAsia="宋体" w:hint="default"/>
          <w:sz w:val="17"/>
          <w:szCs w:val="17"/>
        </w:rPr>
      </w:pPr>
    </w:p>
    <w:p>
      <w:pPr>
        <w:pStyle w:val="BodyText"/>
        <w:spacing w:line="273" w:lineRule="auto"/>
        <w:ind w:right="1131" w:firstLine="423"/>
        <w:jc w:val="both"/>
      </w:pPr>
      <w:r>
        <w:rPr>
          <w:spacing w:val="-1"/>
        </w:rPr>
        <w:t>与资产相关的政府补助，确认为递延收益，在相关资产使用寿命内按照合理、系统的方法分期计入损</w:t>
      </w:r>
      <w:r>
        <w:rPr/>
        <w:t> </w:t>
      </w:r>
      <w:r>
        <w:rPr>
          <w:spacing w:val="-1"/>
        </w:rPr>
        <w:t>益，相关资产在使用寿命结束前被出售、转让、报废或发生毁损的，将尚未分配的相关递延收益余额转入</w:t>
      </w:r>
      <w:r>
        <w:rPr>
          <w:spacing w:val="-86"/>
        </w:rPr>
        <w:t> </w:t>
      </w:r>
      <w:r>
        <w:rPr>
          <w:spacing w:val="-86"/>
        </w:rPr>
      </w:r>
      <w:r>
        <w:rPr>
          <w:spacing w:val="-1"/>
        </w:rPr>
        <w:t>资产处置当期的损益，已确认的政府补助需要退回的，冲减相关递延收益账面余额，超出部分计入当期损</w:t>
      </w:r>
      <w:r>
        <w:rPr>
          <w:spacing w:val="-83"/>
        </w:rPr>
        <w:t> </w:t>
      </w:r>
      <w:r>
        <w:rPr>
          <w:spacing w:val="-83"/>
        </w:rPr>
      </w:r>
      <w:r>
        <w:rPr>
          <w:spacing w:val="-1"/>
        </w:rPr>
        <w:t>益。与收益相关的政府补助，用于补偿企业以后期间的相关成本费用或损失的，确认为递延收益，并在确</w:t>
      </w:r>
      <w:r>
        <w:rPr>
          <w:spacing w:val="-86"/>
        </w:rPr>
        <w:t> </w:t>
      </w:r>
      <w:r>
        <w:rPr>
          <w:spacing w:val="-86"/>
        </w:rPr>
      </w:r>
      <w:r>
        <w:rPr>
          <w:spacing w:val="-1"/>
        </w:rPr>
        <w:t>认相关成本费用或损失的期间，计入当期损益或冲减相关成本；用于补偿企业已发生的相关成本费用或损</w:t>
      </w:r>
      <w:r>
        <w:rPr>
          <w:spacing w:val="-81"/>
        </w:rPr>
        <w:t> </w:t>
      </w:r>
      <w:r>
        <w:rPr>
          <w:spacing w:val="-81"/>
        </w:rPr>
      </w:r>
      <w:r>
        <w:rPr/>
        <w:t>失的，直接计入当期损益或冲减相关成本。</w:t>
      </w:r>
    </w:p>
    <w:p>
      <w:pPr>
        <w:spacing w:line="240" w:lineRule="auto" w:before="1"/>
        <w:rPr>
          <w:rFonts w:ascii="宋体" w:hAnsi="宋体" w:cs="宋体" w:eastAsia="宋体" w:hint="default"/>
          <w:sz w:val="17"/>
          <w:szCs w:val="17"/>
        </w:rPr>
      </w:pPr>
    </w:p>
    <w:p>
      <w:pPr>
        <w:pStyle w:val="BodyText"/>
        <w:spacing w:line="273" w:lineRule="auto"/>
        <w:ind w:right="1133" w:firstLine="423"/>
        <w:jc w:val="both"/>
      </w:pPr>
      <w:r>
        <w:rPr>
          <w:spacing w:val="-1"/>
        </w:rPr>
        <w:t>对于同时包含与资产相关部分和与收益相关部分的政府补助，区分不同部分分别进行会计处理；难以</w:t>
      </w:r>
      <w:r>
        <w:rPr/>
        <w:t> 区分的，整体归类为与收益相关的政府补助。</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3" w:firstLine="423"/>
        <w:jc w:val="both"/>
      </w:pPr>
      <w:r>
        <w:rPr>
          <w:spacing w:val="-1"/>
        </w:rPr>
        <w:t>与公司日常活动相关的政府补助，按照经济业务实质，计入其他收益或冲减相关成本费用。与公司日</w:t>
      </w:r>
      <w:r>
        <w:rPr/>
        <w:t> 常活动无关的政府补助，计入营业外收入。</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line="590" w:lineRule="atLeast" w:before="0"/>
        <w:ind w:left="577" w:right="0" w:hanging="424"/>
        <w:jc w:val="left"/>
        <w:rPr>
          <w:rFonts w:ascii="宋体" w:hAnsi="宋体" w:cs="宋体" w:eastAsia="宋体" w:hint="default"/>
          <w:sz w:val="21"/>
          <w:szCs w:val="21"/>
        </w:rPr>
      </w:pPr>
      <w:bookmarkStart w:name="30、递延所得税资产/递延所得税负债" w:id="226"/>
      <w:bookmarkEnd w:id="226"/>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pacing w:val="-1"/>
          <w:sz w:val="21"/>
          <w:szCs w:val="21"/>
        </w:rPr>
        <w:t>某些资产、负债项目的账面价值与其计税基础之间的差额，以及未作为资产和负债确认但按照税法规</w:t>
      </w:r>
    </w:p>
    <w:p>
      <w:pPr>
        <w:pStyle w:val="BodyText"/>
        <w:spacing w:line="273" w:lineRule="auto" w:before="37"/>
        <w:ind w:right="0"/>
        <w:jc w:val="left"/>
      </w:pPr>
      <w:r>
        <w:rPr>
          <w:spacing w:val="-1"/>
        </w:rPr>
        <w:t>定可以确定其计税基础的项目的账面价值与计税基础之间的差额产生的暂时性差异，采用资产负债表债务</w:t>
      </w:r>
      <w:r>
        <w:rPr>
          <w:spacing w:val="-81"/>
        </w:rPr>
        <w:t> </w:t>
      </w:r>
      <w:r>
        <w:rPr>
          <w:spacing w:val="-81"/>
        </w:rPr>
      </w:r>
      <w:r>
        <w:rPr/>
        <w:t>法确认递延所得税资产及递延所得税负债。</w:t>
      </w:r>
    </w:p>
    <w:p>
      <w:pPr>
        <w:spacing w:line="240" w:lineRule="auto" w:before="1"/>
        <w:rPr>
          <w:rFonts w:ascii="宋体" w:hAnsi="宋体" w:cs="宋体" w:eastAsia="宋体" w:hint="default"/>
          <w:sz w:val="17"/>
          <w:szCs w:val="17"/>
        </w:rPr>
      </w:pPr>
    </w:p>
    <w:p>
      <w:pPr>
        <w:pStyle w:val="BodyText"/>
        <w:spacing w:line="273" w:lineRule="auto"/>
        <w:ind w:right="1023" w:firstLine="423"/>
        <w:jc w:val="left"/>
      </w:pPr>
      <w:r>
        <w:rPr/>
        <w:t>与商誉的初始确认有关，以及与既不是企业合并、发生时也不影响会计利润和应纳税所得额（或可抵 扣亏损）的交易中产生的资产或负债的初始确认有关的应纳税暂时性差异，不予确认有关的递延所得税负 债。此外，对与子公司、联营企业及合营企业投资相关的应纳税暂时性差异，如果本公司能够控制暂时性 </w:t>
      </w:r>
      <w:r>
        <w:rPr>
          <w:spacing w:val="-3"/>
        </w:rPr>
        <w:t>差异转回的时间，而且该暂时性差异在可预见的未来很可能不会转回，也不予确认有关的递延所得税负债。</w:t>
      </w:r>
      <w:r>
        <w:rPr>
          <w:spacing w:val="-92"/>
        </w:rPr>
        <w:t> </w:t>
      </w:r>
      <w:r>
        <w:rPr>
          <w:spacing w:val="-92"/>
        </w:rPr>
      </w:r>
      <w:r>
        <w:rPr/>
        <w:t>除上述例外情况，本公司确认其他所有应纳税暂时性差异产生的递延所得税负债。</w:t>
      </w:r>
    </w:p>
    <w:p>
      <w:pPr>
        <w:spacing w:line="240" w:lineRule="auto" w:before="1"/>
        <w:rPr>
          <w:rFonts w:ascii="宋体" w:hAnsi="宋体" w:cs="宋体" w:eastAsia="宋体" w:hint="default"/>
          <w:sz w:val="17"/>
          <w:szCs w:val="17"/>
        </w:rPr>
      </w:pPr>
    </w:p>
    <w:p>
      <w:pPr>
        <w:pStyle w:val="BodyText"/>
        <w:spacing w:line="273" w:lineRule="auto"/>
        <w:ind w:right="1130" w:firstLine="423"/>
        <w:jc w:val="both"/>
      </w:pPr>
      <w:r>
        <w:rPr>
          <w:spacing w:val="-1"/>
        </w:rPr>
        <w:t>与既不是企业合并、发生时也不影响会计利润和应纳税所得额（或可抵扣亏损）的交易中产生的资产</w:t>
      </w:r>
      <w:r>
        <w:rPr/>
        <w:t> </w:t>
      </w:r>
      <w:r>
        <w:rPr>
          <w:spacing w:val="-1"/>
        </w:rPr>
        <w:t>或负债的初始确认有关的可抵扣暂时性差异，不予确认有关的递延所得税资产。此外，对与子公司、联营</w:t>
      </w:r>
      <w:r>
        <w:rPr>
          <w:spacing w:val="-86"/>
        </w:rPr>
        <w:t> </w:t>
      </w:r>
      <w:r>
        <w:rPr>
          <w:spacing w:val="-86"/>
        </w:rPr>
      </w:r>
      <w:r>
        <w:rPr>
          <w:spacing w:val="-1"/>
        </w:rPr>
        <w:t>企业及合营企业投资相关的可抵扣暂时性差异，如果暂时性差异在可预见的未来不是很可能转回，或者未</w:t>
      </w:r>
      <w:r>
        <w:rPr>
          <w:spacing w:val="-81"/>
        </w:rPr>
        <w:t> </w:t>
      </w:r>
      <w:r>
        <w:rPr>
          <w:spacing w:val="-81"/>
        </w:rPr>
      </w:r>
      <w:r>
        <w:rPr>
          <w:spacing w:val="-1"/>
        </w:rPr>
        <w:t>来不是很可能获得用来抵扣可抵扣暂时性差异的应纳税所得额，不予确认有关的递延所得税资产。除上述</w:t>
      </w:r>
      <w:r>
        <w:rPr>
          <w:spacing w:val="-81"/>
        </w:rPr>
        <w:t> </w:t>
      </w:r>
      <w:r>
        <w:rPr>
          <w:spacing w:val="-81"/>
        </w:rPr>
      </w:r>
      <w:r>
        <w:rPr>
          <w:spacing w:val="-1"/>
        </w:rPr>
        <w:t>例外情况，本公司以很可能取得用来抵扣可抵扣暂时性差异的应纳税所得额为限，确认其他可抵扣暂时性</w:t>
      </w:r>
      <w:r>
        <w:rPr>
          <w:spacing w:val="-80"/>
        </w:rPr>
        <w:t> </w:t>
      </w:r>
      <w:r>
        <w:rPr>
          <w:spacing w:val="-80"/>
        </w:rPr>
      </w:r>
      <w:r>
        <w:rPr/>
        <w:t>差异产生的递延所得税资产。</w:t>
      </w:r>
    </w:p>
    <w:p>
      <w:pPr>
        <w:spacing w:line="240" w:lineRule="auto" w:before="2"/>
        <w:rPr>
          <w:rFonts w:ascii="宋体" w:hAnsi="宋体" w:cs="宋体" w:eastAsia="宋体" w:hint="default"/>
          <w:sz w:val="17"/>
          <w:szCs w:val="17"/>
        </w:rPr>
      </w:pPr>
    </w:p>
    <w:p>
      <w:pPr>
        <w:pStyle w:val="BodyText"/>
        <w:spacing w:line="273" w:lineRule="auto"/>
        <w:ind w:right="1133" w:firstLine="423"/>
        <w:jc w:val="both"/>
      </w:pPr>
      <w:r>
        <w:rPr>
          <w:spacing w:val="-1"/>
        </w:rPr>
        <w:t>对于能够结转以后年度的可抵扣亏损和税款抵减，以很可能获得用来抵扣可抵扣亏损和税款抵减的未</w:t>
      </w:r>
      <w:r>
        <w:rPr/>
        <w:t> 来应纳税所得额为限，确认相应的递延所得税资产。</w:t>
      </w:r>
    </w:p>
    <w:p>
      <w:pPr>
        <w:spacing w:line="240" w:lineRule="auto" w:before="1"/>
        <w:rPr>
          <w:rFonts w:ascii="宋体" w:hAnsi="宋体" w:cs="宋体" w:eastAsia="宋体" w:hint="default"/>
          <w:sz w:val="17"/>
          <w:szCs w:val="17"/>
        </w:rPr>
      </w:pPr>
    </w:p>
    <w:p>
      <w:pPr>
        <w:pStyle w:val="BodyText"/>
        <w:spacing w:line="273" w:lineRule="auto"/>
        <w:ind w:right="1133" w:firstLine="423"/>
        <w:jc w:val="both"/>
      </w:pPr>
      <w:r>
        <w:rPr>
          <w:spacing w:val="-1"/>
        </w:rPr>
        <w:t>资产负债表日，对于递延所得税资产和递延所得税负债，根据税法规定，按照预期收回相关资产或清</w:t>
      </w:r>
      <w:r>
        <w:rPr/>
        <w:t> 偿相关负债期间的适用税率计量。</w:t>
      </w:r>
    </w:p>
    <w:p>
      <w:pPr>
        <w:spacing w:line="240" w:lineRule="auto" w:before="1"/>
        <w:rPr>
          <w:rFonts w:ascii="宋体" w:hAnsi="宋体" w:cs="宋体" w:eastAsia="宋体" w:hint="default"/>
          <w:sz w:val="17"/>
          <w:szCs w:val="17"/>
        </w:rPr>
      </w:pPr>
    </w:p>
    <w:p>
      <w:pPr>
        <w:pStyle w:val="BodyText"/>
        <w:spacing w:line="273" w:lineRule="auto"/>
        <w:ind w:right="1131" w:firstLine="423"/>
        <w:jc w:val="both"/>
      </w:pPr>
      <w:r>
        <w:rPr>
          <w:spacing w:val="-1"/>
        </w:rPr>
        <w:t>于资产负债表日，对递延所得税资产的账面价值进行复核，如果未来很可能无法获得足够的应纳税所</w:t>
      </w:r>
      <w:r>
        <w:rPr/>
        <w:t> </w:t>
      </w:r>
      <w:r>
        <w:rPr>
          <w:spacing w:val="-1"/>
        </w:rPr>
        <w:t>得额用以抵扣递延所得税资产的利益，则减记递延所得税资产的账面价值。在很可能获得足够的应纳税所</w:t>
      </w:r>
      <w:r>
        <w:rPr>
          <w:spacing w:val="-81"/>
        </w:rPr>
        <w:t> </w:t>
      </w:r>
      <w:r>
        <w:rPr>
          <w:spacing w:val="-81"/>
        </w:rPr>
      </w:r>
      <w:r>
        <w:rPr/>
        <w:t>得额时，减记的金额予以转回。</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4"/>
        <w:spacing w:line="240" w:lineRule="auto"/>
        <w:ind w:right="0"/>
        <w:jc w:val="left"/>
        <w:rPr>
          <w:b w:val="0"/>
          <w:bCs w:val="0"/>
        </w:rPr>
      </w:pPr>
      <w:bookmarkStart w:name="31、租赁" w:id="227"/>
      <w:bookmarkEnd w:id="227"/>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spacing w:line="506" w:lineRule="auto" w:before="0"/>
        <w:ind w:left="527" w:right="3029" w:hanging="374"/>
        <w:jc w:val="left"/>
        <w:rPr>
          <w:rFonts w:ascii="宋体" w:hAnsi="宋体" w:cs="宋体" w:eastAsia="宋体" w:hint="default"/>
          <w:sz w:val="21"/>
          <w:szCs w:val="21"/>
        </w:rPr>
      </w:pPr>
      <w:bookmarkStart w:name="（1）经营租赁的会计处理方法" w:id="228"/>
      <w:bookmarkEnd w:id="2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z w:val="21"/>
          <w:szCs w:val="21"/>
        </w:rPr>
        <w:t>经营租赁的租金在租赁期内的各个期间按直线法计入相关资产成本或当期损益。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line="506" w:lineRule="auto" w:before="0"/>
        <w:ind w:left="577" w:right="0" w:hanging="424"/>
        <w:jc w:val="left"/>
        <w:rPr>
          <w:rFonts w:ascii="宋体" w:hAnsi="宋体" w:cs="宋体" w:eastAsia="宋体" w:hint="default"/>
          <w:sz w:val="21"/>
          <w:szCs w:val="21"/>
        </w:rPr>
      </w:pPr>
      <w:bookmarkStart w:name="（2）融资租赁的会计处理方法" w:id="229"/>
      <w:bookmarkEnd w:id="2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本公司将实质上转移了与资产所有权有关的全部风险和报酬的租赁确认为融资租赁，除融资租赁之外</w:t>
      </w:r>
    </w:p>
    <w:p>
      <w:pPr>
        <w:spacing w:after="0" w:line="506"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的其他租赁确认为经营租赁。</w:t>
      </w:r>
    </w:p>
    <w:p>
      <w:pPr>
        <w:spacing w:line="240" w:lineRule="auto" w:before="5"/>
        <w:rPr>
          <w:rFonts w:ascii="宋体" w:hAnsi="宋体" w:cs="宋体" w:eastAsia="宋体" w:hint="default"/>
          <w:sz w:val="19"/>
          <w:szCs w:val="19"/>
        </w:rPr>
      </w:pPr>
    </w:p>
    <w:p>
      <w:pPr>
        <w:pStyle w:val="BodyText"/>
        <w:spacing w:line="273" w:lineRule="auto"/>
        <w:ind w:right="0" w:firstLine="420"/>
        <w:jc w:val="left"/>
      </w:pPr>
      <w:r>
        <w:rPr>
          <w:spacing w:val="-1"/>
        </w:rPr>
        <w:t>在租赁期开始日，本公司将租赁开始日租赁资产公允价值与最低租赁付款额现值中较低者作为租入资</w:t>
      </w:r>
      <w:r>
        <w:rPr/>
        <w:t> 产的入账价值，将最低租赁付款额作为长期应付款的入账价值，其差额作为未确认融资费用。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4"/>
        <w:spacing w:line="240" w:lineRule="auto"/>
        <w:ind w:right="0"/>
        <w:jc w:val="left"/>
        <w:rPr>
          <w:b w:val="0"/>
          <w:bCs w:val="0"/>
        </w:rPr>
      </w:pPr>
      <w:bookmarkStart w:name="32、其他重要的会计政策和会计估计" w:id="230"/>
      <w:bookmarkEnd w:id="230"/>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3、重要会计政策和会计估计变更" w:id="231"/>
      <w:bookmarkEnd w:id="231"/>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会计政策变更" w:id="232"/>
      <w:bookmarkEnd w:id="232"/>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关于修订印发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年度一般企业财务报 表格式的通知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第八届董事会第五十九次会议</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6" w:lineRule="exact"/>
        <w:ind w:left="527" w:right="0"/>
        <w:jc w:val="left"/>
      </w:pPr>
      <w:r>
        <w:rPr/>
        <w:t>（</w:t>
      </w:r>
      <w:r>
        <w:rPr>
          <w:rFonts w:ascii="Times New Roman" w:hAnsi="Times New Roman" w:cs="Times New Roman" w:eastAsia="Times New Roman" w:hint="default"/>
        </w:rPr>
        <w:t>1</w:t>
      </w:r>
      <w:r>
        <w:rPr/>
        <w:t>）会计政策变更</w:t>
      </w:r>
    </w:p>
    <w:p>
      <w:pPr>
        <w:spacing w:line="240" w:lineRule="auto" w:before="2"/>
        <w:rPr>
          <w:rFonts w:ascii="宋体" w:hAnsi="宋体" w:cs="宋体" w:eastAsia="宋体" w:hint="default"/>
          <w:sz w:val="18"/>
          <w:szCs w:val="18"/>
        </w:rPr>
      </w:pPr>
    </w:p>
    <w:p>
      <w:pPr>
        <w:pStyle w:val="BodyText"/>
        <w:spacing w:line="240" w:lineRule="auto"/>
        <w:ind w:left="574" w:right="0"/>
        <w:jc w:val="left"/>
      </w:pPr>
      <w:r>
        <w:rPr/>
        <w:t>①因执行新企业会计准则导致的会计政策变更</w:t>
      </w:r>
    </w:p>
    <w:p>
      <w:pPr>
        <w:spacing w:line="240" w:lineRule="auto" w:before="5"/>
        <w:rPr>
          <w:rFonts w:ascii="宋体" w:hAnsi="宋体" w:cs="宋体" w:eastAsia="宋体" w:hint="default"/>
          <w:sz w:val="19"/>
          <w:szCs w:val="19"/>
        </w:rPr>
      </w:pPr>
    </w:p>
    <w:p>
      <w:pPr>
        <w:pStyle w:val="BodyText"/>
        <w:spacing w:line="240" w:lineRule="auto"/>
        <w:ind w:left="574" w:right="0"/>
        <w:jc w:val="left"/>
      </w:pPr>
      <w:r>
        <w:rPr>
          <w:rFonts w:ascii="Times New Roman" w:hAnsi="Times New Roman" w:cs="Times New Roman" w:eastAsia="Times New Roman" w:hint="default"/>
        </w:rPr>
        <w:t>201</w:t>
      </w:r>
      <w:r>
        <w:rPr>
          <w:rFonts w:ascii="Times New Roman" w:hAnsi="Times New Roman" w:cs="Times New Roman" w:eastAsia="Times New Roman" w:hint="default"/>
          <w:spacing w:val="1"/>
        </w:rPr>
        <w:t>8</w:t>
      </w:r>
      <w:r>
        <w:rPr>
          <w:spacing w:val="-2"/>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spacing w:val="-1"/>
        </w:rPr>
        <w:t>15</w:t>
      </w:r>
      <w:r>
        <w:rPr/>
        <w:t>日</w:t>
      </w:r>
      <w:r>
        <w:rPr>
          <w:spacing w:val="-47"/>
        </w:rPr>
        <w:t>，</w:t>
      </w:r>
      <w:r>
        <w:rPr/>
        <w:t>财政部发布</w:t>
      </w:r>
      <w:r>
        <w:rPr>
          <w:spacing w:val="-47"/>
        </w:rPr>
        <w:t>了</w:t>
      </w:r>
      <w:r>
        <w:rPr/>
        <w:t>《关于修订印发</w:t>
      </w:r>
      <w:r>
        <w:rPr>
          <w:rFonts w:ascii="Times New Roman" w:hAnsi="Times New Roman" w:cs="Times New Roman" w:eastAsia="Times New Roman" w:hint="default"/>
        </w:rPr>
        <w:t>2018</w:t>
      </w:r>
      <w:r>
        <w:rPr/>
        <w:t>年度一般企业财务报表格式的通知</w:t>
      </w:r>
      <w:r>
        <w:rPr>
          <w:spacing w:val="-94"/>
        </w:rPr>
        <w:t>》</w:t>
      </w:r>
      <w:r>
        <w:rPr/>
        <w:t>（财</w:t>
      </w:r>
      <w:r>
        <w:rPr>
          <w:spacing w:val="-47"/>
        </w:rPr>
        <w:t>会</w:t>
      </w:r>
      <w:r>
        <w:rPr/>
        <w:t>〔</w:t>
      </w:r>
      <w:r>
        <w:rPr>
          <w:rFonts w:ascii="Times New Roman" w:hAnsi="Times New Roman" w:cs="Times New Roman" w:eastAsia="Times New Roman" w:hint="default"/>
        </w:rPr>
        <w:t>2018</w:t>
      </w:r>
      <w:r>
        <w:rPr/>
        <w:t>〕</w:t>
      </w:r>
    </w:p>
    <w:p>
      <w:pPr>
        <w:pStyle w:val="BodyText"/>
        <w:spacing w:line="240" w:lineRule="auto" w:before="21"/>
        <w:ind w:right="0"/>
        <w:jc w:val="left"/>
      </w:pPr>
      <w:r>
        <w:rPr>
          <w:rFonts w:ascii="Times New Roman" w:hAnsi="Times New Roman" w:cs="Times New Roman" w:eastAsia="Times New Roman" w:hint="default"/>
        </w:rPr>
        <w:t>15</w:t>
      </w:r>
      <w:r>
        <w:rPr/>
        <w:t>号）。</w:t>
      </w:r>
    </w:p>
    <w:p>
      <w:pPr>
        <w:spacing w:line="240" w:lineRule="auto" w:before="2"/>
        <w:rPr>
          <w:rFonts w:ascii="宋体" w:hAnsi="宋体" w:cs="宋体" w:eastAsia="宋体" w:hint="default"/>
          <w:sz w:val="18"/>
          <w:szCs w:val="18"/>
        </w:rPr>
      </w:pPr>
    </w:p>
    <w:p>
      <w:pPr>
        <w:pStyle w:val="BodyText"/>
        <w:spacing w:line="240" w:lineRule="auto"/>
        <w:ind w:left="574" w:right="0"/>
        <w:jc w:val="left"/>
      </w:pPr>
      <w:r>
        <w:rPr/>
        <w:t>本公司执行此项会计政策对列报前期财务报表项目及金额的影响如下：</w:t>
      </w:r>
    </w:p>
    <w:p>
      <w:pPr>
        <w:spacing w:line="240" w:lineRule="auto" w:before="6"/>
        <w:rPr>
          <w:rFonts w:ascii="宋体" w:hAnsi="宋体" w:cs="宋体" w:eastAsia="宋体" w:hint="default"/>
          <w:sz w:val="20"/>
          <w:szCs w:val="20"/>
        </w:rPr>
      </w:pPr>
    </w:p>
    <w:tbl>
      <w:tblPr>
        <w:tblW w:w="0" w:type="auto"/>
        <w:jc w:val="left"/>
        <w:tblInd w:w="146" w:type="dxa"/>
        <w:tblLayout w:type="fixed"/>
        <w:tblCellMar>
          <w:top w:w="0" w:type="dxa"/>
          <w:left w:w="0" w:type="dxa"/>
          <w:bottom w:w="0" w:type="dxa"/>
          <w:right w:w="0" w:type="dxa"/>
        </w:tblCellMar>
        <w:tblLook w:val="01E0"/>
      </w:tblPr>
      <w:tblGrid>
        <w:gridCol w:w="1031"/>
        <w:gridCol w:w="3351"/>
        <w:gridCol w:w="4458"/>
      </w:tblGrid>
      <w:tr>
        <w:trPr>
          <w:trHeight w:val="347" w:hRule="exact"/>
        </w:trPr>
        <w:tc>
          <w:tcPr>
            <w:tcW w:w="1031" w:type="dxa"/>
            <w:vMerge w:val="restart"/>
            <w:tcBorders>
              <w:top w:val="single" w:sz="6" w:space="0" w:color="000000"/>
              <w:left w:val="single" w:sz="6" w:space="0" w:color="000000"/>
              <w:right w:val="single" w:sz="6" w:space="0" w:color="000000"/>
            </w:tcBorders>
          </w:tcPr>
          <w:p>
            <w:pPr>
              <w:pStyle w:val="TableParagraph"/>
              <w:spacing w:line="271" w:lineRule="exact"/>
              <w:ind w:left="297"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351" w:type="dxa"/>
            <w:vMerge w:val="restart"/>
            <w:tcBorders>
              <w:top w:val="single" w:sz="6" w:space="0" w:color="000000"/>
              <w:left w:val="single" w:sz="6" w:space="0" w:color="000000"/>
              <w:right w:val="single" w:sz="6" w:space="0" w:color="000000"/>
            </w:tcBorders>
          </w:tcPr>
          <w:p>
            <w:pPr>
              <w:pStyle w:val="TableParagraph"/>
              <w:spacing w:line="271" w:lineRule="exact"/>
              <w:ind w:left="618" w:right="0"/>
              <w:jc w:val="left"/>
              <w:rPr>
                <w:rFonts w:ascii="宋体" w:hAnsi="宋体" w:cs="宋体" w:eastAsia="宋体" w:hint="default"/>
                <w:sz w:val="21"/>
                <w:szCs w:val="21"/>
              </w:rPr>
            </w:pPr>
            <w:r>
              <w:rPr>
                <w:rFonts w:ascii="宋体" w:hAnsi="宋体" w:cs="宋体" w:eastAsia="宋体" w:hint="default"/>
                <w:sz w:val="21"/>
                <w:szCs w:val="21"/>
              </w:rPr>
              <w:t>受影响的报表项目名称</w:t>
            </w:r>
          </w:p>
        </w:tc>
        <w:tc>
          <w:tcPr>
            <w:tcW w:w="4458" w:type="dxa"/>
            <w:tcBorders>
              <w:top w:val="single" w:sz="6" w:space="0" w:color="000000"/>
              <w:left w:val="single" w:sz="6" w:space="0" w:color="000000"/>
              <w:bottom w:val="single" w:sz="6" w:space="0" w:color="000000"/>
              <w:right w:val="nil" w:sz="6" w:space="0" w:color="auto"/>
            </w:tcBorders>
          </w:tcPr>
          <w:p>
            <w:pPr>
              <w:pStyle w:val="TableParagraph"/>
              <w:spacing w:line="287" w:lineRule="exact"/>
              <w:ind w:left="616" w:right="0"/>
              <w:jc w:val="left"/>
              <w:rPr>
                <w:rFonts w:ascii="宋体" w:hAnsi="宋体" w:cs="宋体" w:eastAsia="宋体" w:hint="default"/>
                <w:sz w:val="21"/>
                <w:szCs w:val="21"/>
              </w:rPr>
            </w:pPr>
            <w:r>
              <w:rPr>
                <w:rFonts w:ascii="宋体" w:hAnsi="宋体" w:cs="宋体" w:eastAsia="宋体" w:hint="default"/>
                <w:sz w:val="21"/>
                <w:szCs w:val="21"/>
              </w:rPr>
              <w:t>影响</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年度金额</w:t>
            </w:r>
          </w:p>
        </w:tc>
      </w:tr>
      <w:tr>
        <w:trPr>
          <w:trHeight w:val="347" w:hRule="exact"/>
        </w:trPr>
        <w:tc>
          <w:tcPr>
            <w:tcW w:w="1031" w:type="dxa"/>
            <w:vMerge/>
            <w:tcBorders>
              <w:left w:val="single" w:sz="6" w:space="0" w:color="000000"/>
              <w:bottom w:val="single" w:sz="6" w:space="0" w:color="000000"/>
              <w:right w:val="single" w:sz="6" w:space="0" w:color="000000"/>
            </w:tcBorders>
          </w:tcPr>
          <w:p>
            <w:pPr/>
          </w:p>
        </w:tc>
        <w:tc>
          <w:tcPr>
            <w:tcW w:w="3351" w:type="dxa"/>
            <w:vMerge/>
            <w:tcBorders>
              <w:left w:val="single" w:sz="6" w:space="0" w:color="000000"/>
              <w:bottom w:val="single" w:sz="6" w:space="0" w:color="000000"/>
              <w:right w:val="single" w:sz="6" w:space="0" w:color="000000"/>
            </w:tcBorders>
          </w:tcPr>
          <w:p>
            <w:pPr/>
          </w:p>
        </w:tc>
        <w:tc>
          <w:tcPr>
            <w:tcW w:w="4458" w:type="dxa"/>
            <w:tcBorders>
              <w:top w:val="single" w:sz="6" w:space="0" w:color="000000"/>
              <w:left w:val="single" w:sz="6" w:space="0" w:color="000000"/>
              <w:bottom w:val="single" w:sz="6" w:space="0" w:color="000000"/>
              <w:right w:val="nil" w:sz="6" w:space="0" w:color="auto"/>
            </w:tcBorders>
          </w:tcPr>
          <w:p>
            <w:pPr>
              <w:pStyle w:val="TableParagraph"/>
              <w:spacing w:line="287" w:lineRule="exact"/>
              <w:ind w:right="6"/>
              <w:jc w:val="center"/>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Times New Roman" w:hAnsi="Times New Roman" w:cs="Times New Roman" w:eastAsia="Times New Roman" w:hint="default"/>
                <w:sz w:val="21"/>
                <w:szCs w:val="21"/>
              </w:rPr>
              <w:t>+/</w:t>
            </w:r>
            <w:r>
              <w:rPr>
                <w:rFonts w:ascii="宋体" w:hAnsi="宋体" w:cs="宋体" w:eastAsia="宋体" w:hint="default"/>
                <w:sz w:val="21"/>
                <w:szCs w:val="21"/>
              </w:rPr>
              <w:t>减少</w:t>
            </w:r>
            <w:r>
              <w:rPr>
                <w:rFonts w:ascii="Times New Roman" w:hAnsi="Times New Roman" w:cs="Times New Roman" w:eastAsia="Times New Roman" w:hint="default"/>
                <w:sz w:val="21"/>
                <w:szCs w:val="21"/>
              </w:rPr>
              <w:t>-</w:t>
            </w:r>
          </w:p>
        </w:tc>
      </w:tr>
      <w:tr>
        <w:trPr>
          <w:trHeight w:val="347" w:hRule="exact"/>
        </w:trPr>
        <w:tc>
          <w:tcPr>
            <w:tcW w:w="1031" w:type="dxa"/>
            <w:vMerge w:val="restart"/>
            <w:tcBorders>
              <w:top w:val="single" w:sz="6" w:space="0" w:color="000000"/>
              <w:left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w:t>
            </w:r>
          </w:p>
        </w:tc>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3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4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pacing w:val="-1"/>
                <w:sz w:val="21"/>
              </w:rPr>
              <w:t>-1,291,754.98</w:t>
            </w:r>
          </w:p>
        </w:tc>
      </w:tr>
      <w:tr>
        <w:trPr>
          <w:trHeight w:val="348" w:hRule="exact"/>
        </w:trPr>
        <w:tc>
          <w:tcPr>
            <w:tcW w:w="1031" w:type="dxa"/>
            <w:vMerge/>
            <w:tcBorders>
              <w:left w:val="single" w:sz="6" w:space="0" w:color="000000"/>
              <w:right w:val="single" w:sz="6" w:space="0" w:color="000000"/>
            </w:tcBorders>
          </w:tcPr>
          <w:p>
            <w:pPr/>
          </w:p>
        </w:tc>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3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4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pacing w:val="-1"/>
                <w:sz w:val="21"/>
              </w:rPr>
              <w:t>-616,507,263.54</w:t>
            </w:r>
          </w:p>
        </w:tc>
      </w:tr>
      <w:tr>
        <w:trPr>
          <w:trHeight w:val="347" w:hRule="exact"/>
        </w:trPr>
        <w:tc>
          <w:tcPr>
            <w:tcW w:w="1031" w:type="dxa"/>
            <w:vMerge/>
            <w:tcBorders>
              <w:left w:val="single" w:sz="6" w:space="0" w:color="000000"/>
              <w:bottom w:val="single" w:sz="6" w:space="0" w:color="000000"/>
              <w:right w:val="single" w:sz="6" w:space="0" w:color="000000"/>
            </w:tcBorders>
          </w:tcPr>
          <w:p>
            <w:pPr/>
          </w:p>
        </w:tc>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633"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4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7"/>
              <w:jc w:val="right"/>
              <w:rPr>
                <w:rFonts w:ascii="Times New Roman" w:hAnsi="Times New Roman" w:cs="Times New Roman" w:eastAsia="Times New Roman" w:hint="default"/>
                <w:sz w:val="21"/>
                <w:szCs w:val="21"/>
              </w:rPr>
            </w:pPr>
            <w:r>
              <w:rPr>
                <w:rFonts w:ascii="Times New Roman"/>
                <w:spacing w:val="-1"/>
                <w:sz w:val="21"/>
              </w:rPr>
              <w:t>617,799,018.52</w:t>
            </w:r>
          </w:p>
        </w:tc>
      </w:tr>
      <w:tr>
        <w:trPr>
          <w:trHeight w:val="347" w:hRule="exact"/>
        </w:trPr>
        <w:tc>
          <w:tcPr>
            <w:tcW w:w="1031" w:type="dxa"/>
            <w:vMerge w:val="restart"/>
            <w:tcBorders>
              <w:top w:val="single" w:sz="6" w:space="0" w:color="000000"/>
              <w:left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w:t>
            </w:r>
          </w:p>
        </w:tc>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3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4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pacing w:val="-1"/>
                <w:sz w:val="21"/>
              </w:rPr>
              <w:t>-4,206,770.28</w:t>
            </w:r>
          </w:p>
        </w:tc>
      </w:tr>
      <w:tr>
        <w:trPr>
          <w:trHeight w:val="347" w:hRule="exact"/>
        </w:trPr>
        <w:tc>
          <w:tcPr>
            <w:tcW w:w="1031" w:type="dxa"/>
            <w:vMerge/>
            <w:tcBorders>
              <w:left w:val="single" w:sz="6" w:space="0" w:color="000000"/>
              <w:bottom w:val="single" w:sz="6" w:space="0" w:color="000000"/>
              <w:right w:val="single" w:sz="6" w:space="0" w:color="000000"/>
            </w:tcBorders>
          </w:tcPr>
          <w:p>
            <w:pPr/>
          </w:p>
        </w:tc>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3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4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9"/>
              <w:jc w:val="right"/>
              <w:rPr>
                <w:rFonts w:ascii="Times New Roman" w:hAnsi="Times New Roman" w:cs="Times New Roman" w:eastAsia="Times New Roman" w:hint="default"/>
                <w:sz w:val="21"/>
                <w:szCs w:val="21"/>
              </w:rPr>
            </w:pPr>
            <w:r>
              <w:rPr>
                <w:rFonts w:ascii="Times New Roman"/>
                <w:spacing w:val="-1"/>
                <w:sz w:val="21"/>
              </w:rPr>
              <w:t>4,206,770.28</w:t>
            </w:r>
          </w:p>
        </w:tc>
      </w:tr>
      <w:tr>
        <w:trPr>
          <w:trHeight w:val="347" w:hRule="exact"/>
        </w:trPr>
        <w:tc>
          <w:tcPr>
            <w:tcW w:w="1031" w:type="dxa"/>
            <w:vMerge w:val="restart"/>
            <w:tcBorders>
              <w:top w:val="single" w:sz="6" w:space="0" w:color="000000"/>
              <w:left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w:t>
            </w:r>
          </w:p>
        </w:tc>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3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4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pacing w:val="-1"/>
                <w:sz w:val="21"/>
              </w:rPr>
              <w:t>-100,000,000.00</w:t>
            </w:r>
          </w:p>
        </w:tc>
      </w:tr>
      <w:tr>
        <w:trPr>
          <w:trHeight w:val="347" w:hRule="exact"/>
        </w:trPr>
        <w:tc>
          <w:tcPr>
            <w:tcW w:w="1031" w:type="dxa"/>
            <w:vMerge/>
            <w:tcBorders>
              <w:left w:val="single" w:sz="6" w:space="0" w:color="000000"/>
              <w:right w:val="single" w:sz="6" w:space="0" w:color="000000"/>
            </w:tcBorders>
          </w:tcPr>
          <w:p>
            <w:pPr/>
          </w:p>
        </w:tc>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3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pacing w:val="-1"/>
                <w:sz w:val="21"/>
              </w:rPr>
              <w:t>-868,741,931.47</w:t>
            </w:r>
          </w:p>
        </w:tc>
      </w:tr>
      <w:tr>
        <w:trPr>
          <w:trHeight w:val="348" w:hRule="exact"/>
        </w:trPr>
        <w:tc>
          <w:tcPr>
            <w:tcW w:w="1031" w:type="dxa"/>
            <w:vMerge/>
            <w:tcBorders>
              <w:left w:val="single" w:sz="6" w:space="0" w:color="000000"/>
              <w:bottom w:val="single" w:sz="6" w:space="0" w:color="000000"/>
              <w:right w:val="single" w:sz="6" w:space="0" w:color="000000"/>
            </w:tcBorders>
          </w:tcPr>
          <w:p>
            <w:pPr/>
          </w:p>
        </w:tc>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33"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4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968,741,931.47</w:t>
            </w:r>
          </w:p>
        </w:tc>
      </w:tr>
      <w:tr>
        <w:trPr>
          <w:trHeight w:val="347" w:hRule="exact"/>
        </w:trPr>
        <w:tc>
          <w:tcPr>
            <w:tcW w:w="1031" w:type="dxa"/>
            <w:vMerge w:val="restart"/>
            <w:tcBorders>
              <w:top w:val="single" w:sz="6" w:space="0" w:color="000000"/>
              <w:left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4</w:t>
            </w:r>
          </w:p>
        </w:tc>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63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4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8"/>
              <w:jc w:val="right"/>
              <w:rPr>
                <w:rFonts w:ascii="Times New Roman" w:hAnsi="Times New Roman" w:cs="Times New Roman" w:eastAsia="Times New Roman" w:hint="default"/>
                <w:sz w:val="21"/>
                <w:szCs w:val="21"/>
              </w:rPr>
            </w:pPr>
            <w:r>
              <w:rPr>
                <w:rFonts w:ascii="Times New Roman"/>
                <w:spacing w:val="-1"/>
                <w:sz w:val="21"/>
              </w:rPr>
              <w:t>-37,067,687.17</w:t>
            </w:r>
          </w:p>
        </w:tc>
      </w:tr>
      <w:tr>
        <w:trPr>
          <w:trHeight w:val="347" w:hRule="exact"/>
        </w:trPr>
        <w:tc>
          <w:tcPr>
            <w:tcW w:w="1031" w:type="dxa"/>
            <w:vMerge/>
            <w:tcBorders>
              <w:left w:val="single" w:sz="6" w:space="0" w:color="000000"/>
              <w:bottom w:val="single" w:sz="6" w:space="0" w:color="000000"/>
              <w:right w:val="single" w:sz="6" w:space="0" w:color="000000"/>
            </w:tcBorders>
          </w:tcPr>
          <w:p>
            <w:pPr/>
          </w:p>
        </w:tc>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3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z w:val="21"/>
              </w:rPr>
              <w:t>37,067,687.17</w:t>
            </w:r>
          </w:p>
        </w:tc>
      </w:tr>
      <w:tr>
        <w:trPr>
          <w:trHeight w:val="347" w:hRule="exact"/>
        </w:trPr>
        <w:tc>
          <w:tcPr>
            <w:tcW w:w="1031" w:type="dxa"/>
            <w:vMerge w:val="restart"/>
            <w:tcBorders>
              <w:top w:val="single" w:sz="6" w:space="0" w:color="000000"/>
              <w:left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w:t>
            </w:r>
          </w:p>
        </w:tc>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3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4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pacing w:val="-1"/>
                <w:sz w:val="21"/>
              </w:rPr>
              <w:t>-6,715,474.87</w:t>
            </w:r>
          </w:p>
        </w:tc>
      </w:tr>
      <w:tr>
        <w:trPr>
          <w:trHeight w:val="348" w:hRule="exact"/>
        </w:trPr>
        <w:tc>
          <w:tcPr>
            <w:tcW w:w="1031" w:type="dxa"/>
            <w:vMerge/>
            <w:tcBorders>
              <w:left w:val="single" w:sz="6" w:space="0" w:color="000000"/>
              <w:bottom w:val="single" w:sz="6" w:space="0" w:color="000000"/>
              <w:right w:val="single" w:sz="6" w:space="0" w:color="000000"/>
            </w:tcBorders>
          </w:tcPr>
          <w:p>
            <w:pPr/>
          </w:p>
        </w:tc>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3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44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9"/>
              <w:jc w:val="right"/>
              <w:rPr>
                <w:rFonts w:ascii="Times New Roman" w:hAnsi="Times New Roman" w:cs="Times New Roman" w:eastAsia="Times New Roman" w:hint="default"/>
                <w:sz w:val="21"/>
                <w:szCs w:val="21"/>
              </w:rPr>
            </w:pPr>
            <w:r>
              <w:rPr>
                <w:rFonts w:ascii="Times New Roman"/>
                <w:spacing w:val="-1"/>
                <w:sz w:val="21"/>
              </w:rPr>
              <w:t>6,715,474.87</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重要会计估计变更" w:id="233"/>
      <w:bookmarkEnd w:id="233"/>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7"/>
        <w:gridCol w:w="2388"/>
        <w:gridCol w:w="2392"/>
        <w:gridCol w:w="2392"/>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开始适用的时点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5"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应收款项坏账准备计提</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5"/>
              <w:jc w:val="left"/>
              <w:rPr>
                <w:rFonts w:ascii="宋体" w:hAnsi="宋体" w:cs="宋体" w:eastAsia="宋体" w:hint="default"/>
                <w:sz w:val="18"/>
                <w:szCs w:val="18"/>
              </w:rPr>
            </w:pPr>
            <w:r>
              <w:rPr>
                <w:rFonts w:ascii="宋体" w:hAnsi="宋体" w:cs="宋体" w:eastAsia="宋体" w:hint="default"/>
                <w:sz w:val="18"/>
                <w:szCs w:val="18"/>
              </w:rPr>
              <w:t>第八届董事会第四十八次会 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6" w:lineRule="exact"/>
        <w:ind w:left="577" w:right="0"/>
        <w:jc w:val="left"/>
      </w:pPr>
      <w:r>
        <w:rPr>
          <w:rFonts w:ascii="Times New Roman" w:hAnsi="Times New Roman" w:cs="Times New Roman" w:eastAsia="Times New Roman" w:hint="default"/>
        </w:rPr>
        <w:t>1</w:t>
      </w:r>
      <w:r>
        <w:rPr/>
        <w:t>）会计估计变更的原因</w:t>
      </w:r>
    </w:p>
    <w:p>
      <w:pPr>
        <w:spacing w:line="240" w:lineRule="auto" w:before="2"/>
        <w:rPr>
          <w:rFonts w:ascii="宋体" w:hAnsi="宋体" w:cs="宋体" w:eastAsia="宋体" w:hint="default"/>
          <w:sz w:val="18"/>
          <w:szCs w:val="18"/>
        </w:rPr>
      </w:pPr>
    </w:p>
    <w:p>
      <w:pPr>
        <w:pStyle w:val="BodyText"/>
        <w:spacing w:line="261" w:lineRule="auto"/>
        <w:ind w:right="1105" w:firstLine="423"/>
        <w:jc w:val="both"/>
      </w:pPr>
      <w:r>
        <w:rPr/>
        <w:t>为更加真实、准确的反映公司的财务状况、经营成果，公司根据《企业会计准则第</w:t>
      </w:r>
      <w:r>
        <w:rPr>
          <w:rFonts w:ascii="Times New Roman" w:hAnsi="Times New Roman" w:cs="Times New Roman" w:eastAsia="Times New Roman" w:hint="default"/>
        </w:rPr>
        <w:t>28</w:t>
      </w:r>
      <w:r>
        <w:rPr/>
        <w:t>号</w:t>
      </w:r>
      <w:r>
        <w:rPr>
          <w:rFonts w:ascii="Times New Roman" w:hAnsi="Times New Roman" w:cs="Times New Roman" w:eastAsia="Times New Roman" w:hint="default"/>
        </w:rPr>
        <w:t>---</w:t>
      </w:r>
      <w:r>
        <w:rPr/>
        <w:t>会计政策、 会计估计变更和差错更正》的相关规定，为了合理反映公司坏账准备计提，结合公司</w:t>
      </w:r>
      <w:r>
        <w:rPr>
          <w:rFonts w:ascii="Times New Roman" w:hAnsi="Times New Roman" w:cs="Times New Roman" w:eastAsia="Times New Roman" w:hint="default"/>
        </w:rPr>
        <w:t>PPP</w:t>
      </w:r>
      <w:r>
        <w:rPr/>
        <w:t>项目回款情况、</w:t>
      </w:r>
      <w:r>
        <w:rPr>
          <w:spacing w:val="-64"/>
        </w:rPr>
        <w:t> </w:t>
      </w:r>
      <w:r>
        <w:rPr>
          <w:spacing w:val="-64"/>
        </w:rPr>
      </w:r>
      <w:r>
        <w:rPr>
          <w:spacing w:val="-1"/>
        </w:rPr>
        <w:t>其他应收款的款项性质及信用风险特征，更加客观、公允的反映公司各项债权资产的实际情况，公司对应</w:t>
      </w:r>
      <w:r>
        <w:rPr>
          <w:spacing w:val="-82"/>
        </w:rPr>
        <w:t> </w:t>
      </w:r>
      <w:r>
        <w:rPr>
          <w:spacing w:val="-82"/>
        </w:rPr>
      </w:r>
      <w:r>
        <w:rPr/>
        <w:t>收款项单项金额重大的标准、应收款项信用风险特征组合</w:t>
      </w:r>
      <w:r>
        <w:rPr>
          <w:rFonts w:ascii="Times New Roman" w:hAnsi="Times New Roman" w:cs="Times New Roman" w:eastAsia="Times New Roman" w:hint="default"/>
        </w:rPr>
        <w:t>---</w:t>
      </w:r>
      <w:r>
        <w:rPr/>
        <w:t>账龄分析法坏账准备估计比例进行变更。</w:t>
      </w:r>
    </w:p>
    <w:p>
      <w:pPr>
        <w:spacing w:line="240" w:lineRule="auto" w:before="7"/>
        <w:rPr>
          <w:rFonts w:ascii="宋体" w:hAnsi="宋体" w:cs="宋体" w:eastAsia="宋体" w:hint="default"/>
          <w:sz w:val="16"/>
          <w:szCs w:val="16"/>
        </w:rPr>
      </w:pPr>
    </w:p>
    <w:p>
      <w:pPr>
        <w:pStyle w:val="BodyText"/>
        <w:spacing w:line="441" w:lineRule="auto"/>
        <w:ind w:left="574" w:right="4242" w:firstLine="3"/>
        <w:jc w:val="left"/>
      </w:pPr>
      <w:r>
        <w:rPr>
          <w:rFonts w:ascii="Times New Roman" w:hAnsi="Times New Roman" w:cs="Times New Roman" w:eastAsia="Times New Roman" w:hint="default"/>
        </w:rPr>
        <w:t>2</w:t>
      </w:r>
      <w:r>
        <w:rPr/>
        <w:t>）会计估计变更审批程序 本次会计估计变更经公司第八届董事会第四十八次会议审议通过。 </w:t>
      </w:r>
      <w:r>
        <w:rPr>
          <w:rFonts w:ascii="Times New Roman" w:hAnsi="Times New Roman" w:cs="Times New Roman" w:eastAsia="Times New Roman" w:hint="default"/>
        </w:rPr>
        <w:t>3</w:t>
      </w:r>
      <w:r>
        <w:rPr/>
        <w:t>）会计估计变更的时间 本次会计估计变更从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日开始执行。 </w:t>
      </w:r>
      <w:r>
        <w:rPr>
          <w:rFonts w:ascii="Times New Roman" w:hAnsi="Times New Roman" w:cs="Times New Roman" w:eastAsia="Times New Roman" w:hint="default"/>
        </w:rPr>
        <w:t>4</w:t>
      </w:r>
      <w:r>
        <w:rPr/>
        <w:t>）会计估计的变更情况</w:t>
      </w:r>
    </w:p>
    <w:p>
      <w:pPr>
        <w:pStyle w:val="BodyText"/>
        <w:spacing w:line="240" w:lineRule="auto" w:before="42"/>
        <w:ind w:left="681" w:right="0"/>
        <w:jc w:val="left"/>
      </w:pPr>
      <w:r>
        <w:rPr/>
        <w:t>①变更前坏账准备计提情况如下：</w:t>
      </w:r>
    </w:p>
    <w:p>
      <w:pPr>
        <w:spacing w:line="240" w:lineRule="auto" w:before="5"/>
        <w:rPr>
          <w:rFonts w:ascii="宋体" w:hAnsi="宋体" w:cs="宋体" w:eastAsia="宋体" w:hint="default"/>
          <w:sz w:val="19"/>
          <w:szCs w:val="19"/>
        </w:rPr>
      </w:pPr>
    </w:p>
    <w:p>
      <w:pPr>
        <w:pStyle w:val="BodyText"/>
        <w:spacing w:line="240" w:lineRule="auto"/>
        <w:ind w:left="681" w:right="0"/>
        <w:jc w:val="left"/>
      </w:pPr>
      <w:r>
        <w:rPr>
          <w:rFonts w:ascii="Times New Roman" w:hAnsi="Times New Roman" w:cs="Times New Roman" w:eastAsia="Times New Roman" w:hint="default"/>
        </w:rPr>
        <w:t>A</w:t>
      </w:r>
      <w:r>
        <w:rPr/>
        <w:t>、单项金额重大并单项计提坏账准备的应收款项</w:t>
      </w:r>
    </w:p>
    <w:p>
      <w:pPr>
        <w:spacing w:line="240" w:lineRule="auto" w:before="4"/>
        <w:rPr>
          <w:rFonts w:ascii="宋体" w:hAnsi="宋体" w:cs="宋体" w:eastAsia="宋体" w:hint="default"/>
          <w:sz w:val="19"/>
          <w:szCs w:val="19"/>
        </w:rPr>
      </w:pPr>
    </w:p>
    <w:tbl>
      <w:tblPr>
        <w:tblW w:w="0" w:type="auto"/>
        <w:jc w:val="left"/>
        <w:tblInd w:w="146" w:type="dxa"/>
        <w:tblLayout w:type="fixed"/>
        <w:tblCellMar>
          <w:top w:w="0" w:type="dxa"/>
          <w:left w:w="0" w:type="dxa"/>
          <w:bottom w:w="0" w:type="dxa"/>
          <w:right w:w="0" w:type="dxa"/>
        </w:tblCellMar>
        <w:tblLook w:val="01E0"/>
      </w:tblPr>
      <w:tblGrid>
        <w:gridCol w:w="4641"/>
        <w:gridCol w:w="4641"/>
      </w:tblGrid>
      <w:tr>
        <w:trPr>
          <w:trHeight w:val="1291" w:hRule="exact"/>
        </w:trPr>
        <w:tc>
          <w:tcPr>
            <w:tcW w:w="4641"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641" w:type="dxa"/>
            <w:tcBorders>
              <w:top w:val="single" w:sz="6" w:space="0" w:color="000000"/>
              <w:left w:val="single" w:sz="6" w:space="0" w:color="000000"/>
              <w:bottom w:val="single" w:sz="12" w:space="0" w:color="000000"/>
              <w:right w:val="nil" w:sz="6" w:space="0" w:color="auto"/>
            </w:tcBorders>
          </w:tcPr>
          <w:p>
            <w:pPr>
              <w:pStyle w:val="TableParagraph"/>
              <w:spacing w:line="261" w:lineRule="auto"/>
              <w:ind w:left="2" w:right="7"/>
              <w:jc w:val="both"/>
              <w:rPr>
                <w:rFonts w:ascii="宋体" w:hAnsi="宋体" w:cs="宋体" w:eastAsia="宋体" w:hint="default"/>
                <w:sz w:val="21"/>
                <w:szCs w:val="21"/>
              </w:rPr>
            </w:pPr>
            <w:r>
              <w:rPr>
                <w:rFonts w:ascii="宋体" w:hAnsi="宋体" w:cs="宋体" w:eastAsia="宋体" w:hint="default"/>
                <w:sz w:val="21"/>
                <w:szCs w:val="21"/>
              </w:rPr>
              <w:t>单项金额重大的应收账款及其他应收款是指单项金 </w:t>
            </w:r>
            <w:r>
              <w:rPr>
                <w:rFonts w:ascii="宋体" w:hAnsi="宋体" w:cs="宋体" w:eastAsia="宋体" w:hint="default"/>
                <w:spacing w:val="3"/>
                <w:sz w:val="21"/>
                <w:szCs w:val="21"/>
              </w:rPr>
              <w:t>额超过</w:t>
            </w:r>
            <w:r>
              <w:rPr>
                <w:rFonts w:ascii="Times New Roman" w:hAnsi="Times New Roman" w:cs="Times New Roman" w:eastAsia="Times New Roman" w:hint="default"/>
                <w:spacing w:val="3"/>
                <w:sz w:val="21"/>
                <w:szCs w:val="21"/>
              </w:rPr>
              <w:t>100</w:t>
            </w:r>
            <w:r>
              <w:rPr>
                <w:rFonts w:ascii="宋体" w:hAnsi="宋体" w:cs="宋体" w:eastAsia="宋体" w:hint="default"/>
                <w:spacing w:val="3"/>
                <w:sz w:val="21"/>
                <w:szCs w:val="21"/>
              </w:rPr>
              <w:t>万的应收账款和单项金额超过</w:t>
            </w:r>
            <w:r>
              <w:rPr>
                <w:rFonts w:ascii="Times New Roman" w:hAnsi="Times New Roman" w:cs="Times New Roman" w:eastAsia="Times New Roman" w:hint="default"/>
                <w:spacing w:val="3"/>
                <w:sz w:val="21"/>
                <w:szCs w:val="21"/>
              </w:rPr>
              <w:t>50</w:t>
            </w:r>
            <w:r>
              <w:rPr>
                <w:rFonts w:ascii="宋体" w:hAnsi="宋体" w:cs="宋体" w:eastAsia="宋体" w:hint="default"/>
                <w:spacing w:val="3"/>
                <w:sz w:val="21"/>
                <w:szCs w:val="21"/>
              </w:rPr>
              <w:t>万的其</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5"/>
                <w:sz w:val="21"/>
                <w:szCs w:val="21"/>
              </w:rPr>
              <w:t>他应收款。另园林业务板块账面余额在</w:t>
            </w:r>
            <w:r>
              <w:rPr>
                <w:rFonts w:ascii="Times New Roman" w:hAnsi="Times New Roman" w:cs="Times New Roman" w:eastAsia="Times New Roman" w:hint="default"/>
                <w:spacing w:val="-5"/>
                <w:sz w:val="21"/>
                <w:szCs w:val="21"/>
              </w:rPr>
              <w:t>100</w:t>
            </w:r>
            <w:r>
              <w:rPr>
                <w:rFonts w:ascii="宋体" w:hAnsi="宋体" w:cs="宋体" w:eastAsia="宋体" w:hint="default"/>
                <w:spacing w:val="-5"/>
                <w:sz w:val="21"/>
                <w:szCs w:val="21"/>
              </w:rPr>
              <w:t>万以上且</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占应收款项账面余额</w:t>
            </w:r>
            <w:r>
              <w:rPr>
                <w:rFonts w:ascii="Times New Roman" w:hAnsi="Times New Roman" w:cs="Times New Roman" w:eastAsia="Times New Roman" w:hint="default"/>
                <w:sz w:val="21"/>
                <w:szCs w:val="21"/>
              </w:rPr>
              <w:t>5%</w:t>
            </w:r>
            <w:r>
              <w:rPr>
                <w:rFonts w:ascii="宋体" w:hAnsi="宋体" w:cs="宋体" w:eastAsia="宋体" w:hint="default"/>
                <w:sz w:val="21"/>
                <w:szCs w:val="21"/>
              </w:rPr>
              <w:t>以上的应收款项。</w:t>
            </w:r>
          </w:p>
        </w:tc>
      </w:tr>
      <w:tr>
        <w:trPr>
          <w:trHeight w:val="1912" w:hRule="exact"/>
        </w:trPr>
        <w:tc>
          <w:tcPr>
            <w:tcW w:w="464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641"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 w:right="0"/>
              <w:jc w:val="both"/>
              <w:rPr>
                <w:rFonts w:ascii="宋体" w:hAnsi="宋体" w:cs="宋体" w:eastAsia="宋体" w:hint="default"/>
                <w:sz w:val="21"/>
                <w:szCs w:val="21"/>
              </w:rPr>
            </w:pPr>
            <w:r>
              <w:rPr>
                <w:rFonts w:ascii="宋体" w:hAnsi="宋体" w:cs="宋体" w:eastAsia="宋体" w:hint="default"/>
                <w:sz w:val="21"/>
                <w:szCs w:val="21"/>
              </w:rPr>
              <w:t>期末对于对单项金额重大的应收款项单独进行减值</w:t>
            </w:r>
          </w:p>
          <w:p>
            <w:pPr>
              <w:pStyle w:val="TableParagraph"/>
              <w:spacing w:line="273" w:lineRule="auto" w:before="37"/>
              <w:ind w:left="2" w:right="9"/>
              <w:jc w:val="both"/>
              <w:rPr>
                <w:rFonts w:ascii="宋体" w:hAnsi="宋体" w:cs="宋体" w:eastAsia="宋体" w:hint="default"/>
                <w:sz w:val="21"/>
                <w:szCs w:val="21"/>
              </w:rPr>
            </w:pPr>
            <w:r>
              <w:rPr>
                <w:rFonts w:ascii="宋体" w:hAnsi="宋体" w:cs="宋体" w:eastAsia="宋体" w:hint="default"/>
                <w:sz w:val="21"/>
                <w:szCs w:val="21"/>
              </w:rPr>
              <w:t>测试，单独测试未发生减值的应收款项，包括在具 有类似信用风险特征的应收款项组合中进行减值测 试。单项测试已确认减值损失的应收款项，不再包 括在具有类似信用风险特征的应收款项组合中进行 减值测试。</w:t>
            </w:r>
          </w:p>
        </w:tc>
      </w:tr>
    </w:tbl>
    <w:p>
      <w:pPr>
        <w:spacing w:line="240" w:lineRule="auto" w:before="5"/>
        <w:rPr>
          <w:rFonts w:ascii="宋体" w:hAnsi="宋体" w:cs="宋体" w:eastAsia="宋体" w:hint="default"/>
          <w:sz w:val="5"/>
          <w:szCs w:val="5"/>
        </w:rPr>
      </w:pPr>
    </w:p>
    <w:p>
      <w:pPr>
        <w:pStyle w:val="BodyText"/>
        <w:spacing w:line="357" w:lineRule="auto" w:before="35"/>
        <w:ind w:left="524" w:right="0"/>
        <w:jc w:val="left"/>
      </w:pPr>
      <w:r>
        <w:rPr>
          <w:rFonts w:ascii="Times New Roman" w:hAnsi="Times New Roman" w:cs="Times New Roman" w:eastAsia="Times New Roman" w:hint="default"/>
        </w:rPr>
        <w:t>B</w:t>
      </w:r>
      <w:r>
        <w:rPr/>
        <w:t>、按信用风险组合计提坏账准备的应收款项 对单项金额不重大以及金额重大但单项测试未发生减值的应收款项，按信用风险特征的相似性和相关</w:t>
      </w:r>
    </w:p>
    <w:p>
      <w:pPr>
        <w:pStyle w:val="BodyText"/>
        <w:spacing w:line="209" w:lineRule="exact"/>
        <w:ind w:right="0"/>
        <w:jc w:val="left"/>
      </w:pPr>
      <w:r>
        <w:rPr>
          <w:spacing w:val="3"/>
        </w:rPr>
        <w:t>性对金融资产进行分组。这些信用风险通常反映债务人按照该等资产的合同条款偿还所有到期金额的能</w:t>
      </w:r>
    </w:p>
    <w:p>
      <w:pPr>
        <w:pStyle w:val="BodyText"/>
        <w:spacing w:line="240" w:lineRule="auto" w:before="37"/>
        <w:ind w:right="0"/>
        <w:jc w:val="left"/>
      </w:pPr>
      <w:r>
        <w:rPr/>
        <w:t>力，并且与被检查资产的未来现金流量测算相关。</w:t>
      </w:r>
    </w:p>
    <w:p>
      <w:pPr>
        <w:pStyle w:val="BodyText"/>
        <w:spacing w:line="240" w:lineRule="auto" w:before="157"/>
        <w:ind w:left="524" w:right="0"/>
        <w:jc w:val="left"/>
      </w:pPr>
      <w:r>
        <w:rPr>
          <w:rFonts w:ascii="Times New Roman" w:hAnsi="Times New Roman" w:cs="Times New Roman" w:eastAsia="Times New Roman" w:hint="default"/>
        </w:rPr>
        <w:t>a</w:t>
      </w:r>
      <w:r>
        <w:rPr/>
        <w:t>．不同组合的确定依据：</w:t>
      </w:r>
    </w:p>
    <w:p>
      <w:pPr>
        <w:spacing w:line="240" w:lineRule="auto" w:before="4"/>
        <w:rPr>
          <w:rFonts w:ascii="宋体" w:hAnsi="宋体" w:cs="宋体" w:eastAsia="宋体" w:hint="default"/>
          <w:sz w:val="19"/>
          <w:szCs w:val="19"/>
        </w:rPr>
      </w:pPr>
    </w:p>
    <w:tbl>
      <w:tblPr>
        <w:tblW w:w="0" w:type="auto"/>
        <w:jc w:val="left"/>
        <w:tblInd w:w="146" w:type="dxa"/>
        <w:tblLayout w:type="fixed"/>
        <w:tblCellMar>
          <w:top w:w="0" w:type="dxa"/>
          <w:left w:w="0" w:type="dxa"/>
          <w:bottom w:w="0" w:type="dxa"/>
          <w:right w:w="0" w:type="dxa"/>
        </w:tblCellMar>
        <w:tblLook w:val="01E0"/>
      </w:tblPr>
      <w:tblGrid>
        <w:gridCol w:w="2944"/>
        <w:gridCol w:w="6129"/>
      </w:tblGrid>
      <w:tr>
        <w:trPr>
          <w:trHeight w:val="355" w:hRule="exact"/>
        </w:trPr>
        <w:tc>
          <w:tcPr>
            <w:tcW w:w="2944"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6129"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确定组合的依据</w:t>
            </w:r>
            <w:r>
              <w:rPr>
                <w:rFonts w:ascii="宋体" w:hAnsi="宋体" w:cs="宋体" w:eastAsia="宋体" w:hint="default"/>
                <w:sz w:val="21"/>
                <w:szCs w:val="21"/>
              </w:rPr>
            </w:r>
          </w:p>
        </w:tc>
      </w:tr>
      <w:tr>
        <w:trPr>
          <w:trHeight w:val="353"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组合一</w:t>
            </w:r>
          </w:p>
        </w:tc>
        <w:tc>
          <w:tcPr>
            <w:tcW w:w="612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本组合为除组合二、三、四及单项计提坏账准备的应收款项之外的</w:t>
            </w:r>
          </w:p>
        </w:tc>
      </w:tr>
    </w:tbl>
    <w:p>
      <w:pPr>
        <w:spacing w:after="0" w:line="260" w:lineRule="exact"/>
        <w:jc w:val="center"/>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944"/>
        <w:gridCol w:w="6129"/>
      </w:tblGrid>
      <w:tr>
        <w:trPr>
          <w:trHeight w:val="667" w:hRule="exact"/>
        </w:trPr>
        <w:tc>
          <w:tcPr>
            <w:tcW w:w="2944" w:type="dxa"/>
            <w:tcBorders>
              <w:top w:val="single" w:sz="6" w:space="0" w:color="000000"/>
              <w:left w:val="single" w:sz="6" w:space="0" w:color="000000"/>
              <w:bottom w:val="single" w:sz="12" w:space="0" w:color="000000"/>
              <w:right w:val="single" w:sz="6" w:space="0" w:color="000000"/>
            </w:tcBorders>
          </w:tcPr>
          <w:p>
            <w:pPr/>
          </w:p>
        </w:tc>
        <w:tc>
          <w:tcPr>
            <w:tcW w:w="6129"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z w:val="21"/>
                <w:szCs w:val="21"/>
              </w:rPr>
              <w:t>销售电子产品及清洁能源综合服务等业务板块的应收款项，本公司</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结合历史经验，按账龄分析法对本组合的应收款项计提坏账准备</w:t>
            </w:r>
          </w:p>
        </w:tc>
      </w:tr>
      <w:tr>
        <w:trPr>
          <w:trHeight w:val="976"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组合二</w:t>
            </w:r>
          </w:p>
        </w:tc>
        <w:tc>
          <w:tcPr>
            <w:tcW w:w="612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本组合为除组合一、三、四及单项计提坏账准备的应收款项之外的</w:t>
            </w:r>
          </w:p>
          <w:p>
            <w:pPr>
              <w:pStyle w:val="TableParagraph"/>
              <w:spacing w:line="273" w:lineRule="auto" w:before="37"/>
              <w:ind w:left="2" w:right="1"/>
              <w:jc w:val="left"/>
              <w:rPr>
                <w:rFonts w:ascii="宋体" w:hAnsi="宋体" w:cs="宋体" w:eastAsia="宋体" w:hint="default"/>
                <w:sz w:val="21"/>
                <w:szCs w:val="21"/>
              </w:rPr>
            </w:pPr>
            <w:r>
              <w:rPr>
                <w:rFonts w:ascii="宋体" w:hAnsi="宋体" w:cs="宋体" w:eastAsia="宋体" w:hint="default"/>
                <w:sz w:val="21"/>
                <w:szCs w:val="21"/>
              </w:rPr>
              <w:t>节水灌溉业务板块的应收款项，本公司结合历史经验，按账龄分析</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法对本组合的应收款项计提坏账准备</w:t>
            </w:r>
          </w:p>
        </w:tc>
      </w:tr>
      <w:tr>
        <w:trPr>
          <w:trHeight w:val="977"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组合三</w:t>
            </w:r>
          </w:p>
        </w:tc>
        <w:tc>
          <w:tcPr>
            <w:tcW w:w="612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本组合为除组合一、二、四及单项计提坏账准备的应收款项之外的</w:t>
            </w:r>
          </w:p>
          <w:p>
            <w:pPr>
              <w:pStyle w:val="TableParagraph"/>
              <w:spacing w:line="273" w:lineRule="auto" w:before="37"/>
              <w:ind w:left="2" w:right="1"/>
              <w:jc w:val="left"/>
              <w:rPr>
                <w:rFonts w:ascii="宋体" w:hAnsi="宋体" w:cs="宋体" w:eastAsia="宋体" w:hint="default"/>
                <w:sz w:val="21"/>
                <w:szCs w:val="21"/>
              </w:rPr>
            </w:pPr>
            <w:r>
              <w:rPr>
                <w:rFonts w:ascii="宋体" w:hAnsi="宋体" w:cs="宋体" w:eastAsia="宋体" w:hint="default"/>
                <w:sz w:val="21"/>
                <w:szCs w:val="21"/>
              </w:rPr>
              <w:t>园林业务板块的应收款项，本公司结合历史经验，按账龄分析法对</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本组合的应收款项计提坏账准备</w:t>
            </w:r>
          </w:p>
        </w:tc>
      </w:tr>
      <w:tr>
        <w:trPr>
          <w:trHeight w:val="976"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组合四</w:t>
            </w:r>
          </w:p>
        </w:tc>
        <w:tc>
          <w:tcPr>
            <w:tcW w:w="612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本组合按债务单位的信用风险特征划分，主要包括应收纳入合并范</w:t>
            </w:r>
          </w:p>
          <w:p>
            <w:pPr>
              <w:pStyle w:val="TableParagraph"/>
              <w:spacing w:line="273" w:lineRule="auto" w:before="37"/>
              <w:ind w:left="2" w:right="1"/>
              <w:jc w:val="left"/>
              <w:rPr>
                <w:rFonts w:ascii="宋体" w:hAnsi="宋体" w:cs="宋体" w:eastAsia="宋体" w:hint="default"/>
                <w:sz w:val="21"/>
                <w:szCs w:val="21"/>
              </w:rPr>
            </w:pPr>
            <w:r>
              <w:rPr>
                <w:rFonts w:ascii="宋体" w:hAnsi="宋体" w:cs="宋体" w:eastAsia="宋体" w:hint="default"/>
                <w:sz w:val="21"/>
                <w:szCs w:val="21"/>
              </w:rPr>
              <w:t>围本公司关联方、政府部门及合作方保证金、定金等类别的款项，</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此类款项发生坏账损失的可能性极小。</w:t>
            </w:r>
          </w:p>
        </w:tc>
      </w:tr>
    </w:tbl>
    <w:p>
      <w:pPr>
        <w:spacing w:line="240" w:lineRule="auto" w:before="5"/>
        <w:rPr>
          <w:rFonts w:ascii="宋体" w:hAnsi="宋体" w:cs="宋体" w:eastAsia="宋体" w:hint="default"/>
          <w:sz w:val="5"/>
          <w:szCs w:val="5"/>
        </w:rPr>
      </w:pPr>
    </w:p>
    <w:p>
      <w:pPr>
        <w:pStyle w:val="BodyText"/>
        <w:spacing w:line="240" w:lineRule="auto" w:before="35"/>
        <w:ind w:left="437" w:right="0"/>
        <w:jc w:val="left"/>
      </w:pPr>
      <w:r>
        <w:rPr>
          <w:rFonts w:ascii="Times New Roman" w:hAnsi="Times New Roman" w:cs="Times New Roman" w:eastAsia="Times New Roman" w:hint="default"/>
        </w:rPr>
        <w:t>b</w:t>
      </w:r>
      <w:r>
        <w:rPr/>
        <w:t>．不同组合计提坏账准备的计提方法：</w:t>
      </w:r>
    </w:p>
    <w:p>
      <w:pPr>
        <w:spacing w:line="240" w:lineRule="auto" w:before="4"/>
        <w:rPr>
          <w:rFonts w:ascii="宋体" w:hAnsi="宋体" w:cs="宋体" w:eastAsia="宋体" w:hint="default"/>
          <w:sz w:val="19"/>
          <w:szCs w:val="19"/>
        </w:rPr>
      </w:pPr>
    </w:p>
    <w:tbl>
      <w:tblPr>
        <w:tblW w:w="0" w:type="auto"/>
        <w:jc w:val="left"/>
        <w:tblInd w:w="146" w:type="dxa"/>
        <w:tblLayout w:type="fixed"/>
        <w:tblCellMar>
          <w:top w:w="0" w:type="dxa"/>
          <w:left w:w="0" w:type="dxa"/>
          <w:bottom w:w="0" w:type="dxa"/>
          <w:right w:w="0" w:type="dxa"/>
        </w:tblCellMar>
        <w:tblLook w:val="01E0"/>
      </w:tblPr>
      <w:tblGrid>
        <w:gridCol w:w="2944"/>
        <w:gridCol w:w="6129"/>
      </w:tblGrid>
      <w:tr>
        <w:trPr>
          <w:trHeight w:val="355" w:hRule="exact"/>
        </w:trPr>
        <w:tc>
          <w:tcPr>
            <w:tcW w:w="2944"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6129"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b/>
                <w:bCs/>
                <w:sz w:val="21"/>
                <w:szCs w:val="21"/>
              </w:rPr>
              <w:t>计提方法</w:t>
            </w:r>
            <w:r>
              <w:rPr>
                <w:rFonts w:ascii="宋体" w:hAnsi="宋体" w:cs="宋体" w:eastAsia="宋体" w:hint="default"/>
                <w:sz w:val="21"/>
                <w:szCs w:val="21"/>
              </w:rPr>
            </w:r>
          </w:p>
        </w:tc>
      </w:tr>
      <w:tr>
        <w:trPr>
          <w:trHeight w:val="353"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组合一</w:t>
            </w:r>
          </w:p>
        </w:tc>
        <w:tc>
          <w:tcPr>
            <w:tcW w:w="6129"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销售电子产品及清洁能源综合服务等业务板块的账龄分析法</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组合二</w:t>
            </w:r>
          </w:p>
        </w:tc>
        <w:tc>
          <w:tcPr>
            <w:tcW w:w="6129"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节水灌溉业务板块的账龄分析法</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组合三</w:t>
            </w:r>
          </w:p>
        </w:tc>
        <w:tc>
          <w:tcPr>
            <w:tcW w:w="6129"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园林业务板块的账龄分析法</w:t>
            </w:r>
          </w:p>
        </w:tc>
      </w:tr>
      <w:tr>
        <w:trPr>
          <w:trHeight w:val="353"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组合四</w:t>
            </w:r>
          </w:p>
        </w:tc>
        <w:tc>
          <w:tcPr>
            <w:tcW w:w="6129"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不计提坏账准备</w:t>
            </w:r>
          </w:p>
        </w:tc>
      </w:tr>
    </w:tbl>
    <w:p>
      <w:pPr>
        <w:spacing w:line="240" w:lineRule="auto" w:before="5"/>
        <w:rPr>
          <w:rFonts w:ascii="宋体" w:hAnsi="宋体" w:cs="宋体" w:eastAsia="宋体" w:hint="default"/>
          <w:sz w:val="5"/>
          <w:szCs w:val="5"/>
        </w:rPr>
      </w:pPr>
    </w:p>
    <w:p>
      <w:pPr>
        <w:pStyle w:val="BodyText"/>
        <w:spacing w:line="240" w:lineRule="auto" w:before="35"/>
        <w:ind w:left="524" w:right="0"/>
        <w:jc w:val="left"/>
      </w:pPr>
      <w:r>
        <w:rPr/>
        <w:t>组合中，组合一采用账龄分析法计提坏账准备的组合计提方法</w:t>
      </w:r>
    </w:p>
    <w:p>
      <w:pPr>
        <w:spacing w:line="240" w:lineRule="auto" w:before="2"/>
        <w:rPr>
          <w:rFonts w:ascii="宋体" w:hAnsi="宋体" w:cs="宋体" w:eastAsia="宋体" w:hint="default"/>
          <w:sz w:val="13"/>
          <w:szCs w:val="13"/>
        </w:rPr>
      </w:pPr>
    </w:p>
    <w:tbl>
      <w:tblPr>
        <w:tblW w:w="0" w:type="auto"/>
        <w:jc w:val="left"/>
        <w:tblInd w:w="146" w:type="dxa"/>
        <w:tblLayout w:type="fixed"/>
        <w:tblCellMar>
          <w:top w:w="0" w:type="dxa"/>
          <w:left w:w="0" w:type="dxa"/>
          <w:bottom w:w="0" w:type="dxa"/>
          <w:right w:w="0" w:type="dxa"/>
        </w:tblCellMar>
        <w:tblLook w:val="01E0"/>
      </w:tblPr>
      <w:tblGrid>
        <w:gridCol w:w="3207"/>
        <w:gridCol w:w="3032"/>
        <w:gridCol w:w="2816"/>
      </w:tblGrid>
      <w:tr>
        <w:trPr>
          <w:trHeight w:val="571" w:hRule="exact"/>
        </w:trPr>
        <w:tc>
          <w:tcPr>
            <w:tcW w:w="3207"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3032" w:type="dxa"/>
            <w:tcBorders>
              <w:top w:val="single" w:sz="6" w:space="0" w:color="000000"/>
              <w:left w:val="single" w:sz="6" w:space="0" w:color="000000"/>
              <w:bottom w:val="single" w:sz="12" w:space="0" w:color="000000"/>
              <w:right w:val="single" w:sz="6" w:space="0" w:color="000000"/>
            </w:tcBorders>
          </w:tcPr>
          <w:p>
            <w:pPr>
              <w:pStyle w:val="TableParagraph"/>
              <w:spacing w:line="285" w:lineRule="exact"/>
              <w:ind w:right="1"/>
              <w:jc w:val="center"/>
              <w:rPr>
                <w:rFonts w:ascii="宋体" w:hAnsi="宋体" w:cs="宋体" w:eastAsia="宋体" w:hint="default"/>
                <w:sz w:val="21"/>
                <w:szCs w:val="21"/>
              </w:rPr>
            </w:pPr>
            <w:r>
              <w:rPr>
                <w:rFonts w:ascii="宋体" w:hAnsi="宋体" w:cs="宋体" w:eastAsia="宋体" w:hint="default"/>
                <w:b/>
                <w:bCs/>
                <w:sz w:val="21"/>
                <w:szCs w:val="21"/>
              </w:rPr>
              <w:t>应收账款计提比例（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2816" w:type="dxa"/>
            <w:tcBorders>
              <w:top w:val="single" w:sz="6" w:space="0" w:color="000000"/>
              <w:left w:val="single" w:sz="6" w:space="0" w:color="000000"/>
              <w:bottom w:val="single" w:sz="12" w:space="0" w:color="000000"/>
              <w:right w:val="nil" w:sz="6" w:space="0" w:color="auto"/>
            </w:tcBorders>
          </w:tcPr>
          <w:p>
            <w:pPr>
              <w:pStyle w:val="TableParagraph"/>
              <w:spacing w:line="285" w:lineRule="exact"/>
              <w:ind w:right="6"/>
              <w:jc w:val="center"/>
              <w:rPr>
                <w:rFonts w:ascii="宋体" w:hAnsi="宋体" w:cs="宋体" w:eastAsia="宋体" w:hint="default"/>
                <w:sz w:val="21"/>
                <w:szCs w:val="21"/>
              </w:rPr>
            </w:pPr>
            <w:r>
              <w:rPr>
                <w:rFonts w:ascii="宋体" w:hAnsi="宋体" w:cs="宋体" w:eastAsia="宋体" w:hint="default"/>
                <w:b/>
                <w:bCs/>
                <w:sz w:val="21"/>
                <w:szCs w:val="21"/>
              </w:rPr>
              <w:t>其他应收款计提比例（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52"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年，下同）</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w:t>
            </w:r>
          </w:p>
        </w:tc>
        <w:tc>
          <w:tcPr>
            <w:tcW w:w="28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4"/>
              <w:jc w:val="center"/>
              <w:rPr>
                <w:rFonts w:ascii="Times New Roman" w:hAnsi="Times New Roman" w:cs="Times New Roman" w:eastAsia="Times New Roman" w:hint="default"/>
                <w:sz w:val="21"/>
                <w:szCs w:val="21"/>
              </w:rPr>
            </w:pPr>
            <w:r>
              <w:rPr>
                <w:rFonts w:ascii="Times New Roman"/>
                <w:sz w:val="21"/>
              </w:rPr>
              <w:t>5</w:t>
            </w:r>
          </w:p>
        </w:tc>
      </w:tr>
      <w:tr>
        <w:trPr>
          <w:trHeight w:val="352"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10</w:t>
            </w:r>
          </w:p>
        </w:tc>
        <w:tc>
          <w:tcPr>
            <w:tcW w:w="28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10</w:t>
            </w:r>
          </w:p>
        </w:tc>
      </w:tr>
      <w:tr>
        <w:trPr>
          <w:trHeight w:val="353"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30</w:t>
            </w:r>
          </w:p>
        </w:tc>
        <w:tc>
          <w:tcPr>
            <w:tcW w:w="28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30</w:t>
            </w:r>
          </w:p>
        </w:tc>
      </w:tr>
      <w:tr>
        <w:trPr>
          <w:trHeight w:val="352"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年</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50</w:t>
            </w:r>
          </w:p>
        </w:tc>
        <w:tc>
          <w:tcPr>
            <w:tcW w:w="28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50</w:t>
            </w:r>
          </w:p>
        </w:tc>
      </w:tr>
      <w:tr>
        <w:trPr>
          <w:trHeight w:val="352"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宋体" w:hAnsi="宋体" w:cs="宋体" w:eastAsia="宋体" w:hint="default"/>
                <w:sz w:val="21"/>
                <w:szCs w:val="21"/>
              </w:rPr>
              <w:t>年</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80</w:t>
            </w:r>
          </w:p>
        </w:tc>
        <w:tc>
          <w:tcPr>
            <w:tcW w:w="28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80</w:t>
            </w:r>
          </w:p>
        </w:tc>
      </w:tr>
      <w:tr>
        <w:trPr>
          <w:trHeight w:val="353"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100</w:t>
            </w:r>
          </w:p>
        </w:tc>
        <w:tc>
          <w:tcPr>
            <w:tcW w:w="28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4"/>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5"/>
        <w:rPr>
          <w:rFonts w:ascii="宋体" w:hAnsi="宋体" w:cs="宋体" w:eastAsia="宋体" w:hint="default"/>
          <w:sz w:val="5"/>
          <w:szCs w:val="5"/>
        </w:rPr>
      </w:pPr>
    </w:p>
    <w:p>
      <w:pPr>
        <w:pStyle w:val="BodyText"/>
        <w:spacing w:line="240" w:lineRule="auto" w:before="35"/>
        <w:ind w:left="524" w:right="0"/>
        <w:jc w:val="left"/>
      </w:pPr>
      <w:r>
        <w:rPr/>
        <w:t>组合中，组合二采用账龄分析法计提坏账准备的组合计提方法</w:t>
      </w:r>
    </w:p>
    <w:p>
      <w:pPr>
        <w:spacing w:line="240" w:lineRule="auto" w:before="2"/>
        <w:rPr>
          <w:rFonts w:ascii="宋体" w:hAnsi="宋体" w:cs="宋体" w:eastAsia="宋体" w:hint="default"/>
          <w:sz w:val="13"/>
          <w:szCs w:val="13"/>
        </w:rPr>
      </w:pPr>
    </w:p>
    <w:tbl>
      <w:tblPr>
        <w:tblW w:w="0" w:type="auto"/>
        <w:jc w:val="left"/>
        <w:tblInd w:w="146" w:type="dxa"/>
        <w:tblLayout w:type="fixed"/>
        <w:tblCellMar>
          <w:top w:w="0" w:type="dxa"/>
          <w:left w:w="0" w:type="dxa"/>
          <w:bottom w:w="0" w:type="dxa"/>
          <w:right w:w="0" w:type="dxa"/>
        </w:tblCellMar>
        <w:tblLook w:val="01E0"/>
      </w:tblPr>
      <w:tblGrid>
        <w:gridCol w:w="3207"/>
        <w:gridCol w:w="3032"/>
        <w:gridCol w:w="2829"/>
      </w:tblGrid>
      <w:tr>
        <w:trPr>
          <w:trHeight w:val="571" w:hRule="exact"/>
        </w:trPr>
        <w:tc>
          <w:tcPr>
            <w:tcW w:w="3207"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3032" w:type="dxa"/>
            <w:tcBorders>
              <w:top w:val="single" w:sz="6" w:space="0" w:color="000000"/>
              <w:left w:val="single" w:sz="6" w:space="0" w:color="000000"/>
              <w:bottom w:val="single" w:sz="12" w:space="0" w:color="000000"/>
              <w:right w:val="single" w:sz="6" w:space="0" w:color="000000"/>
            </w:tcBorders>
          </w:tcPr>
          <w:p>
            <w:pPr>
              <w:pStyle w:val="TableParagraph"/>
              <w:spacing w:line="287" w:lineRule="exact"/>
              <w:ind w:right="1"/>
              <w:jc w:val="center"/>
              <w:rPr>
                <w:rFonts w:ascii="宋体" w:hAnsi="宋体" w:cs="宋体" w:eastAsia="宋体" w:hint="default"/>
                <w:sz w:val="21"/>
                <w:szCs w:val="21"/>
              </w:rPr>
            </w:pPr>
            <w:r>
              <w:rPr>
                <w:rFonts w:ascii="宋体" w:hAnsi="宋体" w:cs="宋体" w:eastAsia="宋体" w:hint="default"/>
                <w:b/>
                <w:bCs/>
                <w:sz w:val="21"/>
                <w:szCs w:val="21"/>
              </w:rPr>
              <w:t>应收账款计提比例（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2829" w:type="dxa"/>
            <w:tcBorders>
              <w:top w:val="single" w:sz="6" w:space="0" w:color="000000"/>
              <w:left w:val="single" w:sz="6" w:space="0" w:color="000000"/>
              <w:bottom w:val="single" w:sz="12" w:space="0" w:color="000000"/>
              <w:right w:val="nil" w:sz="6" w:space="0" w:color="auto"/>
            </w:tcBorders>
          </w:tcPr>
          <w:p>
            <w:pPr>
              <w:pStyle w:val="TableParagraph"/>
              <w:spacing w:line="287" w:lineRule="exact"/>
              <w:ind w:right="7"/>
              <w:jc w:val="center"/>
              <w:rPr>
                <w:rFonts w:ascii="宋体" w:hAnsi="宋体" w:cs="宋体" w:eastAsia="宋体" w:hint="default"/>
                <w:sz w:val="21"/>
                <w:szCs w:val="21"/>
              </w:rPr>
            </w:pPr>
            <w:r>
              <w:rPr>
                <w:rFonts w:ascii="宋体" w:hAnsi="宋体" w:cs="宋体" w:eastAsia="宋体" w:hint="default"/>
                <w:b/>
                <w:bCs/>
                <w:sz w:val="21"/>
                <w:szCs w:val="21"/>
              </w:rPr>
              <w:t>其他应收款计提比例（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52"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年，下同）</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w:t>
            </w:r>
          </w:p>
        </w:tc>
        <w:tc>
          <w:tcPr>
            <w:tcW w:w="28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4"/>
              <w:jc w:val="center"/>
              <w:rPr>
                <w:rFonts w:ascii="Times New Roman" w:hAnsi="Times New Roman" w:cs="Times New Roman" w:eastAsia="Times New Roman" w:hint="default"/>
                <w:sz w:val="21"/>
                <w:szCs w:val="21"/>
              </w:rPr>
            </w:pPr>
            <w:r>
              <w:rPr>
                <w:rFonts w:ascii="Times New Roman"/>
                <w:sz w:val="21"/>
              </w:rPr>
              <w:t>1</w:t>
            </w:r>
          </w:p>
        </w:tc>
      </w:tr>
      <w:tr>
        <w:trPr>
          <w:trHeight w:val="353"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10</w:t>
            </w:r>
          </w:p>
        </w:tc>
        <w:tc>
          <w:tcPr>
            <w:tcW w:w="28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10</w:t>
            </w:r>
          </w:p>
        </w:tc>
      </w:tr>
      <w:tr>
        <w:trPr>
          <w:trHeight w:val="352"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30</w:t>
            </w:r>
          </w:p>
        </w:tc>
        <w:tc>
          <w:tcPr>
            <w:tcW w:w="28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30</w:t>
            </w:r>
          </w:p>
        </w:tc>
      </w:tr>
      <w:tr>
        <w:trPr>
          <w:trHeight w:val="352"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年</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50</w:t>
            </w:r>
          </w:p>
        </w:tc>
        <w:tc>
          <w:tcPr>
            <w:tcW w:w="28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50</w:t>
            </w:r>
          </w:p>
        </w:tc>
      </w:tr>
      <w:tr>
        <w:trPr>
          <w:trHeight w:val="353"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宋体" w:hAnsi="宋体" w:cs="宋体" w:eastAsia="宋体" w:hint="default"/>
                <w:sz w:val="21"/>
                <w:szCs w:val="21"/>
              </w:rPr>
              <w:t>年</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80</w:t>
            </w:r>
          </w:p>
        </w:tc>
        <w:tc>
          <w:tcPr>
            <w:tcW w:w="28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sz w:val="21"/>
              </w:rPr>
              <w:t>80</w:t>
            </w:r>
          </w:p>
        </w:tc>
      </w:tr>
      <w:tr>
        <w:trPr>
          <w:trHeight w:val="352"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100</w:t>
            </w:r>
          </w:p>
        </w:tc>
        <w:tc>
          <w:tcPr>
            <w:tcW w:w="28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4"/>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5"/>
        <w:rPr>
          <w:rFonts w:ascii="宋体" w:hAnsi="宋体" w:cs="宋体" w:eastAsia="宋体" w:hint="default"/>
          <w:sz w:val="5"/>
          <w:szCs w:val="5"/>
        </w:rPr>
      </w:pPr>
    </w:p>
    <w:p>
      <w:pPr>
        <w:pStyle w:val="BodyText"/>
        <w:spacing w:line="240" w:lineRule="auto" w:before="35"/>
        <w:ind w:left="524" w:right="0"/>
        <w:jc w:val="left"/>
      </w:pPr>
      <w:r>
        <w:rPr/>
        <w:t>组合中，组合三采用账龄分析法计提坏账准备的组合计提方法</w:t>
      </w:r>
    </w:p>
    <w:p>
      <w:pPr>
        <w:spacing w:line="240" w:lineRule="auto" w:before="2"/>
        <w:rPr>
          <w:rFonts w:ascii="宋体" w:hAnsi="宋体" w:cs="宋体" w:eastAsia="宋体" w:hint="default"/>
          <w:sz w:val="13"/>
          <w:szCs w:val="13"/>
        </w:rPr>
      </w:pPr>
    </w:p>
    <w:tbl>
      <w:tblPr>
        <w:tblW w:w="0" w:type="auto"/>
        <w:jc w:val="left"/>
        <w:tblInd w:w="146" w:type="dxa"/>
        <w:tblLayout w:type="fixed"/>
        <w:tblCellMar>
          <w:top w:w="0" w:type="dxa"/>
          <w:left w:w="0" w:type="dxa"/>
          <w:bottom w:w="0" w:type="dxa"/>
          <w:right w:w="0" w:type="dxa"/>
        </w:tblCellMar>
        <w:tblLook w:val="01E0"/>
      </w:tblPr>
      <w:tblGrid>
        <w:gridCol w:w="3207"/>
        <w:gridCol w:w="3032"/>
        <w:gridCol w:w="2829"/>
      </w:tblGrid>
      <w:tr>
        <w:trPr>
          <w:trHeight w:val="571" w:hRule="exact"/>
        </w:trPr>
        <w:tc>
          <w:tcPr>
            <w:tcW w:w="3207"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3032" w:type="dxa"/>
            <w:tcBorders>
              <w:top w:val="single" w:sz="6" w:space="0" w:color="000000"/>
              <w:left w:val="single" w:sz="6" w:space="0" w:color="000000"/>
              <w:bottom w:val="single" w:sz="12" w:space="0" w:color="000000"/>
              <w:right w:val="single" w:sz="6" w:space="0" w:color="000000"/>
            </w:tcBorders>
          </w:tcPr>
          <w:p>
            <w:pPr>
              <w:pStyle w:val="TableParagraph"/>
              <w:spacing w:line="287" w:lineRule="exact"/>
              <w:ind w:left="349" w:right="0"/>
              <w:jc w:val="left"/>
              <w:rPr>
                <w:rFonts w:ascii="宋体" w:hAnsi="宋体" w:cs="宋体" w:eastAsia="宋体" w:hint="default"/>
                <w:sz w:val="21"/>
                <w:szCs w:val="21"/>
              </w:rPr>
            </w:pPr>
            <w:r>
              <w:rPr>
                <w:rFonts w:ascii="宋体" w:hAnsi="宋体" w:cs="宋体" w:eastAsia="宋体" w:hint="default"/>
                <w:b/>
                <w:bCs/>
                <w:sz w:val="21"/>
                <w:szCs w:val="21"/>
              </w:rPr>
              <w:t>应收账款计提比例（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2829" w:type="dxa"/>
            <w:tcBorders>
              <w:top w:val="single" w:sz="6" w:space="0" w:color="000000"/>
              <w:left w:val="single" w:sz="6" w:space="0" w:color="000000"/>
              <w:bottom w:val="single" w:sz="12" w:space="0" w:color="000000"/>
              <w:right w:val="nil" w:sz="6" w:space="0" w:color="auto"/>
            </w:tcBorders>
          </w:tcPr>
          <w:p>
            <w:pPr>
              <w:pStyle w:val="TableParagraph"/>
              <w:spacing w:line="287" w:lineRule="exact"/>
              <w:ind w:left="142" w:right="0"/>
              <w:jc w:val="left"/>
              <w:rPr>
                <w:rFonts w:ascii="宋体" w:hAnsi="宋体" w:cs="宋体" w:eastAsia="宋体" w:hint="default"/>
                <w:sz w:val="21"/>
                <w:szCs w:val="21"/>
              </w:rPr>
            </w:pPr>
            <w:r>
              <w:rPr>
                <w:rFonts w:ascii="宋体" w:hAnsi="宋体" w:cs="宋体" w:eastAsia="宋体" w:hint="default"/>
                <w:b/>
                <w:bCs/>
                <w:sz w:val="21"/>
                <w:szCs w:val="21"/>
              </w:rPr>
              <w:t>其他应收款计提比例（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bl>
    <w:p>
      <w:pPr>
        <w:spacing w:after="0" w:line="287" w:lineRule="exact"/>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207"/>
        <w:gridCol w:w="3032"/>
        <w:gridCol w:w="2829"/>
      </w:tblGrid>
      <w:tr>
        <w:trPr>
          <w:trHeight w:val="355" w:hRule="exact"/>
        </w:trPr>
        <w:tc>
          <w:tcPr>
            <w:tcW w:w="3207" w:type="dxa"/>
            <w:tcBorders>
              <w:top w:val="single" w:sz="6" w:space="0" w:color="000000"/>
              <w:left w:val="single" w:sz="6" w:space="0" w:color="000000"/>
              <w:bottom w:val="single" w:sz="12"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年，下同）</w:t>
            </w:r>
          </w:p>
        </w:tc>
        <w:tc>
          <w:tcPr>
            <w:tcW w:w="30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w:t>
            </w:r>
          </w:p>
        </w:tc>
        <w:tc>
          <w:tcPr>
            <w:tcW w:w="282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4"/>
              <w:jc w:val="center"/>
              <w:rPr>
                <w:rFonts w:ascii="Times New Roman" w:hAnsi="Times New Roman" w:cs="Times New Roman" w:eastAsia="Times New Roman" w:hint="default"/>
                <w:sz w:val="21"/>
                <w:szCs w:val="21"/>
              </w:rPr>
            </w:pPr>
            <w:r>
              <w:rPr>
                <w:rFonts w:ascii="Times New Roman"/>
                <w:sz w:val="21"/>
              </w:rPr>
              <w:t>5</w:t>
            </w:r>
          </w:p>
        </w:tc>
      </w:tr>
      <w:tr>
        <w:trPr>
          <w:trHeight w:val="352"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10</w:t>
            </w:r>
          </w:p>
        </w:tc>
        <w:tc>
          <w:tcPr>
            <w:tcW w:w="28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1307"/>
              <w:jc w:val="right"/>
              <w:rPr>
                <w:rFonts w:ascii="Times New Roman" w:hAnsi="Times New Roman" w:cs="Times New Roman" w:eastAsia="Times New Roman" w:hint="default"/>
                <w:sz w:val="21"/>
                <w:szCs w:val="21"/>
              </w:rPr>
            </w:pPr>
            <w:r>
              <w:rPr>
                <w:rFonts w:ascii="Times New Roman"/>
                <w:sz w:val="21"/>
              </w:rPr>
              <w:t>10</w:t>
            </w:r>
          </w:p>
        </w:tc>
      </w:tr>
      <w:tr>
        <w:trPr>
          <w:trHeight w:val="353"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w:t>
            </w:r>
          </w:p>
        </w:tc>
        <w:tc>
          <w:tcPr>
            <w:tcW w:w="28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1307"/>
              <w:jc w:val="right"/>
              <w:rPr>
                <w:rFonts w:ascii="Times New Roman" w:hAnsi="Times New Roman" w:cs="Times New Roman" w:eastAsia="Times New Roman" w:hint="default"/>
                <w:sz w:val="21"/>
                <w:szCs w:val="21"/>
              </w:rPr>
            </w:pPr>
            <w:r>
              <w:rPr>
                <w:rFonts w:ascii="Times New Roman"/>
                <w:sz w:val="21"/>
              </w:rPr>
              <w:t>20</w:t>
            </w:r>
          </w:p>
        </w:tc>
      </w:tr>
      <w:tr>
        <w:trPr>
          <w:trHeight w:val="352"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年</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30</w:t>
            </w:r>
          </w:p>
        </w:tc>
        <w:tc>
          <w:tcPr>
            <w:tcW w:w="28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1307"/>
              <w:jc w:val="right"/>
              <w:rPr>
                <w:rFonts w:ascii="Times New Roman" w:hAnsi="Times New Roman" w:cs="Times New Roman" w:eastAsia="Times New Roman" w:hint="default"/>
                <w:sz w:val="21"/>
                <w:szCs w:val="21"/>
              </w:rPr>
            </w:pPr>
            <w:r>
              <w:rPr>
                <w:rFonts w:ascii="Times New Roman"/>
                <w:sz w:val="21"/>
              </w:rPr>
              <w:t>30</w:t>
            </w:r>
          </w:p>
        </w:tc>
      </w:tr>
      <w:tr>
        <w:trPr>
          <w:trHeight w:val="352"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宋体" w:hAnsi="宋体" w:cs="宋体" w:eastAsia="宋体" w:hint="default"/>
                <w:sz w:val="21"/>
                <w:szCs w:val="21"/>
              </w:rPr>
              <w:t>年</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50</w:t>
            </w:r>
          </w:p>
        </w:tc>
        <w:tc>
          <w:tcPr>
            <w:tcW w:w="28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1307"/>
              <w:jc w:val="right"/>
              <w:rPr>
                <w:rFonts w:ascii="Times New Roman" w:hAnsi="Times New Roman" w:cs="Times New Roman" w:eastAsia="Times New Roman" w:hint="default"/>
                <w:sz w:val="21"/>
                <w:szCs w:val="21"/>
              </w:rPr>
            </w:pPr>
            <w:r>
              <w:rPr>
                <w:rFonts w:ascii="Times New Roman"/>
                <w:sz w:val="21"/>
              </w:rPr>
              <w:t>50</w:t>
            </w:r>
          </w:p>
        </w:tc>
      </w:tr>
      <w:tr>
        <w:trPr>
          <w:trHeight w:val="353"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100</w:t>
            </w:r>
          </w:p>
        </w:tc>
        <w:tc>
          <w:tcPr>
            <w:tcW w:w="28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1253"/>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5"/>
        <w:rPr>
          <w:rFonts w:ascii="宋体" w:hAnsi="宋体" w:cs="宋体" w:eastAsia="宋体" w:hint="default"/>
          <w:sz w:val="5"/>
          <w:szCs w:val="5"/>
        </w:rPr>
      </w:pPr>
    </w:p>
    <w:p>
      <w:pPr>
        <w:pStyle w:val="BodyText"/>
        <w:spacing w:line="240" w:lineRule="auto" w:before="35"/>
        <w:ind w:left="525" w:right="0"/>
        <w:jc w:val="left"/>
      </w:pPr>
      <w:r>
        <w:rPr/>
        <w:t>②变更后坏账准备计提情况如下：</w:t>
      </w:r>
    </w:p>
    <w:p>
      <w:pPr>
        <w:pStyle w:val="BodyText"/>
        <w:spacing w:line="240" w:lineRule="auto" w:before="177"/>
        <w:ind w:left="525" w:right="0"/>
        <w:jc w:val="left"/>
      </w:pPr>
      <w:r>
        <w:rPr>
          <w:rFonts w:ascii="Times New Roman" w:hAnsi="Times New Roman" w:cs="Times New Roman" w:eastAsia="Times New Roman" w:hint="default"/>
        </w:rPr>
        <w:t>A</w:t>
      </w:r>
      <w:r>
        <w:rPr/>
        <w:t>、单项金额重大并单项计提坏账准备的应收款项：</w:t>
      </w:r>
    </w:p>
    <w:p>
      <w:pPr>
        <w:spacing w:line="240" w:lineRule="auto" w:before="8"/>
        <w:rPr>
          <w:rFonts w:ascii="宋体" w:hAnsi="宋体" w:cs="宋体" w:eastAsia="宋体" w:hint="default"/>
          <w:sz w:val="13"/>
          <w:szCs w:val="13"/>
        </w:rPr>
      </w:pPr>
    </w:p>
    <w:tbl>
      <w:tblPr>
        <w:tblW w:w="0" w:type="auto"/>
        <w:jc w:val="left"/>
        <w:tblInd w:w="146" w:type="dxa"/>
        <w:tblLayout w:type="fixed"/>
        <w:tblCellMar>
          <w:top w:w="0" w:type="dxa"/>
          <w:left w:w="0" w:type="dxa"/>
          <w:bottom w:w="0" w:type="dxa"/>
          <w:right w:w="0" w:type="dxa"/>
        </w:tblCellMar>
        <w:tblLook w:val="01E0"/>
      </w:tblPr>
      <w:tblGrid>
        <w:gridCol w:w="4641"/>
        <w:gridCol w:w="4641"/>
      </w:tblGrid>
      <w:tr>
        <w:trPr>
          <w:trHeight w:val="979" w:hRule="exact"/>
        </w:trPr>
        <w:tc>
          <w:tcPr>
            <w:tcW w:w="4641"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641" w:type="dxa"/>
            <w:tcBorders>
              <w:top w:val="single" w:sz="6" w:space="0" w:color="000000"/>
              <w:left w:val="single" w:sz="6" w:space="0" w:color="000000"/>
              <w:bottom w:val="single" w:sz="12" w:space="0" w:color="000000"/>
              <w:right w:val="nil" w:sz="6" w:space="0" w:color="auto"/>
            </w:tcBorders>
          </w:tcPr>
          <w:p>
            <w:pPr>
              <w:pStyle w:val="TableParagraph"/>
              <w:spacing w:line="264" w:lineRule="auto"/>
              <w:ind w:left="2" w:right="7"/>
              <w:jc w:val="both"/>
              <w:rPr>
                <w:rFonts w:ascii="宋体" w:hAnsi="宋体" w:cs="宋体" w:eastAsia="宋体" w:hint="default"/>
                <w:sz w:val="21"/>
                <w:szCs w:val="21"/>
              </w:rPr>
            </w:pPr>
            <w:r>
              <w:rPr>
                <w:rFonts w:ascii="宋体" w:hAnsi="宋体" w:cs="宋体" w:eastAsia="宋体" w:hint="default"/>
                <w:sz w:val="21"/>
                <w:szCs w:val="21"/>
              </w:rPr>
              <w:t>单项金额重大的应收账款及其他应收款是指单项金 额超过</w:t>
            </w:r>
            <w:r>
              <w:rPr>
                <w:rFonts w:ascii="Times New Roman" w:hAnsi="Times New Roman" w:cs="Times New Roman" w:eastAsia="Times New Roman" w:hint="default"/>
                <w:sz w:val="21"/>
                <w:szCs w:val="21"/>
              </w:rPr>
              <w:t>200</w:t>
            </w:r>
            <w:r>
              <w:rPr>
                <w:rFonts w:ascii="宋体" w:hAnsi="宋体" w:cs="宋体" w:eastAsia="宋体" w:hint="default"/>
                <w:sz w:val="21"/>
                <w:szCs w:val="21"/>
              </w:rPr>
              <w:t>万的应收账款和单项金额超过</w:t>
            </w:r>
            <w:r>
              <w:rPr>
                <w:rFonts w:ascii="Times New Roman" w:hAnsi="Times New Roman" w:cs="Times New Roman" w:eastAsia="Times New Roman" w:hint="default"/>
                <w:sz w:val="21"/>
                <w:szCs w:val="21"/>
              </w:rPr>
              <w:t>500</w:t>
            </w:r>
            <w:r>
              <w:rPr>
                <w:rFonts w:ascii="宋体" w:hAnsi="宋体" w:cs="宋体" w:eastAsia="宋体" w:hint="default"/>
                <w:sz w:val="21"/>
                <w:szCs w:val="21"/>
              </w:rPr>
              <w:t>万的其 他应收款。</w:t>
            </w:r>
          </w:p>
        </w:tc>
      </w:tr>
      <w:tr>
        <w:trPr>
          <w:trHeight w:val="1912" w:hRule="exact"/>
        </w:trPr>
        <w:tc>
          <w:tcPr>
            <w:tcW w:w="464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641"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 w:right="0"/>
              <w:jc w:val="both"/>
              <w:rPr>
                <w:rFonts w:ascii="宋体" w:hAnsi="宋体" w:cs="宋体" w:eastAsia="宋体" w:hint="default"/>
                <w:sz w:val="21"/>
                <w:szCs w:val="21"/>
              </w:rPr>
            </w:pPr>
            <w:r>
              <w:rPr>
                <w:rFonts w:ascii="宋体" w:hAnsi="宋体" w:cs="宋体" w:eastAsia="宋体" w:hint="default"/>
                <w:sz w:val="21"/>
                <w:szCs w:val="21"/>
              </w:rPr>
              <w:t>期末对于对单项金额重大的应收款项单独进行减值</w:t>
            </w:r>
          </w:p>
          <w:p>
            <w:pPr>
              <w:pStyle w:val="TableParagraph"/>
              <w:spacing w:line="273" w:lineRule="auto" w:before="37"/>
              <w:ind w:left="2" w:right="9"/>
              <w:jc w:val="both"/>
              <w:rPr>
                <w:rFonts w:ascii="宋体" w:hAnsi="宋体" w:cs="宋体" w:eastAsia="宋体" w:hint="default"/>
                <w:sz w:val="21"/>
                <w:szCs w:val="21"/>
              </w:rPr>
            </w:pPr>
            <w:r>
              <w:rPr>
                <w:rFonts w:ascii="宋体" w:hAnsi="宋体" w:cs="宋体" w:eastAsia="宋体" w:hint="default"/>
                <w:sz w:val="21"/>
                <w:szCs w:val="21"/>
              </w:rPr>
              <w:t>测试，单独测试未发生减值的应收款项，包括在具 有类似信用风险特征的应收款项组合中进行减值测 试。单项测试已确认减值损失的应收款项，不再包 括在具有类似信用风险特征的应收款项组合中进行 减值测试。</w:t>
            </w:r>
          </w:p>
        </w:tc>
      </w:tr>
    </w:tbl>
    <w:p>
      <w:pPr>
        <w:spacing w:line="240" w:lineRule="auto" w:before="5"/>
        <w:rPr>
          <w:rFonts w:ascii="宋体" w:hAnsi="宋体" w:cs="宋体" w:eastAsia="宋体" w:hint="default"/>
          <w:sz w:val="5"/>
          <w:szCs w:val="5"/>
        </w:rPr>
      </w:pPr>
    </w:p>
    <w:p>
      <w:pPr>
        <w:pStyle w:val="BodyText"/>
        <w:spacing w:line="357" w:lineRule="auto" w:before="35"/>
        <w:ind w:left="524" w:right="0"/>
        <w:jc w:val="left"/>
      </w:pPr>
      <w:r>
        <w:rPr>
          <w:rFonts w:ascii="Times New Roman" w:hAnsi="Times New Roman" w:cs="Times New Roman" w:eastAsia="Times New Roman" w:hint="default"/>
        </w:rPr>
        <w:t>B</w:t>
      </w:r>
      <w:r>
        <w:rPr/>
        <w:t>、按信用风险组合计提坏账准备的应收款项 对单项金额不重大以及金额重大但单项测试未发生减值的应收款项，按信用风险特征的相似性和相关</w:t>
      </w:r>
    </w:p>
    <w:p>
      <w:pPr>
        <w:pStyle w:val="BodyText"/>
        <w:spacing w:line="209" w:lineRule="exact"/>
        <w:ind w:right="0"/>
        <w:jc w:val="left"/>
      </w:pPr>
      <w:r>
        <w:rPr>
          <w:spacing w:val="3"/>
        </w:rPr>
        <w:t>性对金融资产进行分组。这些信用风险通常反映债务人按照该等资产的合同条款偿还所有到期金额的能</w:t>
      </w:r>
    </w:p>
    <w:p>
      <w:pPr>
        <w:pStyle w:val="BodyText"/>
        <w:spacing w:line="240" w:lineRule="auto" w:before="37"/>
        <w:ind w:right="0"/>
        <w:jc w:val="left"/>
      </w:pPr>
      <w:r>
        <w:rPr/>
        <w:t>力，并且与被检查资产的未来现金流量测算相关。</w:t>
      </w:r>
    </w:p>
    <w:p>
      <w:pPr>
        <w:pStyle w:val="BodyText"/>
        <w:spacing w:line="240" w:lineRule="auto" w:before="157"/>
        <w:ind w:left="524" w:right="0"/>
        <w:jc w:val="left"/>
      </w:pPr>
      <w:r>
        <w:rPr>
          <w:rFonts w:ascii="Times New Roman" w:hAnsi="Times New Roman" w:cs="Times New Roman" w:eastAsia="Times New Roman" w:hint="default"/>
        </w:rPr>
        <w:t>a.</w:t>
      </w:r>
      <w:r>
        <w:rPr/>
        <w:t>不同组合的确定依据：</w:t>
      </w:r>
    </w:p>
    <w:p>
      <w:pPr>
        <w:spacing w:line="240" w:lineRule="auto" w:before="4"/>
        <w:rPr>
          <w:rFonts w:ascii="宋体" w:hAnsi="宋体" w:cs="宋体" w:eastAsia="宋体" w:hint="default"/>
          <w:sz w:val="19"/>
          <w:szCs w:val="19"/>
        </w:rPr>
      </w:pPr>
    </w:p>
    <w:tbl>
      <w:tblPr>
        <w:tblW w:w="0" w:type="auto"/>
        <w:jc w:val="left"/>
        <w:tblInd w:w="146" w:type="dxa"/>
        <w:tblLayout w:type="fixed"/>
        <w:tblCellMar>
          <w:top w:w="0" w:type="dxa"/>
          <w:left w:w="0" w:type="dxa"/>
          <w:bottom w:w="0" w:type="dxa"/>
          <w:right w:w="0" w:type="dxa"/>
        </w:tblCellMar>
        <w:tblLook w:val="01E0"/>
      </w:tblPr>
      <w:tblGrid>
        <w:gridCol w:w="2944"/>
        <w:gridCol w:w="6129"/>
      </w:tblGrid>
      <w:tr>
        <w:trPr>
          <w:trHeight w:val="347"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612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确定组合的依据</w:t>
            </w:r>
            <w:r>
              <w:rPr>
                <w:rFonts w:ascii="宋体" w:hAnsi="宋体" w:cs="宋体" w:eastAsia="宋体" w:hint="default"/>
                <w:sz w:val="21"/>
                <w:szCs w:val="21"/>
              </w:rPr>
            </w:r>
          </w:p>
        </w:tc>
      </w:tr>
      <w:tr>
        <w:trPr>
          <w:trHeight w:val="348"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组合一</w:t>
            </w:r>
          </w:p>
        </w:tc>
        <w:tc>
          <w:tcPr>
            <w:tcW w:w="612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按账龄分析法对本组合的应收款项计提坏账准备</w:t>
            </w:r>
          </w:p>
        </w:tc>
      </w:tr>
      <w:tr>
        <w:trPr>
          <w:trHeight w:val="971" w:hRule="exact"/>
        </w:trPr>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组合二</w:t>
            </w:r>
          </w:p>
        </w:tc>
        <w:tc>
          <w:tcPr>
            <w:tcW w:w="61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both"/>
              <w:rPr>
                <w:rFonts w:ascii="宋体" w:hAnsi="宋体" w:cs="宋体" w:eastAsia="宋体" w:hint="default"/>
                <w:sz w:val="21"/>
                <w:szCs w:val="21"/>
              </w:rPr>
            </w:pPr>
            <w:r>
              <w:rPr>
                <w:rFonts w:ascii="宋体" w:hAnsi="宋体" w:cs="宋体" w:eastAsia="宋体" w:hint="default"/>
                <w:sz w:val="21"/>
                <w:szCs w:val="21"/>
              </w:rPr>
              <w:t>本组合按债务单位的信用风险特征划分，主要包括应收纳入合并范</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围本公司关联方、政府部门及合作方保证金、定金等类别的款项，</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此类款项发生坏账损失的可能性极小</w:t>
            </w:r>
          </w:p>
        </w:tc>
      </w:tr>
    </w:tbl>
    <w:p>
      <w:pPr>
        <w:spacing w:line="240" w:lineRule="auto" w:before="5"/>
        <w:rPr>
          <w:rFonts w:ascii="宋体" w:hAnsi="宋体" w:cs="宋体" w:eastAsia="宋体" w:hint="default"/>
          <w:sz w:val="5"/>
          <w:szCs w:val="5"/>
        </w:rPr>
      </w:pPr>
    </w:p>
    <w:p>
      <w:pPr>
        <w:pStyle w:val="BodyText"/>
        <w:spacing w:line="240" w:lineRule="auto" w:before="35"/>
        <w:ind w:left="540" w:right="0"/>
        <w:jc w:val="left"/>
      </w:pPr>
      <w:r>
        <w:rPr>
          <w:rFonts w:ascii="Times New Roman" w:hAnsi="Times New Roman" w:cs="Times New Roman" w:eastAsia="Times New Roman" w:hint="default"/>
        </w:rPr>
        <w:t>b</w:t>
      </w:r>
      <w:r>
        <w:rPr/>
        <w:t>．组合中，组合一采用账龄分析法计提坏账准备的组合计提方法</w:t>
      </w:r>
    </w:p>
    <w:p>
      <w:pPr>
        <w:spacing w:line="240" w:lineRule="auto" w:before="4"/>
        <w:rPr>
          <w:rFonts w:ascii="宋体" w:hAnsi="宋体" w:cs="宋体" w:eastAsia="宋体" w:hint="default"/>
          <w:sz w:val="19"/>
          <w:szCs w:val="19"/>
        </w:rPr>
      </w:pPr>
    </w:p>
    <w:tbl>
      <w:tblPr>
        <w:tblW w:w="0" w:type="auto"/>
        <w:jc w:val="left"/>
        <w:tblInd w:w="146" w:type="dxa"/>
        <w:tblLayout w:type="fixed"/>
        <w:tblCellMar>
          <w:top w:w="0" w:type="dxa"/>
          <w:left w:w="0" w:type="dxa"/>
          <w:bottom w:w="0" w:type="dxa"/>
          <w:right w:w="0" w:type="dxa"/>
        </w:tblCellMar>
        <w:tblLook w:val="01E0"/>
      </w:tblPr>
      <w:tblGrid>
        <w:gridCol w:w="3207"/>
        <w:gridCol w:w="3032"/>
        <w:gridCol w:w="2816"/>
      </w:tblGrid>
      <w:tr>
        <w:trPr>
          <w:trHeight w:val="355" w:hRule="exact"/>
        </w:trPr>
        <w:tc>
          <w:tcPr>
            <w:tcW w:w="3207"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3032" w:type="dxa"/>
            <w:tcBorders>
              <w:top w:val="single" w:sz="6" w:space="0" w:color="000000"/>
              <w:left w:val="single" w:sz="6" w:space="0" w:color="000000"/>
              <w:bottom w:val="single" w:sz="12" w:space="0" w:color="000000"/>
              <w:right w:val="single" w:sz="6" w:space="0" w:color="000000"/>
            </w:tcBorders>
          </w:tcPr>
          <w:p>
            <w:pPr>
              <w:pStyle w:val="TableParagraph"/>
              <w:spacing w:line="287" w:lineRule="exact"/>
              <w:ind w:right="1"/>
              <w:jc w:val="center"/>
              <w:rPr>
                <w:rFonts w:ascii="宋体" w:hAnsi="宋体" w:cs="宋体" w:eastAsia="宋体" w:hint="default"/>
                <w:sz w:val="21"/>
                <w:szCs w:val="21"/>
              </w:rPr>
            </w:pPr>
            <w:r>
              <w:rPr>
                <w:rFonts w:ascii="宋体" w:hAnsi="宋体" w:cs="宋体" w:eastAsia="宋体" w:hint="default"/>
                <w:b/>
                <w:bCs/>
                <w:sz w:val="21"/>
                <w:szCs w:val="21"/>
              </w:rPr>
              <w:t>应收账款计提比例（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2816" w:type="dxa"/>
            <w:tcBorders>
              <w:top w:val="single" w:sz="6" w:space="0" w:color="000000"/>
              <w:left w:val="single" w:sz="6" w:space="0" w:color="000000"/>
              <w:bottom w:val="single" w:sz="12" w:space="0" w:color="000000"/>
              <w:right w:val="nil" w:sz="6" w:space="0" w:color="auto"/>
            </w:tcBorders>
          </w:tcPr>
          <w:p>
            <w:pPr>
              <w:pStyle w:val="TableParagraph"/>
              <w:spacing w:line="287" w:lineRule="exact"/>
              <w:ind w:right="6"/>
              <w:jc w:val="center"/>
              <w:rPr>
                <w:rFonts w:ascii="宋体" w:hAnsi="宋体" w:cs="宋体" w:eastAsia="宋体" w:hint="default"/>
                <w:sz w:val="21"/>
                <w:szCs w:val="21"/>
              </w:rPr>
            </w:pPr>
            <w:r>
              <w:rPr>
                <w:rFonts w:ascii="宋体" w:hAnsi="宋体" w:cs="宋体" w:eastAsia="宋体" w:hint="default"/>
                <w:b/>
                <w:bCs/>
                <w:sz w:val="21"/>
                <w:szCs w:val="21"/>
              </w:rPr>
              <w:t>其他应收款计提比例（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53"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年，下同）</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w:t>
            </w:r>
          </w:p>
        </w:tc>
        <w:tc>
          <w:tcPr>
            <w:tcW w:w="28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4"/>
              <w:jc w:val="center"/>
              <w:rPr>
                <w:rFonts w:ascii="Times New Roman" w:hAnsi="Times New Roman" w:cs="Times New Roman" w:eastAsia="Times New Roman" w:hint="default"/>
                <w:sz w:val="21"/>
                <w:szCs w:val="21"/>
              </w:rPr>
            </w:pPr>
            <w:r>
              <w:rPr>
                <w:rFonts w:ascii="Times New Roman"/>
                <w:sz w:val="21"/>
              </w:rPr>
              <w:t>1</w:t>
            </w:r>
          </w:p>
        </w:tc>
      </w:tr>
      <w:tr>
        <w:trPr>
          <w:trHeight w:val="352"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10</w:t>
            </w:r>
          </w:p>
        </w:tc>
        <w:tc>
          <w:tcPr>
            <w:tcW w:w="28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10</w:t>
            </w:r>
          </w:p>
        </w:tc>
      </w:tr>
      <w:tr>
        <w:trPr>
          <w:trHeight w:val="352"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w:t>
            </w:r>
          </w:p>
        </w:tc>
        <w:tc>
          <w:tcPr>
            <w:tcW w:w="28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20</w:t>
            </w:r>
          </w:p>
        </w:tc>
      </w:tr>
      <w:tr>
        <w:trPr>
          <w:trHeight w:val="353"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年</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30</w:t>
            </w:r>
          </w:p>
        </w:tc>
        <w:tc>
          <w:tcPr>
            <w:tcW w:w="28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30</w:t>
            </w:r>
          </w:p>
        </w:tc>
      </w:tr>
      <w:tr>
        <w:trPr>
          <w:trHeight w:val="352"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宋体" w:hAnsi="宋体" w:cs="宋体" w:eastAsia="宋体" w:hint="default"/>
                <w:sz w:val="21"/>
                <w:szCs w:val="21"/>
              </w:rPr>
              <w:t>年</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50</w:t>
            </w:r>
          </w:p>
        </w:tc>
        <w:tc>
          <w:tcPr>
            <w:tcW w:w="28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50</w:t>
            </w:r>
          </w:p>
        </w:tc>
      </w:tr>
      <w:tr>
        <w:trPr>
          <w:trHeight w:val="352"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30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100</w:t>
            </w:r>
          </w:p>
        </w:tc>
        <w:tc>
          <w:tcPr>
            <w:tcW w:w="28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4"/>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5"/>
        <w:rPr>
          <w:rFonts w:ascii="宋体" w:hAnsi="宋体" w:cs="宋体" w:eastAsia="宋体" w:hint="default"/>
          <w:sz w:val="5"/>
          <w:szCs w:val="5"/>
        </w:rPr>
      </w:pPr>
    </w:p>
    <w:p>
      <w:pPr>
        <w:pStyle w:val="BodyText"/>
        <w:spacing w:line="357" w:lineRule="auto" w:before="35"/>
        <w:ind w:left="524" w:right="0" w:firstLine="49"/>
        <w:jc w:val="left"/>
      </w:pPr>
      <w:r>
        <w:rPr>
          <w:rFonts w:ascii="Times New Roman" w:hAnsi="Times New Roman" w:cs="Times New Roman" w:eastAsia="Times New Roman" w:hint="default"/>
        </w:rPr>
        <w:t>5</w:t>
      </w:r>
      <w:r>
        <w:rPr/>
        <w:t>）会计估计的变更对本期净利润影响 </w:t>
      </w:r>
      <w:r>
        <w:rPr>
          <w:spacing w:val="-2"/>
        </w:rPr>
        <w:t>本次会计估计变更，应收账款坏账准备减少</w:t>
      </w:r>
      <w:r>
        <w:rPr>
          <w:rFonts w:ascii="Times New Roman" w:hAnsi="Times New Roman" w:cs="Times New Roman" w:eastAsia="Times New Roman" w:hint="default"/>
          <w:spacing w:val="-2"/>
        </w:rPr>
        <w:t>16,186,747.10</w:t>
      </w:r>
      <w:r>
        <w:rPr>
          <w:spacing w:val="-2"/>
        </w:rPr>
        <w:t>元，其他应收款坏账准备减少</w:t>
      </w:r>
      <w:r>
        <w:rPr>
          <w:rFonts w:ascii="Times New Roman" w:hAnsi="Times New Roman" w:cs="Times New Roman" w:eastAsia="Times New Roman" w:hint="default"/>
          <w:spacing w:val="-2"/>
        </w:rPr>
        <w:t>2,417,287.00</w:t>
      </w:r>
      <w:r>
        <w:rPr>
          <w:spacing w:val="-2"/>
        </w:rPr>
        <w:t>元，</w:t>
      </w:r>
    </w:p>
    <w:p>
      <w:pPr>
        <w:spacing w:after="0" w:line="357"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资产减值损失减少</w:t>
      </w:r>
      <w:r>
        <w:rPr>
          <w:rFonts w:ascii="Times New Roman" w:hAnsi="Times New Roman" w:cs="Times New Roman" w:eastAsia="Times New Roman" w:hint="default"/>
        </w:rPr>
        <w:t>18,604,034.10</w:t>
      </w:r>
      <w:r>
        <w:rPr/>
        <w:t>元，所得税费用增加</w:t>
      </w:r>
      <w:r>
        <w:rPr>
          <w:rFonts w:ascii="Times New Roman" w:hAnsi="Times New Roman" w:cs="Times New Roman" w:eastAsia="Times New Roman" w:hint="default"/>
        </w:rPr>
        <w:t>2,245,226.76</w:t>
      </w:r>
      <w:r>
        <w:rPr/>
        <w:t>元，本期净利润增加</w:t>
      </w:r>
      <w:r>
        <w:rPr>
          <w:rFonts w:ascii="Times New Roman" w:hAnsi="Times New Roman" w:cs="Times New Roman" w:eastAsia="Times New Roman" w:hint="default"/>
        </w:rPr>
        <w:t>16,358,807.34</w:t>
      </w:r>
      <w:r>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1"/>
          <w:szCs w:val="21"/>
        </w:rPr>
      </w:pPr>
    </w:p>
    <w:p>
      <w:pPr>
        <w:pStyle w:val="Heading4"/>
        <w:spacing w:line="240" w:lineRule="auto"/>
        <w:ind w:right="0"/>
        <w:jc w:val="left"/>
        <w:rPr>
          <w:b w:val="0"/>
          <w:bCs w:val="0"/>
        </w:rPr>
      </w:pPr>
      <w:bookmarkStart w:name="34、其他" w:id="234"/>
      <w:bookmarkEnd w:id="234"/>
      <w:r>
        <w:rPr>
          <w:b w:val="0"/>
          <w:bCs w:val="0"/>
        </w:rPr>
      </w:r>
      <w:r>
        <w:rPr>
          <w:rFonts w:ascii="Times New Roman" w:hAnsi="Times New Roman" w:cs="Times New Roman" w:eastAsia="Times New Roman" w:hint="default"/>
        </w:rPr>
        <w:t>34</w:t>
      </w:r>
      <w:r>
        <w:rPr/>
        <w:t>、其他</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六、税项" w:id="235"/>
      <w:bookmarkEnd w:id="235"/>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主要税种及税率" w:id="236"/>
      <w:bookmarkEnd w:id="236"/>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spacing w:before="44"/>
        <w:ind w:left="0" w:right="1138" w:firstLine="0"/>
        <w:jc w:val="right"/>
        <w:rPr>
          <w:rFonts w:ascii="宋体" w:hAnsi="宋体" w:cs="宋体" w:eastAsia="宋体" w:hint="default"/>
          <w:sz w:val="18"/>
          <w:szCs w:val="18"/>
        </w:rPr>
      </w:pPr>
      <w:r>
        <w:rPr/>
        <w:pict>
          <v:shape style="position:absolute;margin-left:56.459999pt;margin-top:-21.008316pt;width:479.25pt;height:116.6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2"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应税销售收入</w:t>
                        </w:r>
                        <w:r>
                          <w:rPr>
                            <w:rFonts w:ascii="Times New Roman" w:hAnsi="Times New Roman" w:cs="Times New Roman" w:eastAsia="Times New Roman" w:hint="default"/>
                            <w:sz w:val="18"/>
                            <w:szCs w:val="18"/>
                          </w:rPr>
                          <w:t>/</w:t>
                        </w:r>
                        <w:r>
                          <w:rPr>
                            <w:rFonts w:ascii="宋体" w:hAnsi="宋体" w:cs="宋体" w:eastAsia="宋体" w:hint="default"/>
                            <w:sz w:val="18"/>
                            <w:szCs w:val="18"/>
                          </w:rPr>
                          <w:t>采购额</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17%</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16%</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13%</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11%</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3%</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应纳增值税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京蓝沐禾节水装备有限公司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衡水沐禾节水科技有限公司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呼伦贝尔沐禾节水工程设备有限公司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京蓝北方园林（天津）有限公司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天津市北方园林市政工程设计院有限公司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天津绿动植物营养技术开发有限公司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天津北方创业园林花苗木有限公司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京蓝能科技术有限公司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京蓝生态科技有限公司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除上述以外的其他纳税主体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税收优惠" w:id="237"/>
      <w:bookmarkEnd w:id="237"/>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4"/>
          <w:szCs w:val="24"/>
        </w:rPr>
      </w:pPr>
    </w:p>
    <w:p>
      <w:pPr>
        <w:pStyle w:val="BodyText"/>
        <w:spacing w:line="338" w:lineRule="auto"/>
        <w:ind w:left="559" w:right="0"/>
        <w:jc w:val="left"/>
      </w:pPr>
      <w:r>
        <w:rPr>
          <w:rFonts w:ascii="Times New Roman" w:hAnsi="Times New Roman" w:cs="Times New Roman" w:eastAsia="Times New Roman" w:hint="default"/>
        </w:rPr>
        <w:t>1</w:t>
      </w:r>
      <w:r>
        <w:rPr/>
        <w:t>）企业所得税 按照《国家税务总局关于深入实施西部大开发有关企业所得税问题的公告》（</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12</w:t>
      </w:r>
      <w:r>
        <w:rPr/>
        <w:t>号）和《内</w:t>
      </w:r>
    </w:p>
    <w:p>
      <w:pPr>
        <w:pStyle w:val="BodyText"/>
        <w:spacing w:line="217" w:lineRule="exact"/>
        <w:ind w:right="0"/>
        <w:jc w:val="left"/>
      </w:pPr>
      <w:r>
        <w:rPr/>
        <w:t>蒙古自治区国家税务总局关于执行西部大开发企业所得税优惠政策有关具体问题的公告》（第</w:t>
      </w:r>
      <w:r>
        <w:rPr>
          <w:rFonts w:ascii="Times New Roman" w:hAnsi="Times New Roman" w:cs="Times New Roman" w:eastAsia="Times New Roman" w:hint="default"/>
        </w:rPr>
        <w:t>9</w:t>
      </w:r>
      <w:r>
        <w:rPr/>
        <w:t>号）规定，</w:t>
      </w:r>
    </w:p>
    <w:p>
      <w:pPr>
        <w:pStyle w:val="BodyText"/>
        <w:spacing w:line="338" w:lineRule="auto" w:before="22"/>
        <w:ind w:left="574" w:right="0" w:hanging="420"/>
        <w:jc w:val="left"/>
      </w:pPr>
      <w:r>
        <w:rPr/>
        <w:t>本公司之子公司京蓝沐禾节水装备有限公司享受西部大开发优惠政策，适用企业所得税税率</w:t>
      </w:r>
      <w:r>
        <w:rPr>
          <w:rFonts w:ascii="Times New Roman" w:hAnsi="Times New Roman" w:cs="Times New Roman" w:eastAsia="Times New Roman" w:hint="default"/>
        </w:rPr>
        <w:t>15%</w:t>
      </w:r>
      <w:r>
        <w:rPr/>
        <w:t>。 </w:t>
      </w:r>
      <w:r>
        <w:rPr>
          <w:spacing w:val="-1"/>
        </w:rPr>
        <w:t>本公司之子公司京蓝沐禾节水装备有限公司于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11</w:t>
      </w:r>
      <w:r>
        <w:rPr>
          <w:spacing w:val="-1"/>
        </w:rPr>
        <w:t>月取得了内蒙古自治区科学技术厅、内蒙古自</w:t>
      </w:r>
    </w:p>
    <w:p>
      <w:pPr>
        <w:pStyle w:val="BodyText"/>
        <w:spacing w:line="201" w:lineRule="exact"/>
        <w:ind w:right="0"/>
        <w:jc w:val="left"/>
      </w:pPr>
      <w:r>
        <w:rPr/>
        <w:t>治区财政厅、内蒙古自治区国家税务局及内蒙古自治区地方税务局联合颁发的《高新技术企业证书》，证</w:t>
      </w:r>
    </w:p>
    <w:p>
      <w:pPr>
        <w:spacing w:after="0" w:line="201" w:lineRule="exact"/>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128"/>
        <w:jc w:val="left"/>
      </w:pPr>
      <w:r>
        <w:rPr>
          <w:spacing w:val="-2"/>
        </w:rPr>
        <w:t>书编号为：</w:t>
      </w:r>
      <w:r>
        <w:rPr>
          <w:rFonts w:ascii="Times New Roman" w:hAnsi="Times New Roman" w:cs="Times New Roman" w:eastAsia="Times New Roman" w:hint="default"/>
          <w:spacing w:val="-2"/>
        </w:rPr>
        <w:t>GR201615000082</w:t>
      </w:r>
      <w:r>
        <w:rPr>
          <w:spacing w:val="-2"/>
        </w:rPr>
        <w:t>，发证时间为</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29</w:t>
      </w:r>
      <w:r>
        <w:rPr>
          <w:spacing w:val="-2"/>
        </w:rPr>
        <w:t>日，有效期三年，自</w:t>
      </w:r>
      <w:r>
        <w:rPr>
          <w:rFonts w:ascii="Times New Roman" w:hAnsi="Times New Roman" w:cs="Times New Roman" w:eastAsia="Times New Roman" w:hint="default"/>
          <w:spacing w:val="-2"/>
        </w:rPr>
        <w:t>2016</w:t>
      </w:r>
      <w:r>
        <w:rPr>
          <w:spacing w:val="-2"/>
        </w:rPr>
        <w:t>年度起，在有效期内适用</w:t>
      </w:r>
      <w:r>
        <w:rPr>
          <w:spacing w:val="-98"/>
        </w:rPr>
        <w:t> </w:t>
      </w:r>
      <w:r>
        <w:rPr>
          <w:spacing w:val="-98"/>
        </w:rPr>
      </w:r>
      <w:r>
        <w:rPr/>
        <w:t>企业所得税率为</w:t>
      </w:r>
      <w:r>
        <w:rPr>
          <w:rFonts w:ascii="Times New Roman" w:hAnsi="Times New Roman" w:cs="Times New Roman" w:eastAsia="Times New Roman" w:hint="default"/>
        </w:rPr>
        <w:t>15%</w:t>
      </w:r>
      <w:r>
        <w:rPr/>
        <w:t>。</w:t>
      </w:r>
    </w:p>
    <w:p>
      <w:pPr>
        <w:spacing w:line="240" w:lineRule="auto" w:before="9"/>
        <w:rPr>
          <w:rFonts w:ascii="宋体" w:hAnsi="宋体" w:cs="宋体" w:eastAsia="宋体" w:hint="default"/>
          <w:sz w:val="18"/>
          <w:szCs w:val="18"/>
        </w:rPr>
      </w:pPr>
    </w:p>
    <w:p>
      <w:pPr>
        <w:pStyle w:val="BodyText"/>
        <w:spacing w:line="256" w:lineRule="auto"/>
        <w:ind w:right="1010" w:firstLine="420"/>
        <w:jc w:val="left"/>
      </w:pPr>
      <w:r>
        <w:rPr/>
        <w:t>本公司之子公司衡水沐禾节水科技有限公司于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月取得河北省科学技术厅、河北省财政厅、河 北省国家税务局及河北省地方税务局联合颁发的《高新技术企业证书》，证书编号为：</w:t>
      </w:r>
      <w:r>
        <w:rPr>
          <w:rFonts w:ascii="Times New Roman" w:hAnsi="Times New Roman" w:cs="Times New Roman" w:eastAsia="Times New Roman" w:hint="default"/>
        </w:rPr>
        <w:t>GR201613000597</w:t>
      </w:r>
      <w:r>
        <w:rPr/>
        <w:t>， 发证时间为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日，有效期三年，自</w:t>
      </w:r>
      <w:r>
        <w:rPr>
          <w:rFonts w:ascii="Times New Roman" w:hAnsi="Times New Roman" w:cs="Times New Roman" w:eastAsia="Times New Roman" w:hint="default"/>
        </w:rPr>
        <w:t>2016</w:t>
      </w:r>
      <w:r>
        <w:rPr/>
        <w:t>年度起，在有效期内适用企业所得税率为</w:t>
      </w:r>
      <w:r>
        <w:rPr>
          <w:rFonts w:ascii="Times New Roman" w:hAnsi="Times New Roman" w:cs="Times New Roman" w:eastAsia="Times New Roman" w:hint="default"/>
        </w:rPr>
        <w:t>15%</w:t>
      </w:r>
      <w:r>
        <w:rPr/>
        <w:t>。</w:t>
      </w:r>
    </w:p>
    <w:p>
      <w:pPr>
        <w:spacing w:line="240" w:lineRule="auto" w:before="9"/>
        <w:rPr>
          <w:rFonts w:ascii="宋体" w:hAnsi="宋体" w:cs="宋体" w:eastAsia="宋体" w:hint="default"/>
          <w:sz w:val="18"/>
          <w:szCs w:val="18"/>
        </w:rPr>
      </w:pPr>
    </w:p>
    <w:p>
      <w:pPr>
        <w:pStyle w:val="BodyText"/>
        <w:spacing w:line="261" w:lineRule="auto"/>
        <w:ind w:right="1008" w:firstLine="420"/>
        <w:jc w:val="left"/>
      </w:pPr>
      <w:r>
        <w:rPr/>
        <w:t>本公司之子公司呼伦贝尔沐禾节水工程设备有限公司于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月取得内蒙古自治区科学技术厅、内 </w:t>
      </w:r>
      <w:r>
        <w:rPr>
          <w:spacing w:val="-7"/>
        </w:rPr>
        <w:t>蒙古自治区财政厅、内蒙古自治区国家税务局、内蒙古自治区地方税务局联合颁发的《高新技术企业证书》，</w:t>
      </w:r>
      <w:r>
        <w:rPr/>
        <w:t> </w:t>
      </w:r>
      <w:r>
        <w:rPr>
          <w:spacing w:val="-2"/>
        </w:rPr>
        <w:t>证书编号为：</w:t>
      </w:r>
      <w:r>
        <w:rPr>
          <w:rFonts w:ascii="Times New Roman" w:hAnsi="Times New Roman" w:cs="Times New Roman" w:eastAsia="Times New Roman" w:hint="default"/>
          <w:spacing w:val="-2"/>
        </w:rPr>
        <w:t>GR201715000093</w:t>
      </w:r>
      <w:r>
        <w:rPr>
          <w:spacing w:val="-2"/>
        </w:rPr>
        <w:t>，发证时间为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09</w:t>
      </w:r>
      <w:r>
        <w:rPr>
          <w:spacing w:val="-2"/>
        </w:rPr>
        <w:t>日，有效期三年，自</w:t>
      </w:r>
      <w:r>
        <w:rPr>
          <w:rFonts w:ascii="Times New Roman" w:hAnsi="Times New Roman" w:cs="Times New Roman" w:eastAsia="Times New Roman" w:hint="default"/>
          <w:spacing w:val="-2"/>
        </w:rPr>
        <w:t>2017</w:t>
      </w:r>
      <w:r>
        <w:rPr>
          <w:spacing w:val="-2"/>
        </w:rPr>
        <w:t>年度起，在有效期内适</w:t>
      </w:r>
      <w:r>
        <w:rPr>
          <w:spacing w:val="-98"/>
        </w:rPr>
        <w:t> </w:t>
      </w:r>
      <w:r>
        <w:rPr>
          <w:spacing w:val="-98"/>
        </w:rPr>
      </w:r>
      <w:r>
        <w:rPr/>
        <w:t>用企业所得税率为</w:t>
      </w:r>
      <w:r>
        <w:rPr>
          <w:rFonts w:ascii="Times New Roman" w:hAnsi="Times New Roman" w:cs="Times New Roman" w:eastAsia="Times New Roman" w:hint="default"/>
        </w:rPr>
        <w:t>15%</w:t>
      </w:r>
      <w:r>
        <w:rPr/>
        <w:t>。</w:t>
      </w:r>
    </w:p>
    <w:p>
      <w:pPr>
        <w:spacing w:line="240" w:lineRule="auto" w:before="5"/>
        <w:rPr>
          <w:rFonts w:ascii="宋体" w:hAnsi="宋体" w:cs="宋体" w:eastAsia="宋体" w:hint="default"/>
          <w:sz w:val="18"/>
          <w:szCs w:val="18"/>
        </w:rPr>
      </w:pPr>
    </w:p>
    <w:p>
      <w:pPr>
        <w:pStyle w:val="BodyText"/>
        <w:spacing w:line="256" w:lineRule="auto"/>
        <w:ind w:right="1132" w:firstLine="420"/>
        <w:jc w:val="both"/>
      </w:pPr>
      <w:r>
        <w:rPr>
          <w:spacing w:val="-1"/>
        </w:rPr>
        <w:t>本公司之子公司京蓝北方园林（天津）有限公司于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23</w:t>
      </w:r>
      <w:r>
        <w:rPr>
          <w:spacing w:val="-1"/>
        </w:rPr>
        <w:t>日取得天津市科学技术局、天津市财</w:t>
      </w:r>
      <w:r>
        <w:rPr/>
        <w:t> </w:t>
      </w:r>
      <w:r>
        <w:rPr>
          <w:spacing w:val="-3"/>
        </w:rPr>
        <w:t>政局、国家税务总局天津市税务局联合颁发的《高新技术企业证书》，证书编号为：</w:t>
      </w:r>
      <w:r>
        <w:rPr>
          <w:rFonts w:ascii="Times New Roman" w:hAnsi="Times New Roman" w:cs="Times New Roman" w:eastAsia="Times New Roman" w:hint="default"/>
          <w:spacing w:val="-3"/>
        </w:rPr>
        <w:t>GR201812000535</w:t>
      </w:r>
      <w:r>
        <w:rPr>
          <w:spacing w:val="-3"/>
        </w:rPr>
        <w:t>，发</w:t>
      </w:r>
      <w:r>
        <w:rPr>
          <w:spacing w:val="-67"/>
        </w:rPr>
        <w:t> </w:t>
      </w:r>
      <w:r>
        <w:rPr/>
        <w:t>证时间为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日，有效期三年，自</w:t>
      </w:r>
      <w:r>
        <w:rPr>
          <w:rFonts w:ascii="Times New Roman" w:hAnsi="Times New Roman" w:cs="Times New Roman" w:eastAsia="Times New Roman" w:hint="default"/>
        </w:rPr>
        <w:t>2018</w:t>
      </w:r>
      <w:r>
        <w:rPr/>
        <w:t>年度起，在有效期内适用企业所得税率为</w:t>
      </w:r>
      <w:r>
        <w:rPr>
          <w:rFonts w:ascii="Times New Roman" w:hAnsi="Times New Roman" w:cs="Times New Roman" w:eastAsia="Times New Roman" w:hint="default"/>
        </w:rPr>
        <w:t>15%</w:t>
      </w:r>
      <w:r>
        <w:rPr/>
        <w:t>。</w:t>
      </w:r>
    </w:p>
    <w:p>
      <w:pPr>
        <w:spacing w:line="240" w:lineRule="auto" w:before="9"/>
        <w:rPr>
          <w:rFonts w:ascii="宋体" w:hAnsi="宋体" w:cs="宋体" w:eastAsia="宋体" w:hint="default"/>
          <w:sz w:val="18"/>
          <w:szCs w:val="18"/>
        </w:rPr>
      </w:pPr>
    </w:p>
    <w:p>
      <w:pPr>
        <w:pStyle w:val="BodyText"/>
        <w:spacing w:line="261" w:lineRule="auto"/>
        <w:ind w:right="1110" w:firstLine="420"/>
        <w:jc w:val="both"/>
      </w:pPr>
      <w:r>
        <w:rPr/>
        <w:t>本公司之子公司天津绿动植物营养技术开发有限公司于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日取得天津市科学技术委员会、 天津市财政局、天津市国家税务局、天津市地方税务局联合颁发的《高新技术企业证书》，证书编号为： </w:t>
      </w:r>
      <w:r>
        <w:rPr>
          <w:rFonts w:ascii="Times New Roman" w:hAnsi="Times New Roman" w:cs="Times New Roman" w:eastAsia="Times New Roman" w:hint="default"/>
        </w:rPr>
        <w:t>GR201612001399</w:t>
      </w:r>
      <w:r>
        <w:rPr/>
        <w:t>，发证时间为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日，有效期三年，自</w:t>
      </w:r>
      <w:r>
        <w:rPr>
          <w:rFonts w:ascii="Times New Roman" w:hAnsi="Times New Roman" w:cs="Times New Roman" w:eastAsia="Times New Roman" w:hint="default"/>
        </w:rPr>
        <w:t>2016</w:t>
      </w:r>
      <w:r>
        <w:rPr/>
        <w:t>年度起，在有效期内适用企业所得税 率</w:t>
      </w:r>
      <w:r>
        <w:rPr>
          <w:rFonts w:ascii="Times New Roman" w:hAnsi="Times New Roman" w:cs="Times New Roman" w:eastAsia="Times New Roman" w:hint="default"/>
        </w:rPr>
        <w:t>15%</w:t>
      </w:r>
      <w:r>
        <w:rPr/>
        <w:t>。</w:t>
      </w:r>
    </w:p>
    <w:p>
      <w:pPr>
        <w:spacing w:line="240" w:lineRule="auto" w:before="5"/>
        <w:rPr>
          <w:rFonts w:ascii="宋体" w:hAnsi="宋体" w:cs="宋体" w:eastAsia="宋体" w:hint="default"/>
          <w:sz w:val="18"/>
          <w:szCs w:val="18"/>
        </w:rPr>
      </w:pPr>
    </w:p>
    <w:p>
      <w:pPr>
        <w:pStyle w:val="BodyText"/>
        <w:spacing w:line="261" w:lineRule="auto"/>
        <w:ind w:right="1131" w:firstLine="420"/>
        <w:jc w:val="both"/>
      </w:pPr>
      <w:r>
        <w:rPr>
          <w:spacing w:val="3"/>
        </w:rPr>
        <w:t>本公司之子公司天津市北方园林市政工程设计院有限公司于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10</w:t>
      </w:r>
      <w:r>
        <w:rPr>
          <w:spacing w:val="3"/>
        </w:rPr>
        <w:t>日取得天津市科学技术委</w:t>
      </w:r>
      <w:r>
        <w:rPr/>
        <w:t> </w:t>
      </w:r>
      <w:r>
        <w:rPr>
          <w:spacing w:val="-1"/>
        </w:rPr>
        <w:t>员会、天津市财政局、天津市国家税务局、天津市地方税务局联合颁发的《高新技术企业证书》，证书编</w:t>
      </w:r>
      <w:r>
        <w:rPr>
          <w:spacing w:val="-83"/>
        </w:rPr>
        <w:t> </w:t>
      </w:r>
      <w:r>
        <w:rPr>
          <w:spacing w:val="-83"/>
        </w:rPr>
      </w:r>
      <w:r>
        <w:rPr>
          <w:spacing w:val="-2"/>
        </w:rPr>
        <w:t>号为：</w:t>
      </w:r>
      <w:r>
        <w:rPr>
          <w:rFonts w:ascii="Times New Roman" w:hAnsi="Times New Roman" w:cs="Times New Roman" w:eastAsia="Times New Roman" w:hint="default"/>
          <w:spacing w:val="-2"/>
        </w:rPr>
        <w:t>GR201712000001</w:t>
      </w:r>
      <w:r>
        <w:rPr>
          <w:spacing w:val="-2"/>
        </w:rPr>
        <w:t>，发证时间为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10</w:t>
      </w:r>
      <w:r>
        <w:rPr>
          <w:spacing w:val="-2"/>
        </w:rPr>
        <w:t>日，有效期三年，自</w:t>
      </w:r>
      <w:r>
        <w:rPr>
          <w:rFonts w:ascii="Times New Roman" w:hAnsi="Times New Roman" w:cs="Times New Roman" w:eastAsia="Times New Roman" w:hint="default"/>
          <w:spacing w:val="-2"/>
        </w:rPr>
        <w:t>2017</w:t>
      </w:r>
      <w:r>
        <w:rPr>
          <w:spacing w:val="-2"/>
        </w:rPr>
        <w:t>年度起，在有效期内适用企业</w:t>
      </w:r>
      <w:r>
        <w:rPr>
          <w:spacing w:val="-98"/>
        </w:rPr>
        <w:t> </w:t>
      </w:r>
      <w:r>
        <w:rPr>
          <w:spacing w:val="-98"/>
        </w:rPr>
      </w:r>
      <w:r>
        <w:rPr/>
        <w:t>所得税率</w:t>
      </w:r>
      <w:r>
        <w:rPr>
          <w:rFonts w:ascii="Times New Roman" w:hAnsi="Times New Roman" w:cs="Times New Roman" w:eastAsia="Times New Roman" w:hint="default"/>
        </w:rPr>
        <w:t>15%</w:t>
      </w:r>
      <w:r>
        <w:rPr/>
        <w:t>。</w:t>
      </w:r>
    </w:p>
    <w:p>
      <w:pPr>
        <w:spacing w:line="240" w:lineRule="auto" w:before="5"/>
        <w:rPr>
          <w:rFonts w:ascii="宋体" w:hAnsi="宋体" w:cs="宋体" w:eastAsia="宋体" w:hint="default"/>
          <w:sz w:val="18"/>
          <w:szCs w:val="18"/>
        </w:rPr>
      </w:pPr>
    </w:p>
    <w:p>
      <w:pPr>
        <w:pStyle w:val="BodyText"/>
        <w:spacing w:line="273" w:lineRule="auto"/>
        <w:ind w:right="1132" w:firstLine="420"/>
        <w:jc w:val="both"/>
      </w:pPr>
      <w:r>
        <w:rPr>
          <w:spacing w:val="-1"/>
        </w:rPr>
        <w:t>根据《中华人民共和国企业所得税法》的第二十七条及《中华人民共和国企业所得税法实施条件》的</w:t>
      </w:r>
      <w:r>
        <w:rPr/>
        <w:t> </w:t>
      </w:r>
      <w:r>
        <w:rPr>
          <w:spacing w:val="-1"/>
        </w:rPr>
        <w:t>第八十六条规定，本公司之子公司天津北方创业园林花苗木有限公司本年度苗木的培育和种植所得免征企</w:t>
      </w:r>
      <w:r>
        <w:rPr>
          <w:spacing w:val="-81"/>
        </w:rPr>
        <w:t> </w:t>
      </w:r>
      <w:r>
        <w:rPr>
          <w:spacing w:val="-81"/>
        </w:rPr>
      </w:r>
      <w:r>
        <w:rPr/>
        <w:t>业所得税。</w:t>
      </w:r>
    </w:p>
    <w:p>
      <w:pPr>
        <w:spacing w:line="240" w:lineRule="auto" w:before="12"/>
        <w:rPr>
          <w:rFonts w:ascii="宋体" w:hAnsi="宋体" w:cs="宋体" w:eastAsia="宋体" w:hint="default"/>
          <w:sz w:val="18"/>
          <w:szCs w:val="18"/>
        </w:rPr>
      </w:pPr>
    </w:p>
    <w:p>
      <w:pPr>
        <w:pStyle w:val="BodyText"/>
        <w:spacing w:line="256" w:lineRule="auto"/>
        <w:ind w:right="1010" w:firstLine="420"/>
        <w:jc w:val="left"/>
      </w:pPr>
      <w:r>
        <w:rPr/>
        <w:t>本公司之子公司京蓝能科技术有限公司于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月取得北京市科学技术委员会、北京市财政局、北 京市国家税务局、北京市地方税务局联合颁发的《高新技术企业证书》，证书编号为：</w:t>
      </w:r>
      <w:r>
        <w:rPr>
          <w:rFonts w:ascii="Times New Roman" w:hAnsi="Times New Roman" w:cs="Times New Roman" w:eastAsia="Times New Roman" w:hint="default"/>
        </w:rPr>
        <w:t>GR201711001274</w:t>
      </w:r>
      <w:r>
        <w:rPr/>
        <w:t>， 发证时间为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日，有效期三年，自</w:t>
      </w:r>
      <w:r>
        <w:rPr>
          <w:rFonts w:ascii="Times New Roman" w:hAnsi="Times New Roman" w:cs="Times New Roman" w:eastAsia="Times New Roman" w:hint="default"/>
        </w:rPr>
        <w:t>2017</w:t>
      </w:r>
      <w:r>
        <w:rPr/>
        <w:t>年度起，在有效期内适用企业所得税率</w:t>
      </w:r>
      <w:r>
        <w:rPr>
          <w:rFonts w:ascii="Times New Roman" w:hAnsi="Times New Roman" w:cs="Times New Roman" w:eastAsia="Times New Roman" w:hint="default"/>
        </w:rPr>
        <w:t>15%</w:t>
      </w:r>
      <w:r>
        <w:rPr/>
        <w:t>。</w:t>
      </w:r>
    </w:p>
    <w:p>
      <w:pPr>
        <w:spacing w:line="240" w:lineRule="auto" w:before="9"/>
        <w:rPr>
          <w:rFonts w:ascii="宋体" w:hAnsi="宋体" w:cs="宋体" w:eastAsia="宋体" w:hint="default"/>
          <w:sz w:val="18"/>
          <w:szCs w:val="18"/>
        </w:rPr>
      </w:pPr>
    </w:p>
    <w:p>
      <w:pPr>
        <w:pStyle w:val="BodyText"/>
        <w:spacing w:line="256" w:lineRule="auto"/>
        <w:ind w:right="1010" w:firstLine="420"/>
        <w:jc w:val="left"/>
      </w:pPr>
      <w:r>
        <w:rPr/>
        <w:t>本公司之子公司京蓝生态科技有限公司于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月取得北京市科学技术委员会、北京市财政局、北 京市国家税务局、北京市地方税务局联合颁发的《高新技术企业证书》，证书编号为：</w:t>
      </w:r>
      <w:r>
        <w:rPr>
          <w:rFonts w:ascii="Times New Roman" w:hAnsi="Times New Roman" w:cs="Times New Roman" w:eastAsia="Times New Roman" w:hint="default"/>
        </w:rPr>
        <w:t>GR201711004063</w:t>
      </w:r>
      <w:r>
        <w:rPr/>
        <w:t>， 发证时间为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日，有效期三年，自</w:t>
      </w:r>
      <w:r>
        <w:rPr>
          <w:rFonts w:ascii="Times New Roman" w:hAnsi="Times New Roman" w:cs="Times New Roman" w:eastAsia="Times New Roman" w:hint="default"/>
        </w:rPr>
        <w:t>2017</w:t>
      </w:r>
      <w:r>
        <w:rPr/>
        <w:t>年度起，在有效期内适用企业所得税率</w:t>
      </w:r>
      <w:r>
        <w:rPr>
          <w:rFonts w:ascii="Times New Roman" w:hAnsi="Times New Roman" w:cs="Times New Roman" w:eastAsia="Times New Roman" w:hint="default"/>
        </w:rPr>
        <w:t>15%</w:t>
      </w:r>
      <w:r>
        <w:rPr/>
        <w:t>。</w:t>
      </w:r>
    </w:p>
    <w:p>
      <w:pPr>
        <w:pStyle w:val="BodyText"/>
        <w:spacing w:line="460" w:lineRule="atLeast" w:before="77"/>
        <w:ind w:left="559" w:right="1118" w:firstLine="102"/>
        <w:jc w:val="left"/>
      </w:pPr>
      <w:r>
        <w:rPr>
          <w:rFonts w:ascii="Times New Roman" w:hAnsi="Times New Roman" w:cs="Times New Roman" w:eastAsia="Times New Roman" w:hint="default"/>
        </w:rPr>
        <w:t>2</w:t>
      </w:r>
      <w:r>
        <w:rPr/>
        <w:t>）增值税 根据财政部国家税务总局《免征滴灌带和滴灌管产品增值税的通知》（财税</w:t>
      </w:r>
      <w:r>
        <w:rPr>
          <w:rFonts w:ascii="Times New Roman" w:hAnsi="Times New Roman" w:cs="Times New Roman" w:eastAsia="Times New Roman" w:hint="default"/>
        </w:rPr>
        <w:t>[2007]83</w:t>
      </w:r>
      <w:r>
        <w:rPr/>
        <w:t>号），本公司之</w:t>
      </w:r>
    </w:p>
    <w:p>
      <w:pPr>
        <w:pStyle w:val="BodyText"/>
        <w:spacing w:line="273" w:lineRule="auto" w:before="21"/>
        <w:ind w:right="1118"/>
        <w:jc w:val="left"/>
      </w:pPr>
      <w:r>
        <w:rPr>
          <w:spacing w:val="-1"/>
        </w:rPr>
        <w:t>子公司京蓝沐禾节水装备有限公司、衡水沐禾节水科技有限公司的滴灌带、滴灌管属享受增值税优惠政策</w:t>
      </w:r>
      <w:r>
        <w:rPr>
          <w:spacing w:val="-81"/>
        </w:rPr>
        <w:t> </w:t>
      </w:r>
      <w:r>
        <w:rPr>
          <w:spacing w:val="-81"/>
        </w:rPr>
      </w:r>
      <w:r>
        <w:rPr/>
        <w:t>产品。</w:t>
      </w:r>
    </w:p>
    <w:p>
      <w:pPr>
        <w:pStyle w:val="BodyText"/>
        <w:spacing w:line="273" w:lineRule="auto" w:before="164"/>
        <w:ind w:right="0" w:firstLine="420"/>
        <w:jc w:val="left"/>
      </w:pPr>
      <w:r>
        <w:rPr>
          <w:spacing w:val="-1"/>
        </w:rPr>
        <w:t>根据《增值税暂行条例实施细则》相关规定，本公司之子公司京蓝北方园林（天津）有限公司及天津</w:t>
      </w:r>
      <w:r>
        <w:rPr/>
        <w:t> 北方创业园林花苗木有限公司本年度销售自己种植的苗木免征增值税。</w:t>
      </w:r>
    </w:p>
    <w:p>
      <w:pPr>
        <w:pStyle w:val="BodyText"/>
        <w:spacing w:line="240" w:lineRule="auto" w:before="163"/>
        <w:ind w:left="574" w:right="0"/>
        <w:jc w:val="left"/>
      </w:pPr>
      <w:r>
        <w:rPr/>
        <w:t>根据《财政部国家税务总局关于有机肥产品免征增值税的通知》（财税</w:t>
      </w:r>
      <w:r>
        <w:rPr>
          <w:rFonts w:ascii="Times New Roman" w:hAnsi="Times New Roman" w:cs="Times New Roman" w:eastAsia="Times New Roman" w:hint="default"/>
        </w:rPr>
        <w:t>[2008]56</w:t>
      </w:r>
      <w:r>
        <w:rPr/>
        <w:t>号）、《国家税务总</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66" w:lineRule="auto" w:before="35"/>
        <w:ind w:right="1132"/>
        <w:jc w:val="both"/>
      </w:pPr>
      <w:r>
        <w:rPr/>
        <w:t>局关于有机肥产品免征增值税问题的批复》（国税函</w:t>
      </w:r>
      <w:r>
        <w:rPr>
          <w:rFonts w:ascii="Times New Roman" w:hAnsi="Times New Roman" w:cs="Times New Roman" w:eastAsia="Times New Roman" w:hint="default"/>
        </w:rPr>
        <w:t>[2008]1020</w:t>
      </w:r>
      <w:r>
        <w:rPr/>
        <w:t>号）相关规定，本公司之子公司天津市北</w:t>
      </w:r>
      <w:r>
        <w:rPr>
          <w:spacing w:val="-66"/>
        </w:rPr>
        <w:t> </w:t>
      </w:r>
      <w:r>
        <w:rPr>
          <w:spacing w:val="-66"/>
        </w:rPr>
      </w:r>
      <w:r>
        <w:rPr>
          <w:spacing w:val="-1"/>
        </w:rPr>
        <w:t>方绿业生态科技有限公司及天津绿动植物营养技术开发有限公司本年度生产销售和批发、零售有机肥产品</w:t>
      </w:r>
      <w:r>
        <w:rPr>
          <w:spacing w:val="-81"/>
        </w:rPr>
        <w:t> </w:t>
      </w:r>
      <w:r>
        <w:rPr>
          <w:spacing w:val="-81"/>
        </w:rPr>
      </w:r>
      <w:r>
        <w:rPr/>
        <w:t>免征增值税。</w:t>
      </w:r>
    </w:p>
    <w:p>
      <w:pPr>
        <w:pStyle w:val="BodyText"/>
        <w:spacing w:line="266" w:lineRule="auto" w:before="22"/>
        <w:ind w:right="0" w:firstLine="420"/>
        <w:jc w:val="left"/>
      </w:pPr>
      <w:r>
        <w:rPr>
          <w:spacing w:val="-4"/>
        </w:rPr>
        <w:t>根据《财政部国家税务总部关于农业生产资料免征增值税政策的通知》（财税字</w:t>
      </w:r>
      <w:r>
        <w:rPr>
          <w:rFonts w:ascii="Times New Roman" w:hAnsi="Times New Roman" w:cs="Times New Roman" w:eastAsia="Times New Roman" w:hint="default"/>
          <w:spacing w:val="-4"/>
        </w:rPr>
        <w:t>[2001]</w:t>
      </w:r>
      <w:r>
        <w:rPr>
          <w:spacing w:val="-4"/>
        </w:rPr>
        <w:t>第</w:t>
      </w:r>
      <w:r>
        <w:rPr>
          <w:rFonts w:ascii="Times New Roman" w:hAnsi="Times New Roman" w:cs="Times New Roman" w:eastAsia="Times New Roman" w:hint="default"/>
          <w:spacing w:val="-4"/>
        </w:rPr>
        <w:t>113</w:t>
      </w:r>
      <w:r>
        <w:rPr>
          <w:spacing w:val="-4"/>
        </w:rPr>
        <w:t>号）规定，</w:t>
      </w:r>
      <w:r>
        <w:rPr/>
        <w:t> 本公司之子公司天津市北方科创环境检测有限公司本年度批发和零售的种子、种苗、化肥、农药、农机之 项目免征增值税。</w:t>
      </w:r>
    </w:p>
    <w:p>
      <w:pPr>
        <w:spacing w:line="240" w:lineRule="auto" w:before="1"/>
        <w:rPr>
          <w:rFonts w:ascii="宋体" w:hAnsi="宋体" w:cs="宋体" w:eastAsia="宋体" w:hint="default"/>
          <w:sz w:val="24"/>
          <w:szCs w:val="24"/>
        </w:rPr>
      </w:pPr>
    </w:p>
    <w:p>
      <w:pPr>
        <w:spacing w:line="487" w:lineRule="auto" w:before="0"/>
        <w:ind w:left="154" w:right="7692" w:firstLine="0"/>
        <w:jc w:val="left"/>
        <w:rPr>
          <w:rFonts w:ascii="宋体" w:hAnsi="宋体" w:cs="宋体" w:eastAsia="宋体" w:hint="default"/>
          <w:sz w:val="21"/>
          <w:szCs w:val="21"/>
        </w:rPr>
      </w:pPr>
      <w:bookmarkStart w:name="3、其他" w:id="238"/>
      <w:bookmarkEnd w:id="23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39"/>
      <w:bookmarkEnd w:id="239"/>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40"/>
      <w:bookmarkEnd w:id="240"/>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267,403.77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153,014.55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346,886,930.23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970,981,666.63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243,180,368.96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76,535,719.57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590,334,702.96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1,047,670,400.75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56" w:lineRule="auto"/>
        <w:ind w:right="1029" w:firstLine="588"/>
        <w:jc w:val="left"/>
      </w:pPr>
      <w:r>
        <w:rPr/>
        <w:t>公司货币资金中限制用途的资金为</w:t>
      </w:r>
      <w:r>
        <w:rPr>
          <w:rFonts w:ascii="Times New Roman" w:hAnsi="Times New Roman" w:cs="Times New Roman" w:eastAsia="Times New Roman" w:hint="default"/>
        </w:rPr>
        <w:t>243,180,368.96</w:t>
      </w:r>
      <w:r>
        <w:rPr/>
        <w:t>元，其中：银行承兑汇票保证金</w:t>
      </w:r>
      <w:r>
        <w:rPr>
          <w:rFonts w:ascii="Times New Roman" w:hAnsi="Times New Roman" w:cs="Times New Roman" w:eastAsia="Times New Roman" w:hint="default"/>
        </w:rPr>
        <w:t>165,950,800.30</w:t>
      </w:r>
      <w:r>
        <w:rPr/>
        <w:t>元，</w:t>
      </w:r>
      <w:r>
        <w:rPr>
          <w:spacing w:val="1"/>
        </w:rPr>
        <w:t> </w:t>
      </w:r>
      <w:r>
        <w:rPr>
          <w:spacing w:val="8"/>
        </w:rPr>
        <w:t>履约保函保证金</w:t>
      </w:r>
      <w:r>
        <w:rPr>
          <w:rFonts w:ascii="Times New Roman" w:hAnsi="Times New Roman" w:cs="Times New Roman" w:eastAsia="Times New Roman" w:hint="default"/>
          <w:spacing w:val="8"/>
        </w:rPr>
        <w:t>33,105,844.39</w:t>
      </w:r>
      <w:r>
        <w:rPr>
          <w:spacing w:val="8"/>
        </w:rPr>
        <w:t>元，信用证保证金</w:t>
      </w:r>
      <w:r>
        <w:rPr>
          <w:rFonts w:ascii="Times New Roman" w:hAnsi="Times New Roman" w:cs="Times New Roman" w:eastAsia="Times New Roman" w:hint="default"/>
          <w:spacing w:val="8"/>
        </w:rPr>
        <w:t>9,097.05</w:t>
      </w:r>
      <w:r>
        <w:rPr>
          <w:spacing w:val="8"/>
        </w:rPr>
        <w:t>元，农民工保证金</w:t>
      </w:r>
      <w:r>
        <w:rPr>
          <w:spacing w:val="-84"/>
        </w:rPr>
        <w:t> </w:t>
      </w:r>
      <w:r>
        <w:rPr>
          <w:rFonts w:ascii="Times New Roman" w:hAnsi="Times New Roman" w:cs="Times New Roman" w:eastAsia="Times New Roman" w:hint="default"/>
          <w:spacing w:val="5"/>
        </w:rPr>
        <w:t>4,114,627.22</w:t>
      </w:r>
      <w:r>
        <w:rPr>
          <w:spacing w:val="5"/>
        </w:rPr>
        <w:t>元，定期存单</w:t>
      </w:r>
      <w:r>
        <w:rPr>
          <w:spacing w:val="-81"/>
        </w:rPr>
        <w:t> </w:t>
      </w:r>
      <w:r>
        <w:rPr>
          <w:spacing w:val="-81"/>
        </w:rPr>
      </w:r>
      <w:r>
        <w:rPr>
          <w:rFonts w:ascii="Times New Roman" w:hAnsi="Times New Roman" w:cs="Times New Roman" w:eastAsia="Times New Roman" w:hint="default"/>
        </w:rPr>
        <w:t>40,000,000.00</w:t>
      </w:r>
      <w:r>
        <w:rPr/>
        <w:t>元。</w:t>
      </w:r>
    </w:p>
    <w:p>
      <w:pPr>
        <w:spacing w:line="240" w:lineRule="auto" w:before="5"/>
        <w:rPr>
          <w:rFonts w:ascii="宋体" w:hAnsi="宋体" w:cs="宋体" w:eastAsia="宋体" w:hint="default"/>
          <w:sz w:val="23"/>
          <w:szCs w:val="23"/>
        </w:rPr>
      </w:pPr>
    </w:p>
    <w:p>
      <w:pPr>
        <w:pStyle w:val="Heading4"/>
        <w:spacing w:line="240" w:lineRule="auto"/>
        <w:ind w:right="0"/>
        <w:jc w:val="left"/>
        <w:rPr>
          <w:b w:val="0"/>
          <w:bCs w:val="0"/>
        </w:rPr>
      </w:pPr>
      <w:bookmarkStart w:name="2、以公允价值计量且其变动计入当期损益的金融资产" w:id="241"/>
      <w:bookmarkEnd w:id="241"/>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衍生金融资产" w:id="242"/>
      <w:bookmarkEnd w:id="242"/>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应收票据及应收账款" w:id="243"/>
      <w:bookmarkEnd w:id="243"/>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15,912,693.98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1,291,754.98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548,742,296.08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616,507,263.54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564,654,990.06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617,799,018.52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票据" w:id="244"/>
      <w:bookmarkEnd w:id="244"/>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1,112,693.98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1,091,754.98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15,912,693.98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1,291,754.98</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4,900,000.00</w:t>
            </w:r>
          </w:p>
        </w:tc>
      </w:tr>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4,900,000.00</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期末公司因出票人未履约而将其转应收账款的票据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376" w:lineRule="auto"/>
        <w:ind w:right="4662"/>
        <w:jc w:val="left"/>
      </w:pPr>
      <w:r>
        <w:rPr/>
        <w:t>期末公司应收票据无坏账准备。 期末公司无已背书或贴现且在资产负债表日尚未到期的应收票据。 期末无因出票人未履约而将其转应收账款的票据。</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4"/>
        <w:spacing w:line="240" w:lineRule="auto"/>
        <w:ind w:right="0"/>
        <w:jc w:val="left"/>
        <w:rPr>
          <w:b w:val="0"/>
          <w:bCs w:val="0"/>
        </w:rPr>
      </w:pPr>
      <w:bookmarkStart w:name="（2）应收账款" w:id="245"/>
      <w:bookmarkEnd w:id="245"/>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46"/>
        <w:gridCol w:w="752"/>
        <w:gridCol w:w="762"/>
        <w:gridCol w:w="762"/>
        <w:gridCol w:w="751"/>
        <w:gridCol w:w="812"/>
        <w:gridCol w:w="643"/>
        <w:gridCol w:w="762"/>
        <w:gridCol w:w="813"/>
        <w:gridCol w:w="932"/>
        <w:gridCol w:w="932"/>
      </w:tblGrid>
      <w:tr>
        <w:trPr>
          <w:trHeight w:val="403" w:hRule="exact"/>
        </w:trPr>
        <w:tc>
          <w:tcPr>
            <w:tcW w:w="1646"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46" w:type="dxa"/>
            <w:vMerge/>
            <w:tcBorders>
              <w:left w:val="single" w:sz="4" w:space="0" w:color="000000"/>
              <w:bottom w:val="nil" w:sz="6" w:space="0" w:color="auto"/>
              <w:right w:val="single" w:sz="4" w:space="0" w:color="000000"/>
            </w:tcBorders>
            <w:shd w:val="clear" w:color="auto" w:fill="D2D2D2"/>
          </w:tcPr>
          <w:p>
            <w:pPr/>
          </w:p>
        </w:tc>
        <w:tc>
          <w:tcPr>
            <w:tcW w:w="15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12" w:type="dxa"/>
            <w:vMerge w:val="restart"/>
            <w:tcBorders>
              <w:top w:val="single" w:sz="4" w:space="0" w:color="000000"/>
              <w:left w:val="single" w:sz="4" w:space="0" w:color="000000"/>
              <w:right w:val="single" w:sz="4" w:space="0" w:color="000000"/>
            </w:tcBorders>
            <w:shd w:val="clear" w:color="auto" w:fill="D2D2D2"/>
          </w:tcPr>
          <w:p>
            <w:pPr/>
          </w:p>
        </w:tc>
        <w:tc>
          <w:tcPr>
            <w:tcW w:w="140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14" w:type="dxa"/>
            <w:gridSpan w:val="2"/>
            <w:vMerge/>
            <w:tcBorders>
              <w:left w:val="single" w:sz="4" w:space="0" w:color="000000"/>
              <w:bottom w:val="single" w:sz="4" w:space="0" w:color="000000"/>
              <w:right w:val="single" w:sz="4" w:space="0" w:color="000000"/>
            </w:tcBorders>
            <w:shd w:val="clear" w:color="auto" w:fill="D2D2D2"/>
          </w:tcPr>
          <w:p>
            <w:pP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812" w:type="dxa"/>
            <w:vMerge/>
            <w:tcBorders>
              <w:left w:val="single" w:sz="4" w:space="0" w:color="000000"/>
              <w:bottom w:val="nil" w:sz="6" w:space="0" w:color="auto"/>
              <w:right w:val="single" w:sz="4" w:space="0" w:color="000000"/>
            </w:tcBorders>
            <w:shd w:val="clear" w:color="auto" w:fill="D2D2D2"/>
          </w:tcPr>
          <w:p>
            <w:pPr/>
          </w:p>
        </w:tc>
        <w:tc>
          <w:tcPr>
            <w:tcW w:w="1405"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46" w:type="dxa"/>
            <w:vMerge/>
            <w:tcBorders>
              <w:left w:val="single" w:sz="4" w:space="0" w:color="000000"/>
              <w:bottom w:val="single" w:sz="4" w:space="0" w:color="FFFFFF"/>
              <w:right w:val="single" w:sz="4" w:space="0" w:color="000000"/>
            </w:tcBorders>
            <w:shd w:val="clear" w:color="auto" w:fill="D2D2D2"/>
          </w:tcPr>
          <w:p>
            <w:pPr/>
          </w:p>
        </w:tc>
        <w:tc>
          <w:tcPr>
            <w:tcW w:w="75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285" w:right="9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4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46" w:type="dxa"/>
            <w:vMerge w:val="restart"/>
            <w:tcBorders>
              <w:top w:val="single" w:sz="4" w:space="0" w:color="FFFFFF"/>
              <w:left w:val="single" w:sz="4" w:space="0" w:color="000000"/>
              <w:right w:val="single" w:sz="4" w:space="0" w:color="000000"/>
            </w:tcBorders>
            <w:shd w:val="clear" w:color="auto" w:fill="D2D2D2"/>
          </w:tcPr>
          <w:p>
            <w:pPr/>
          </w:p>
        </w:tc>
        <w:tc>
          <w:tcPr>
            <w:tcW w:w="7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1" w:type="dxa"/>
            <w:vMerge/>
            <w:tcBorders>
              <w:left w:val="single" w:sz="4" w:space="0" w:color="000000"/>
              <w:right w:val="single" w:sz="4" w:space="0" w:color="000000"/>
            </w:tcBorders>
            <w:shd w:val="clear" w:color="auto" w:fill="D2D2D2"/>
          </w:tcPr>
          <w:p>
            <w:pPr/>
          </w:p>
        </w:tc>
        <w:tc>
          <w:tcPr>
            <w:tcW w:w="812" w:type="dxa"/>
            <w:vMerge/>
            <w:tcBorders>
              <w:left w:val="single" w:sz="4" w:space="0" w:color="000000"/>
              <w:bottom w:val="nil" w:sz="6" w:space="0" w:color="auto"/>
              <w:right w:val="single" w:sz="4" w:space="0" w:color="000000"/>
            </w:tcBorders>
            <w:shd w:val="clear" w:color="auto" w:fill="D2D2D2"/>
          </w:tcPr>
          <w:p>
            <w:pPr/>
          </w:p>
        </w:tc>
        <w:tc>
          <w:tcPr>
            <w:tcW w:w="6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3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46" w:type="dxa"/>
            <w:vMerge/>
            <w:tcBorders>
              <w:left w:val="single" w:sz="4" w:space="0" w:color="000000"/>
              <w:right w:val="single" w:sz="4" w:space="0" w:color="000000"/>
            </w:tcBorders>
            <w:shd w:val="clear" w:color="auto" w:fill="D2D2D2"/>
          </w:tcPr>
          <w:p>
            <w:pPr/>
          </w:p>
        </w:tc>
        <w:tc>
          <w:tcPr>
            <w:tcW w:w="75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51" w:type="dxa"/>
            <w:vMerge/>
            <w:tcBorders>
              <w:left w:val="single" w:sz="4" w:space="0" w:color="000000"/>
              <w:right w:val="single" w:sz="4" w:space="0" w:color="000000"/>
            </w:tcBorders>
            <w:shd w:val="clear" w:color="auto" w:fill="D2D2D2"/>
          </w:tcPr>
          <w:p>
            <w:pPr/>
          </w:p>
        </w:tc>
        <w:tc>
          <w:tcPr>
            <w:tcW w:w="812" w:type="dxa"/>
            <w:vMerge w:val="restart"/>
            <w:tcBorders>
              <w:top w:val="nil" w:sz="6" w:space="0" w:color="auto"/>
              <w:left w:val="single" w:sz="4" w:space="0" w:color="000000"/>
              <w:right w:val="single" w:sz="4" w:space="0" w:color="000000"/>
            </w:tcBorders>
            <w:shd w:val="clear" w:color="auto" w:fill="D2D2D2"/>
          </w:tcPr>
          <w:p>
            <w:pPr/>
          </w:p>
        </w:tc>
        <w:tc>
          <w:tcPr>
            <w:tcW w:w="64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46" w:type="dxa"/>
            <w:vMerge/>
            <w:tcBorders>
              <w:left w:val="single" w:sz="4" w:space="0" w:color="000000"/>
              <w:bottom w:val="single" w:sz="4" w:space="0" w:color="000000"/>
              <w:right w:val="single" w:sz="4" w:space="0" w:color="000000"/>
            </w:tcBorders>
            <w:shd w:val="clear" w:color="auto" w:fill="D2D2D2"/>
          </w:tcPr>
          <w:p>
            <w:pPr/>
          </w:p>
        </w:tc>
        <w:tc>
          <w:tcPr>
            <w:tcW w:w="7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51" w:type="dxa"/>
            <w:vMerge/>
            <w:tcBorders>
              <w:left w:val="single" w:sz="4" w:space="0" w:color="000000"/>
              <w:bottom w:val="single" w:sz="4" w:space="0" w:color="000000"/>
              <w:right w:val="single" w:sz="4" w:space="0" w:color="000000"/>
            </w:tcBorders>
            <w:shd w:val="clear" w:color="auto" w:fill="D2D2D2"/>
          </w:tcPr>
          <w:p>
            <w:pPr/>
          </w:p>
        </w:tc>
        <w:tc>
          <w:tcPr>
            <w:tcW w:w="812" w:type="dxa"/>
            <w:vMerge/>
            <w:tcBorders>
              <w:left w:val="single" w:sz="4" w:space="0" w:color="000000"/>
              <w:bottom w:val="single" w:sz="4" w:space="0" w:color="000000"/>
              <w:right w:val="single" w:sz="4" w:space="0" w:color="000000"/>
            </w:tcBorders>
            <w:shd w:val="clear" w:color="auto" w:fill="D2D2D2"/>
          </w:tcPr>
          <w:p>
            <w:pPr/>
          </w:p>
        </w:tc>
        <w:tc>
          <w:tcPr>
            <w:tcW w:w="64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2" w:right="171"/>
              <w:jc w:val="left"/>
              <w:rPr>
                <w:rFonts w:ascii="宋体" w:hAnsi="宋体" w:cs="宋体" w:eastAsia="宋体" w:hint="default"/>
                <w:sz w:val="18"/>
                <w:szCs w:val="18"/>
              </w:rPr>
            </w:pPr>
            <w:r>
              <w:rPr>
                <w:rFonts w:ascii="宋体" w:hAnsi="宋体" w:cs="宋体" w:eastAsia="宋体" w:hint="default"/>
                <w:sz w:val="18"/>
                <w:szCs w:val="18"/>
              </w:rPr>
              <w:t>单项金额重大并单 独计提坏账准备的</w:t>
            </w:r>
          </w:p>
        </w:tc>
        <w:tc>
          <w:tcPr>
            <w:tcW w:w="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76" w:right="0"/>
              <w:jc w:val="left"/>
              <w:rPr>
                <w:rFonts w:ascii="Times New Roman" w:hAnsi="Times New Roman" w:cs="Times New Roman" w:eastAsia="Times New Roman" w:hint="default"/>
                <w:sz w:val="18"/>
                <w:szCs w:val="18"/>
              </w:rPr>
            </w:pPr>
            <w:r>
              <w:rPr>
                <w:rFonts w:ascii="Times New Roman"/>
                <w:sz w:val="18"/>
              </w:rPr>
              <w:t>4,566,53</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0.72%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4,566,53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4" w:right="0"/>
              <w:jc w:val="left"/>
              <w:rPr>
                <w:rFonts w:ascii="Times New Roman" w:hAnsi="Times New Roman" w:cs="Times New Roman" w:eastAsia="Times New Roman" w:hint="default"/>
                <w:sz w:val="18"/>
                <w:szCs w:val="18"/>
              </w:rPr>
            </w:pPr>
            <w:r>
              <w:rPr>
                <w:rFonts w:ascii="Times New Roman"/>
                <w:sz w:val="18"/>
              </w:rPr>
              <w:t>0.00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4"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633,721,</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396.47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84,979,1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00.39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548,742,2</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96.08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712,074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,469.44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95,567,20</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5.90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616,507,26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3.54</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2,051,4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2,051,435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638,287,</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931.47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89,545,6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35.39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548,742,2</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96.08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714,125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,904.44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97,618,64</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0.90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616,507,26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3.54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合肥某电子科技有限责 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2,515,100.00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2,515,100.00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预计收回可能性较低</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天津某房地产开发有限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2,051,435.00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2,051,435.00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预计收回可能性较低</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4,566,535.00</w:t>
            </w:r>
          </w:p>
        </w:tc>
        <w:tc>
          <w:tcPr>
            <w:tcW w:w="19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4,566,535.00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115" w:space="471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298,440,512.45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2,984,405.12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298,440,512.45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2,984,405.12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108,930,083.54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10,893,008.36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136,011,758.67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27,202,351.74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52,372,970.82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15,711,891.24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19,557,254.14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9,778,627.08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18,408,816.85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18,408,816.85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633,721,396.47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84,979,100.39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6"/>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after="0" w:line="3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spacing w:before="44"/>
        <w:ind w:left="154" w:right="-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40" w:lineRule="auto" w:before="102"/>
        <w:ind w:left="154" w:right="-15"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13,284,473.83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21,357,479.34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7264" w:space="156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before="11"/>
        <w:ind w:left="154" w:right="-20" w:firstLine="0"/>
        <w:jc w:val="left"/>
        <w:rPr>
          <w:rFonts w:ascii="宋体" w:hAnsi="宋体" w:cs="宋体" w:eastAsia="宋体" w:hint="default"/>
          <w:sz w:val="18"/>
          <w:szCs w:val="18"/>
        </w:rPr>
      </w:pPr>
      <w:r>
        <w:rPr>
          <w:rFonts w:ascii="宋体" w:hAnsi="宋体" w:cs="宋体" w:eastAsia="宋体" w:hint="default"/>
          <w:sz w:val="18"/>
          <w:szCs w:val="18"/>
        </w:rPr>
        <w:t>无</w:t>
      </w:r>
    </w:p>
    <w:p>
      <w:pPr>
        <w:pStyle w:val="Heading3"/>
        <w:spacing w:line="240" w:lineRule="auto" w:before="26"/>
        <w:ind w:right="-20"/>
        <w:jc w:val="left"/>
      </w:pPr>
      <w:r>
        <w:rPr>
          <w:rFonts w:ascii="Times New Roman" w:hAnsi="Times New Roman" w:cs="Times New Roman" w:eastAsia="Times New Roman" w:hint="default"/>
        </w:rPr>
        <w:t>3)</w:t>
      </w:r>
      <w:r>
        <w:rPr/>
        <w:t>本期实际核销的应收账款情况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475" w:space="5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pStyle w:val="BodyText"/>
        <w:spacing w:line="256" w:lineRule="auto" w:before="77"/>
        <w:ind w:right="1118" w:firstLine="370"/>
        <w:jc w:val="left"/>
      </w:pPr>
      <w:r>
        <w:rPr>
          <w:spacing w:val="-1"/>
        </w:rPr>
        <w:t>本报告期按欠款方归集的期末余额前五名应收账款汇总金额</w:t>
      </w:r>
      <w:r>
        <w:rPr>
          <w:rFonts w:ascii="Times New Roman" w:hAnsi="Times New Roman" w:cs="Times New Roman" w:eastAsia="Times New Roman" w:hint="default"/>
          <w:spacing w:val="-1"/>
        </w:rPr>
        <w:t>162,138,542.07</w:t>
      </w:r>
      <w:r>
        <w:rPr>
          <w:spacing w:val="-1"/>
        </w:rPr>
        <w:t>元，占应收账款期末余额合</w:t>
      </w:r>
      <w:r>
        <w:rPr/>
        <w:t> 计数的比例 </w:t>
      </w:r>
      <w:r>
        <w:rPr>
          <w:rFonts w:ascii="Times New Roman" w:hAnsi="Times New Roman" w:cs="Times New Roman" w:eastAsia="Times New Roman" w:hint="default"/>
        </w:rPr>
        <w:t>25.39%</w:t>
      </w:r>
      <w:r>
        <w:rPr/>
        <w:t>，相应计提的坏账准备期末余额汇总金额</w:t>
      </w:r>
      <w:r>
        <w:rPr>
          <w:spacing w:val="-46"/>
        </w:rPr>
        <w:t> </w:t>
      </w:r>
      <w:r>
        <w:rPr>
          <w:rFonts w:ascii="Times New Roman" w:hAnsi="Times New Roman" w:cs="Times New Roman" w:eastAsia="Times New Roman" w:hint="default"/>
        </w:rPr>
        <w:t>11,929,415.36</w:t>
      </w:r>
      <w:r>
        <w:rPr/>
        <w:t>元。</w:t>
      </w:r>
    </w:p>
    <w:p>
      <w:pPr>
        <w:spacing w:line="240" w:lineRule="auto" w:before="0"/>
        <w:rPr>
          <w:rFonts w:ascii="宋体" w:hAnsi="宋体" w:cs="宋体" w:eastAsia="宋体" w:hint="default"/>
          <w:sz w:val="18"/>
          <w:szCs w:val="18"/>
        </w:rPr>
      </w:pPr>
    </w:p>
    <w:tbl>
      <w:tblPr>
        <w:tblW w:w="0" w:type="auto"/>
        <w:jc w:val="left"/>
        <w:tblInd w:w="146" w:type="dxa"/>
        <w:tblLayout w:type="fixed"/>
        <w:tblCellMar>
          <w:top w:w="0" w:type="dxa"/>
          <w:left w:w="0" w:type="dxa"/>
          <w:bottom w:w="0" w:type="dxa"/>
          <w:right w:w="0" w:type="dxa"/>
        </w:tblCellMar>
        <w:tblLook w:val="01E0"/>
      </w:tblPr>
      <w:tblGrid>
        <w:gridCol w:w="2579"/>
        <w:gridCol w:w="1418"/>
        <w:gridCol w:w="1985"/>
        <w:gridCol w:w="1560"/>
        <w:gridCol w:w="1580"/>
      </w:tblGrid>
      <w:tr>
        <w:trPr>
          <w:trHeight w:val="667" w:hRule="exact"/>
        </w:trPr>
        <w:tc>
          <w:tcPr>
            <w:tcW w:w="25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85" w:lineRule="auto" w:before="5"/>
              <w:ind w:left="171" w:right="67" w:hanging="101"/>
              <w:jc w:val="left"/>
              <w:rPr>
                <w:rFonts w:ascii="宋体" w:hAnsi="宋体" w:cs="宋体" w:eastAsia="宋体" w:hint="default"/>
                <w:sz w:val="20"/>
                <w:szCs w:val="20"/>
              </w:rPr>
            </w:pPr>
            <w:r>
              <w:rPr>
                <w:rFonts w:ascii="宋体" w:hAnsi="宋体" w:cs="宋体" w:eastAsia="宋体" w:hint="default"/>
                <w:b/>
                <w:bCs/>
                <w:sz w:val="20"/>
                <w:szCs w:val="20"/>
              </w:rPr>
              <w:t>占应收账款总额</w:t>
            </w:r>
            <w:r>
              <w:rPr>
                <w:rFonts w:ascii="宋体" w:hAnsi="宋体" w:cs="宋体" w:eastAsia="宋体" w:hint="default"/>
                <w:b/>
                <w:bCs/>
                <w:w w:val="99"/>
                <w:sz w:val="20"/>
                <w:szCs w:val="20"/>
              </w:rPr>
              <w:t> </w:t>
            </w:r>
            <w:r>
              <w:rPr>
                <w:rFonts w:ascii="宋体" w:hAnsi="宋体" w:cs="宋体" w:eastAsia="宋体" w:hint="default"/>
                <w:b/>
                <w:bCs/>
                <w:sz w:val="20"/>
                <w:szCs w:val="20"/>
              </w:rPr>
              <w:t>的比例（</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58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
              <w:ind w:left="381"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352" w:hRule="exact"/>
        </w:trPr>
        <w:tc>
          <w:tcPr>
            <w:tcW w:w="257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巴林右旗某资源局</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79,797,287.94</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1"/>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12.50</w:t>
            </w:r>
          </w:p>
        </w:tc>
        <w:tc>
          <w:tcPr>
            <w:tcW w:w="15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797,972.88</w:t>
            </w:r>
          </w:p>
        </w:tc>
      </w:tr>
      <w:tr>
        <w:trPr>
          <w:trHeight w:val="353" w:hRule="exact"/>
        </w:trPr>
        <w:tc>
          <w:tcPr>
            <w:tcW w:w="257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天津某投资开发有限公司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25,415,623.09</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1"/>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至</w:t>
            </w:r>
            <w:r>
              <w:rPr>
                <w:rFonts w:ascii="Times New Roman" w:hAnsi="Times New Roman" w:cs="Times New Roman" w:eastAsia="Times New Roman" w:hint="default"/>
                <w:sz w:val="21"/>
                <w:szCs w:val="21"/>
              </w:rPr>
              <w:t>5</w:t>
            </w:r>
            <w:r>
              <w:rPr>
                <w:rFonts w:ascii="宋体" w:hAnsi="宋体" w:cs="宋体" w:eastAsia="宋体" w:hint="default"/>
                <w:sz w:val="21"/>
                <w:szCs w:val="21"/>
              </w:rPr>
              <w:t>年</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3.98</w:t>
            </w:r>
          </w:p>
        </w:tc>
        <w:tc>
          <w:tcPr>
            <w:tcW w:w="15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3,842,868.85</w:t>
            </w:r>
          </w:p>
        </w:tc>
      </w:tr>
      <w:tr>
        <w:trPr>
          <w:trHeight w:val="352" w:hRule="exact"/>
        </w:trPr>
        <w:tc>
          <w:tcPr>
            <w:tcW w:w="257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威县某专业合作社</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21,406,090.00</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1"/>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至</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3.35</w:t>
            </w:r>
          </w:p>
        </w:tc>
        <w:tc>
          <w:tcPr>
            <w:tcW w:w="15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2,140,609.00</w:t>
            </w:r>
          </w:p>
        </w:tc>
      </w:tr>
      <w:tr>
        <w:trPr>
          <w:trHeight w:val="352" w:hRule="exact"/>
        </w:trPr>
        <w:tc>
          <w:tcPr>
            <w:tcW w:w="257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天津某总公司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19,559,435.81</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1"/>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至</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3.06</w:t>
            </w:r>
          </w:p>
        </w:tc>
        <w:tc>
          <w:tcPr>
            <w:tcW w:w="15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1,955,943.58</w:t>
            </w:r>
          </w:p>
        </w:tc>
      </w:tr>
      <w:tr>
        <w:trPr>
          <w:trHeight w:val="353" w:hRule="exact"/>
        </w:trPr>
        <w:tc>
          <w:tcPr>
            <w:tcW w:w="257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阿荣旗某管理处</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15,960,105.23</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1"/>
              <w:jc w:val="righ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至</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2.50</w:t>
            </w:r>
          </w:p>
        </w:tc>
        <w:tc>
          <w:tcPr>
            <w:tcW w:w="15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3,192,021.05</w:t>
            </w:r>
          </w:p>
        </w:tc>
      </w:tr>
      <w:tr>
        <w:trPr>
          <w:trHeight w:val="352" w:hRule="exact"/>
        </w:trPr>
        <w:tc>
          <w:tcPr>
            <w:tcW w:w="2579"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162,138,542.07</w:t>
            </w:r>
          </w:p>
        </w:tc>
        <w:tc>
          <w:tcPr>
            <w:tcW w:w="1985" w:type="dxa"/>
            <w:tcBorders>
              <w:top w:val="single" w:sz="12" w:space="0" w:color="000000"/>
              <w:left w:val="single" w:sz="6" w:space="0" w:color="000000"/>
              <w:bottom w:val="single" w:sz="12" w:space="0" w:color="000000"/>
              <w:right w:val="single" w:sz="6" w:space="0" w:color="000000"/>
            </w:tcBorders>
          </w:tcPr>
          <w:p>
            <w:pP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25.39</w:t>
            </w:r>
          </w:p>
        </w:tc>
        <w:tc>
          <w:tcPr>
            <w:tcW w:w="15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11,929,415.36</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p>
    <w:p>
      <w:pPr>
        <w:spacing w:line="338" w:lineRule="auto" w:before="103"/>
        <w:ind w:left="154" w:right="68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5、预付款项" w:id="246"/>
      <w:bookmarkEnd w:id="246"/>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预付款项按账龄列示" w:id="247"/>
      <w:bookmarkEnd w:id="24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3830"/>
        <w:gridCol w:w="3818"/>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136,676,038.63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192,902,898.64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86.91%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37,660,663.93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27,832,042.71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14,743,514.64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644,060.25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700,861.86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570,823.91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189,781,079.06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221,949,825.51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38" w:lineRule="auto" w:before="51"/>
        <w:ind w:left="154" w:right="5894"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 尚未达到结算条件</w:t>
      </w:r>
    </w:p>
    <w:p>
      <w:pPr>
        <w:spacing w:line="240" w:lineRule="auto" w:before="9"/>
        <w:rPr>
          <w:rFonts w:ascii="宋体" w:hAnsi="宋体" w:cs="宋体" w:eastAsia="宋体" w:hint="default"/>
          <w:sz w:val="20"/>
          <w:szCs w:val="20"/>
        </w:rPr>
      </w:pPr>
    </w:p>
    <w:p>
      <w:pPr>
        <w:spacing w:line="610" w:lineRule="atLeast" w:before="0"/>
        <w:ind w:left="524" w:right="1116" w:hanging="371"/>
        <w:jc w:val="left"/>
        <w:rPr>
          <w:rFonts w:ascii="宋体" w:hAnsi="宋体" w:cs="宋体" w:eastAsia="宋体" w:hint="default"/>
          <w:sz w:val="21"/>
          <w:szCs w:val="21"/>
        </w:rPr>
      </w:pPr>
      <w:bookmarkStart w:name="（2）按预付对象归集的期末余额前五名的预付款情况" w:id="248"/>
      <w:bookmarkEnd w:id="24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99"/>
          <w:sz w:val="21"/>
          <w:szCs w:val="21"/>
        </w:rPr>
        <w:t> </w:t>
      </w:r>
      <w:r>
        <w:rPr>
          <w:rFonts w:ascii="宋体" w:hAnsi="宋体" w:cs="宋体" w:eastAsia="宋体" w:hint="default"/>
          <w:sz w:val="21"/>
          <w:szCs w:val="21"/>
        </w:rPr>
        <w:t>本报告期按预付对象归集的期末余额前五名预付账款汇总金额</w:t>
      </w:r>
      <w:r>
        <w:rPr>
          <w:rFonts w:ascii="宋体" w:hAnsi="宋体" w:cs="宋体" w:eastAsia="宋体" w:hint="default"/>
          <w:spacing w:val="-27"/>
          <w:sz w:val="21"/>
          <w:szCs w:val="21"/>
        </w:rPr>
        <w:t> </w:t>
      </w:r>
      <w:r>
        <w:rPr>
          <w:rFonts w:ascii="Times New Roman" w:hAnsi="Times New Roman" w:cs="Times New Roman" w:eastAsia="Times New Roman" w:hint="default"/>
          <w:sz w:val="21"/>
          <w:szCs w:val="21"/>
        </w:rPr>
        <w:t>57,570,178.57</w:t>
      </w:r>
      <w:r>
        <w:rPr>
          <w:rFonts w:ascii="宋体" w:hAnsi="宋体" w:cs="宋体" w:eastAsia="宋体" w:hint="default"/>
          <w:sz w:val="21"/>
          <w:szCs w:val="21"/>
        </w:rPr>
        <w:t>元，占预付账款期末余额</w:t>
      </w:r>
    </w:p>
    <w:p>
      <w:pPr>
        <w:pStyle w:val="BodyText"/>
        <w:spacing w:line="240" w:lineRule="auto" w:before="21"/>
        <w:ind w:right="0"/>
        <w:jc w:val="left"/>
      </w:pPr>
      <w:r>
        <w:rPr/>
        <w:t>的比例</w:t>
      </w:r>
      <w:r>
        <w:rPr>
          <w:rFonts w:ascii="Times New Roman" w:hAnsi="Times New Roman" w:cs="Times New Roman" w:eastAsia="Times New Roman" w:hint="default"/>
        </w:rPr>
        <w:t>30.33%</w:t>
      </w:r>
      <w:r>
        <w:rPr/>
        <w:t>。</w:t>
      </w:r>
    </w:p>
    <w:p>
      <w:pPr>
        <w:spacing w:line="240" w:lineRule="auto" w:before="4"/>
        <w:rPr>
          <w:rFonts w:ascii="宋体" w:hAnsi="宋体" w:cs="宋体" w:eastAsia="宋体" w:hint="default"/>
          <w:sz w:val="19"/>
          <w:szCs w:val="19"/>
        </w:rPr>
      </w:pPr>
    </w:p>
    <w:tbl>
      <w:tblPr>
        <w:tblW w:w="0" w:type="auto"/>
        <w:jc w:val="left"/>
        <w:tblInd w:w="146" w:type="dxa"/>
        <w:tblLayout w:type="fixed"/>
        <w:tblCellMar>
          <w:top w:w="0" w:type="dxa"/>
          <w:left w:w="0" w:type="dxa"/>
          <w:bottom w:w="0" w:type="dxa"/>
          <w:right w:w="0" w:type="dxa"/>
        </w:tblCellMar>
        <w:tblLook w:val="01E0"/>
      </w:tblPr>
      <w:tblGrid>
        <w:gridCol w:w="2014"/>
        <w:gridCol w:w="1276"/>
        <w:gridCol w:w="1275"/>
        <w:gridCol w:w="1418"/>
        <w:gridCol w:w="1276"/>
        <w:gridCol w:w="1842"/>
      </w:tblGrid>
      <w:tr>
        <w:trPr>
          <w:trHeight w:val="667" w:hRule="exact"/>
        </w:trPr>
        <w:tc>
          <w:tcPr>
            <w:tcW w:w="2014"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577"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420" w:right="205" w:hanging="212"/>
              <w:jc w:val="left"/>
              <w:rPr>
                <w:rFonts w:ascii="宋体" w:hAnsi="宋体" w:cs="宋体" w:eastAsia="宋体" w:hint="default"/>
                <w:sz w:val="21"/>
                <w:szCs w:val="21"/>
              </w:rPr>
            </w:pPr>
            <w:r>
              <w:rPr>
                <w:rFonts w:ascii="宋体" w:hAnsi="宋体" w:cs="宋体" w:eastAsia="宋体" w:hint="default"/>
                <w:b/>
                <w:bCs/>
                <w:sz w:val="21"/>
                <w:szCs w:val="21"/>
              </w:rPr>
              <w:t>与本公司</w:t>
            </w:r>
            <w:r>
              <w:rPr>
                <w:rFonts w:ascii="宋体" w:hAnsi="宋体" w:cs="宋体" w:eastAsia="宋体" w:hint="default"/>
                <w:b/>
                <w:bCs/>
                <w:spacing w:val="1"/>
                <w:w w:val="99"/>
                <w:sz w:val="21"/>
                <w:szCs w:val="21"/>
              </w:rPr>
              <w:t> </w:t>
            </w:r>
            <w:r>
              <w:rPr>
                <w:rFonts w:ascii="宋体" w:hAnsi="宋体" w:cs="宋体" w:eastAsia="宋体" w:hint="default"/>
                <w:b/>
                <w:bCs/>
                <w:sz w:val="21"/>
                <w:szCs w:val="21"/>
              </w:rPr>
              <w:t>关系</w:t>
            </w:r>
            <w:r>
              <w:rPr>
                <w:rFonts w:ascii="宋体" w:hAnsi="宋体" w:cs="宋体" w:eastAsia="宋体" w:hint="default"/>
                <w:sz w:val="21"/>
                <w:szCs w:val="21"/>
              </w:rPr>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418"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175" w:right="69" w:hanging="106"/>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占预付账款总</w:t>
            </w:r>
            <w:r>
              <w:rPr>
                <w:rFonts w:ascii="宋体" w:hAnsi="宋体" w:cs="宋体" w:eastAsia="宋体" w:hint="default"/>
                <w:b/>
                <w:bCs/>
                <w:w w:val="99"/>
                <w:sz w:val="21"/>
                <w:szCs w:val="21"/>
              </w:rPr>
              <w:t> </w:t>
            </w:r>
            <w:r>
              <w:rPr>
                <w:rFonts w:ascii="宋体" w:hAnsi="宋体" w:cs="宋体" w:eastAsia="宋体" w:hint="default"/>
                <w:b/>
                <w:bCs/>
                <w:sz w:val="21"/>
                <w:szCs w:val="21"/>
              </w:rPr>
              <w:t>额的比例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419" w:right="0"/>
              <w:jc w:val="lef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1842"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left="387" w:right="0"/>
              <w:jc w:val="left"/>
              <w:rPr>
                <w:rFonts w:ascii="宋体" w:hAnsi="宋体" w:cs="宋体" w:eastAsia="宋体" w:hint="default"/>
                <w:sz w:val="21"/>
                <w:szCs w:val="21"/>
              </w:rPr>
            </w:pPr>
            <w:r>
              <w:rPr>
                <w:rFonts w:ascii="宋体" w:hAnsi="宋体" w:cs="宋体" w:eastAsia="宋体" w:hint="default"/>
                <w:b/>
                <w:bCs/>
                <w:sz w:val="21"/>
                <w:szCs w:val="21"/>
              </w:rPr>
              <w:t>未结算原因</w:t>
            </w:r>
            <w:r>
              <w:rPr>
                <w:rFonts w:ascii="宋体" w:hAnsi="宋体" w:cs="宋体" w:eastAsia="宋体" w:hint="default"/>
                <w:sz w:val="21"/>
                <w:szCs w:val="21"/>
              </w:rPr>
            </w:r>
          </w:p>
        </w:tc>
      </w:tr>
      <w:tr>
        <w:trPr>
          <w:trHeight w:val="353" w:hRule="exact"/>
        </w:trPr>
        <w:tc>
          <w:tcPr>
            <w:tcW w:w="201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宁波某有限公司</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22,061,863.01</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11.62</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1"/>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842"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right"/>
              <w:rPr>
                <w:rFonts w:ascii="宋体" w:hAnsi="宋体" w:cs="宋体" w:eastAsia="宋体" w:hint="default"/>
                <w:sz w:val="21"/>
                <w:szCs w:val="21"/>
              </w:rPr>
            </w:pPr>
            <w:r>
              <w:rPr>
                <w:rFonts w:ascii="宋体" w:hAnsi="宋体" w:cs="宋体" w:eastAsia="宋体" w:hint="default"/>
                <w:sz w:val="21"/>
                <w:szCs w:val="21"/>
              </w:rPr>
              <w:t>尚未达到结算条件</w:t>
            </w:r>
          </w:p>
        </w:tc>
      </w:tr>
      <w:tr>
        <w:trPr>
          <w:trHeight w:val="352" w:hRule="exact"/>
        </w:trPr>
        <w:tc>
          <w:tcPr>
            <w:tcW w:w="201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北京某有限公司</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21,900,000.00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11.54</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1"/>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842"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right"/>
              <w:rPr>
                <w:rFonts w:ascii="宋体" w:hAnsi="宋体" w:cs="宋体" w:eastAsia="宋体" w:hint="default"/>
                <w:sz w:val="21"/>
                <w:szCs w:val="21"/>
              </w:rPr>
            </w:pPr>
            <w:r>
              <w:rPr>
                <w:rFonts w:ascii="宋体" w:hAnsi="宋体" w:cs="宋体" w:eastAsia="宋体" w:hint="default"/>
                <w:sz w:val="21"/>
                <w:szCs w:val="21"/>
              </w:rPr>
              <w:t>尚未达到结算条件</w:t>
            </w:r>
          </w:p>
        </w:tc>
      </w:tr>
      <w:tr>
        <w:trPr>
          <w:trHeight w:val="352" w:hRule="exact"/>
        </w:trPr>
        <w:tc>
          <w:tcPr>
            <w:tcW w:w="201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赤峰某有限公司</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4,736,938.10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2.50</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1"/>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842"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right"/>
              <w:rPr>
                <w:rFonts w:ascii="宋体" w:hAnsi="宋体" w:cs="宋体" w:eastAsia="宋体" w:hint="default"/>
                <w:sz w:val="21"/>
                <w:szCs w:val="21"/>
              </w:rPr>
            </w:pPr>
            <w:r>
              <w:rPr>
                <w:rFonts w:ascii="宋体" w:hAnsi="宋体" w:cs="宋体" w:eastAsia="宋体" w:hint="default"/>
                <w:sz w:val="21"/>
                <w:szCs w:val="21"/>
              </w:rPr>
              <w:t>尚未达到结算条件</w:t>
            </w:r>
          </w:p>
        </w:tc>
      </w:tr>
      <w:tr>
        <w:trPr>
          <w:trHeight w:val="353" w:hRule="exact"/>
        </w:trPr>
        <w:tc>
          <w:tcPr>
            <w:tcW w:w="201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北京某股份有限公司</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6,973,552.91</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3.67</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1"/>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842"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right"/>
              <w:rPr>
                <w:rFonts w:ascii="宋体" w:hAnsi="宋体" w:cs="宋体" w:eastAsia="宋体" w:hint="default"/>
                <w:sz w:val="21"/>
                <w:szCs w:val="21"/>
              </w:rPr>
            </w:pPr>
            <w:r>
              <w:rPr>
                <w:rFonts w:ascii="宋体" w:hAnsi="宋体" w:cs="宋体" w:eastAsia="宋体" w:hint="default"/>
                <w:sz w:val="21"/>
                <w:szCs w:val="21"/>
              </w:rPr>
              <w:t>尚未达到结算条件</w:t>
            </w:r>
          </w:p>
        </w:tc>
      </w:tr>
      <w:tr>
        <w:trPr>
          <w:trHeight w:val="352" w:hRule="exact"/>
        </w:trPr>
        <w:tc>
          <w:tcPr>
            <w:tcW w:w="201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赤峰某设备有限公司</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1,897,824.55</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1.00</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1"/>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842"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right"/>
              <w:rPr>
                <w:rFonts w:ascii="宋体" w:hAnsi="宋体" w:cs="宋体" w:eastAsia="宋体" w:hint="default"/>
                <w:sz w:val="21"/>
                <w:szCs w:val="21"/>
              </w:rPr>
            </w:pPr>
            <w:r>
              <w:rPr>
                <w:rFonts w:ascii="宋体" w:hAnsi="宋体" w:cs="宋体" w:eastAsia="宋体" w:hint="default"/>
                <w:sz w:val="21"/>
                <w:szCs w:val="21"/>
              </w:rPr>
              <w:t>尚未达到结算条件</w:t>
            </w:r>
          </w:p>
        </w:tc>
      </w:tr>
      <w:tr>
        <w:trPr>
          <w:trHeight w:val="352" w:hRule="exact"/>
        </w:trPr>
        <w:tc>
          <w:tcPr>
            <w:tcW w:w="201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276" w:type="dxa"/>
            <w:tcBorders>
              <w:top w:val="single" w:sz="12" w:space="0" w:color="000000"/>
              <w:left w:val="single" w:sz="6" w:space="0" w:color="000000"/>
              <w:bottom w:val="single" w:sz="12" w:space="0" w:color="000000"/>
              <w:right w:val="single" w:sz="6" w:space="0" w:color="000000"/>
            </w:tcBorders>
          </w:tcPr>
          <w:p>
            <w:pP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57,570,178.57</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30.33</w:t>
            </w:r>
          </w:p>
        </w:tc>
        <w:tc>
          <w:tcPr>
            <w:tcW w:w="1276" w:type="dxa"/>
            <w:tcBorders>
              <w:top w:val="single" w:sz="12" w:space="0" w:color="000000"/>
              <w:left w:val="single" w:sz="6" w:space="0" w:color="000000"/>
              <w:bottom w:val="single" w:sz="12" w:space="0" w:color="000000"/>
              <w:right w:val="single" w:sz="6" w:space="0" w:color="000000"/>
            </w:tcBorders>
          </w:tcPr>
          <w:p>
            <w:pPr/>
          </w:p>
        </w:tc>
        <w:tc>
          <w:tcPr>
            <w:tcW w:w="1842"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其他应收款" w:id="249"/>
      <w:bookmarkEnd w:id="249"/>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20,199,348.01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4,206,770.28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621,717,740.22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441,653,607.23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641,917,088.23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445,860,377.51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利息" w:id="250"/>
      <w:bookmarkEnd w:id="250"/>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资金拆借利息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20,199,348.01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4,206,770.28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20,199,348.01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4,206,770.28</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应收股利" w:id="251"/>
      <w:bookmarkEnd w:id="251"/>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9"/>
        <w:gridCol w:w="3191"/>
        <w:gridCol w:w="3189"/>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重要的账龄超过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年的应收股利</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其他应收款" w:id="252"/>
      <w:bookmarkEnd w:id="252"/>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403"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660,164,</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858.48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38,447,1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18.26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621,717,7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40.22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460,213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,183.48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18,559,57</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6.25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441,653,60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7.23</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660,167,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4"/>
              <w:jc w:val="right"/>
              <w:rPr>
                <w:rFonts w:ascii="Times New Roman" w:hAnsi="Times New Roman" w:cs="Times New Roman" w:eastAsia="Times New Roman" w:hint="default"/>
                <w:sz w:val="18"/>
                <w:szCs w:val="18"/>
              </w:rPr>
            </w:pPr>
            <w:r>
              <w:rPr>
                <w:rFonts w:ascii="Times New Roman"/>
                <w:sz w:val="18"/>
              </w:rPr>
              <w:t>38,450,1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621,717,7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460,216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18,562,57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z w:val="18"/>
              </w:rPr>
              <w:t>441,653,60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5"/>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5" w:right="0"/>
              <w:jc w:val="left"/>
              <w:rPr>
                <w:rFonts w:ascii="Times New Roman" w:hAnsi="Times New Roman" w:cs="Times New Roman" w:eastAsia="Times New Roman" w:hint="default"/>
                <w:sz w:val="18"/>
                <w:szCs w:val="18"/>
              </w:rPr>
            </w:pPr>
            <w:r>
              <w:rPr>
                <w:rFonts w:ascii="Times New Roman"/>
                <w:sz w:val="18"/>
              </w:rPr>
              <w:t>858.48</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3" w:right="0"/>
              <w:jc w:val="left"/>
              <w:rPr>
                <w:rFonts w:ascii="Times New Roman" w:hAnsi="Times New Roman" w:cs="Times New Roman" w:eastAsia="Times New Roman" w:hint="default"/>
                <w:sz w:val="18"/>
                <w:szCs w:val="18"/>
              </w:rPr>
            </w:pPr>
            <w:r>
              <w:rPr>
                <w:rFonts w:ascii="Times New Roman"/>
                <w:sz w:val="18"/>
              </w:rPr>
              <w:t>18.26</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2" w:right="0"/>
              <w:jc w:val="left"/>
              <w:rPr>
                <w:rFonts w:ascii="Times New Roman" w:hAnsi="Times New Roman" w:cs="Times New Roman" w:eastAsia="Times New Roman" w:hint="default"/>
                <w:sz w:val="18"/>
                <w:szCs w:val="18"/>
              </w:rPr>
            </w:pPr>
            <w:r>
              <w:rPr>
                <w:rFonts w:ascii="Times New Roman"/>
                <w:sz w:val="18"/>
              </w:rPr>
              <w:t>40.22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Times New Roman" w:hAnsi="Times New Roman" w:cs="Times New Roman" w:eastAsia="Times New Roman" w:hint="default"/>
                <w:sz w:val="18"/>
                <w:szCs w:val="18"/>
              </w:rPr>
            </w:pPr>
            <w:r>
              <w:rPr>
                <w:rFonts w:ascii="Times New Roman"/>
                <w:sz w:val="18"/>
              </w:rPr>
              <w:t>,183.48</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5" w:right="0"/>
              <w:jc w:val="left"/>
              <w:rPr>
                <w:rFonts w:ascii="Times New Roman" w:hAnsi="Times New Roman" w:cs="Times New Roman" w:eastAsia="Times New Roman" w:hint="default"/>
                <w:sz w:val="18"/>
                <w:szCs w:val="18"/>
              </w:rPr>
            </w:pPr>
            <w:r>
              <w:rPr>
                <w:rFonts w:ascii="Times New Roman"/>
                <w:sz w:val="18"/>
              </w:rPr>
              <w:t>6.25</w:t>
            </w: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4" w:right="0"/>
              <w:jc w:val="left"/>
              <w:rPr>
                <w:rFonts w:ascii="Times New Roman" w:hAnsi="Times New Roman" w:cs="Times New Roman" w:eastAsia="Times New Roman" w:hint="default"/>
                <w:sz w:val="18"/>
                <w:szCs w:val="18"/>
              </w:rPr>
            </w:pPr>
            <w:r>
              <w:rPr>
                <w:rFonts w:ascii="Times New Roman"/>
                <w:sz w:val="18"/>
              </w:rPr>
              <w:t>7.23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272,447,108.46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2,724,471.10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272,447,108.46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2,724,471.10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239,408,442.74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23,940,844.27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9,070,426.32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1,814,085.26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6,869,543.96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2,060,863.19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1,907,226.36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953,613.19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6,953,241.25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6,953,241.25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536,655,989.09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38,447,118.26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5"/>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6"/>
        <w:ind w:left="15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6"/>
        <w:ind w:left="611" w:right="6704"/>
        <w:jc w:val="center"/>
      </w:pPr>
      <w:r>
        <w:rPr/>
        <w:t>组合中，不计提坏账准备的其他应收款</w:t>
      </w:r>
    </w:p>
    <w:p>
      <w:pPr>
        <w:spacing w:line="240" w:lineRule="auto" w:before="6"/>
        <w:rPr>
          <w:rFonts w:ascii="宋体" w:hAnsi="宋体" w:cs="宋体" w:eastAsia="宋体" w:hint="default"/>
          <w:sz w:val="20"/>
          <w:szCs w:val="20"/>
        </w:rPr>
      </w:pPr>
    </w:p>
    <w:tbl>
      <w:tblPr>
        <w:tblW w:w="0" w:type="auto"/>
        <w:jc w:val="left"/>
        <w:tblInd w:w="146" w:type="dxa"/>
        <w:tblLayout w:type="fixed"/>
        <w:tblCellMar>
          <w:top w:w="0" w:type="dxa"/>
          <w:left w:w="0" w:type="dxa"/>
          <w:bottom w:w="0" w:type="dxa"/>
          <w:right w:w="0" w:type="dxa"/>
        </w:tblCellMar>
        <w:tblLook w:val="01E0"/>
      </w:tblPr>
      <w:tblGrid>
        <w:gridCol w:w="2531"/>
        <w:gridCol w:w="1691"/>
        <w:gridCol w:w="984"/>
        <w:gridCol w:w="984"/>
        <w:gridCol w:w="3166"/>
      </w:tblGrid>
      <w:tr>
        <w:trPr>
          <w:trHeight w:val="355" w:hRule="exact"/>
        </w:trPr>
        <w:tc>
          <w:tcPr>
            <w:tcW w:w="2531" w:type="dxa"/>
            <w:vMerge w:val="restart"/>
            <w:tcBorders>
              <w:top w:val="single" w:sz="6" w:space="0" w:color="000000"/>
              <w:left w:val="single" w:sz="6" w:space="0" w:color="000000"/>
              <w:right w:val="single" w:sz="6" w:space="0" w:color="000000"/>
            </w:tcBorders>
          </w:tcPr>
          <w:p>
            <w:pPr>
              <w:pStyle w:val="TableParagraph"/>
              <w:spacing w:line="271" w:lineRule="exact"/>
              <w:ind w:left="204" w:right="0"/>
              <w:jc w:val="left"/>
              <w:rPr>
                <w:rFonts w:ascii="宋体" w:hAnsi="宋体" w:cs="宋体" w:eastAsia="宋体" w:hint="default"/>
                <w:sz w:val="21"/>
                <w:szCs w:val="21"/>
              </w:rPr>
            </w:pPr>
            <w:r>
              <w:rPr>
                <w:rFonts w:ascii="宋体" w:hAnsi="宋体" w:cs="宋体" w:eastAsia="宋体" w:hint="default"/>
                <w:b/>
                <w:bCs/>
                <w:sz w:val="21"/>
                <w:szCs w:val="21"/>
              </w:rPr>
              <w:t>其他应收款（按性质）</w:t>
            </w:r>
            <w:r>
              <w:rPr>
                <w:rFonts w:ascii="宋体" w:hAnsi="宋体" w:cs="宋体" w:eastAsia="宋体" w:hint="default"/>
                <w:sz w:val="21"/>
                <w:szCs w:val="21"/>
              </w:rPr>
            </w:r>
          </w:p>
        </w:tc>
        <w:tc>
          <w:tcPr>
            <w:tcW w:w="6825" w:type="dxa"/>
            <w:gridSpan w:val="4"/>
            <w:tcBorders>
              <w:top w:val="single" w:sz="6" w:space="0" w:color="000000"/>
              <w:left w:val="single" w:sz="6" w:space="0" w:color="000000"/>
              <w:bottom w:val="single" w:sz="12"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664" w:hRule="exact"/>
        </w:trPr>
        <w:tc>
          <w:tcPr>
            <w:tcW w:w="2531" w:type="dxa"/>
            <w:vMerge/>
            <w:tcBorders>
              <w:left w:val="single" w:sz="6" w:space="0" w:color="000000"/>
              <w:bottom w:val="single" w:sz="12" w:space="0" w:color="000000"/>
              <w:right w:val="single" w:sz="6" w:space="0" w:color="000000"/>
            </w:tcBorders>
          </w:tcPr>
          <w:p>
            <w:pPr/>
          </w:p>
        </w:tc>
        <w:tc>
          <w:tcPr>
            <w:tcW w:w="169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11" w:right="0"/>
              <w:jc w:val="left"/>
              <w:rPr>
                <w:rFonts w:ascii="宋体" w:hAnsi="宋体" w:cs="宋体" w:eastAsia="宋体" w:hint="default"/>
                <w:sz w:val="21"/>
                <w:szCs w:val="21"/>
              </w:rPr>
            </w:pPr>
            <w:r>
              <w:rPr>
                <w:rFonts w:ascii="宋体" w:hAnsi="宋体" w:cs="宋体" w:eastAsia="宋体" w:hint="default"/>
                <w:b/>
                <w:bCs/>
                <w:sz w:val="21"/>
                <w:szCs w:val="21"/>
              </w:rPr>
              <w:t>其他应收款</w:t>
            </w:r>
            <w:r>
              <w:rPr>
                <w:rFonts w:ascii="宋体" w:hAnsi="宋体" w:cs="宋体" w:eastAsia="宋体" w:hint="default"/>
                <w:sz w:val="21"/>
                <w:szCs w:val="21"/>
              </w:rPr>
            </w:r>
          </w:p>
        </w:tc>
        <w:tc>
          <w:tcPr>
            <w:tcW w:w="9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62"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9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3166"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1049" w:right="0"/>
              <w:jc w:val="left"/>
              <w:rPr>
                <w:rFonts w:ascii="宋体" w:hAnsi="宋体" w:cs="宋体" w:eastAsia="宋体" w:hint="default"/>
                <w:sz w:val="21"/>
                <w:szCs w:val="21"/>
              </w:rPr>
            </w:pPr>
            <w:r>
              <w:rPr>
                <w:rFonts w:ascii="宋体" w:hAnsi="宋体" w:cs="宋体" w:eastAsia="宋体" w:hint="default"/>
                <w:b/>
                <w:bCs/>
                <w:sz w:val="21"/>
                <w:szCs w:val="21"/>
              </w:rPr>
              <w:t>不计提理由</w:t>
            </w:r>
            <w:r>
              <w:rPr>
                <w:rFonts w:ascii="宋体" w:hAnsi="宋体" w:cs="宋体" w:eastAsia="宋体" w:hint="default"/>
                <w:sz w:val="21"/>
                <w:szCs w:val="21"/>
              </w:rPr>
            </w:r>
          </w:p>
        </w:tc>
      </w:tr>
      <w:tr>
        <w:trPr>
          <w:trHeight w:val="353" w:hRule="exact"/>
        </w:trPr>
        <w:tc>
          <w:tcPr>
            <w:tcW w:w="253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16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86,912,415.12</w:t>
            </w:r>
          </w:p>
        </w:tc>
        <w:tc>
          <w:tcPr>
            <w:tcW w:w="984" w:type="dxa"/>
            <w:tcBorders>
              <w:top w:val="single" w:sz="12" w:space="0" w:color="000000"/>
              <w:left w:val="single" w:sz="6" w:space="0" w:color="000000"/>
              <w:bottom w:val="single" w:sz="12" w:space="0" w:color="000000"/>
              <w:right w:val="single" w:sz="6" w:space="0" w:color="000000"/>
            </w:tcBorders>
          </w:tcPr>
          <w:p>
            <w:pPr/>
          </w:p>
        </w:tc>
        <w:tc>
          <w:tcPr>
            <w:tcW w:w="984" w:type="dxa"/>
            <w:tcBorders>
              <w:top w:val="single" w:sz="12" w:space="0" w:color="000000"/>
              <w:left w:val="single" w:sz="6" w:space="0" w:color="000000"/>
              <w:bottom w:val="single" w:sz="12" w:space="0" w:color="000000"/>
              <w:right w:val="single" w:sz="6" w:space="0" w:color="000000"/>
            </w:tcBorders>
          </w:tcPr>
          <w:p>
            <w:pPr/>
          </w:p>
        </w:tc>
        <w:tc>
          <w:tcPr>
            <w:tcW w:w="3166"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政府保证金预计能全额收回</w:t>
            </w:r>
          </w:p>
        </w:tc>
      </w:tr>
      <w:tr>
        <w:trPr>
          <w:trHeight w:val="352" w:hRule="exact"/>
        </w:trPr>
        <w:tc>
          <w:tcPr>
            <w:tcW w:w="253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16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36,446,454.27</w:t>
            </w:r>
          </w:p>
        </w:tc>
        <w:tc>
          <w:tcPr>
            <w:tcW w:w="984" w:type="dxa"/>
            <w:tcBorders>
              <w:top w:val="single" w:sz="12" w:space="0" w:color="000000"/>
              <w:left w:val="single" w:sz="6" w:space="0" w:color="000000"/>
              <w:bottom w:val="single" w:sz="12" w:space="0" w:color="000000"/>
              <w:right w:val="single" w:sz="6" w:space="0" w:color="000000"/>
            </w:tcBorders>
          </w:tcPr>
          <w:p>
            <w:pPr/>
          </w:p>
        </w:tc>
        <w:tc>
          <w:tcPr>
            <w:tcW w:w="984" w:type="dxa"/>
            <w:tcBorders>
              <w:top w:val="single" w:sz="12" w:space="0" w:color="000000"/>
              <w:left w:val="single" w:sz="6" w:space="0" w:color="000000"/>
              <w:bottom w:val="single" w:sz="12" w:space="0" w:color="000000"/>
              <w:right w:val="single" w:sz="6" w:space="0" w:color="000000"/>
            </w:tcBorders>
          </w:tcPr>
          <w:p>
            <w:pPr/>
          </w:p>
        </w:tc>
        <w:tc>
          <w:tcPr>
            <w:tcW w:w="3166"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政府保证金预计能全额收回</w:t>
            </w:r>
          </w:p>
        </w:tc>
      </w:tr>
      <w:tr>
        <w:trPr>
          <w:trHeight w:val="352" w:hRule="exact"/>
        </w:trPr>
        <w:tc>
          <w:tcPr>
            <w:tcW w:w="253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农民工工资保证金</w:t>
            </w:r>
          </w:p>
        </w:tc>
        <w:tc>
          <w:tcPr>
            <w:tcW w:w="16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150,000.00</w:t>
            </w:r>
          </w:p>
        </w:tc>
        <w:tc>
          <w:tcPr>
            <w:tcW w:w="984" w:type="dxa"/>
            <w:tcBorders>
              <w:top w:val="single" w:sz="12" w:space="0" w:color="000000"/>
              <w:left w:val="single" w:sz="6" w:space="0" w:color="000000"/>
              <w:bottom w:val="single" w:sz="12" w:space="0" w:color="000000"/>
              <w:right w:val="single" w:sz="6" w:space="0" w:color="000000"/>
            </w:tcBorders>
          </w:tcPr>
          <w:p>
            <w:pPr/>
          </w:p>
        </w:tc>
        <w:tc>
          <w:tcPr>
            <w:tcW w:w="984" w:type="dxa"/>
            <w:tcBorders>
              <w:top w:val="single" w:sz="12" w:space="0" w:color="000000"/>
              <w:left w:val="single" w:sz="6" w:space="0" w:color="000000"/>
              <w:bottom w:val="single" w:sz="12" w:space="0" w:color="000000"/>
              <w:right w:val="single" w:sz="6" w:space="0" w:color="000000"/>
            </w:tcBorders>
          </w:tcPr>
          <w:p>
            <w:pPr/>
          </w:p>
        </w:tc>
        <w:tc>
          <w:tcPr>
            <w:tcW w:w="3166"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政府保证金预计能全额收回</w:t>
            </w:r>
          </w:p>
        </w:tc>
      </w:tr>
      <w:tr>
        <w:trPr>
          <w:trHeight w:val="353" w:hRule="exact"/>
        </w:trPr>
        <w:tc>
          <w:tcPr>
            <w:tcW w:w="253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b/>
                <w:spacing w:val="-1"/>
                <w:sz w:val="21"/>
              </w:rPr>
              <w:t>123,508,869.39</w:t>
            </w:r>
            <w:r>
              <w:rPr>
                <w:rFonts w:ascii="Times New Roman"/>
                <w:spacing w:val="-1"/>
                <w:sz w:val="21"/>
              </w:rPr>
            </w:r>
          </w:p>
        </w:tc>
        <w:tc>
          <w:tcPr>
            <w:tcW w:w="984" w:type="dxa"/>
            <w:tcBorders>
              <w:top w:val="single" w:sz="12" w:space="0" w:color="000000"/>
              <w:left w:val="single" w:sz="6" w:space="0" w:color="000000"/>
              <w:bottom w:val="single" w:sz="12" w:space="0" w:color="000000"/>
              <w:right w:val="single" w:sz="6" w:space="0" w:color="000000"/>
            </w:tcBorders>
          </w:tcPr>
          <w:p>
            <w:pPr/>
          </w:p>
        </w:tc>
        <w:tc>
          <w:tcPr>
            <w:tcW w:w="984" w:type="dxa"/>
            <w:tcBorders>
              <w:top w:val="single" w:sz="12" w:space="0" w:color="000000"/>
              <w:left w:val="single" w:sz="6" w:space="0" w:color="000000"/>
              <w:bottom w:val="single" w:sz="12" w:space="0" w:color="000000"/>
              <w:right w:val="single" w:sz="6" w:space="0" w:color="000000"/>
            </w:tcBorders>
          </w:tcPr>
          <w:p>
            <w:pPr/>
          </w:p>
        </w:tc>
        <w:tc>
          <w:tcPr>
            <w:tcW w:w="3166"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24"/>
          <w:szCs w:val="24"/>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40" w:lineRule="auto" w:before="102"/>
        <w:ind w:left="154" w:right="3738"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21,177,750.30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1,290,208.29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w:t>
      </w:r>
    </w:p>
    <w:p>
      <w:pPr>
        <w:spacing w:after="0" w:line="3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825" w:space="600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180,353,550.12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190,735,004.75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378,622,167.02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215,131,473.59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96,762,855.78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30,855,822.94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代收代付款项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2,406,946.29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18,712,417.23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2,022,339.27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4,781,464.97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660,167,858.48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460,216,183.48</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33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19"/>
              <w:jc w:val="left"/>
              <w:rPr>
                <w:rFonts w:ascii="宋体" w:hAnsi="宋体" w:cs="宋体" w:eastAsia="宋体" w:hint="default"/>
                <w:sz w:val="18"/>
                <w:szCs w:val="18"/>
              </w:rPr>
            </w:pPr>
            <w:r>
              <w:rPr>
                <w:rFonts w:ascii="宋体" w:hAnsi="宋体" w:cs="宋体" w:eastAsia="宋体" w:hint="default"/>
                <w:sz w:val="18"/>
                <w:szCs w:val="18"/>
              </w:rPr>
              <w:t>乌兰察布市某有限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353,947,525.39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184,082,100.82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169,865,424.57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18,827,363.47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嘉祥县某局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汤阴县某中心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驻马店市某中心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某股份有限公司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395,447,525.39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19,277,363.47</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before="5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因金融资产转移而终止确认的其他应收款</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line="338" w:lineRule="auto" w:before="44"/>
        <w:ind w:left="154" w:right="66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7、存货" w:id="253"/>
      <w:bookmarkEnd w:id="253"/>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7512"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1）存货分类" w:id="254"/>
      <w:bookmarkEnd w:id="254"/>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86,892,900.08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913,520.22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85,979,379.86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113,197,316.82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913,520.22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112,283,796.60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1,521,525.03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1,521,525.03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3,038,448.12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3,038,448.12</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150,436,499.52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150,436,499.52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126,636,461.71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126,636,461.71</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363,549.87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363,549.87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237,418.19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237,418.19</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139,948,899.96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139,948,899.96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137,721,488.33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137,721,488.33</w:t>
            </w:r>
          </w:p>
        </w:tc>
      </w:tr>
      <w:tr>
        <w:trPr>
          <w:trHeight w:val="1026"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4,124,867,616.78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15,992,851.08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4,108,874,765.70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2,095,299,788.14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9,961,286.85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2,085,338,501.29</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81,810,279.73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81,810,279.73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88,512,327.52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88,512,327.52</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4,585,841,270.97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16,906,371.30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4,568,934,899.67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2,564,643,248.83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10,874,807.07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2,553,768,441.76</w:t>
            </w:r>
          </w:p>
        </w:tc>
      </w:tr>
    </w:tbl>
    <w:p>
      <w:pPr>
        <w:spacing w:line="340" w:lineRule="auto" w:before="51"/>
        <w:ind w:left="154" w:right="24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340" w:lineRule="auto" w:before="40"/>
        <w:ind w:left="154" w:right="2751"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上市公司从事珠宝相关业务》的披露要求 否</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存货跌价准备" w:id="255"/>
      <w:bookmarkEnd w:id="255"/>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913,520.22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913,520.22</w:t>
            </w:r>
          </w:p>
        </w:tc>
      </w:tr>
      <w:tr>
        <w:trPr>
          <w:trHeight w:val="1026"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6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9,961,286.85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6,031,564.23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15,992,851.08</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10,874,807.07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6,031,564.23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16,906,371.30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存货期末余额含有借款费用资本化金额的说明" w:id="256"/>
      <w:bookmarkEnd w:id="256"/>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期末建造合同形成的已完工未结算资产情况" w:id="257"/>
      <w:bookmarkEnd w:id="257"/>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4,704,498,862.02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1,835,281,740.41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减：预计损失</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15,992,851.08</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2,414,912,985.65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4,108,874,765.70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8、持有待售资产" w:id="258"/>
      <w:bookmarkEnd w:id="258"/>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9、一年内到期的非流动资产" w:id="259"/>
      <w:bookmarkEnd w:id="259"/>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237,694,638.55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91,479,293.47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237,694,638.55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91,479,293.47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0、其他流动资产" w:id="260"/>
      <w:bookmarkEnd w:id="260"/>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124,983,062.54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40,091,497.92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预交税费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9,534,276.89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768,676.76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231,416.27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1,462,676.10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待认证进项税额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115,095.30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14,362.48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预提的进项税准备金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36,058,308.81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23,948,627.13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170,922,159.81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66,285,840.39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11、可供出售金融资产" w:id="261"/>
      <w:bookmarkEnd w:id="261"/>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可供出售金融资产情况" w:id="262"/>
      <w:bookmarkEnd w:id="262"/>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9" w:space="0" w:color="D2D2D2"/>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1,072,365,279.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1196"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1,072,365,279.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1,020,155,279.5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1,020,155,279.50</w:t>
            </w:r>
          </w:p>
        </w:tc>
      </w:tr>
      <w:tr>
        <w:trPr>
          <w:trHeight w:val="391" w:hRule="exact"/>
        </w:trPr>
        <w:tc>
          <w:tcPr>
            <w:tcW w:w="19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162"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9" w:space="0" w:color="D2D2D2"/>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1,072,365,279.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1196"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1,072,365,279.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1,020,155,279.5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1,020,155,279.50</w:t>
            </w:r>
          </w:p>
        </w:tc>
      </w:tr>
      <w:tr>
        <w:trPr>
          <w:trHeight w:val="391" w:hRule="exact"/>
        </w:trPr>
        <w:tc>
          <w:tcPr>
            <w:tcW w:w="19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1"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162"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9" w:space="0" w:color="D2D2D2"/>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1,072,365,279.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1196"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1,072,365,279.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124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1,020,155,279.5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1,020,155,279.50</w:t>
            </w:r>
          </w:p>
        </w:tc>
      </w:tr>
      <w:tr>
        <w:trPr>
          <w:trHeight w:val="391" w:hRule="exact"/>
        </w:trPr>
        <w:tc>
          <w:tcPr>
            <w:tcW w:w="19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r>
      <w:tr>
        <w:trPr>
          <w:trHeight w:val="162"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期末按公允价值计量的可供出售金融资产" w:id="263"/>
      <w:bookmarkEnd w:id="263"/>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期末按成本计量的可供出售金融资产" w:id="264"/>
      <w:bookmarkEnd w:id="264"/>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某投资管 理合伙企 业</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8.62%</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某投资管 理合伙企 业</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155,279.50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155,279.50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877,762.49</w:t>
            </w: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某股权投 资基金合 伙企业</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341" w:right="0"/>
              <w:jc w:val="left"/>
              <w:rPr>
                <w:rFonts w:ascii="Times New Roman" w:hAnsi="Times New Roman" w:cs="Times New Roman" w:eastAsia="Times New Roman" w:hint="default"/>
                <w:sz w:val="18"/>
                <w:szCs w:val="18"/>
              </w:rPr>
            </w:pPr>
            <w:r>
              <w:rPr>
                <w:rFonts w:ascii="Times New Roman"/>
                <w:sz w:val="18"/>
              </w:rPr>
              <w:t>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14,141,589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.04</w:t>
            </w: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某股权投 资基金合 伙企业</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49,710,000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49,710,000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20.63%</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1,020,155,</w:t>
            </w:r>
          </w:p>
          <w:p>
            <w:pPr>
              <w:pStyle w:val="TableParagraph"/>
              <w:spacing w:line="240" w:lineRule="auto" w:before="106"/>
              <w:ind w:left="341" w:right="0"/>
              <w:jc w:val="left"/>
              <w:rPr>
                <w:rFonts w:ascii="Times New Roman" w:hAnsi="Times New Roman" w:cs="Times New Roman" w:eastAsia="Times New Roman" w:hint="default"/>
                <w:sz w:val="18"/>
                <w:szCs w:val="18"/>
              </w:rPr>
            </w:pPr>
            <w:r>
              <w:rPr>
                <w:rFonts w:ascii="Times New Roman"/>
                <w:sz w:val="18"/>
              </w:rPr>
              <w:t>279.50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52,210,000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1,072,365,</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279.50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15,019,351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4）报告期内可供出售金融资产减值的变动情况" w:id="265"/>
      <w:bookmarkEnd w:id="265"/>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可供出售权益工具期末公允价值严重下跌或非暂时性下跌但未计提减值准备的相关说" w:id="266"/>
      <w:bookmarkEnd w:id="266"/>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2、持有至到期投资" w:id="267"/>
      <w:bookmarkEnd w:id="267"/>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持有至到期投资情况" w:id="268"/>
      <w:bookmarkEnd w:id="268"/>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期末重要的持有至到期投资" w:id="269"/>
      <w:bookmarkEnd w:id="269"/>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本期重分类的持有至到期投资" w:id="270"/>
      <w:bookmarkEnd w:id="270"/>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3、长期应收款" w:id="271"/>
      <w:bookmarkEnd w:id="271"/>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长期应收款情况" w:id="272"/>
      <w:bookmarkEnd w:id="272"/>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分期收款建造工 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310,862,643.9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310,862,643.9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346,094,291.0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346,094,291.0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4.75%-9.84%</w:t>
            </w:r>
          </w:p>
        </w:tc>
      </w:tr>
      <w:tr>
        <w:trPr>
          <w:trHeight w:val="1026"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分期收款股权转 让款及项目保证 金</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28,170,000.00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28,170,000.00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339,032,643.9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339,032,643.9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346,094,291.0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346,094,291.0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因金融资产转移而终止确认的长期应收款" w:id="273"/>
      <w:bookmarkEnd w:id="273"/>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3）转移长期应收款且继续涉入形成的资产、负债金额" w:id="274"/>
      <w:bookmarkEnd w:id="274"/>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40" w:lineRule="auto"/>
        <w:ind w:left="603" w:right="6704"/>
        <w:jc w:val="center"/>
      </w:pPr>
      <w:r>
        <w:rPr/>
        <w:t>（</w:t>
      </w:r>
      <w:r>
        <w:rPr>
          <w:rFonts w:ascii="Times New Roman" w:hAnsi="Times New Roman" w:cs="Times New Roman" w:eastAsia="Times New Roman" w:hint="default"/>
        </w:rPr>
        <w:t>1</w:t>
      </w:r>
      <w:r>
        <w:rPr/>
        <w:t>）分期收款建造工程长期应收款</w:t>
      </w:r>
    </w:p>
    <w:p>
      <w:pPr>
        <w:spacing w:line="240" w:lineRule="auto" w:before="2"/>
        <w:rPr>
          <w:rFonts w:ascii="宋体" w:hAnsi="宋体" w:cs="宋体" w:eastAsia="宋体" w:hint="default"/>
          <w:sz w:val="19"/>
          <w:szCs w:val="19"/>
        </w:rPr>
      </w:pPr>
    </w:p>
    <w:tbl>
      <w:tblPr>
        <w:tblW w:w="0" w:type="auto"/>
        <w:jc w:val="left"/>
        <w:tblInd w:w="146" w:type="dxa"/>
        <w:tblLayout w:type="fixed"/>
        <w:tblCellMar>
          <w:top w:w="0" w:type="dxa"/>
          <w:left w:w="0" w:type="dxa"/>
          <w:bottom w:w="0" w:type="dxa"/>
          <w:right w:w="0" w:type="dxa"/>
        </w:tblCellMar>
        <w:tblLook w:val="01E0"/>
      </w:tblPr>
      <w:tblGrid>
        <w:gridCol w:w="2410"/>
        <w:gridCol w:w="1560"/>
        <w:gridCol w:w="566"/>
        <w:gridCol w:w="1366"/>
        <w:gridCol w:w="1424"/>
        <w:gridCol w:w="499"/>
        <w:gridCol w:w="1390"/>
      </w:tblGrid>
      <w:tr>
        <w:trPr>
          <w:trHeight w:val="356" w:hRule="exact"/>
        </w:trPr>
        <w:tc>
          <w:tcPr>
            <w:tcW w:w="2410" w:type="dxa"/>
            <w:vMerge w:val="restart"/>
            <w:tcBorders>
              <w:top w:val="single" w:sz="6" w:space="0" w:color="000000"/>
              <w:left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92"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left="1" w:right="0"/>
              <w:jc w:val="center"/>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c>
          <w:tcPr>
            <w:tcW w:w="3312"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47"/>
              <w:ind w:right="5"/>
              <w:jc w:val="center"/>
              <w:rPr>
                <w:rFonts w:ascii="Times New Roman" w:hAnsi="Times New Roman" w:cs="Times New Roman" w:eastAsia="Times New Roman" w:hint="default"/>
                <w:sz w:val="21"/>
                <w:szCs w:val="21"/>
              </w:rPr>
            </w:pPr>
            <w:r>
              <w:rPr>
                <w:rFonts w:ascii="Times New Roman"/>
                <w:b/>
                <w:sz w:val="21"/>
              </w:rPr>
              <w:t>2017.12.31</w:t>
            </w:r>
            <w:r>
              <w:rPr>
                <w:rFonts w:ascii="Times New Roman"/>
                <w:sz w:val="21"/>
              </w:rPr>
            </w:r>
          </w:p>
        </w:tc>
      </w:tr>
      <w:tr>
        <w:trPr>
          <w:trHeight w:val="664" w:hRule="exact"/>
        </w:trPr>
        <w:tc>
          <w:tcPr>
            <w:tcW w:w="2410" w:type="dxa"/>
            <w:vMerge/>
            <w:tcBorders>
              <w:left w:val="single" w:sz="6" w:space="0" w:color="000000"/>
              <w:bottom w:val="single" w:sz="12" w:space="0" w:color="000000"/>
              <w:right w:val="single" w:sz="6" w:space="0" w:color="000000"/>
            </w:tcBorders>
          </w:tcPr>
          <w:p>
            <w:pP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5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65" w:right="0"/>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40" w:lineRule="auto" w:before="37"/>
              <w:ind w:left="65"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5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2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8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49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40" w:lineRule="auto" w:before="37"/>
              <w:ind w:left="31"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390"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6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664" w:hRule="exact"/>
        </w:trPr>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pacing w:val="6"/>
                <w:sz w:val="21"/>
                <w:szCs w:val="21"/>
              </w:rPr>
              <w:t>分期收款建造工程长期应</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收款</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518,935,060.48</w:t>
            </w:r>
          </w:p>
        </w:tc>
        <w:tc>
          <w:tcPr>
            <w:tcW w:w="566" w:type="dxa"/>
            <w:tcBorders>
              <w:top w:val="single" w:sz="12" w:space="0" w:color="000000"/>
              <w:left w:val="single" w:sz="6" w:space="0" w:color="000000"/>
              <w:bottom w:val="single" w:sz="12" w:space="0" w:color="000000"/>
              <w:right w:val="single" w:sz="6" w:space="0" w:color="000000"/>
            </w:tcBorders>
          </w:tcPr>
          <w:p>
            <w:pP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518,935,060.48</w:t>
            </w:r>
          </w:p>
        </w:tc>
        <w:tc>
          <w:tcPr>
            <w:tcW w:w="14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585,594,584.30</w:t>
            </w:r>
          </w:p>
        </w:tc>
        <w:tc>
          <w:tcPr>
            <w:tcW w:w="499" w:type="dxa"/>
            <w:tcBorders>
              <w:top w:val="single" w:sz="12" w:space="0" w:color="000000"/>
              <w:left w:val="single" w:sz="6" w:space="0" w:color="000000"/>
              <w:bottom w:val="single" w:sz="12" w:space="0" w:color="000000"/>
              <w:right w:val="single" w:sz="6" w:space="0" w:color="000000"/>
            </w:tcBorders>
          </w:tcPr>
          <w:p>
            <w:pPr/>
          </w:p>
        </w:tc>
        <w:tc>
          <w:tcPr>
            <w:tcW w:w="13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585,594,584.30</w:t>
            </w:r>
          </w:p>
        </w:tc>
      </w:tr>
      <w:tr>
        <w:trPr>
          <w:trHeight w:val="353" w:hRule="exact"/>
        </w:trPr>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减：未确认融资收益</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130,007,777.95</w:t>
            </w:r>
          </w:p>
        </w:tc>
        <w:tc>
          <w:tcPr>
            <w:tcW w:w="566" w:type="dxa"/>
            <w:tcBorders>
              <w:top w:val="single" w:sz="12" w:space="0" w:color="000000"/>
              <w:left w:val="single" w:sz="6" w:space="0" w:color="000000"/>
              <w:bottom w:val="single" w:sz="12" w:space="0" w:color="000000"/>
              <w:right w:val="single" w:sz="6" w:space="0" w:color="000000"/>
            </w:tcBorders>
          </w:tcPr>
          <w:p>
            <w:pP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130,007,777.95</w:t>
            </w:r>
          </w:p>
        </w:tc>
        <w:tc>
          <w:tcPr>
            <w:tcW w:w="14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148,020,999.76</w:t>
            </w:r>
          </w:p>
        </w:tc>
        <w:tc>
          <w:tcPr>
            <w:tcW w:w="499" w:type="dxa"/>
            <w:tcBorders>
              <w:top w:val="single" w:sz="12" w:space="0" w:color="000000"/>
              <w:left w:val="single" w:sz="6" w:space="0" w:color="000000"/>
              <w:bottom w:val="single" w:sz="12" w:space="0" w:color="000000"/>
              <w:right w:val="single" w:sz="6" w:space="0" w:color="000000"/>
            </w:tcBorders>
          </w:tcPr>
          <w:p>
            <w:pPr/>
          </w:p>
        </w:tc>
        <w:tc>
          <w:tcPr>
            <w:tcW w:w="13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148,020,999.76</w:t>
            </w:r>
          </w:p>
        </w:tc>
      </w:tr>
      <w:tr>
        <w:trPr>
          <w:trHeight w:val="664" w:hRule="exact"/>
        </w:trPr>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pacing w:val="6"/>
                <w:sz w:val="21"/>
                <w:szCs w:val="21"/>
              </w:rPr>
              <w:t>分期收款建造工程长期应</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收款余额</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388,927,282.53</w:t>
            </w:r>
          </w:p>
        </w:tc>
        <w:tc>
          <w:tcPr>
            <w:tcW w:w="566" w:type="dxa"/>
            <w:tcBorders>
              <w:top w:val="single" w:sz="12" w:space="0" w:color="000000"/>
              <w:left w:val="single" w:sz="6" w:space="0" w:color="000000"/>
              <w:bottom w:val="single" w:sz="12" w:space="0" w:color="000000"/>
              <w:right w:val="single" w:sz="6" w:space="0" w:color="000000"/>
            </w:tcBorders>
          </w:tcPr>
          <w:p>
            <w:pP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388,927,282.53</w:t>
            </w:r>
          </w:p>
        </w:tc>
        <w:tc>
          <w:tcPr>
            <w:tcW w:w="14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437,573,584.54</w:t>
            </w:r>
          </w:p>
        </w:tc>
        <w:tc>
          <w:tcPr>
            <w:tcW w:w="499" w:type="dxa"/>
            <w:tcBorders>
              <w:top w:val="single" w:sz="12" w:space="0" w:color="000000"/>
              <w:left w:val="single" w:sz="6" w:space="0" w:color="000000"/>
              <w:bottom w:val="single" w:sz="12" w:space="0" w:color="000000"/>
              <w:right w:val="single" w:sz="6" w:space="0" w:color="000000"/>
            </w:tcBorders>
          </w:tcPr>
          <w:p>
            <w:pPr/>
          </w:p>
        </w:tc>
        <w:tc>
          <w:tcPr>
            <w:tcW w:w="13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pacing w:val="-1"/>
                <w:sz w:val="21"/>
              </w:rPr>
              <w:t>437,573,584.54</w:t>
            </w:r>
          </w:p>
        </w:tc>
      </w:tr>
      <w:tr>
        <w:trPr>
          <w:trHeight w:val="664" w:hRule="exact"/>
        </w:trPr>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pacing w:val="6"/>
                <w:sz w:val="21"/>
                <w:szCs w:val="21"/>
              </w:rPr>
              <w:t>减：重分类至一年内到期</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的非流动资产净额</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78,064,638.55</w:t>
            </w:r>
          </w:p>
        </w:tc>
        <w:tc>
          <w:tcPr>
            <w:tcW w:w="566" w:type="dxa"/>
            <w:tcBorders>
              <w:top w:val="single" w:sz="12" w:space="0" w:color="000000"/>
              <w:left w:val="single" w:sz="6" w:space="0" w:color="000000"/>
              <w:bottom w:val="single" w:sz="12" w:space="0" w:color="000000"/>
              <w:right w:val="single" w:sz="6" w:space="0" w:color="000000"/>
            </w:tcBorders>
          </w:tcPr>
          <w:p>
            <w:pP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78,064,638.55</w:t>
            </w:r>
          </w:p>
        </w:tc>
        <w:tc>
          <w:tcPr>
            <w:tcW w:w="14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91,479,293.47</w:t>
            </w:r>
          </w:p>
        </w:tc>
        <w:tc>
          <w:tcPr>
            <w:tcW w:w="499" w:type="dxa"/>
            <w:tcBorders>
              <w:top w:val="single" w:sz="12" w:space="0" w:color="000000"/>
              <w:left w:val="single" w:sz="6" w:space="0" w:color="000000"/>
              <w:bottom w:val="single" w:sz="12" w:space="0" w:color="000000"/>
              <w:right w:val="single" w:sz="6" w:space="0" w:color="000000"/>
            </w:tcBorders>
          </w:tcPr>
          <w:p>
            <w:pPr/>
          </w:p>
        </w:tc>
        <w:tc>
          <w:tcPr>
            <w:tcW w:w="13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91,479,293.47</w:t>
            </w:r>
          </w:p>
        </w:tc>
      </w:tr>
      <w:tr>
        <w:trPr>
          <w:trHeight w:val="665" w:hRule="exact"/>
        </w:trPr>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b/>
                <w:bCs/>
                <w:spacing w:val="6"/>
                <w:sz w:val="21"/>
                <w:szCs w:val="21"/>
              </w:rPr>
              <w:t>分期收款建造工程长期应</w:t>
            </w:r>
            <w:r>
              <w:rPr>
                <w:rFonts w:ascii="宋体" w:hAnsi="宋体" w:cs="宋体" w:eastAsia="宋体" w:hint="default"/>
                <w:spacing w:val="6"/>
                <w:sz w:val="21"/>
                <w:szCs w:val="21"/>
              </w:rPr>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b/>
                <w:bCs/>
                <w:sz w:val="21"/>
                <w:szCs w:val="21"/>
              </w:rPr>
              <w:t>收款余额</w:t>
            </w:r>
            <w:r>
              <w:rPr>
                <w:rFonts w:ascii="宋体" w:hAnsi="宋体" w:cs="宋体" w:eastAsia="宋体" w:hint="default"/>
                <w:sz w:val="21"/>
                <w:szCs w:val="21"/>
              </w:rPr>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b/>
                <w:spacing w:val="-1"/>
                <w:sz w:val="21"/>
              </w:rPr>
              <w:t>310,862,643.98</w:t>
            </w:r>
            <w:r>
              <w:rPr>
                <w:rFonts w:ascii="Times New Roman"/>
                <w:spacing w:val="-1"/>
                <w:sz w:val="21"/>
              </w:rPr>
            </w:r>
          </w:p>
        </w:tc>
        <w:tc>
          <w:tcPr>
            <w:tcW w:w="566" w:type="dxa"/>
            <w:tcBorders>
              <w:top w:val="single" w:sz="12" w:space="0" w:color="000000"/>
              <w:left w:val="single" w:sz="6" w:space="0" w:color="000000"/>
              <w:bottom w:val="single" w:sz="12" w:space="0" w:color="000000"/>
              <w:right w:val="single" w:sz="6" w:space="0" w:color="000000"/>
            </w:tcBorders>
          </w:tcPr>
          <w:p>
            <w:pP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b/>
                <w:spacing w:val="-1"/>
                <w:sz w:val="21"/>
              </w:rPr>
              <w:t>310,862,643.98</w:t>
            </w:r>
            <w:r>
              <w:rPr>
                <w:rFonts w:ascii="Times New Roman"/>
                <w:spacing w:val="-1"/>
                <w:sz w:val="21"/>
              </w:rPr>
            </w:r>
          </w:p>
        </w:tc>
        <w:tc>
          <w:tcPr>
            <w:tcW w:w="14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b/>
                <w:spacing w:val="-1"/>
                <w:sz w:val="21"/>
              </w:rPr>
              <w:t>346,094,291.07</w:t>
            </w:r>
            <w:r>
              <w:rPr>
                <w:rFonts w:ascii="Times New Roman"/>
                <w:spacing w:val="-1"/>
                <w:sz w:val="21"/>
              </w:rPr>
            </w:r>
          </w:p>
        </w:tc>
        <w:tc>
          <w:tcPr>
            <w:tcW w:w="499" w:type="dxa"/>
            <w:tcBorders>
              <w:top w:val="single" w:sz="12" w:space="0" w:color="000000"/>
              <w:left w:val="single" w:sz="6" w:space="0" w:color="000000"/>
              <w:bottom w:val="single" w:sz="12" w:space="0" w:color="000000"/>
              <w:right w:val="single" w:sz="6" w:space="0" w:color="000000"/>
            </w:tcBorders>
          </w:tcPr>
          <w:p>
            <w:pPr/>
          </w:p>
        </w:tc>
        <w:tc>
          <w:tcPr>
            <w:tcW w:w="13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6"/>
              <w:jc w:val="right"/>
              <w:rPr>
                <w:rFonts w:ascii="Times New Roman" w:hAnsi="Times New Roman" w:cs="Times New Roman" w:eastAsia="Times New Roman" w:hint="default"/>
                <w:sz w:val="21"/>
                <w:szCs w:val="21"/>
              </w:rPr>
            </w:pPr>
            <w:r>
              <w:rPr>
                <w:rFonts w:ascii="Times New Roman"/>
                <w:b/>
                <w:spacing w:val="-1"/>
                <w:sz w:val="21"/>
              </w:rPr>
              <w:t>346,094,291.07</w:t>
            </w:r>
            <w:r>
              <w:rPr>
                <w:rFonts w:ascii="Times New Roman"/>
                <w:spacing w:val="-1"/>
                <w:sz w:val="21"/>
              </w:rPr>
            </w:r>
          </w:p>
        </w:tc>
      </w:tr>
    </w:tbl>
    <w:p>
      <w:pPr>
        <w:spacing w:line="240" w:lineRule="auto" w:before="5"/>
        <w:rPr>
          <w:rFonts w:ascii="宋体" w:hAnsi="宋体" w:cs="宋体" w:eastAsia="宋体" w:hint="default"/>
          <w:sz w:val="5"/>
          <w:szCs w:val="5"/>
        </w:rPr>
      </w:pPr>
    </w:p>
    <w:p>
      <w:pPr>
        <w:pStyle w:val="BodyText"/>
        <w:spacing w:line="240" w:lineRule="auto" w:before="35"/>
        <w:ind w:left="784" w:right="0"/>
        <w:jc w:val="left"/>
      </w:pPr>
      <w:r>
        <w:rPr/>
        <w:t>（</w:t>
      </w:r>
      <w:r>
        <w:rPr>
          <w:rFonts w:ascii="Times New Roman" w:hAnsi="Times New Roman" w:cs="Times New Roman" w:eastAsia="Times New Roman" w:hint="default"/>
        </w:rPr>
        <w:t>2</w:t>
      </w:r>
      <w:r>
        <w:rPr/>
        <w:t>）分期收款股权转让款及项目保证金</w:t>
      </w:r>
    </w:p>
    <w:p>
      <w:pPr>
        <w:spacing w:line="240" w:lineRule="auto" w:before="4"/>
        <w:rPr>
          <w:rFonts w:ascii="宋体" w:hAnsi="宋体" w:cs="宋体" w:eastAsia="宋体" w:hint="default"/>
          <w:sz w:val="19"/>
          <w:szCs w:val="19"/>
        </w:rPr>
      </w:pPr>
    </w:p>
    <w:tbl>
      <w:tblPr>
        <w:tblW w:w="0" w:type="auto"/>
        <w:jc w:val="left"/>
        <w:tblInd w:w="146" w:type="dxa"/>
        <w:tblLayout w:type="fixed"/>
        <w:tblCellMar>
          <w:top w:w="0" w:type="dxa"/>
          <w:left w:w="0" w:type="dxa"/>
          <w:bottom w:w="0" w:type="dxa"/>
          <w:right w:w="0" w:type="dxa"/>
        </w:tblCellMar>
        <w:tblLook w:val="01E0"/>
      </w:tblPr>
      <w:tblGrid>
        <w:gridCol w:w="2410"/>
        <w:gridCol w:w="1560"/>
        <w:gridCol w:w="566"/>
        <w:gridCol w:w="1366"/>
        <w:gridCol w:w="1424"/>
        <w:gridCol w:w="499"/>
        <w:gridCol w:w="1390"/>
      </w:tblGrid>
      <w:tr>
        <w:trPr>
          <w:trHeight w:val="355" w:hRule="exact"/>
        </w:trPr>
        <w:tc>
          <w:tcPr>
            <w:tcW w:w="2410" w:type="dxa"/>
            <w:vMerge w:val="restart"/>
            <w:tcBorders>
              <w:top w:val="single" w:sz="6" w:space="0" w:color="000000"/>
              <w:left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92"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c>
          <w:tcPr>
            <w:tcW w:w="3312"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46"/>
              <w:ind w:right="5"/>
              <w:jc w:val="center"/>
              <w:rPr>
                <w:rFonts w:ascii="Times New Roman" w:hAnsi="Times New Roman" w:cs="Times New Roman" w:eastAsia="Times New Roman" w:hint="default"/>
                <w:sz w:val="21"/>
                <w:szCs w:val="21"/>
              </w:rPr>
            </w:pPr>
            <w:r>
              <w:rPr>
                <w:rFonts w:ascii="Times New Roman"/>
                <w:b/>
                <w:sz w:val="21"/>
              </w:rPr>
              <w:t>2017.12.31</w:t>
            </w:r>
            <w:r>
              <w:rPr>
                <w:rFonts w:ascii="Times New Roman"/>
                <w:sz w:val="21"/>
              </w:rPr>
            </w:r>
          </w:p>
        </w:tc>
      </w:tr>
      <w:tr>
        <w:trPr>
          <w:trHeight w:val="664" w:hRule="exact"/>
        </w:trPr>
        <w:tc>
          <w:tcPr>
            <w:tcW w:w="2410" w:type="dxa"/>
            <w:vMerge/>
            <w:tcBorders>
              <w:left w:val="single" w:sz="6" w:space="0" w:color="000000"/>
              <w:bottom w:val="single" w:sz="12" w:space="0" w:color="000000"/>
              <w:right w:val="single" w:sz="6" w:space="0" w:color="000000"/>
            </w:tcBorders>
          </w:tcPr>
          <w:p>
            <w:pP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5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65" w:right="0"/>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40" w:lineRule="auto" w:before="37"/>
              <w:ind w:left="65"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5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2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8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49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40" w:lineRule="auto" w:before="37"/>
              <w:ind w:left="31"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390"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26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664" w:hRule="exact"/>
        </w:trPr>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pacing w:val="6"/>
                <w:sz w:val="21"/>
                <w:szCs w:val="21"/>
              </w:rPr>
              <w:t>分期收款股权转让款及项</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目保证金</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187,800,000.00</w:t>
            </w:r>
          </w:p>
        </w:tc>
        <w:tc>
          <w:tcPr>
            <w:tcW w:w="566" w:type="dxa"/>
            <w:tcBorders>
              <w:top w:val="single" w:sz="12" w:space="0" w:color="000000"/>
              <w:left w:val="single" w:sz="6" w:space="0" w:color="000000"/>
              <w:bottom w:val="single" w:sz="12" w:space="0" w:color="000000"/>
              <w:right w:val="single" w:sz="6" w:space="0" w:color="000000"/>
            </w:tcBorders>
          </w:tcPr>
          <w:p>
            <w:pP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187,800,000.00</w:t>
            </w:r>
          </w:p>
        </w:tc>
        <w:tc>
          <w:tcPr>
            <w:tcW w:w="1424" w:type="dxa"/>
            <w:tcBorders>
              <w:top w:val="single" w:sz="12" w:space="0" w:color="000000"/>
              <w:left w:val="single" w:sz="6" w:space="0" w:color="000000"/>
              <w:bottom w:val="single" w:sz="12" w:space="0" w:color="000000"/>
              <w:right w:val="single" w:sz="6" w:space="0" w:color="000000"/>
            </w:tcBorders>
          </w:tcPr>
          <w:p>
            <w:pPr/>
          </w:p>
        </w:tc>
        <w:tc>
          <w:tcPr>
            <w:tcW w:w="499" w:type="dxa"/>
            <w:tcBorders>
              <w:top w:val="single" w:sz="12" w:space="0" w:color="000000"/>
              <w:left w:val="single" w:sz="6" w:space="0" w:color="000000"/>
              <w:bottom w:val="single" w:sz="12" w:space="0" w:color="000000"/>
              <w:right w:val="single" w:sz="6" w:space="0" w:color="000000"/>
            </w:tcBorders>
          </w:tcPr>
          <w:p>
            <w:pPr/>
          </w:p>
        </w:tc>
        <w:tc>
          <w:tcPr>
            <w:tcW w:w="1390" w:type="dxa"/>
            <w:tcBorders>
              <w:top w:val="single" w:sz="12" w:space="0" w:color="000000"/>
              <w:left w:val="single" w:sz="6" w:space="0" w:color="000000"/>
              <w:bottom w:val="single" w:sz="12" w:space="0" w:color="000000"/>
              <w:right w:val="nil" w:sz="6" w:space="0" w:color="auto"/>
            </w:tcBorders>
          </w:tcPr>
          <w:p>
            <w:pPr/>
          </w:p>
        </w:tc>
      </w:tr>
      <w:tr>
        <w:trPr>
          <w:trHeight w:val="665" w:hRule="exact"/>
        </w:trPr>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pacing w:val="6"/>
                <w:sz w:val="21"/>
                <w:szCs w:val="21"/>
              </w:rPr>
              <w:t>减：重分类至一年内到期</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的非流动资产净额</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159,630,000.00</w:t>
            </w:r>
          </w:p>
        </w:tc>
        <w:tc>
          <w:tcPr>
            <w:tcW w:w="566" w:type="dxa"/>
            <w:tcBorders>
              <w:top w:val="single" w:sz="12" w:space="0" w:color="000000"/>
              <w:left w:val="single" w:sz="6" w:space="0" w:color="000000"/>
              <w:bottom w:val="single" w:sz="12" w:space="0" w:color="000000"/>
              <w:right w:val="single" w:sz="6" w:space="0" w:color="000000"/>
            </w:tcBorders>
          </w:tcPr>
          <w:p>
            <w:pP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159,630,000.00</w:t>
            </w:r>
          </w:p>
        </w:tc>
        <w:tc>
          <w:tcPr>
            <w:tcW w:w="1424" w:type="dxa"/>
            <w:tcBorders>
              <w:top w:val="single" w:sz="12" w:space="0" w:color="000000"/>
              <w:left w:val="single" w:sz="6" w:space="0" w:color="000000"/>
              <w:bottom w:val="single" w:sz="12" w:space="0" w:color="000000"/>
              <w:right w:val="single" w:sz="6" w:space="0" w:color="000000"/>
            </w:tcBorders>
          </w:tcPr>
          <w:p>
            <w:pPr/>
          </w:p>
        </w:tc>
        <w:tc>
          <w:tcPr>
            <w:tcW w:w="499" w:type="dxa"/>
            <w:tcBorders>
              <w:top w:val="single" w:sz="12" w:space="0" w:color="000000"/>
              <w:left w:val="single" w:sz="6" w:space="0" w:color="000000"/>
              <w:bottom w:val="single" w:sz="12" w:space="0" w:color="000000"/>
              <w:right w:val="single" w:sz="6" w:space="0" w:color="000000"/>
            </w:tcBorders>
          </w:tcPr>
          <w:p>
            <w:pPr/>
          </w:p>
        </w:tc>
        <w:tc>
          <w:tcPr>
            <w:tcW w:w="1390" w:type="dxa"/>
            <w:tcBorders>
              <w:top w:val="single" w:sz="12" w:space="0" w:color="000000"/>
              <w:left w:val="single" w:sz="6" w:space="0" w:color="000000"/>
              <w:bottom w:val="single" w:sz="12" w:space="0" w:color="000000"/>
              <w:right w:val="nil" w:sz="6" w:space="0" w:color="auto"/>
            </w:tcBorders>
          </w:tcPr>
          <w:p>
            <w:pPr/>
          </w:p>
        </w:tc>
      </w:tr>
      <w:tr>
        <w:trPr>
          <w:trHeight w:val="664" w:hRule="exact"/>
        </w:trPr>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b/>
                <w:bCs/>
                <w:spacing w:val="6"/>
                <w:sz w:val="21"/>
                <w:szCs w:val="21"/>
              </w:rPr>
              <w:t>分期收款股权转让款及项</w:t>
            </w:r>
            <w:r>
              <w:rPr>
                <w:rFonts w:ascii="宋体" w:hAnsi="宋体" w:cs="宋体" w:eastAsia="宋体" w:hint="default"/>
                <w:spacing w:val="6"/>
                <w:sz w:val="21"/>
                <w:szCs w:val="21"/>
              </w:rPr>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b/>
                <w:bCs/>
                <w:sz w:val="21"/>
                <w:szCs w:val="21"/>
              </w:rPr>
              <w:t>目保证金长期应收款余额</w:t>
            </w:r>
            <w:r>
              <w:rPr>
                <w:rFonts w:ascii="宋体" w:hAnsi="宋体" w:cs="宋体" w:eastAsia="宋体" w:hint="default"/>
                <w:sz w:val="21"/>
                <w:szCs w:val="21"/>
              </w:rPr>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b/>
                <w:sz w:val="21"/>
              </w:rPr>
              <w:t>28,170,000.00</w:t>
            </w:r>
            <w:r>
              <w:rPr>
                <w:rFonts w:ascii="Times New Roman"/>
                <w:sz w:val="21"/>
              </w:rPr>
            </w:r>
          </w:p>
        </w:tc>
        <w:tc>
          <w:tcPr>
            <w:tcW w:w="566" w:type="dxa"/>
            <w:tcBorders>
              <w:top w:val="single" w:sz="12" w:space="0" w:color="000000"/>
              <w:left w:val="single" w:sz="6" w:space="0" w:color="000000"/>
              <w:bottom w:val="single" w:sz="12" w:space="0" w:color="000000"/>
              <w:right w:val="single" w:sz="6" w:space="0" w:color="000000"/>
            </w:tcBorders>
          </w:tcPr>
          <w:p>
            <w:pPr/>
          </w:p>
        </w:tc>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b/>
                <w:sz w:val="21"/>
              </w:rPr>
              <w:t>28,170,000.00</w:t>
            </w:r>
            <w:r>
              <w:rPr>
                <w:rFonts w:ascii="Times New Roman"/>
                <w:sz w:val="21"/>
              </w:rPr>
            </w:r>
          </w:p>
        </w:tc>
        <w:tc>
          <w:tcPr>
            <w:tcW w:w="1424" w:type="dxa"/>
            <w:tcBorders>
              <w:top w:val="single" w:sz="12" w:space="0" w:color="000000"/>
              <w:left w:val="single" w:sz="6" w:space="0" w:color="000000"/>
              <w:bottom w:val="single" w:sz="12" w:space="0" w:color="000000"/>
              <w:right w:val="single" w:sz="6" w:space="0" w:color="000000"/>
            </w:tcBorders>
          </w:tcPr>
          <w:p>
            <w:pPr/>
          </w:p>
        </w:tc>
        <w:tc>
          <w:tcPr>
            <w:tcW w:w="499" w:type="dxa"/>
            <w:tcBorders>
              <w:top w:val="single" w:sz="12" w:space="0" w:color="000000"/>
              <w:left w:val="single" w:sz="6" w:space="0" w:color="000000"/>
              <w:bottom w:val="single" w:sz="12" w:space="0" w:color="000000"/>
              <w:right w:val="single" w:sz="6" w:space="0" w:color="000000"/>
            </w:tcBorders>
          </w:tcPr>
          <w:p>
            <w:pPr/>
          </w:p>
        </w:tc>
        <w:tc>
          <w:tcPr>
            <w:tcW w:w="1390"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4、长期股权投资" w:id="275"/>
      <w:bookmarkEnd w:id="275"/>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沈阳金丰 春航空科 技有限公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4,116,029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17,302.41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540,960.0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4,674,292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赤峰市北 创基础设 施开发建 设有限公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23,736,82</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1.20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23,990,82</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254,001.9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京蓝泰瑞 生态环境 治理有限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181,348.9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-449,295.</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472,053.9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28,034,19</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9.99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23,990,82</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-177,990.</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540,960.0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5,146,346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28,034,19</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9.99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23,990,82</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-177,990.</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540,960.0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5,146,346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.12</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5、投资性房地产" w:id="276"/>
      <w:bookmarkEnd w:id="276"/>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投资性房地产" w:id="277"/>
      <w:bookmarkEnd w:id="277"/>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49" w:right="0"/>
              <w:jc w:val="left"/>
              <w:rPr>
                <w:rFonts w:ascii="Times New Roman" w:hAnsi="Times New Roman" w:cs="Times New Roman" w:eastAsia="Times New Roman" w:hint="default"/>
                <w:sz w:val="18"/>
                <w:szCs w:val="18"/>
              </w:rPr>
            </w:pPr>
            <w:r>
              <w:rPr>
                <w:rFonts w:ascii="Times New Roman"/>
                <w:sz w:val="18"/>
              </w:rPr>
              <w:t>41,127,562.50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5" w:right="0"/>
              <w:jc w:val="left"/>
              <w:rPr>
                <w:rFonts w:ascii="Times New Roman" w:hAnsi="Times New Roman" w:cs="Times New Roman" w:eastAsia="Times New Roman" w:hint="default"/>
                <w:sz w:val="18"/>
                <w:szCs w:val="18"/>
              </w:rPr>
            </w:pPr>
            <w:r>
              <w:rPr>
                <w:rFonts w:ascii="Times New Roman"/>
                <w:sz w:val="18"/>
              </w:rPr>
              <w:t>41,127,562.50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4"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41,127,562.50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41,127,562.50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8,045,566.41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8,045,566.41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5,218,959.37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5,218,959.37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5,218,959.37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5,218,959.37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13,264,525.78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13,264,525.78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27,863,036.72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27,863,036.72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33,081,996.09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33,081,996.09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采用公允价值计量模式的投资性房地产" w:id="278"/>
      <w:bookmarkEnd w:id="278"/>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未办妥产权证书的投资性房地产情况" w:id="279"/>
      <w:bookmarkEnd w:id="279"/>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16、固定资产" w:id="280"/>
      <w:bookmarkEnd w:id="280"/>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372,293,197.90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320,358,432.22</w:t>
            </w:r>
          </w:p>
        </w:tc>
      </w:tr>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372,293,197.90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320,358,432.22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固定资产情况" w:id="281"/>
      <w:bookmarkEnd w:id="281"/>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257,005,020.98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90,166,009.62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33,713,227.28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11,546,649.06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392,430,906.94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63,975,712.87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12,847,276.32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2,689,705.05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2,031,746.98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81,544,441.22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1,648,663.13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12,525,395.01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2,689,705.05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2,031,746.98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18,895,510.17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62,327,049.74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321,881.31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62,648,931.05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314,356.77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150,063.62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464,420.39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314,356.77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150,063.62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464,420.39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320,980,733.85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103,013,285.94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36,088,575.56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13,428,332.42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473,510,927.77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25,416,396.41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24,551,683.45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17,341,934.36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4,762,460.50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72,072,474.72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10,840,685.31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12,290,009.04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4,274,083.05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1,992,996.01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29,397,773.41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10,840,685.31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12,290,009.04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4,274,083.05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1,992,996.01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29,397,773.41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183,007.28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69,510.98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252,518.26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183,007.28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69,510.98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252,518.26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36,257,081.72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36,841,692.49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21,433,010.13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6,685,945.53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101,217,729.87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284,723,652.13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66,171,593.45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14,655,565.43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6,742,386.89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372,293,197.90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231,588,624.57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65,614,326.17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16,371,292.92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6,784,188.56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320,358,432.22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暂时闲置的固定资产情况" w:id="282"/>
      <w:bookmarkEnd w:id="282"/>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通过融资租赁租入的固定资产情况" w:id="283"/>
      <w:bookmarkEnd w:id="283"/>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4）通过经营租赁租出的固定资产" w:id="284"/>
      <w:bookmarkEnd w:id="284"/>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5）未办妥产权证书的固定资产情况" w:id="285"/>
      <w:bookmarkEnd w:id="285"/>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呼和浩特分公司办公楼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11,978,632.00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正在办理过程中</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固定资产清理" w:id="286"/>
      <w:bookmarkEnd w:id="286"/>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17、在建工程" w:id="287"/>
      <w:bookmarkEnd w:id="287"/>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93,304,264.43</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143,188,521.59</w:t>
            </w:r>
          </w:p>
        </w:tc>
      </w:tr>
      <w:tr>
        <w:trPr>
          <w:trHeight w:val="403"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93,304,264.43</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143,188,521.59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在建工程情况" w:id="288"/>
      <w:bookmarkEnd w:id="28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高效节水配套新 材料研发与中试 生产项目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20,975,535.68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20,975,535.68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71,107,365.94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71,107,365.94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综合办公楼等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61,732,574.06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61,732,574.06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41,602,966.47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41,602,966.47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威县沐禾厂房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7,832,923.24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7,832,923.24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3,576,044.06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3,576,044.06</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林州凤宝余热发 电工程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26,888,341.70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26,888,341.70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厂区消防工程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2,648,648.66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2,648,648.66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114,582.79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114,582.79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13,803.42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13,803.42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93,304,264.43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93,304,264.43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143,188,521.59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143,188,521.59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重要在建工程项目本期变动情况" w:id="289"/>
      <w:bookmarkEnd w:id="28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高效节 水配套 新材料 研发与 中试生 产项目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110,609,</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71,107,3</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65.94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6,942,28</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6.98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57,074,1</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17.24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20,975,5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35.68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70.56%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3" w:right="161"/>
              <w:jc w:val="left"/>
              <w:rPr>
                <w:rFonts w:ascii="宋体" w:hAnsi="宋体" w:cs="宋体" w:eastAsia="宋体" w:hint="default"/>
                <w:sz w:val="18"/>
                <w:szCs w:val="18"/>
              </w:rPr>
            </w:pPr>
            <w:r>
              <w:rPr>
                <w:rFonts w:ascii="宋体" w:hAnsi="宋体" w:cs="宋体" w:eastAsia="宋体" w:hint="default"/>
                <w:sz w:val="18"/>
                <w:szCs w:val="18"/>
              </w:rPr>
              <w:t>尚未建 设完成</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综合办 公楼等</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41,602,9</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66.47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20,129,6</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07.59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61,732,5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74.06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61"/>
              <w:jc w:val="left"/>
              <w:rPr>
                <w:rFonts w:ascii="宋体" w:hAnsi="宋体" w:cs="宋体" w:eastAsia="宋体" w:hint="default"/>
                <w:sz w:val="18"/>
                <w:szCs w:val="18"/>
              </w:rPr>
            </w:pPr>
            <w:r>
              <w:rPr>
                <w:rFonts w:ascii="宋体" w:hAnsi="宋体" w:cs="宋体" w:eastAsia="宋体" w:hint="default"/>
                <w:sz w:val="18"/>
                <w:szCs w:val="18"/>
              </w:rPr>
              <w:t>尚未建 设完成</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威县沐</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1" w:right="0"/>
              <w:jc w:val="center"/>
              <w:rPr>
                <w:rFonts w:ascii="Times New Roman" w:hAnsi="Times New Roman" w:cs="Times New Roman" w:eastAsia="Times New Roman" w:hint="default"/>
                <w:sz w:val="18"/>
                <w:szCs w:val="18"/>
              </w:rPr>
            </w:pPr>
            <w:r>
              <w:rPr>
                <w:rFonts w:ascii="Times New Roman"/>
                <w:sz w:val="18"/>
              </w:rPr>
              <w:t>9,000,00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3,576,04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4,256,87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7,832,92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center"/>
              <w:rPr>
                <w:rFonts w:ascii="Times New Roman" w:hAnsi="Times New Roman" w:cs="Times New Roman" w:eastAsia="Times New Roman" w:hint="default"/>
                <w:sz w:val="18"/>
                <w:szCs w:val="18"/>
              </w:rPr>
            </w:pPr>
            <w:r>
              <w:rPr>
                <w:rFonts w:ascii="Times New Roman"/>
                <w:sz w:val="18"/>
              </w:rPr>
              <w:t>87.03%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尚未建</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禾厂房</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9" w:right="0"/>
              <w:jc w:val="left"/>
              <w:rPr>
                <w:rFonts w:ascii="Times New Roman" w:hAnsi="Times New Roman" w:cs="Times New Roman" w:eastAsia="Times New Roman" w:hint="default"/>
                <w:sz w:val="18"/>
                <w:szCs w:val="18"/>
              </w:rPr>
            </w:pPr>
            <w:r>
              <w:rPr>
                <w:rFonts w:ascii="Times New Roman"/>
                <w:sz w:val="18"/>
              </w:rPr>
              <w:t>4.06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Times New Roman" w:hAnsi="Times New Roman" w:cs="Times New Roman" w:eastAsia="Times New Roman" w:hint="default"/>
                <w:sz w:val="18"/>
                <w:szCs w:val="18"/>
              </w:rPr>
            </w:pPr>
            <w:r>
              <w:rPr>
                <w:rFonts w:ascii="Times New Roman"/>
                <w:sz w:val="18"/>
              </w:rPr>
              <w:t>9.18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3.24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设完成</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林州凤 宝余热 发电工 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26,000,0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26,888,3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41.70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26,888,3</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41.70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京蓝沐 禾厂区 消防工 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2,648,64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8.66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2,648,64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8.66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61"/>
              <w:jc w:val="left"/>
              <w:rPr>
                <w:rFonts w:ascii="宋体" w:hAnsi="宋体" w:cs="宋体" w:eastAsia="宋体" w:hint="default"/>
                <w:sz w:val="18"/>
                <w:szCs w:val="18"/>
              </w:rPr>
            </w:pPr>
            <w:r>
              <w:rPr>
                <w:rFonts w:ascii="宋体" w:hAnsi="宋体" w:cs="宋体" w:eastAsia="宋体" w:hint="default"/>
                <w:sz w:val="18"/>
                <w:szCs w:val="18"/>
              </w:rPr>
              <w:t>尚未建 设完成</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京蓝沐 禾厂区 道路工 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5,252,93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5,252,93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2.50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145,609,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143,174,</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718.17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39,230,3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54.91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62,327,0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49.74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26,888,3</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41.70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93,189,6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81.64</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本期计提在建工程减值准备情况" w:id="290"/>
      <w:bookmarkEnd w:id="290"/>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工程物资" w:id="291"/>
      <w:bookmarkEnd w:id="291"/>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3"/>
        <w:gridCol w:w="1328"/>
        <w:gridCol w:w="1329"/>
        <w:gridCol w:w="1196"/>
        <w:gridCol w:w="1196"/>
        <w:gridCol w:w="1196"/>
        <w:gridCol w:w="1193"/>
      </w:tblGrid>
      <w:tr>
        <w:trPr>
          <w:trHeight w:val="402" w:hRule="exact"/>
        </w:trPr>
        <w:tc>
          <w:tcPr>
            <w:tcW w:w="2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3"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8、生产性生物资产" w:id="292"/>
      <w:bookmarkEnd w:id="292"/>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生产性生物资产" w:id="293"/>
      <w:bookmarkEnd w:id="293"/>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采用公允价值计量模式的生产性生物资产" w:id="294"/>
      <w:bookmarkEnd w:id="294"/>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19、油气资产" w:id="295"/>
      <w:bookmarkEnd w:id="295"/>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0、无形资产" w:id="296"/>
      <w:bookmarkEnd w:id="296"/>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无形资产情况" w:id="297"/>
      <w:bookmarkEnd w:id="297"/>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合同权益</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34,078,026.82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67,009,537.74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10,906,641.35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111,994,205.91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38,834.95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46,971,208.95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4,283,635.10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51,293,679.00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897,054.76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4,283,635.10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5,180,689.86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38,834.95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46,074,154.19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46,112,989.14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firstLine="5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34,078,026.82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67,048,372.69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57,877,850.30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4,283,635.10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163,287,884.91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2,466,176.41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4,542,543.20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1,312,348.79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8,321,068.40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686,919.24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8,819,122.23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2,366,844.62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11,872,886.09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686,919.24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8,819,122.23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2,366,844.62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11,872,886.09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3,153,095.65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13,361,665.43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3,679,193.41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20,193,954.49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30,924,931.17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53,686,707.26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54,198,656.89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4,283,635.10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143,093,930.42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31,611,850.41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62,466,994.54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9,594,292.56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103,673,137.51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28.22%</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未办妥产权证书的土地使用权情况" w:id="298"/>
      <w:bookmarkEnd w:id="298"/>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1、开发支出" w:id="299"/>
      <w:bookmarkEnd w:id="299"/>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6"/>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节水云平台 开发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5,231,388.37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40,842,765.8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46,074,154.1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智慧农业云 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230,771.92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230,771.92</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39"/>
              <w:jc w:val="left"/>
              <w:rPr>
                <w:rFonts w:ascii="Times New Roman" w:hAnsi="Times New Roman" w:cs="Times New Roman" w:eastAsia="Times New Roman" w:hint="default"/>
                <w:sz w:val="18"/>
                <w:szCs w:val="18"/>
              </w:rPr>
            </w:pPr>
            <w:r>
              <w:rPr>
                <w:rFonts w:ascii="宋体" w:hAnsi="宋体" w:cs="宋体" w:eastAsia="宋体" w:hint="default"/>
                <w:sz w:val="18"/>
                <w:szCs w:val="18"/>
              </w:rPr>
              <w:t>园林节水灌 溉云平台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130,930.87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130,930.87</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38" w:lineRule="auto" w:before="51"/>
              <w:ind w:left="22" w:right="129"/>
              <w:jc w:val="left"/>
              <w:rPr>
                <w:rFonts w:ascii="Times New Roman" w:hAnsi="Times New Roman" w:cs="Times New Roman" w:eastAsia="Times New Roman" w:hint="default"/>
                <w:sz w:val="18"/>
                <w:szCs w:val="18"/>
              </w:rPr>
            </w:pPr>
            <w:r>
              <w:rPr>
                <w:rFonts w:ascii="宋体" w:hAnsi="宋体" w:cs="宋体" w:eastAsia="宋体" w:hint="default"/>
                <w:sz w:val="18"/>
                <w:szCs w:val="18"/>
              </w:rPr>
              <w:t>设备管理及 外业测绘 </w:t>
            </w:r>
            <w:r>
              <w:rPr>
                <w:rFonts w:ascii="Times New Roman" w:hAnsi="Times New Roman" w:cs="Times New Roman" w:eastAsia="Times New Roman" w:hint="default"/>
                <w:sz w:val="18"/>
                <w:szCs w:val="18"/>
              </w:rPr>
              <w:t>APP</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103,135.55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103,135.55</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Times New Roman" w:hAnsi="Times New Roman" w:cs="Times New Roman" w:eastAsia="Times New Roman" w:hint="default"/>
                <w:sz w:val="18"/>
                <w:szCs w:val="18"/>
              </w:rPr>
            </w:pPr>
            <w:r>
              <w:rPr>
                <w:rFonts w:ascii="宋体" w:hAnsi="宋体" w:cs="宋体" w:eastAsia="宋体" w:hint="default"/>
                <w:sz w:val="18"/>
                <w:szCs w:val="18"/>
              </w:rPr>
              <w:t>农机作业服 务平台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194,716.84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194,716.84</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京蓝灌溉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升级改造</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210,911.28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210,911.28</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6"/>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5,231,388.37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41,713,232.2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46,074,154.1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870,466.46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127" w:firstLine="336"/>
        <w:jc w:val="left"/>
      </w:pPr>
      <w:r>
        <w:rPr>
          <w:spacing w:val="-1"/>
        </w:rPr>
        <w:t>节水云平台开发项目预算总额为</w:t>
      </w:r>
      <w:r>
        <w:rPr>
          <w:rFonts w:ascii="Times New Roman" w:hAnsi="Times New Roman" w:cs="Times New Roman" w:eastAsia="Times New Roman" w:hint="default"/>
          <w:spacing w:val="-1"/>
        </w:rPr>
        <w:t>10,232.00</w:t>
      </w:r>
      <w:r>
        <w:rPr>
          <w:spacing w:val="-1"/>
        </w:rPr>
        <w:t>万元，于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6</w:t>
      </w:r>
      <w:r>
        <w:rPr>
          <w:spacing w:val="-1"/>
        </w:rPr>
        <w:t>月启动开发，截至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26</w:t>
      </w:r>
      <w:r>
        <w:rPr>
          <w:spacing w:val="-1"/>
        </w:rPr>
        <w:t>日该项目已</w:t>
      </w:r>
      <w:r>
        <w:rPr/>
        <w:t> 结项。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4"/>
        <w:spacing w:line="240" w:lineRule="auto"/>
        <w:ind w:right="0"/>
        <w:jc w:val="left"/>
        <w:rPr>
          <w:b w:val="0"/>
          <w:bCs w:val="0"/>
        </w:rPr>
      </w:pPr>
      <w:bookmarkStart w:name="22、商誉" w:id="300"/>
      <w:bookmarkEnd w:id="300"/>
      <w:r>
        <w:rPr>
          <w:b w:val="0"/>
          <w:bCs w:val="0"/>
        </w:rPr>
      </w:r>
      <w:r>
        <w:rPr>
          <w:rFonts w:ascii="Times New Roman" w:hAnsi="Times New Roman" w:cs="Times New Roman" w:eastAsia="Times New Roman" w:hint="default"/>
        </w:rPr>
        <w:t>22</w:t>
      </w:r>
      <w:r>
        <w:rPr/>
        <w:t>、商誉</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商誉账面原值" w:id="301"/>
      <w:bookmarkEnd w:id="301"/>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京蓝沐禾节水装 备有限公司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1,064,184,525.73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1,064,184,525.73</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京蓝北方园林</w:t>
            </w:r>
          </w:p>
          <w:p>
            <w:pPr>
              <w:pStyle w:val="TableParagraph"/>
              <w:spacing w:line="319" w:lineRule="auto" w:before="75"/>
              <w:ind w:left="22" w:right="61"/>
              <w:jc w:val="left"/>
              <w:rPr>
                <w:rFonts w:ascii="宋体" w:hAnsi="宋体" w:cs="宋体" w:eastAsia="宋体" w:hint="default"/>
                <w:sz w:val="18"/>
                <w:szCs w:val="18"/>
              </w:rPr>
            </w:pPr>
            <w:r>
              <w:rPr>
                <w:rFonts w:ascii="宋体" w:hAnsi="宋体" w:cs="宋体" w:eastAsia="宋体" w:hint="default"/>
                <w:sz w:val="18"/>
                <w:szCs w:val="18"/>
              </w:rPr>
              <w:t>（天津）有限公 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186,919,787.65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186,919,787.65</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1,251,104,313.38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1,251,104,313.38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商誉减值准备" w:id="302"/>
      <w:bookmarkEnd w:id="302"/>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w:t>
      </w:r>
    </w:p>
    <w:p>
      <w:pPr>
        <w:spacing w:line="240" w:lineRule="auto" w:before="13"/>
        <w:rPr>
          <w:rFonts w:ascii="宋体" w:hAnsi="宋体" w:cs="宋体" w:eastAsia="宋体" w:hint="default"/>
          <w:sz w:val="12"/>
          <w:szCs w:val="12"/>
        </w:rPr>
      </w:pPr>
    </w:p>
    <w:p>
      <w:pPr>
        <w:pStyle w:val="BodyText"/>
        <w:spacing w:line="273" w:lineRule="auto"/>
        <w:ind w:right="1130" w:firstLine="423"/>
        <w:jc w:val="both"/>
      </w:pPr>
      <w:r>
        <w:rPr>
          <w:spacing w:val="-1"/>
        </w:rPr>
        <w:t>商誉至少在每年年度终了进行减值测试。本公司进行商誉减值测试，对于因企业合并形成的商誉的账</w:t>
      </w:r>
      <w:r>
        <w:rPr/>
        <w:t> </w:t>
      </w:r>
      <w:r>
        <w:rPr>
          <w:spacing w:val="-1"/>
        </w:rPr>
        <w:t>面价值，自购买日起按照合理的方法分摊至相关的资产组；难以分摊至相关的资产组的，将其分摊至相关</w:t>
      </w:r>
      <w:r>
        <w:rPr>
          <w:spacing w:val="-83"/>
        </w:rPr>
        <w:t> </w:t>
      </w:r>
      <w:r>
        <w:rPr>
          <w:spacing w:val="-83"/>
        </w:rPr>
      </w:r>
      <w:r>
        <w:rPr>
          <w:spacing w:val="-1"/>
        </w:rPr>
        <w:t>的资产组组合。在将商誉的账面价值分摊至相关的资产组或者资产组组合时，按照各资产组或者资产组组</w:t>
      </w:r>
      <w:r>
        <w:rPr>
          <w:spacing w:val="-81"/>
        </w:rPr>
        <w:t> </w:t>
      </w:r>
      <w:r>
        <w:rPr>
          <w:spacing w:val="-81"/>
        </w:rPr>
      </w:r>
      <w:r>
        <w:rPr>
          <w:spacing w:val="-1"/>
        </w:rPr>
        <w:t>合的公允价值占相关资产组或者资产组组合公允价值总额的比例进行分摊。公允价值难以可靠计量的，按</w:t>
      </w:r>
      <w:r>
        <w:rPr>
          <w:spacing w:val="-81"/>
        </w:rPr>
        <w:t> </w:t>
      </w:r>
      <w:r>
        <w:rPr>
          <w:spacing w:val="-81"/>
        </w:rPr>
      </w:r>
      <w:r>
        <w:rPr/>
        <w:t>照各资产组或者资产组组合的账面价值占相关资产组或者资产组组合账面价值总额的比例进行分摊。</w:t>
      </w:r>
    </w:p>
    <w:p>
      <w:pPr>
        <w:spacing w:line="240" w:lineRule="auto" w:before="7"/>
        <w:rPr>
          <w:rFonts w:ascii="宋体" w:hAnsi="宋体" w:cs="宋体" w:eastAsia="宋体" w:hint="default"/>
          <w:sz w:val="29"/>
          <w:szCs w:val="29"/>
        </w:rPr>
      </w:pPr>
    </w:p>
    <w:p>
      <w:pPr>
        <w:spacing w:line="316" w:lineRule="auto" w:before="0"/>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等）及商誉减值损失的确认方法：</w:t>
      </w:r>
    </w:p>
    <w:p>
      <w:pPr>
        <w:pStyle w:val="BodyText"/>
        <w:spacing w:line="264" w:lineRule="auto" w:before="113"/>
        <w:ind w:right="1110" w:firstLine="423"/>
        <w:jc w:val="both"/>
      </w:pPr>
      <w:r>
        <w:rPr>
          <w:spacing w:val="-1"/>
        </w:rPr>
        <w:t>本公司于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日对上述商誉执行了减值测试。本公司对京蓝沐禾节水装备有限公司及京蓝北</w:t>
      </w:r>
      <w:r>
        <w:rPr/>
        <w:t> </w:t>
      </w:r>
      <w:r>
        <w:rPr>
          <w:spacing w:val="-1"/>
        </w:rPr>
        <w:t>方园林（天津）有限公司商誉相关资产组的可收回金额采用预计未来现金流量的现值，根据管理层批准的</w:t>
      </w:r>
      <w:r>
        <w:rPr>
          <w:spacing w:val="-83"/>
        </w:rPr>
        <w:t> </w:t>
      </w:r>
      <w:r>
        <w:rPr>
          <w:spacing w:val="-83"/>
        </w:rPr>
      </w:r>
      <w:r>
        <w:rPr>
          <w:rFonts w:ascii="Times New Roman" w:hAnsi="Times New Roman" w:cs="Times New Roman" w:eastAsia="Times New Roman" w:hint="default"/>
        </w:rPr>
        <w:t>5</w:t>
      </w:r>
      <w:r>
        <w:rPr/>
        <w:t>年期的财务预算基础上的现金流量预测来确定。现金流量预测采用的折现率根据反映相关资产组特定风</w:t>
      </w:r>
      <w:r>
        <w:rPr>
          <w:spacing w:val="-34"/>
        </w:rPr>
        <w:t> </w:t>
      </w:r>
      <w:r>
        <w:rPr>
          <w:spacing w:val="-34"/>
        </w:rPr>
      </w:r>
      <w:r>
        <w:rPr>
          <w:spacing w:val="-2"/>
        </w:rPr>
        <w:t>险的税前加权平均资本成本确定，所用的折现率分别为</w:t>
      </w:r>
      <w:r>
        <w:rPr>
          <w:rFonts w:ascii="Times New Roman" w:hAnsi="Times New Roman" w:cs="Times New Roman" w:eastAsia="Times New Roman" w:hint="default"/>
          <w:spacing w:val="-2"/>
        </w:rPr>
        <w:t>12.12%</w:t>
      </w:r>
      <w:r>
        <w:rPr>
          <w:spacing w:val="-2"/>
        </w:rPr>
        <w:t>、</w:t>
      </w:r>
      <w:r>
        <w:rPr>
          <w:rFonts w:ascii="Times New Roman" w:hAnsi="Times New Roman" w:cs="Times New Roman" w:eastAsia="Times New Roman" w:hint="default"/>
          <w:spacing w:val="-2"/>
        </w:rPr>
        <w:t>11.81%</w:t>
      </w:r>
      <w:r>
        <w:rPr>
          <w:spacing w:val="-2"/>
        </w:rPr>
        <w:t>。管理层认为，尽管上述公司所对</w:t>
      </w:r>
      <w:r>
        <w:rPr>
          <w:spacing w:val="-62"/>
        </w:rPr>
        <w:t> </w:t>
      </w:r>
      <w:r>
        <w:rPr>
          <w:spacing w:val="-62"/>
        </w:rPr>
      </w:r>
      <w:r>
        <w:rPr/>
        <w:t>应的市场需求在稳定增长，但五年以后增长速度可能会逐渐放缓，且仍将维持在平稳增长的水平，由此， 管理层使用比较稳健的增长率来推断五年以后现金流量，管理层相信这一增长率是合理的。</w:t>
      </w:r>
    </w:p>
    <w:p>
      <w:pPr>
        <w:pStyle w:val="BodyText"/>
        <w:spacing w:line="240" w:lineRule="auto" w:before="136"/>
        <w:ind w:left="577" w:right="0"/>
        <w:jc w:val="left"/>
      </w:pPr>
      <w:r>
        <w:rPr/>
        <w:t>本公司的商誉已分配至相关资产组，中铭国际资产评估（北京）有限责任公司对商誉进行评估，并分</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0"/>
        <w:jc w:val="left"/>
      </w:pPr>
      <w:r>
        <w:rPr>
          <w:spacing w:val="-1"/>
        </w:rPr>
        <w:t>别出具了中铭评报字【</w:t>
      </w:r>
      <w:r>
        <w:rPr>
          <w:rFonts w:ascii="Times New Roman" w:hAnsi="Times New Roman" w:cs="Times New Roman" w:eastAsia="Times New Roman" w:hint="default"/>
          <w:spacing w:val="-1"/>
        </w:rPr>
        <w:t>2019</w:t>
      </w:r>
      <w:r>
        <w:rPr>
          <w:spacing w:val="-1"/>
        </w:rPr>
        <w:t>】第</w:t>
      </w:r>
      <w:r>
        <w:rPr>
          <w:rFonts w:ascii="Times New Roman" w:hAnsi="Times New Roman" w:cs="Times New Roman" w:eastAsia="Times New Roman" w:hint="default"/>
          <w:spacing w:val="-1"/>
        </w:rPr>
        <w:t>1009</w:t>
      </w:r>
      <w:r>
        <w:rPr>
          <w:spacing w:val="-1"/>
        </w:rPr>
        <w:t>号、中铭评报字【</w:t>
      </w:r>
      <w:r>
        <w:rPr>
          <w:rFonts w:ascii="Times New Roman" w:hAnsi="Times New Roman" w:cs="Times New Roman" w:eastAsia="Times New Roman" w:hint="default"/>
          <w:spacing w:val="-1"/>
        </w:rPr>
        <w:t>2019</w:t>
      </w:r>
      <w:r>
        <w:rPr>
          <w:spacing w:val="-1"/>
        </w:rPr>
        <w:t>】第</w:t>
      </w:r>
      <w:r>
        <w:rPr>
          <w:rFonts w:ascii="Times New Roman" w:hAnsi="Times New Roman" w:cs="Times New Roman" w:eastAsia="Times New Roman" w:hint="default"/>
          <w:spacing w:val="-1"/>
        </w:rPr>
        <w:t>0069</w:t>
      </w:r>
      <w:r>
        <w:rPr>
          <w:spacing w:val="-1"/>
        </w:rPr>
        <w:t>号，以财务报表报告为目的的商誉减</w:t>
      </w:r>
      <w:r>
        <w:rPr>
          <w:spacing w:val="-78"/>
        </w:rPr>
        <w:t> </w:t>
      </w:r>
      <w:r>
        <w:rPr>
          <w:spacing w:val="-78"/>
        </w:rPr>
      </w:r>
      <w:r>
        <w:rPr/>
        <w:t>值测评估报告，经测试，本年度商誉未发生减值。</w:t>
      </w:r>
    </w:p>
    <w:p>
      <w:pPr>
        <w:spacing w:line="240" w:lineRule="auto" w:before="0"/>
        <w:rPr>
          <w:rFonts w:ascii="宋体" w:hAnsi="宋体" w:cs="宋体" w:eastAsia="宋体" w:hint="default"/>
          <w:sz w:val="20"/>
          <w:szCs w:val="20"/>
        </w:rPr>
      </w:pPr>
    </w:p>
    <w:p>
      <w:pPr>
        <w:spacing w:before="139"/>
        <w:ind w:left="154" w:right="0" w:firstLine="0"/>
        <w:jc w:val="left"/>
        <w:rPr>
          <w:rFonts w:ascii="宋体" w:hAnsi="宋体" w:cs="宋体" w:eastAsia="宋体" w:hint="default"/>
          <w:sz w:val="18"/>
          <w:szCs w:val="18"/>
        </w:rPr>
      </w:pPr>
      <w:r>
        <w:rPr>
          <w:rFonts w:ascii="宋体" w:hAnsi="宋体" w:cs="宋体" w:eastAsia="宋体" w:hint="default"/>
          <w:sz w:val="18"/>
          <w:szCs w:val="18"/>
        </w:rPr>
        <w:t>商誉减值测试的影响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3、长期待摊费用" w:id="303"/>
      <w:bookmarkEnd w:id="303"/>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固定资产改良支出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398,494.28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913,560.88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389,152.58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922,902.58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长期待摊租金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482,587.26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191,205.39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291,381.87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试验田地租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201,199.92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1,817,941.82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549,371.16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1,469,770.58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6,469,304.25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14,612,264.06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6,436,853.54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14,644,714.77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7,551,585.71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17,343,766.76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7,566,582.67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17,328,769.80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4、递延所得税资产/递延所得税负债" w:id="304"/>
      <w:bookmarkEnd w:id="304"/>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305"/>
      <w:bookmarkEnd w:id="305"/>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126,676,180.18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19,234,067.72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119,072,921.48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18,232,180.16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16,810,083.97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3,205,376.90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41,559,854.20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7,260,289.22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144,139,914.55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33,970,669.82</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以后年度可结转扣除的 广告费与宣传费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357,135.81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89,283.96</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以后年度可结转扣除的 职工教育经费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582.51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789,652.16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197,413.04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暂估费用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13,213,199.10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1,981,979.87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5,938,003.72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890,700.56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30,000.00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7"/>
              <w:jc w:val="left"/>
              <w:rPr>
                <w:rFonts w:ascii="宋体" w:hAnsi="宋体" w:cs="宋体" w:eastAsia="宋体" w:hint="default"/>
                <w:sz w:val="18"/>
                <w:szCs w:val="18"/>
              </w:rPr>
            </w:pPr>
            <w:r>
              <w:rPr>
                <w:rFonts w:ascii="宋体" w:hAnsi="宋体" w:cs="宋体" w:eastAsia="宋体" w:hint="default"/>
                <w:sz w:val="18"/>
                <w:szCs w:val="18"/>
              </w:rPr>
              <w:t>分期收款方式确认的成 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4,851,959.13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727,793.87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2,838,885.00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425,832.75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5,386,832.44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1,346,708.11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9" w:right="0"/>
              <w:jc w:val="left"/>
              <w:rPr>
                <w:rFonts w:ascii="Times New Roman" w:hAnsi="Times New Roman" w:cs="Times New Roman" w:eastAsia="Times New Roman" w:hint="default"/>
                <w:sz w:val="18"/>
                <w:szCs w:val="18"/>
              </w:rPr>
            </w:pPr>
            <w:r>
              <w:rPr>
                <w:rFonts w:ascii="Times New Roman"/>
                <w:sz w:val="18"/>
              </w:rPr>
              <w:t>203,765,356.62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32,508,027.59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278,723,345.16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55,182,788.40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未经抵销的递延所得税负债" w:id="306"/>
      <w:bookmarkEnd w:id="306"/>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185,790,780.24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31,378,444.70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208,948,561.07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35,329,239.74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分期收款方式确认的收 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234,350,994.47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41,959,289.15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185,572,932.00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35,832,562.00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420,141,774.71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73,337,733.85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394,521,493.07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71,161,801.74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以抵销后净额列示的递延所得税资产或负债" w:id="307"/>
      <w:bookmarkEnd w:id="307"/>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32,508,027.59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55,182,788.40</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73,337,733.85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71,161,801.74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未确认递延所得税资产明细" w:id="308"/>
      <w:bookmarkEnd w:id="308"/>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57,778,342.80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7,983,102.74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239,847,479.50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126,257,293.59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297,625,822.30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134,240,396.33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未确认递延所得税资产的可抵扣亏损将于以下年度到期" w:id="309"/>
      <w:bookmarkEnd w:id="309"/>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19,570,211.17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56,211,047.88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31,074,731.36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33,353,144.54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19,286,131.64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84,406,694.71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48,501,836.96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18,542,241.99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7,824,382.46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47,334,350.38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239,847,479.50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126,257,293.59</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5、其他非流动资产" w:id="310"/>
      <w:bookmarkEnd w:id="310"/>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建管服</w:t>
            </w:r>
            <w:r>
              <w:rPr>
                <w:rFonts w:ascii="Times New Roman" w:hAnsi="Times New Roman" w:cs="Times New Roman" w:eastAsia="Times New Roman" w:hint="default"/>
                <w:sz w:val="18"/>
                <w:szCs w:val="18"/>
              </w:rPr>
              <w:t>”</w:t>
            </w:r>
            <w:r>
              <w:rPr>
                <w:rFonts w:ascii="宋体" w:hAnsi="宋体" w:cs="宋体" w:eastAsia="宋体" w:hint="default"/>
                <w:sz w:val="18"/>
                <w:szCs w:val="18"/>
              </w:rPr>
              <w:t>一体化智慧节水灌溉与水权交 易（</w:t>
            </w:r>
            <w:r>
              <w:rPr>
                <w:rFonts w:ascii="Times New Roman" w:hAnsi="Times New Roman" w:cs="Times New Roman" w:eastAsia="Times New Roman" w:hint="default"/>
                <w:sz w:val="18"/>
                <w:szCs w:val="18"/>
              </w:rPr>
              <w:t>PPP</w:t>
            </w: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16,355,914.80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16,355,914.80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194,973.90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预付购买无形资产款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128,793.10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642,000.00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售后回租固定资产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4,150,667.35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4,747,155.57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项目公司股权投资款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325,853,900.00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325,853,900.00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政府待收回的无形资产土地及在建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4,901,354.86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6,371,354.86</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中信建投</w:t>
            </w:r>
            <w:r>
              <w:rPr>
                <w:rFonts w:ascii="Times New Roman" w:hAnsi="Times New Roman" w:cs="Times New Roman" w:eastAsia="Times New Roman" w:hint="default"/>
                <w:sz w:val="18"/>
                <w:szCs w:val="18"/>
              </w:rPr>
              <w:t>-</w:t>
            </w:r>
            <w:r>
              <w:rPr>
                <w:rFonts w:ascii="宋体" w:hAnsi="宋体" w:cs="宋体" w:eastAsia="宋体" w:hint="default"/>
                <w:sz w:val="18"/>
                <w:szCs w:val="18"/>
              </w:rPr>
              <w:t>京蓝沐禾</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项目可持续发展 资产支持专项计划次级资产支持证券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收购中科鼎实环境工程股份有限公司股 权款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303,398,480.00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675,789,110.11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354,165,299.13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56" w:lineRule="auto"/>
        <w:ind w:right="1023" w:firstLine="370"/>
        <w:jc w:val="left"/>
      </w:pPr>
      <w:r>
        <w:rPr>
          <w:spacing w:val="-4"/>
          <w:w w:val="99"/>
        </w:rPr>
        <w:t>说明</w:t>
      </w:r>
      <w:r>
        <w:rPr>
          <w:rFonts w:ascii="Times New Roman" w:hAnsi="Times New Roman" w:cs="Times New Roman" w:eastAsia="Times New Roman" w:hint="default"/>
          <w:spacing w:val="-4"/>
          <w:w w:val="99"/>
        </w:rPr>
        <w:t>1</w:t>
      </w:r>
      <w:r>
        <w:rPr>
          <w:spacing w:val="-4"/>
          <w:w w:val="99"/>
        </w:rPr>
        <w:t>：</w:t>
      </w:r>
      <w:r>
        <w:rPr>
          <w:rFonts w:ascii="Times New Roman" w:hAnsi="Times New Roman" w:cs="Times New Roman" w:eastAsia="Times New Roman" w:hint="default"/>
          <w:spacing w:val="-4"/>
          <w:w w:val="99"/>
        </w:rPr>
        <w:t>2016</w:t>
      </w:r>
      <w:r>
        <w:rPr>
          <w:spacing w:val="-4"/>
          <w:w w:val="99"/>
        </w:rPr>
        <w:t>年</w:t>
      </w:r>
      <w:r>
        <w:rPr>
          <w:rFonts w:ascii="Times New Roman" w:hAnsi="Times New Roman" w:cs="Times New Roman" w:eastAsia="Times New Roman" w:hint="default"/>
          <w:spacing w:val="-4"/>
          <w:w w:val="99"/>
        </w:rPr>
        <w:t>8</w:t>
      </w:r>
      <w:r>
        <w:rPr>
          <w:spacing w:val="-4"/>
          <w:w w:val="99"/>
        </w:rPr>
        <w:t>月</w:t>
      </w:r>
      <w:r>
        <w:rPr>
          <w:rFonts w:ascii="Times New Roman" w:hAnsi="Times New Roman" w:cs="Times New Roman" w:eastAsia="Times New Roman" w:hint="default"/>
          <w:spacing w:val="-4"/>
          <w:w w:val="99"/>
        </w:rPr>
        <w:t>18</w:t>
      </w:r>
      <w:r>
        <w:rPr>
          <w:spacing w:val="-4"/>
          <w:w w:val="99"/>
        </w:rPr>
        <w:t>日威县水务局与公司签订关于威县</w:t>
      </w:r>
      <w:r>
        <w:rPr>
          <w:rFonts w:ascii="Times New Roman" w:hAnsi="Times New Roman" w:cs="Times New Roman" w:eastAsia="Times New Roman" w:hint="default"/>
          <w:spacing w:val="-4"/>
          <w:w w:val="99"/>
        </w:rPr>
        <w:t>“</w:t>
      </w:r>
      <w:r>
        <w:rPr>
          <w:spacing w:val="-4"/>
          <w:w w:val="99"/>
        </w:rPr>
        <w:t>建管服</w:t>
      </w:r>
      <w:r>
        <w:rPr>
          <w:rFonts w:ascii="Times New Roman" w:hAnsi="Times New Roman" w:cs="Times New Roman" w:eastAsia="Times New Roman" w:hint="default"/>
          <w:spacing w:val="-4"/>
          <w:w w:val="99"/>
        </w:rPr>
        <w:t>”</w:t>
      </w:r>
      <w:r>
        <w:rPr>
          <w:spacing w:val="-4"/>
          <w:w w:val="99"/>
        </w:rPr>
        <w:t>一体化智慧节水灌溉与水权交易（</w:t>
      </w:r>
      <w:r>
        <w:rPr>
          <w:rFonts w:ascii="Times New Roman" w:hAnsi="Times New Roman" w:cs="Times New Roman" w:eastAsia="Times New Roman" w:hint="default"/>
          <w:spacing w:val="-4"/>
          <w:w w:val="99"/>
        </w:rPr>
        <w:t>PPP</w:t>
      </w:r>
      <w:r>
        <w:rPr>
          <w:spacing w:val="-4"/>
          <w:w w:val="99"/>
        </w:rPr>
        <w:t>）</w:t>
      </w:r>
      <w:r>
        <w:rPr/>
        <w:t> 项目合同，项目拟采用</w:t>
      </w:r>
      <w:r>
        <w:rPr>
          <w:rFonts w:ascii="Times New Roman" w:hAnsi="Times New Roman" w:cs="Times New Roman" w:eastAsia="Times New Roman" w:hint="default"/>
        </w:rPr>
        <w:t>BOT</w:t>
      </w:r>
      <w:r>
        <w:rPr/>
        <w:t>模式分</w:t>
      </w:r>
      <w:r>
        <w:rPr>
          <w:rFonts w:ascii="Times New Roman" w:hAnsi="Times New Roman" w:cs="Times New Roman" w:eastAsia="Times New Roman" w:hint="default"/>
        </w:rPr>
        <w:t>6</w:t>
      </w:r>
      <w:r>
        <w:rPr/>
        <w:t>年建设，机井与田间道路建设完成后产权移交政府，沐禾供水享有</w:t>
      </w:r>
      <w:r>
        <w:rPr>
          <w:rFonts w:ascii="Times New Roman" w:hAnsi="Times New Roman" w:cs="Times New Roman" w:eastAsia="Times New Roman" w:hint="default"/>
        </w:rPr>
        <w:t>20</w:t>
      </w:r>
      <w:r>
        <w:rPr>
          <w:rFonts w:ascii="Times New Roman" w:hAnsi="Times New Roman" w:cs="Times New Roman" w:eastAsia="Times New Roman" w:hint="default"/>
          <w:spacing w:val="26"/>
        </w:rPr>
        <w:t> </w:t>
      </w:r>
      <w:r>
        <w:rPr>
          <w:spacing w:val="-5"/>
        </w:rPr>
        <w:t>年经营权，其他资产建设完成后产权归属项目公司，特许经营期满后分批次逐年无偿移交给政府。截至</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38"/>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日止，该项目尚未最终验收。</w:t>
      </w:r>
    </w:p>
    <w:p>
      <w:pPr>
        <w:spacing w:line="240" w:lineRule="auto" w:before="12"/>
        <w:rPr>
          <w:rFonts w:ascii="宋体" w:hAnsi="宋体" w:cs="宋体" w:eastAsia="宋体" w:hint="default"/>
          <w:sz w:val="16"/>
          <w:szCs w:val="16"/>
        </w:rPr>
      </w:pPr>
    </w:p>
    <w:p>
      <w:pPr>
        <w:pStyle w:val="BodyText"/>
        <w:spacing w:line="261" w:lineRule="auto"/>
        <w:ind w:right="1126" w:firstLine="370"/>
        <w:jc w:val="both"/>
      </w:pPr>
      <w:r>
        <w:rPr>
          <w:spacing w:val="-2"/>
        </w:rPr>
        <w:t>说明</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20</w:t>
      </w:r>
      <w:r>
        <w:rPr>
          <w:spacing w:val="-2"/>
        </w:rPr>
        <w:t>日，由于政府</w:t>
      </w:r>
      <w:r>
        <w:rPr>
          <w:rFonts w:ascii="Times New Roman" w:hAnsi="Times New Roman" w:cs="Times New Roman" w:eastAsia="Times New Roman" w:hint="default"/>
          <w:spacing w:val="-2"/>
        </w:rPr>
        <w:t>“</w:t>
      </w:r>
      <w:r>
        <w:rPr>
          <w:spacing w:val="-2"/>
        </w:rPr>
        <w:t>节水增粮</w:t>
      </w:r>
      <w:r>
        <w:rPr>
          <w:rFonts w:ascii="Times New Roman" w:hAnsi="Times New Roman" w:cs="Times New Roman" w:eastAsia="Times New Roman" w:hint="default"/>
          <w:spacing w:val="-2"/>
        </w:rPr>
        <w:t>”</w:t>
      </w:r>
      <w:r>
        <w:rPr>
          <w:spacing w:val="-2"/>
        </w:rPr>
        <w:t>政策变化原因，导致公司之子公司兴安盟沐禾节水工程</w:t>
      </w:r>
      <w:r>
        <w:rPr/>
        <w:t> </w:t>
      </w:r>
      <w:r>
        <w:rPr>
          <w:spacing w:val="3"/>
        </w:rPr>
        <w:t>设备有限公司位于科右前旗工业园区内一宗国有建设用地闲置，当地国土资源局决定收回建设用地使用</w:t>
      </w:r>
      <w:r>
        <w:rPr>
          <w:spacing w:val="-82"/>
        </w:rPr>
        <w:t> </w:t>
      </w:r>
      <w:r>
        <w:rPr>
          <w:spacing w:val="-82"/>
        </w:rPr>
      </w:r>
      <w:r>
        <w:rPr/>
        <w:t>权，兴安盟沐禾节水工程设备有限公司将该宗土地价款</w:t>
      </w:r>
      <w:r>
        <w:rPr>
          <w:rFonts w:ascii="Times New Roman" w:hAnsi="Times New Roman" w:cs="Times New Roman" w:eastAsia="Times New Roman" w:hint="default"/>
        </w:rPr>
        <w:t>1,367,791.00</w:t>
      </w:r>
      <w:r>
        <w:rPr/>
        <w:t>元及地上在建工程</w:t>
      </w:r>
      <w:r>
        <w:rPr>
          <w:rFonts w:ascii="Times New Roman" w:hAnsi="Times New Roman" w:cs="Times New Roman" w:eastAsia="Times New Roman" w:hint="default"/>
        </w:rPr>
        <w:t>3,533,563.86</w:t>
      </w:r>
      <w:r>
        <w:rPr/>
        <w:t>元，调</w:t>
      </w:r>
      <w:r>
        <w:rPr>
          <w:spacing w:val="-31"/>
        </w:rPr>
        <w:t> </w:t>
      </w:r>
      <w:r>
        <w:rPr/>
        <w:t>整划分为其他非流动资产。</w:t>
      </w:r>
    </w:p>
    <w:p>
      <w:pPr>
        <w:spacing w:line="240" w:lineRule="auto" w:before="12"/>
        <w:rPr>
          <w:rFonts w:ascii="宋体" w:hAnsi="宋体" w:cs="宋体" w:eastAsia="宋体" w:hint="default"/>
          <w:sz w:val="17"/>
          <w:szCs w:val="17"/>
        </w:rPr>
      </w:pPr>
    </w:p>
    <w:p>
      <w:pPr>
        <w:pStyle w:val="BodyText"/>
        <w:spacing w:line="256" w:lineRule="auto"/>
        <w:ind w:right="1096" w:firstLine="370"/>
        <w:jc w:val="both"/>
      </w:pPr>
      <w:r>
        <w:rPr>
          <w:spacing w:val="-2"/>
        </w:rPr>
        <w:t>说明</w:t>
      </w:r>
      <w:r>
        <w:rPr>
          <w:rFonts w:ascii="Times New Roman" w:hAnsi="Times New Roman" w:cs="Times New Roman" w:eastAsia="Times New Roman" w:hint="default"/>
          <w:spacing w:val="-2"/>
        </w:rPr>
        <w:t>3</w:t>
      </w:r>
      <w:r>
        <w:rPr>
          <w:spacing w:val="-2"/>
        </w:rPr>
        <w:t>：本公司之子公司京蓝沐禾节水装备有限公司与某租赁有限公司签订售后回租协议，以固定资产</w:t>
      </w:r>
      <w:r>
        <w:rPr/>
        <w:t> </w:t>
      </w:r>
      <w:r>
        <w:rPr>
          <w:spacing w:val="28"/>
        </w:rPr>
        <w:t>价值与回购价差额</w:t>
      </w:r>
      <w:r>
        <w:rPr>
          <w:spacing w:val="-71"/>
        </w:rPr>
        <w:t> </w:t>
      </w:r>
      <w:r>
        <w:rPr>
          <w:rFonts w:ascii="Times New Roman" w:hAnsi="Times New Roman" w:cs="Times New Roman" w:eastAsia="Times New Roman" w:hint="default"/>
        </w:rPr>
        <w:t>4,945,984.97</w:t>
      </w:r>
      <w:r>
        <w:rPr>
          <w:rFonts w:ascii="Times New Roman" w:hAnsi="Times New Roman" w:cs="Times New Roman" w:eastAsia="Times New Roman" w:hint="default"/>
          <w:spacing w:val="-19"/>
        </w:rPr>
        <w:t> </w:t>
      </w:r>
      <w:r>
        <w:rPr/>
        <w:t>扣</w:t>
      </w:r>
      <w:r>
        <w:rPr>
          <w:spacing w:val="-72"/>
        </w:rPr>
        <w:t> </w:t>
      </w:r>
      <w:r>
        <w:rPr/>
        <w:t>除</w:t>
      </w:r>
      <w:r>
        <w:rPr>
          <w:spacing w:val="-73"/>
        </w:rPr>
        <w:t> </w:t>
      </w:r>
      <w:r>
        <w:rPr/>
        <w:t>以</w:t>
      </w:r>
      <w:r>
        <w:rPr>
          <w:spacing w:val="-72"/>
        </w:rPr>
        <w:t> </w:t>
      </w:r>
      <w:r>
        <w:rPr/>
        <w:t>前</w:t>
      </w:r>
      <w:r>
        <w:rPr>
          <w:spacing w:val="-72"/>
        </w:rPr>
        <w:t> </w:t>
      </w:r>
      <w:r>
        <w:rPr/>
        <w:t>年</w:t>
      </w:r>
      <w:r>
        <w:rPr>
          <w:spacing w:val="-72"/>
        </w:rPr>
        <w:t> </w:t>
      </w:r>
      <w:r>
        <w:rPr/>
        <w:t>度</w:t>
      </w:r>
      <w:r>
        <w:rPr>
          <w:spacing w:val="-72"/>
        </w:rPr>
        <w:t> </w:t>
      </w:r>
      <w:r>
        <w:rPr/>
        <w:t>摊</w:t>
      </w:r>
      <w:r>
        <w:rPr>
          <w:spacing w:val="-72"/>
        </w:rPr>
        <w:t> </w:t>
      </w:r>
      <w:r>
        <w:rPr/>
        <w:t>销</w:t>
      </w:r>
      <w:r>
        <w:rPr>
          <w:spacing w:val="-72"/>
        </w:rPr>
        <w:t> </w:t>
      </w:r>
      <w:r>
        <w:rPr/>
        <w:t>数</w:t>
      </w:r>
      <w:r>
        <w:rPr>
          <w:spacing w:val="-70"/>
        </w:rPr>
        <w:t> </w:t>
      </w:r>
      <w:r>
        <w:rPr>
          <w:rFonts w:ascii="Times New Roman" w:hAnsi="Times New Roman" w:cs="Times New Roman" w:eastAsia="Times New Roman" w:hint="default"/>
        </w:rPr>
        <w:t>198,829.40</w:t>
      </w:r>
      <w:r>
        <w:rPr>
          <w:rFonts w:ascii="Times New Roman" w:hAnsi="Times New Roman" w:cs="Times New Roman" w:eastAsia="Times New Roman" w:hint="default"/>
          <w:spacing w:val="-18"/>
        </w:rPr>
        <w:t> </w:t>
      </w:r>
      <w:r>
        <w:rPr/>
        <w:t>和</w:t>
      </w:r>
      <w:r>
        <w:rPr>
          <w:spacing w:val="-72"/>
        </w:rPr>
        <w:t> </w:t>
      </w:r>
      <w:r>
        <w:rPr/>
        <w:t>本</w:t>
      </w:r>
      <w:r>
        <w:rPr>
          <w:spacing w:val="-72"/>
        </w:rPr>
        <w:t> </w:t>
      </w:r>
      <w:r>
        <w:rPr/>
        <w:t>年</w:t>
      </w:r>
      <w:r>
        <w:rPr>
          <w:spacing w:val="-72"/>
        </w:rPr>
        <w:t> </w:t>
      </w:r>
      <w:r>
        <w:rPr/>
        <w:t>摊</w:t>
      </w:r>
      <w:r>
        <w:rPr>
          <w:spacing w:val="-73"/>
        </w:rPr>
        <w:t> </w:t>
      </w:r>
      <w:r>
        <w:rPr/>
        <w:t>销</w:t>
      </w:r>
      <w:r>
        <w:rPr>
          <w:spacing w:val="-72"/>
        </w:rPr>
        <w:t> </w:t>
      </w:r>
      <w:r>
        <w:rPr/>
        <w:t>数</w:t>
      </w:r>
      <w:r>
        <w:rPr>
          <w:spacing w:val="-70"/>
        </w:rPr>
        <w:t> </w:t>
      </w:r>
      <w:r>
        <w:rPr>
          <w:rFonts w:ascii="Times New Roman" w:hAnsi="Times New Roman" w:cs="Times New Roman" w:eastAsia="Times New Roman" w:hint="default"/>
        </w:rPr>
        <w:t>596,488.19</w:t>
      </w:r>
      <w:r>
        <w:rPr>
          <w:rFonts w:ascii="Times New Roman" w:hAnsi="Times New Roman" w:cs="Times New Roman" w:eastAsia="Times New Roman" w:hint="default"/>
          <w:spacing w:val="-19"/>
        </w:rPr>
        <w:t> </w:t>
      </w:r>
      <w:r>
        <w:rPr>
          <w:spacing w:val="24"/>
        </w:rPr>
        <w:t>元后余额</w:t>
      </w:r>
      <w:r>
        <w:rPr>
          <w:spacing w:val="-72"/>
        </w:rPr>
        <w:t> </w:t>
      </w:r>
      <w:r>
        <w:rPr>
          <w:rFonts w:ascii="Times New Roman" w:hAnsi="Times New Roman" w:cs="Times New Roman" w:eastAsia="Times New Roman" w:hint="default"/>
        </w:rPr>
        <w:t>4,150,667.38</w:t>
      </w:r>
      <w:r>
        <w:rPr/>
        <w:t>元计入其他非流动资产。</w:t>
      </w:r>
    </w:p>
    <w:p>
      <w:pPr>
        <w:spacing w:line="240" w:lineRule="auto" w:before="12"/>
        <w:rPr>
          <w:rFonts w:ascii="宋体" w:hAnsi="宋体" w:cs="宋体" w:eastAsia="宋体" w:hint="default"/>
          <w:sz w:val="16"/>
          <w:szCs w:val="16"/>
        </w:rPr>
      </w:pPr>
    </w:p>
    <w:p>
      <w:pPr>
        <w:pStyle w:val="BodyText"/>
        <w:spacing w:line="240" w:lineRule="auto"/>
        <w:ind w:left="524" w:right="0"/>
        <w:jc w:val="left"/>
      </w:pPr>
      <w:r>
        <w:rPr/>
        <w:t>说明</w:t>
      </w:r>
      <w:r>
        <w:rPr>
          <w:rFonts w:ascii="Times New Roman" w:hAnsi="Times New Roman" w:cs="Times New Roman" w:eastAsia="Times New Roman" w:hint="default"/>
        </w:rPr>
        <w:t>4</w:t>
      </w:r>
      <w:r>
        <w:rPr/>
        <w:t>：</w:t>
      </w:r>
      <w:r>
        <w:rPr>
          <w:rFonts w:ascii="Times New Roman" w:hAnsi="Times New Roman" w:cs="Times New Roman" w:eastAsia="Times New Roman" w:hint="default"/>
        </w:rPr>
        <w:t>PPP</w:t>
      </w:r>
      <w:r>
        <w:rPr/>
        <w:t>项目公司股权投资款</w:t>
      </w:r>
    </w:p>
    <w:p>
      <w:pPr>
        <w:spacing w:line="240" w:lineRule="auto" w:before="4"/>
        <w:rPr>
          <w:rFonts w:ascii="宋体" w:hAnsi="宋体" w:cs="宋体" w:eastAsia="宋体" w:hint="default"/>
          <w:sz w:val="19"/>
          <w:szCs w:val="19"/>
        </w:rPr>
      </w:pPr>
    </w:p>
    <w:tbl>
      <w:tblPr>
        <w:tblW w:w="0" w:type="auto"/>
        <w:jc w:val="left"/>
        <w:tblInd w:w="146" w:type="dxa"/>
        <w:tblLayout w:type="fixed"/>
        <w:tblCellMar>
          <w:top w:w="0" w:type="dxa"/>
          <w:left w:w="0" w:type="dxa"/>
          <w:bottom w:w="0" w:type="dxa"/>
          <w:right w:w="0" w:type="dxa"/>
        </w:tblCellMar>
        <w:tblLook w:val="01E0"/>
      </w:tblPr>
      <w:tblGrid>
        <w:gridCol w:w="1588"/>
        <w:gridCol w:w="1276"/>
        <w:gridCol w:w="1134"/>
        <w:gridCol w:w="851"/>
        <w:gridCol w:w="1134"/>
        <w:gridCol w:w="993"/>
        <w:gridCol w:w="991"/>
        <w:gridCol w:w="1134"/>
      </w:tblGrid>
      <w:tr>
        <w:trPr>
          <w:trHeight w:val="659" w:hRule="exact"/>
        </w:trPr>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b/>
                <w:bCs/>
                <w:sz w:val="18"/>
                <w:szCs w:val="18"/>
              </w:rPr>
              <w:t>项目公司</w:t>
            </w:r>
            <w:r>
              <w:rPr>
                <w:rFonts w:ascii="宋体" w:hAnsi="宋体" w:cs="宋体" w:eastAsia="宋体" w:hint="default"/>
                <w:sz w:val="18"/>
                <w:szCs w:val="18"/>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9"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6" w:right="0"/>
              <w:jc w:val="left"/>
              <w:rPr>
                <w:rFonts w:ascii="宋体" w:hAnsi="宋体" w:cs="宋体" w:eastAsia="宋体" w:hint="default"/>
                <w:sz w:val="18"/>
                <w:szCs w:val="18"/>
              </w:rPr>
            </w:pPr>
            <w:r>
              <w:rPr>
                <w:rFonts w:ascii="宋体" w:hAnsi="宋体" w:cs="宋体" w:eastAsia="宋体" w:hint="default"/>
                <w:b/>
                <w:bCs/>
                <w:sz w:val="18"/>
                <w:szCs w:val="18"/>
              </w:rPr>
              <w:t>认缴出资额</w:t>
            </w:r>
            <w:r>
              <w:rPr>
                <w:rFonts w:ascii="宋体" w:hAnsi="宋体" w:cs="宋体" w:eastAsia="宋体" w:hint="default"/>
                <w:sz w:val="18"/>
                <w:szCs w:val="18"/>
              </w:rPr>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37" w:right="234"/>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7"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7"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r>
      <w:tr>
        <w:trPr>
          <w:trHeight w:val="660" w:hRule="exact"/>
        </w:trPr>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5"/>
                <w:sz w:val="18"/>
                <w:szCs w:val="18"/>
              </w:rPr>
              <w:t>邹城某节水工程有</w:t>
            </w:r>
            <w:r>
              <w:rPr>
                <w:rFonts w:ascii="宋体" w:hAnsi="宋体" w:cs="宋体" w:eastAsia="宋体" w:hint="default"/>
                <w:sz w:val="18"/>
                <w:szCs w:val="18"/>
              </w:rPr>
              <w:t> 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24" w:right="0"/>
              <w:jc w:val="left"/>
              <w:rPr>
                <w:rFonts w:ascii="Times New Roman" w:hAnsi="Times New Roman" w:cs="Times New Roman" w:eastAsia="Times New Roman" w:hint="default"/>
                <w:sz w:val="18"/>
                <w:szCs w:val="18"/>
              </w:rPr>
            </w:pPr>
            <w:r>
              <w:rPr>
                <w:rFonts w:ascii="Times New Roman"/>
                <w:sz w:val="18"/>
              </w:rPr>
              <w:t>56,232,900.00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1" w:right="0"/>
              <w:jc w:val="left"/>
              <w:rPr>
                <w:rFonts w:ascii="Times New Roman" w:hAnsi="Times New Roman" w:cs="Times New Roman" w:eastAsia="Times New Roman" w:hint="default"/>
                <w:sz w:val="18"/>
                <w:szCs w:val="18"/>
              </w:rPr>
            </w:pPr>
            <w:r>
              <w:rPr>
                <w:rFonts w:ascii="Times New Roman"/>
                <w:sz w:val="18"/>
              </w:rPr>
              <w:t>35,232,900.00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79" w:right="0"/>
              <w:jc w:val="left"/>
              <w:rPr>
                <w:rFonts w:ascii="Times New Roman" w:hAnsi="Times New Roman" w:cs="Times New Roman" w:eastAsia="Times New Roman" w:hint="default"/>
                <w:sz w:val="18"/>
                <w:szCs w:val="18"/>
              </w:rPr>
            </w:pPr>
            <w:r>
              <w:rPr>
                <w:rFonts w:ascii="Times New Roman"/>
                <w:sz w:val="18"/>
              </w:rPr>
              <w:t>63.00%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8" w:right="0"/>
              <w:jc w:val="center"/>
              <w:rPr>
                <w:rFonts w:ascii="Times New Roman" w:hAnsi="Times New Roman" w:cs="Times New Roman" w:eastAsia="Times New Roman" w:hint="default"/>
                <w:sz w:val="18"/>
                <w:szCs w:val="18"/>
              </w:rPr>
            </w:pPr>
            <w:r>
              <w:rPr>
                <w:rFonts w:ascii="Times New Roman"/>
                <w:sz w:val="18"/>
              </w:rPr>
              <w:t>35,232,900.00</w:t>
            </w:r>
          </w:p>
        </w:tc>
        <w:tc>
          <w:tcPr>
            <w:tcW w:w="99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0" w:right="0"/>
              <w:jc w:val="center"/>
              <w:rPr>
                <w:rFonts w:ascii="Times New Roman" w:hAnsi="Times New Roman" w:cs="Times New Roman" w:eastAsia="Times New Roman" w:hint="default"/>
                <w:sz w:val="18"/>
                <w:szCs w:val="18"/>
              </w:rPr>
            </w:pPr>
            <w:r>
              <w:rPr>
                <w:rFonts w:ascii="Times New Roman"/>
                <w:sz w:val="18"/>
              </w:rPr>
              <w:t>35,232,900.00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588"/>
        <w:gridCol w:w="1276"/>
        <w:gridCol w:w="1134"/>
        <w:gridCol w:w="851"/>
        <w:gridCol w:w="1134"/>
        <w:gridCol w:w="993"/>
        <w:gridCol w:w="991"/>
        <w:gridCol w:w="1134"/>
      </w:tblGrid>
      <w:tr>
        <w:trPr>
          <w:trHeight w:val="659" w:hRule="exact"/>
        </w:trPr>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5"/>
                <w:sz w:val="18"/>
                <w:szCs w:val="18"/>
              </w:rPr>
              <w:t>济宁市某工程有限</w:t>
            </w:r>
            <w:r>
              <w:rPr>
                <w:rFonts w:ascii="宋体" w:hAnsi="宋体" w:cs="宋体" w:eastAsia="宋体" w:hint="default"/>
                <w:sz w:val="18"/>
                <w:szCs w:val="18"/>
              </w:rPr>
              <w:t> 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99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659" w:hRule="exact"/>
        </w:trPr>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5"/>
                <w:sz w:val="18"/>
                <w:szCs w:val="18"/>
              </w:rPr>
              <w:t>乌兰察布某有限公</w:t>
            </w:r>
            <w:r>
              <w:rPr>
                <w:rFonts w:ascii="宋体" w:hAnsi="宋体" w:cs="宋体" w:eastAsia="宋体" w:hint="default"/>
                <w:sz w:val="18"/>
                <w:szCs w:val="18"/>
              </w:rPr>
              <w:t> 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202,863,700.00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162,291,000.0</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162,291,000.0</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162,291,000.0</w:t>
            </w:r>
          </w:p>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z w:val="18"/>
              </w:rPr>
              <w:t>0</w:t>
            </w:r>
          </w:p>
        </w:tc>
      </w:tr>
      <w:tr>
        <w:trPr>
          <w:trHeight w:val="659" w:hRule="exact"/>
        </w:trPr>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5"/>
                <w:sz w:val="18"/>
                <w:szCs w:val="18"/>
              </w:rPr>
              <w:t>呼伦贝尔某建设有</w:t>
            </w:r>
            <w:r>
              <w:rPr>
                <w:rFonts w:ascii="宋体" w:hAnsi="宋体" w:cs="宋体" w:eastAsia="宋体" w:hint="default"/>
                <w:sz w:val="18"/>
                <w:szCs w:val="18"/>
              </w:rPr>
              <w:t> 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83,330,000.00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78,330,000.00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94.00%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78,330,000.00</w:t>
            </w:r>
          </w:p>
        </w:tc>
        <w:tc>
          <w:tcPr>
            <w:tcW w:w="99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78,330,000.00</w:t>
            </w:r>
          </w:p>
        </w:tc>
      </w:tr>
      <w:tr>
        <w:trPr>
          <w:trHeight w:val="660" w:hRule="exact"/>
        </w:trPr>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325,853,900.0</w:t>
            </w:r>
            <w:r>
              <w:rPr>
                <w:rFonts w:ascii="Times New Roman"/>
                <w:spacing w:val="-1"/>
                <w:sz w:val="18"/>
              </w:rPr>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99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325,853,900.0</w:t>
            </w:r>
            <w:r>
              <w:rPr>
                <w:rFonts w:ascii="Times New Roman"/>
                <w:spacing w:val="-1"/>
                <w:sz w:val="18"/>
              </w:rPr>
            </w:r>
          </w:p>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r>
    </w:tbl>
    <w:p>
      <w:pPr>
        <w:spacing w:line="240" w:lineRule="auto" w:before="5"/>
        <w:rPr>
          <w:rFonts w:ascii="宋体" w:hAnsi="宋体" w:cs="宋体" w:eastAsia="宋体" w:hint="default"/>
          <w:sz w:val="5"/>
          <w:szCs w:val="5"/>
        </w:rPr>
      </w:pPr>
    </w:p>
    <w:p>
      <w:pPr>
        <w:pStyle w:val="BodyText"/>
        <w:spacing w:line="264" w:lineRule="auto" w:before="35"/>
        <w:ind w:right="1130" w:firstLine="370"/>
        <w:jc w:val="both"/>
      </w:pPr>
      <w:r>
        <w:rPr/>
        <w:t>说明：公司投资的部分</w:t>
      </w:r>
      <w:r>
        <w:rPr>
          <w:rFonts w:ascii="Times New Roman" w:hAnsi="Times New Roman" w:cs="Times New Roman" w:eastAsia="Times New Roman" w:hint="default"/>
        </w:rPr>
        <w:t>PPP</w:t>
      </w:r>
      <w:r>
        <w:rPr/>
        <w:t>项目公司，按照既定的方式运营，项目公司可以受控的权利、义务与相关 </w:t>
      </w:r>
      <w:r>
        <w:rPr>
          <w:spacing w:val="-1"/>
        </w:rPr>
        <w:t>活动都在建立之初通过明确的合同条款或安排予以设定。在项目公司的日常经营活动中，基于对董事会议</w:t>
      </w:r>
      <w:r>
        <w:rPr>
          <w:spacing w:val="-81"/>
        </w:rPr>
        <w:t> </w:t>
      </w:r>
      <w:r>
        <w:rPr>
          <w:spacing w:val="-81"/>
        </w:rPr>
      </w:r>
      <w:r>
        <w:rPr>
          <w:spacing w:val="-1"/>
        </w:rPr>
        <w:t>事规则、董事会成员设置、关键经营人员选聘和决策流程，重大事项的审批程序等经营过程中关键事项的</w:t>
      </w:r>
      <w:r>
        <w:rPr>
          <w:spacing w:val="-83"/>
        </w:rPr>
        <w:t> </w:t>
      </w:r>
      <w:r>
        <w:rPr>
          <w:spacing w:val="-83"/>
        </w:rPr>
      </w:r>
      <w:r>
        <w:rPr/>
        <w:t>事前约定，公司不能控制项目公司的实际经营从而获得可变回报，因此对该部分</w:t>
      </w:r>
      <w:r>
        <w:rPr>
          <w:rFonts w:ascii="Times New Roman" w:hAnsi="Times New Roman" w:cs="Times New Roman" w:eastAsia="Times New Roman" w:hint="default"/>
        </w:rPr>
        <w:t>PPP</w:t>
      </w:r>
      <w:r>
        <w:rPr/>
        <w:t>项目公司不纳入合并</w:t>
      </w:r>
      <w:r>
        <w:rPr>
          <w:spacing w:val="-64"/>
        </w:rPr>
        <w:t> </w:t>
      </w:r>
      <w:r>
        <w:rPr>
          <w:spacing w:val="-64"/>
        </w:rPr>
      </w:r>
      <w:r>
        <w:rPr/>
        <w:t>范围。</w:t>
      </w:r>
    </w:p>
    <w:p>
      <w:pPr>
        <w:spacing w:line="240" w:lineRule="auto" w:before="10"/>
        <w:rPr>
          <w:rFonts w:ascii="宋体" w:hAnsi="宋体" w:cs="宋体" w:eastAsia="宋体" w:hint="default"/>
          <w:sz w:val="17"/>
          <w:szCs w:val="17"/>
        </w:rPr>
      </w:pPr>
    </w:p>
    <w:p>
      <w:pPr>
        <w:pStyle w:val="BodyText"/>
        <w:spacing w:line="256" w:lineRule="auto"/>
        <w:ind w:right="0" w:firstLine="370"/>
        <w:jc w:val="left"/>
      </w:pPr>
      <w:r>
        <w:rPr/>
        <w:t>说明</w:t>
      </w:r>
      <w:r>
        <w:rPr>
          <w:rFonts w:ascii="Times New Roman" w:hAnsi="Times New Roman" w:cs="Times New Roman" w:eastAsia="Times New Roman" w:hint="default"/>
        </w:rPr>
        <w:t>5</w:t>
      </w:r>
      <w:r>
        <w:rPr/>
        <w:t>：中信建投</w:t>
      </w:r>
      <w:r>
        <w:rPr>
          <w:rFonts w:ascii="Times New Roman" w:hAnsi="Times New Roman" w:cs="Times New Roman" w:eastAsia="Times New Roman" w:hint="default"/>
        </w:rPr>
        <w:t>-</w:t>
      </w:r>
      <w:r>
        <w:rPr/>
        <w:t>京蓝沐禾</w:t>
      </w:r>
      <w:r>
        <w:rPr>
          <w:rFonts w:ascii="Times New Roman" w:hAnsi="Times New Roman" w:cs="Times New Roman" w:eastAsia="Times New Roman" w:hint="default"/>
        </w:rPr>
        <w:t>PPP</w:t>
      </w:r>
      <w:r>
        <w:rPr/>
        <w:t>项目可持续发展资产支持专项计划于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日成立，本公司之子 公司京蓝沐禾节水装备有限公司持有</w:t>
      </w:r>
      <w:r>
        <w:rPr>
          <w:rFonts w:ascii="Times New Roman" w:hAnsi="Times New Roman" w:cs="Times New Roman" w:eastAsia="Times New Roman" w:hint="default"/>
        </w:rPr>
        <w:t>21,000,000.00</w:t>
      </w:r>
      <w:r>
        <w:rPr/>
        <w:t>元次级份额。预期到期日为</w:t>
      </w:r>
      <w:r>
        <w:rPr>
          <w:rFonts w:ascii="Times New Roman" w:hAnsi="Times New Roman" w:cs="Times New Roman" w:eastAsia="Times New Roman" w:hint="default"/>
        </w:rPr>
        <w:t>2026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w:t>
      </w:r>
    </w:p>
    <w:p>
      <w:pPr>
        <w:spacing w:line="240" w:lineRule="auto" w:before="12"/>
        <w:rPr>
          <w:rFonts w:ascii="宋体" w:hAnsi="宋体" w:cs="宋体" w:eastAsia="宋体" w:hint="default"/>
          <w:sz w:val="16"/>
          <w:szCs w:val="16"/>
        </w:rPr>
      </w:pPr>
    </w:p>
    <w:p>
      <w:pPr>
        <w:pStyle w:val="BodyText"/>
        <w:spacing w:line="264" w:lineRule="auto"/>
        <w:ind w:right="0" w:firstLine="370"/>
        <w:jc w:val="left"/>
      </w:pPr>
      <w:r>
        <w:rPr/>
        <w:t>说明</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日，公司与主要交易对方殷晓东、北京鼎业投资管理中心（有限合伙）、北京叶 秋投资管理中心（有限合伙）签署了《关于收购中科鼎实环境工程股份有限公司控股权的意向性协议》。 </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4</w:t>
      </w:r>
      <w:r>
        <w:rPr>
          <w:spacing w:val="-5"/>
        </w:rPr>
        <w:t>日，公司与中科鼎实</w:t>
      </w:r>
      <w:r>
        <w:rPr>
          <w:rFonts w:ascii="Times New Roman" w:hAnsi="Times New Roman" w:cs="Times New Roman" w:eastAsia="Times New Roman" w:hint="default"/>
          <w:spacing w:val="-5"/>
        </w:rPr>
        <w:t>51</w:t>
      </w:r>
      <w:r>
        <w:rPr>
          <w:spacing w:val="-5"/>
        </w:rPr>
        <w:t>名股东签署了《股份收购协议》，以支付现金的方式收购中科鼎实</w:t>
      </w:r>
      <w:r>
        <w:rPr>
          <w:rFonts w:ascii="Times New Roman" w:hAnsi="Times New Roman" w:cs="Times New Roman" w:eastAsia="Times New Roman" w:hint="default"/>
          <w:spacing w:val="-5"/>
        </w:rPr>
        <w:t>21.00%</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spacing w:val="-1"/>
        </w:rPr>
        <w:t>股权，并于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24</w:t>
      </w:r>
      <w:r>
        <w:rPr>
          <w:spacing w:val="-1"/>
        </w:rPr>
        <w:t>日完成对中科鼎实</w:t>
      </w:r>
      <w:r>
        <w:rPr>
          <w:rFonts w:ascii="Times New Roman" w:hAnsi="Times New Roman" w:cs="Times New Roman" w:eastAsia="Times New Roman" w:hint="default"/>
          <w:spacing w:val="-1"/>
        </w:rPr>
        <w:t>21.00%</w:t>
      </w:r>
      <w:r>
        <w:rPr>
          <w:spacing w:val="-1"/>
        </w:rPr>
        <w:t>的股权过户手续，</w:t>
      </w:r>
      <w:r>
        <w:rPr>
          <w:rFonts w:ascii="Times New Roman" w:hAnsi="Times New Roman" w:cs="Times New Roman" w:eastAsia="Times New Roman" w:hint="default"/>
          <w:spacing w:val="-1"/>
        </w:rPr>
        <w:t>21.00%</w:t>
      </w:r>
      <w:r>
        <w:rPr>
          <w:spacing w:val="-1"/>
        </w:rPr>
        <w:t>股权对价为</w:t>
      </w:r>
      <w:r>
        <w:rPr>
          <w:rFonts w:ascii="Times New Roman" w:hAnsi="Times New Roman" w:cs="Times New Roman" w:eastAsia="Times New Roman" w:hint="default"/>
          <w:spacing w:val="-1"/>
        </w:rPr>
        <w:t>303,398,480.00</w:t>
      </w:r>
      <w:r>
        <w:rPr>
          <w:spacing w:val="-1"/>
        </w:rPr>
        <w:t>元。</w:t>
      </w:r>
      <w:r>
        <w:rPr>
          <w:spacing w:val="-50"/>
        </w:rPr>
        <w:t> </w:t>
      </w:r>
      <w:r>
        <w:rPr/>
        <w:t>公司分步购买中科鼎实环境工程股份有限公司股权至最终取得控股权，属于一揽子交易，暂未在长期股权</w:t>
      </w:r>
      <w:r>
        <w:rPr/>
        <w:t> 投资权益法核算。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4"/>
        <w:spacing w:line="240" w:lineRule="auto"/>
        <w:ind w:right="0"/>
        <w:jc w:val="left"/>
        <w:rPr>
          <w:b w:val="0"/>
          <w:bCs w:val="0"/>
        </w:rPr>
      </w:pPr>
      <w:bookmarkStart w:name="26、短期借款" w:id="311"/>
      <w:bookmarkEnd w:id="311"/>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短期借款分类" w:id="312"/>
      <w:bookmarkEnd w:id="312"/>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780,775,043.58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92,220,000.00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1,288,500,000.00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1,539,960,000.00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2,454,275,043.58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1,897,180,000.00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
        <w:rPr>
          <w:rFonts w:ascii="宋体" w:hAnsi="宋体" w:cs="宋体" w:eastAsia="宋体" w:hint="default"/>
          <w:sz w:val="13"/>
          <w:szCs w:val="13"/>
        </w:rPr>
      </w:pPr>
    </w:p>
    <w:p>
      <w:pPr>
        <w:pStyle w:val="BodyText"/>
        <w:spacing w:line="256" w:lineRule="auto"/>
        <w:ind w:right="1197" w:firstLine="420"/>
        <w:jc w:val="left"/>
      </w:pPr>
      <w:r>
        <w:rPr/>
        <w:t>说明</w:t>
      </w:r>
      <w:r>
        <w:rPr>
          <w:rFonts w:ascii="Times New Roman" w:hAnsi="Times New Roman" w:cs="Times New Roman" w:eastAsia="Times New Roman" w:hint="default"/>
        </w:rPr>
        <w:t>1</w:t>
      </w:r>
      <w:r>
        <w:rPr/>
        <w:t>：上述质押借款分别以整存整取定期储蓄存单、应收票据、应收账款、投资股权为质押物。上 述质押借款基本都同时提供了保证。此外</w:t>
      </w:r>
      <w:r>
        <w:rPr>
          <w:rFonts w:ascii="Times New Roman" w:hAnsi="Times New Roman" w:cs="Times New Roman" w:eastAsia="Times New Roman" w:hint="default"/>
        </w:rPr>
        <w:t>3,187.50</w:t>
      </w:r>
      <w:r>
        <w:rPr/>
        <w:t>万元为票据融资借款。</w:t>
      </w:r>
    </w:p>
    <w:p>
      <w:pPr>
        <w:pStyle w:val="BodyText"/>
        <w:spacing w:line="240" w:lineRule="auto" w:before="125"/>
        <w:ind w:left="574" w:right="0"/>
        <w:jc w:val="left"/>
      </w:pPr>
      <w:r>
        <w:rPr/>
        <w:t>说明</w:t>
      </w:r>
      <w:r>
        <w:rPr>
          <w:rFonts w:ascii="Times New Roman" w:hAnsi="Times New Roman" w:cs="Times New Roman" w:eastAsia="Times New Roman" w:hint="default"/>
        </w:rPr>
        <w:t>2</w:t>
      </w:r>
      <w:r>
        <w:rPr/>
        <w:t>：上述抵押借款中</w:t>
      </w:r>
      <w:r>
        <w:rPr>
          <w:rFonts w:ascii="Times New Roman" w:hAnsi="Times New Roman" w:cs="Times New Roman" w:eastAsia="Times New Roman" w:hint="default"/>
        </w:rPr>
        <w:t>38,500.00</w:t>
      </w:r>
      <w:r>
        <w:rPr/>
        <w:t>万抵押物为房产、土地。</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574" w:right="0"/>
        <w:jc w:val="left"/>
      </w:pPr>
      <w:r>
        <w:rPr/>
        <w:t>说明</w:t>
      </w:r>
      <w:r>
        <w:rPr>
          <w:rFonts w:ascii="Times New Roman" w:hAnsi="Times New Roman" w:cs="Times New Roman" w:eastAsia="Times New Roman" w:hint="default"/>
        </w:rPr>
        <w:t>3</w:t>
      </w:r>
      <w:r>
        <w:rPr/>
        <w:t>：上述保证借款关联担保情况详见附注十二、</w:t>
      </w:r>
      <w:r>
        <w:rPr>
          <w:rFonts w:ascii="Times New Roman" w:hAnsi="Times New Roman" w:cs="Times New Roman" w:eastAsia="Times New Roman" w:hint="default"/>
        </w:rPr>
        <w:t>5</w:t>
      </w:r>
      <w:r>
        <w:rPr/>
        <w:t>（</w:t>
      </w:r>
      <w:r>
        <w:rPr>
          <w:rFonts w:ascii="Times New Roman" w:hAnsi="Times New Roman" w:cs="Times New Roman" w:eastAsia="Times New Roman" w:hint="default"/>
        </w:rPr>
        <w:t>4</w:t>
      </w:r>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4"/>
        <w:spacing w:line="240" w:lineRule="auto" w:before="178"/>
        <w:ind w:right="0"/>
        <w:jc w:val="left"/>
        <w:rPr>
          <w:b w:val="0"/>
          <w:bCs w:val="0"/>
        </w:rPr>
      </w:pPr>
      <w:bookmarkStart w:name="（2）已逾期未偿还的短期借款情况" w:id="313"/>
      <w:bookmarkEnd w:id="313"/>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7、以公允价值计量且其变动计入当期损益的金融负债" w:id="314"/>
      <w:bookmarkEnd w:id="314"/>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8、衍生金融负债" w:id="315"/>
      <w:bookmarkEnd w:id="315"/>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9、应付票据及应付账款" w:id="316"/>
      <w:bookmarkEnd w:id="316"/>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180,362,173.27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1,429,858,870.52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868,741,931.47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1,610,221,043.79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968,741,931.47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付票据分类列示" w:id="317"/>
      <w:bookmarkEnd w:id="317"/>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180,362,173.27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180,362,173.27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应付账款列示" w:id="318"/>
      <w:bookmarkEnd w:id="318"/>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1,100,988,464.18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563,395,542.65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328,870,406.34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305,346,388.82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1,429,858,870.52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868,741,931.47</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账龄超过1年的重要应付账款" w:id="319"/>
      <w:bookmarkEnd w:id="319"/>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某有限责任公司巴林右旗分公司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10,524,914.73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赤峰某有限公司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9,160,238.79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青州市某合作社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天津某有限公司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5,723,070.50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天津市某苗圃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5,571,579.04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37,259,803.06</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0、预收款项" w:id="320"/>
      <w:bookmarkEnd w:id="320"/>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预收款项列示" w:id="321"/>
      <w:bookmarkEnd w:id="321"/>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662,732,626.93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357,207,872.52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146,582,240.04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39,309,165.95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809,314,866.97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396,517,038.47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预收款项" w:id="322"/>
      <w:bookmarkEnd w:id="32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济宁市某有限公司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尚未达到工程结算条件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敖汉旗某局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49,457,712.17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尚未达到工程结算条件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翁牛特旗某办公室</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20,714,454.18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尚未达到工程结算条件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敖汉旗某局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16,198,875.19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尚未达到工程结算条件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136,371,041.54</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期末建造合同形成的已结算未完工项目情况" w:id="323"/>
      <w:bookmarkEnd w:id="323"/>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1、应付职工薪酬" w:id="324"/>
      <w:bookmarkEnd w:id="324"/>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付职工薪酬列示" w:id="325"/>
      <w:bookmarkEnd w:id="325"/>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11,901,649.63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155,623,365.00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149,489,239.50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18,035,775.13</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454,573.53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15,187,202.54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15,014,866.91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626,909.16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669,024.00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669,024.00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6"/>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12,356,223.16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171,479,591.54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165,173,130.41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18,662,684.29</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短期薪酬列示" w:id="326"/>
      <w:bookmarkEnd w:id="326"/>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8,551,031.52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131,110,527.42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125,408,827.33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14,252,731.61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3,861,646.31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3,861,646.31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326,681.99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8,565,871.00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8,284,541.23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608,011.76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256,352.25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7,619,502.82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7,322,561.02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553,294.05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50,364.18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421,657.56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442,632.49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29,389.25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19,965.56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524,710.62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519,347.72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25,328.46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19,530.00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9,004,784.14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8,988,991.14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35,323.00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3,004,406.12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3,080,536.13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2,945,233.49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3,139,708.76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11,901,649.63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155,623,365.00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149,489,239.50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18,035,775.13</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设定提存计划列示" w:id="327"/>
      <w:bookmarkEnd w:id="327"/>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423,674.16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14,715,090.09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14,549,031.30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589,732.95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30,899.37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472,112.45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465,835.61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37,176.21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454,573.53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15,187,202.54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15,014,866.91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626,909.16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2、应交税费" w:id="328"/>
      <w:bookmarkEnd w:id="328"/>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92,990,617.32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47,221,315.08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49,362,279.28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48,921,884.03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323,211.39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479,598.79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10,295,695.89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7,148,663.04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287,867.75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287,719.55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4,313,726.11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2,959,654.48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2,672,679.11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1,772,463.06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1,332,697.87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1,527,432.72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80,531.09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32,640.97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1,446,141.73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968,585.36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11,487.67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163,116,935.21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111,319,957.08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3、其他应付款" w:id="329"/>
      <w:bookmarkEnd w:id="329"/>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50,776,687.82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37,067,687.17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372,001,569.45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155,698,577.49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422,778,257.27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192,766,264.66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付利息" w:id="330"/>
      <w:bookmarkEnd w:id="330"/>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2,868,908.47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28,509,118.35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446,490.91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387,916.67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非银行金融机构借款应付利息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47,461,288.44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8,170,652.15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50,776,687.82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37,067,687.17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12"/>
          <w:szCs w:val="12"/>
        </w:rPr>
      </w:pPr>
    </w:p>
    <w:p>
      <w:pPr>
        <w:pStyle w:val="BodyText"/>
        <w:spacing w:line="240" w:lineRule="auto"/>
        <w:ind w:left="574" w:right="0"/>
        <w:jc w:val="left"/>
      </w:pPr>
      <w:r>
        <w:rPr/>
        <w:t>期末无已逾期未支付的利息情况</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应付股利" w:id="331"/>
      <w:bookmarkEnd w:id="331"/>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其他应付款" w:id="332"/>
      <w:bookmarkEnd w:id="332"/>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按款项性质列示其他应付款</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187,640,221.95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133,630,679.45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项目收购未支付余款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151,699,240.00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17,497,933.74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7,573,839.00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4,617,657.08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938,834.33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代收代缴款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9,211,902.22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8,544,420.28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1,334,614.46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3,410,804.43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372,001,569.45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155,698,577.49</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年的重要其他应付款</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山东某有限公司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4、持有待售负债" w:id="333"/>
      <w:bookmarkEnd w:id="333"/>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5、一年内到期的非流动负债" w:id="334"/>
      <w:bookmarkEnd w:id="334"/>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58,681,225.88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269,546,000.00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117,098,423.34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70,554,835.16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一年内到期的递延收益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1,481,755.10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1,487,796.26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177,261,404.32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341,588,631.42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40" w:lineRule="auto"/>
        <w:ind w:left="680" w:right="0"/>
        <w:jc w:val="left"/>
      </w:pPr>
      <w:r>
        <w:rPr/>
        <w:t>其中：一年内到期的递延收益明细：</w:t>
      </w:r>
    </w:p>
    <w:p>
      <w:pPr>
        <w:spacing w:line="240" w:lineRule="auto" w:before="6"/>
        <w:rPr>
          <w:rFonts w:ascii="宋体" w:hAnsi="宋体" w:cs="宋体" w:eastAsia="宋体" w:hint="default"/>
          <w:sz w:val="20"/>
          <w:szCs w:val="20"/>
        </w:rPr>
      </w:pPr>
    </w:p>
    <w:tbl>
      <w:tblPr>
        <w:tblW w:w="0" w:type="auto"/>
        <w:jc w:val="left"/>
        <w:tblInd w:w="146" w:type="dxa"/>
        <w:tblLayout w:type="fixed"/>
        <w:tblCellMar>
          <w:top w:w="0" w:type="dxa"/>
          <w:left w:w="0" w:type="dxa"/>
          <w:bottom w:w="0" w:type="dxa"/>
          <w:right w:w="0" w:type="dxa"/>
        </w:tblCellMar>
        <w:tblLook w:val="01E0"/>
      </w:tblPr>
      <w:tblGrid>
        <w:gridCol w:w="3227"/>
        <w:gridCol w:w="3028"/>
        <w:gridCol w:w="3027"/>
      </w:tblGrid>
      <w:tr>
        <w:trPr>
          <w:trHeight w:val="347"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 w:right="0"/>
              <w:jc w:val="center"/>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b/>
                <w:sz w:val="21"/>
              </w:rPr>
              <w:t>2017.12.31</w:t>
            </w:r>
            <w:r>
              <w:rPr>
                <w:rFonts w:ascii="Times New Roman"/>
                <w:sz w:val="21"/>
              </w:rPr>
            </w:r>
          </w:p>
        </w:tc>
      </w:tr>
      <w:tr>
        <w:trPr>
          <w:trHeight w:val="347"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一年内到期的政府补助</w:t>
            </w:r>
          </w:p>
        </w:tc>
        <w:tc>
          <w:tcPr>
            <w:tcW w:w="3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67,080.00</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67,080.00</w:t>
            </w:r>
          </w:p>
        </w:tc>
      </w:tr>
      <w:tr>
        <w:trPr>
          <w:trHeight w:val="347"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一年内到期的售后回租收益</w:t>
            </w:r>
          </w:p>
        </w:tc>
        <w:tc>
          <w:tcPr>
            <w:tcW w:w="3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1,414,675.10</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1,420,716.26</w:t>
            </w:r>
          </w:p>
        </w:tc>
      </w:tr>
      <w:tr>
        <w:trPr>
          <w:trHeight w:val="347"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3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right"/>
              <w:rPr>
                <w:rFonts w:ascii="Times New Roman" w:hAnsi="Times New Roman" w:cs="Times New Roman" w:eastAsia="Times New Roman" w:hint="default"/>
                <w:sz w:val="21"/>
                <w:szCs w:val="21"/>
              </w:rPr>
            </w:pPr>
            <w:r>
              <w:rPr>
                <w:rFonts w:ascii="Times New Roman"/>
                <w:b/>
                <w:spacing w:val="-1"/>
                <w:sz w:val="21"/>
              </w:rPr>
              <w:t>1,481,755.10</w:t>
            </w:r>
            <w:r>
              <w:rPr>
                <w:rFonts w:ascii="Times New Roman"/>
                <w:spacing w:val="-1"/>
                <w:sz w:val="21"/>
              </w:rPr>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right"/>
              <w:rPr>
                <w:rFonts w:ascii="Times New Roman" w:hAnsi="Times New Roman" w:cs="Times New Roman" w:eastAsia="Times New Roman" w:hint="default"/>
                <w:sz w:val="21"/>
                <w:szCs w:val="21"/>
              </w:rPr>
            </w:pPr>
            <w:r>
              <w:rPr>
                <w:rFonts w:ascii="Times New Roman"/>
                <w:b/>
                <w:spacing w:val="-1"/>
                <w:sz w:val="21"/>
              </w:rPr>
              <w:t>1,487,796.26</w:t>
            </w:r>
            <w:r>
              <w:rPr>
                <w:rFonts w:ascii="Times New Roman"/>
                <w:spacing w:val="-1"/>
                <w:sz w:val="21"/>
              </w:rPr>
            </w:r>
          </w:p>
        </w:tc>
      </w:tr>
      <w:tr>
        <w:trPr>
          <w:trHeight w:val="348" w:hRule="exact"/>
        </w:trPr>
        <w:tc>
          <w:tcPr>
            <w:tcW w:w="3227" w:type="dxa"/>
            <w:tcBorders>
              <w:top w:val="single" w:sz="6" w:space="0" w:color="000000"/>
              <w:left w:val="single" w:sz="6" w:space="0" w:color="000000"/>
              <w:bottom w:val="single" w:sz="6" w:space="0" w:color="000000"/>
              <w:right w:val="single" w:sz="6" w:space="0" w:color="000000"/>
            </w:tcBorders>
          </w:tcPr>
          <w:p>
            <w:pPr/>
          </w:p>
        </w:tc>
        <w:tc>
          <w:tcPr>
            <w:tcW w:w="3028" w:type="dxa"/>
            <w:tcBorders>
              <w:top w:val="single" w:sz="6" w:space="0" w:color="000000"/>
              <w:left w:val="single" w:sz="6" w:space="0" w:color="000000"/>
              <w:bottom w:val="single" w:sz="6" w:space="0" w:color="000000"/>
              <w:right w:val="single" w:sz="6" w:space="0" w:color="000000"/>
            </w:tcBorders>
          </w:tcPr>
          <w:p>
            <w:pPr/>
          </w:p>
        </w:tc>
        <w:tc>
          <w:tcPr>
            <w:tcW w:w="302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5"/>
          <w:szCs w:val="5"/>
        </w:rPr>
      </w:pPr>
    </w:p>
    <w:p>
      <w:pPr>
        <w:pStyle w:val="BodyText"/>
        <w:spacing w:line="240" w:lineRule="auto" w:before="35"/>
        <w:ind w:left="1436" w:right="0"/>
        <w:jc w:val="left"/>
      </w:pPr>
      <w:r>
        <w:rPr/>
        <w:t>一年内到期的长期应付款：</w:t>
      </w:r>
    </w:p>
    <w:p>
      <w:pPr>
        <w:spacing w:line="240" w:lineRule="auto" w:before="6"/>
        <w:rPr>
          <w:rFonts w:ascii="宋体" w:hAnsi="宋体" w:cs="宋体" w:eastAsia="宋体" w:hint="default"/>
          <w:sz w:val="20"/>
          <w:szCs w:val="20"/>
        </w:rPr>
      </w:pPr>
    </w:p>
    <w:tbl>
      <w:tblPr>
        <w:tblW w:w="0" w:type="auto"/>
        <w:jc w:val="left"/>
        <w:tblInd w:w="146" w:type="dxa"/>
        <w:tblLayout w:type="fixed"/>
        <w:tblCellMar>
          <w:top w:w="0" w:type="dxa"/>
          <w:left w:w="0" w:type="dxa"/>
          <w:bottom w:w="0" w:type="dxa"/>
          <w:right w:w="0" w:type="dxa"/>
        </w:tblCellMar>
        <w:tblLook w:val="01E0"/>
      </w:tblPr>
      <w:tblGrid>
        <w:gridCol w:w="3227"/>
        <w:gridCol w:w="3028"/>
        <w:gridCol w:w="3027"/>
      </w:tblGrid>
      <w:tr>
        <w:trPr>
          <w:trHeight w:val="355" w:hRule="exact"/>
        </w:trPr>
        <w:tc>
          <w:tcPr>
            <w:tcW w:w="3227"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left="1" w:right="0"/>
              <w:jc w:val="center"/>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c>
          <w:tcPr>
            <w:tcW w:w="302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7"/>
              <w:ind w:right="5"/>
              <w:jc w:val="center"/>
              <w:rPr>
                <w:rFonts w:ascii="Times New Roman" w:hAnsi="Times New Roman" w:cs="Times New Roman" w:eastAsia="Times New Roman" w:hint="default"/>
                <w:sz w:val="21"/>
                <w:szCs w:val="21"/>
              </w:rPr>
            </w:pPr>
            <w:r>
              <w:rPr>
                <w:rFonts w:ascii="Times New Roman"/>
                <w:b/>
                <w:sz w:val="21"/>
              </w:rPr>
              <w:t>2017.12.31</w:t>
            </w:r>
            <w:r>
              <w:rPr>
                <w:rFonts w:ascii="Times New Roman"/>
                <w:sz w:val="21"/>
              </w:rPr>
            </w:r>
          </w:p>
        </w:tc>
      </w:tr>
      <w:tr>
        <w:trPr>
          <w:trHeight w:val="353" w:hRule="exact"/>
        </w:trPr>
        <w:tc>
          <w:tcPr>
            <w:tcW w:w="322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某国际租赁有限公司</w:t>
            </w:r>
          </w:p>
        </w:tc>
        <w:tc>
          <w:tcPr>
            <w:tcW w:w="30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51,000,000.00</w:t>
            </w:r>
          </w:p>
        </w:tc>
        <w:tc>
          <w:tcPr>
            <w:tcW w:w="30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32,628,000.00</w:t>
            </w:r>
          </w:p>
        </w:tc>
      </w:tr>
      <w:tr>
        <w:trPr>
          <w:trHeight w:val="352" w:hRule="exact"/>
        </w:trPr>
        <w:tc>
          <w:tcPr>
            <w:tcW w:w="322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某投资合伙企业</w:t>
            </w:r>
          </w:p>
        </w:tc>
        <w:tc>
          <w:tcPr>
            <w:tcW w:w="30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27,000,000.00</w:t>
            </w:r>
          </w:p>
        </w:tc>
        <w:tc>
          <w:tcPr>
            <w:tcW w:w="3027"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322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某融资租赁有限公司</w:t>
            </w:r>
          </w:p>
        </w:tc>
        <w:tc>
          <w:tcPr>
            <w:tcW w:w="30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19,675,123.15</w:t>
            </w:r>
          </w:p>
        </w:tc>
        <w:tc>
          <w:tcPr>
            <w:tcW w:w="3027"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22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某租赁（天津）有限公司</w:t>
            </w:r>
          </w:p>
        </w:tc>
        <w:tc>
          <w:tcPr>
            <w:tcW w:w="30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10,200,000.00</w:t>
            </w:r>
          </w:p>
        </w:tc>
        <w:tc>
          <w:tcPr>
            <w:tcW w:w="30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19,694,512.78</w:t>
            </w:r>
          </w:p>
        </w:tc>
      </w:tr>
      <w:tr>
        <w:trPr>
          <w:trHeight w:val="352" w:hRule="exact"/>
        </w:trPr>
        <w:tc>
          <w:tcPr>
            <w:tcW w:w="322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某金融租赁有限公司</w:t>
            </w:r>
          </w:p>
        </w:tc>
        <w:tc>
          <w:tcPr>
            <w:tcW w:w="30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5,852,162.57</w:t>
            </w:r>
          </w:p>
        </w:tc>
        <w:tc>
          <w:tcPr>
            <w:tcW w:w="30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1,878,597.22</w:t>
            </w:r>
          </w:p>
        </w:tc>
      </w:tr>
      <w:tr>
        <w:trPr>
          <w:trHeight w:val="352" w:hRule="exact"/>
        </w:trPr>
        <w:tc>
          <w:tcPr>
            <w:tcW w:w="322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某租赁有限公司</w:t>
            </w:r>
          </w:p>
        </w:tc>
        <w:tc>
          <w:tcPr>
            <w:tcW w:w="30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3,371,137.62</w:t>
            </w:r>
          </w:p>
        </w:tc>
        <w:tc>
          <w:tcPr>
            <w:tcW w:w="30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3,212,475.85</w:t>
            </w:r>
          </w:p>
        </w:tc>
      </w:tr>
      <w:tr>
        <w:trPr>
          <w:trHeight w:val="353" w:hRule="exact"/>
        </w:trPr>
        <w:tc>
          <w:tcPr>
            <w:tcW w:w="322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某国际租赁有限公司</w:t>
            </w:r>
          </w:p>
        </w:tc>
        <w:tc>
          <w:tcPr>
            <w:tcW w:w="3028" w:type="dxa"/>
            <w:tcBorders>
              <w:top w:val="single" w:sz="12" w:space="0" w:color="000000"/>
              <w:left w:val="single" w:sz="6" w:space="0" w:color="000000"/>
              <w:bottom w:val="single" w:sz="12" w:space="0" w:color="000000"/>
              <w:right w:val="single" w:sz="6" w:space="0" w:color="000000"/>
            </w:tcBorders>
          </w:tcPr>
          <w:p>
            <w:pPr/>
          </w:p>
        </w:tc>
        <w:tc>
          <w:tcPr>
            <w:tcW w:w="30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13,111,831.75</w:t>
            </w:r>
          </w:p>
        </w:tc>
      </w:tr>
      <w:tr>
        <w:trPr>
          <w:trHeight w:val="352" w:hRule="exact"/>
        </w:trPr>
        <w:tc>
          <w:tcPr>
            <w:tcW w:w="322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某汽车金融有限公司</w:t>
            </w:r>
          </w:p>
        </w:tc>
        <w:tc>
          <w:tcPr>
            <w:tcW w:w="3028" w:type="dxa"/>
            <w:tcBorders>
              <w:top w:val="single" w:sz="12" w:space="0" w:color="000000"/>
              <w:left w:val="single" w:sz="6" w:space="0" w:color="000000"/>
              <w:bottom w:val="single" w:sz="12" w:space="0" w:color="000000"/>
              <w:right w:val="single" w:sz="6" w:space="0" w:color="000000"/>
            </w:tcBorders>
          </w:tcPr>
          <w:p>
            <w:pPr/>
          </w:p>
        </w:tc>
        <w:tc>
          <w:tcPr>
            <w:tcW w:w="30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29,417.56</w:t>
            </w:r>
          </w:p>
        </w:tc>
      </w:tr>
      <w:tr>
        <w:trPr>
          <w:trHeight w:val="352" w:hRule="exact"/>
        </w:trPr>
        <w:tc>
          <w:tcPr>
            <w:tcW w:w="3227"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b/>
                <w:spacing w:val="-1"/>
                <w:sz w:val="21"/>
              </w:rPr>
              <w:t>117,098,423.34</w:t>
            </w:r>
            <w:r>
              <w:rPr>
                <w:rFonts w:ascii="Times New Roman"/>
                <w:spacing w:val="-1"/>
                <w:sz w:val="21"/>
              </w:rPr>
            </w:r>
          </w:p>
        </w:tc>
        <w:tc>
          <w:tcPr>
            <w:tcW w:w="30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7"/>
              <w:jc w:val="right"/>
              <w:rPr>
                <w:rFonts w:ascii="Times New Roman" w:hAnsi="Times New Roman" w:cs="Times New Roman" w:eastAsia="Times New Roman" w:hint="default"/>
                <w:sz w:val="21"/>
                <w:szCs w:val="21"/>
              </w:rPr>
            </w:pPr>
            <w:r>
              <w:rPr>
                <w:rFonts w:ascii="Times New Roman"/>
                <w:b/>
                <w:sz w:val="21"/>
              </w:rPr>
              <w:t>70,554,835.16</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right="0"/>
        <w:jc w:val="left"/>
        <w:rPr>
          <w:b w:val="0"/>
          <w:bCs w:val="0"/>
        </w:rPr>
      </w:pPr>
      <w:bookmarkStart w:name="36、其他流动负债" w:id="335"/>
      <w:bookmarkEnd w:id="335"/>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7、长期借款" w:id="336"/>
      <w:bookmarkEnd w:id="336"/>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长期借款分类" w:id="337"/>
      <w:bookmarkEnd w:id="337"/>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25,454,000.00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39,466,000.00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50,742,000.00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146,212,814.90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305,678,814.90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129,196,000.00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pStyle w:val="Heading4"/>
        <w:spacing w:line="240" w:lineRule="auto" w:before="90"/>
        <w:ind w:left="580" w:right="0"/>
        <w:jc w:val="left"/>
        <w:rPr>
          <w:b w:val="0"/>
          <w:bCs w:val="0"/>
        </w:rPr>
      </w:pPr>
      <w:r>
        <w:rPr/>
        <w:t>质押借款：</w:t>
      </w:r>
      <w:r>
        <w:rPr>
          <w:b w:val="0"/>
          <w:bCs w:val="0"/>
        </w:rPr>
      </w:r>
    </w:p>
    <w:p>
      <w:pPr>
        <w:pStyle w:val="BodyText"/>
        <w:spacing w:line="256" w:lineRule="auto" w:before="157"/>
        <w:ind w:right="1026" w:firstLine="420"/>
        <w:jc w:val="both"/>
      </w:pPr>
      <w:r>
        <w:rPr>
          <w:spacing w:val="-1"/>
        </w:rPr>
        <w:t>说明</w:t>
      </w:r>
      <w:r>
        <w:rPr>
          <w:rFonts w:ascii="Times New Roman" w:hAnsi="Times New Roman" w:cs="Times New Roman" w:eastAsia="Times New Roman" w:hint="default"/>
          <w:spacing w:val="-1"/>
        </w:rPr>
        <w:t>1</w:t>
      </w:r>
      <w:r>
        <w:rPr>
          <w:spacing w:val="-1"/>
        </w:rPr>
        <w:t>：本公司之子公司温州北方园林建设有限公司以应收账款为质押物，共取得借款</w:t>
      </w:r>
      <w:r>
        <w:rPr>
          <w:rFonts w:ascii="Times New Roman" w:hAnsi="Times New Roman" w:cs="Times New Roman" w:eastAsia="Times New Roman" w:hint="default"/>
          <w:spacing w:val="-1"/>
        </w:rPr>
        <w:t>15,000.00</w:t>
      </w:r>
      <w:r>
        <w:rPr>
          <w:spacing w:val="-1"/>
        </w:rPr>
        <w:t>万元，</w:t>
      </w:r>
      <w:r>
        <w:rPr/>
        <w:t> </w:t>
      </w:r>
      <w:r>
        <w:rPr>
          <w:spacing w:val="-2"/>
        </w:rPr>
        <w:t>借款期限</w:t>
      </w:r>
      <w:r>
        <w:rPr>
          <w:rFonts w:ascii="Times New Roman" w:hAnsi="Times New Roman" w:cs="Times New Roman" w:eastAsia="Times New Roman" w:hint="default"/>
          <w:spacing w:val="-2"/>
        </w:rPr>
        <w:t>2-5</w:t>
      </w:r>
      <w:r>
        <w:rPr>
          <w:spacing w:val="-2"/>
        </w:rPr>
        <w:t>年。截至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日，上述借款余额为</w:t>
      </w:r>
      <w:r>
        <w:rPr>
          <w:rFonts w:ascii="Times New Roman" w:hAnsi="Times New Roman" w:cs="Times New Roman" w:eastAsia="Times New Roman" w:hint="default"/>
          <w:spacing w:val="-2"/>
        </w:rPr>
        <w:t>14,500.00</w:t>
      </w:r>
      <w:r>
        <w:rPr>
          <w:spacing w:val="-2"/>
        </w:rPr>
        <w:t>万元，其中</w:t>
      </w:r>
      <w:r>
        <w:rPr>
          <w:rFonts w:ascii="Times New Roman" w:hAnsi="Times New Roman" w:cs="Times New Roman" w:eastAsia="Times New Roman" w:hint="default"/>
          <w:spacing w:val="-2"/>
        </w:rPr>
        <w:t>2,500.00</w:t>
      </w:r>
      <w:r>
        <w:rPr>
          <w:spacing w:val="-2"/>
        </w:rPr>
        <w:t>万元将于一年内到期，</w:t>
      </w:r>
      <w:r>
        <w:rPr>
          <w:spacing w:val="-83"/>
        </w:rPr>
        <w:t> </w:t>
      </w:r>
      <w:r>
        <w:rPr>
          <w:spacing w:val="-83"/>
        </w:rPr>
      </w:r>
      <w:r>
        <w:rPr/>
        <w:t>报表重分类至一年内到期的非流动负债。</w:t>
      </w:r>
    </w:p>
    <w:p>
      <w:pPr>
        <w:pStyle w:val="BodyText"/>
        <w:spacing w:line="432" w:lineRule="exact" w:before="42"/>
        <w:ind w:left="574" w:right="1118" w:firstLine="2"/>
        <w:jc w:val="left"/>
      </w:pPr>
      <w:r>
        <w:rPr>
          <w:rFonts w:ascii="宋体" w:hAnsi="宋体" w:cs="宋体" w:eastAsia="宋体" w:hint="default"/>
          <w:b/>
          <w:bCs/>
        </w:rPr>
        <w:t>抵押借款：</w:t>
      </w:r>
      <w:r>
        <w:rPr>
          <w:rFonts w:ascii="宋体" w:hAnsi="宋体" w:cs="宋体" w:eastAsia="宋体" w:hint="default"/>
          <w:b/>
          <w:bCs/>
          <w:w w:val="99"/>
        </w:rPr>
        <w:t> </w:t>
      </w:r>
      <w:r>
        <w:rPr/>
        <w:t>说明</w:t>
      </w:r>
      <w:r>
        <w:rPr>
          <w:rFonts w:ascii="Times New Roman" w:hAnsi="Times New Roman" w:cs="Times New Roman" w:eastAsia="Times New Roman" w:hint="default"/>
        </w:rPr>
        <w:t>2</w:t>
      </w:r>
      <w:r>
        <w:rPr/>
        <w:t>：本公司及本公司之子公司京蓝时代科技（北京）有限公司以房产为抵押，于</w:t>
      </w:r>
      <w:r>
        <w:rPr>
          <w:rFonts w:ascii="Times New Roman" w:hAnsi="Times New Roman" w:cs="Times New Roman" w:eastAsia="Times New Roman" w:hint="default"/>
        </w:rPr>
        <w:t>2016</w:t>
      </w:r>
      <w:r>
        <w:rPr/>
        <w:t>年取得借款</w:t>
      </w:r>
    </w:p>
    <w:p>
      <w:pPr>
        <w:pStyle w:val="BodyText"/>
        <w:spacing w:line="271" w:lineRule="exact"/>
        <w:ind w:right="0"/>
        <w:jc w:val="left"/>
      </w:pPr>
      <w:r>
        <w:rPr>
          <w:rFonts w:ascii="Times New Roman" w:hAnsi="Times New Roman" w:cs="Times New Roman" w:eastAsia="Times New Roman" w:hint="default"/>
        </w:rPr>
        <w:t>5,638.00</w:t>
      </w:r>
      <w:r>
        <w:rPr/>
        <w:t>万元，截至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日止，上述借款余额为为</w:t>
      </w:r>
      <w:r>
        <w:rPr>
          <w:rFonts w:ascii="Times New Roman" w:hAnsi="Times New Roman" w:cs="Times New Roman" w:eastAsia="Times New Roman" w:hint="default"/>
        </w:rPr>
        <w:t>4,510.40</w:t>
      </w:r>
      <w:r>
        <w:rPr/>
        <w:t>万元，其中</w:t>
      </w:r>
      <w:r>
        <w:rPr>
          <w:rFonts w:ascii="Times New Roman" w:hAnsi="Times New Roman" w:cs="Times New Roman" w:eastAsia="Times New Roman" w:hint="default"/>
        </w:rPr>
        <w:t>563.80</w:t>
      </w:r>
      <w:r>
        <w:rPr/>
        <w:t>万元将于一年内到期，</w:t>
      </w:r>
    </w:p>
    <w:p>
      <w:pPr>
        <w:pStyle w:val="BodyText"/>
        <w:spacing w:line="240" w:lineRule="auto" w:before="21"/>
        <w:ind w:right="0"/>
        <w:jc w:val="left"/>
      </w:pPr>
      <w:r>
        <w:rPr/>
        <w:t>报表重分类至一年内到期的非流动负债。</w:t>
      </w:r>
    </w:p>
    <w:p>
      <w:pPr>
        <w:pStyle w:val="BodyText"/>
        <w:spacing w:line="273" w:lineRule="auto" w:before="157"/>
        <w:ind w:left="574" w:right="1130" w:firstLine="2"/>
        <w:jc w:val="left"/>
        <w:rPr>
          <w:rFonts w:ascii="Times New Roman" w:hAnsi="Times New Roman" w:cs="Times New Roman" w:eastAsia="Times New Roman" w:hint="default"/>
        </w:rPr>
      </w:pPr>
      <w:r>
        <w:rPr>
          <w:rFonts w:ascii="宋体" w:hAnsi="宋体" w:cs="宋体" w:eastAsia="宋体" w:hint="default"/>
          <w:b/>
          <w:bCs/>
        </w:rPr>
        <w:t>保证借款：</w:t>
      </w:r>
      <w:r>
        <w:rPr>
          <w:rFonts w:ascii="宋体" w:hAnsi="宋体" w:cs="宋体" w:eastAsia="宋体" w:hint="default"/>
          <w:b/>
          <w:bCs/>
          <w:w w:val="99"/>
        </w:rPr>
        <w:t> </w:t>
      </w:r>
      <w:r>
        <w:rPr/>
        <w:t>说明</w:t>
      </w:r>
      <w:r>
        <w:rPr>
          <w:rFonts w:ascii="Times New Roman" w:hAnsi="Times New Roman" w:cs="Times New Roman" w:eastAsia="Times New Roman" w:hint="default"/>
        </w:rPr>
        <w:t>3</w:t>
      </w:r>
      <w:r>
        <w:rPr/>
        <w:t>：本公司及本公司之子公司自多家金融机构取得的长期保证借款共</w:t>
      </w:r>
      <w:r>
        <w:rPr>
          <w:rFonts w:ascii="Times New Roman" w:hAnsi="Times New Roman" w:cs="Times New Roman" w:eastAsia="Times New Roman" w:hint="default"/>
        </w:rPr>
        <w:t>19,602.00</w:t>
      </w:r>
      <w:r>
        <w:rPr/>
        <w:t>万元，期限为</w:t>
      </w:r>
      <w:r>
        <w:rPr>
          <w:rFonts w:ascii="Times New Roman" w:hAnsi="Times New Roman" w:cs="Times New Roman" w:eastAsia="Times New Roman" w:hint="default"/>
        </w:rPr>
        <w:t>1.5-6</w:t>
      </w:r>
    </w:p>
    <w:p>
      <w:pPr>
        <w:pStyle w:val="BodyText"/>
        <w:spacing w:line="256" w:lineRule="auto"/>
        <w:ind w:right="0"/>
        <w:jc w:val="left"/>
      </w:pPr>
      <w:r>
        <w:rPr/>
        <w:t>年，截至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日，上述借款余额为</w:t>
      </w:r>
      <w:r>
        <w:rPr>
          <w:rFonts w:ascii="Times New Roman" w:hAnsi="Times New Roman" w:cs="Times New Roman" w:eastAsia="Times New Roman" w:hint="default"/>
        </w:rPr>
        <w:t>17,425.60</w:t>
      </w:r>
      <w:r>
        <w:rPr/>
        <w:t>万元，其中</w:t>
      </w:r>
      <w:r>
        <w:rPr>
          <w:rFonts w:ascii="Times New Roman" w:hAnsi="Times New Roman" w:cs="Times New Roman" w:eastAsia="Times New Roman" w:hint="default"/>
        </w:rPr>
        <w:t>2,804.32</w:t>
      </w:r>
      <w:r>
        <w:rPr/>
        <w:t>万元将于一年内到期，报表重分</w:t>
      </w:r>
      <w:r>
        <w:rPr>
          <w:spacing w:val="-35"/>
        </w:rPr>
        <w:t> </w:t>
      </w:r>
      <w:r>
        <w:rPr>
          <w:spacing w:val="-35"/>
        </w:rPr>
      </w:r>
      <w:r>
        <w:rPr/>
        <w:t>类至一年内到期的非流动负债。</w:t>
      </w:r>
    </w:p>
    <w:p>
      <w:pPr>
        <w:pStyle w:val="BodyText"/>
        <w:spacing w:line="240" w:lineRule="auto" w:before="142"/>
        <w:ind w:left="574" w:right="0"/>
        <w:jc w:val="left"/>
      </w:pPr>
      <w:r>
        <w:rPr/>
        <w:t>说明</w:t>
      </w:r>
      <w:r>
        <w:rPr>
          <w:rFonts w:ascii="Times New Roman" w:hAnsi="Times New Roman" w:cs="Times New Roman" w:eastAsia="Times New Roman" w:hint="default"/>
        </w:rPr>
        <w:t>4</w:t>
      </w:r>
      <w:r>
        <w:rPr/>
        <w:t>：上述借款关联担保情况详见附注十二、</w:t>
      </w:r>
      <w:r>
        <w:rPr>
          <w:rFonts w:ascii="Times New Roman" w:hAnsi="Times New Roman" w:cs="Times New Roman" w:eastAsia="Times New Roman" w:hint="default"/>
        </w:rPr>
        <w:t>5</w:t>
      </w:r>
      <w:r>
        <w:rPr/>
        <w:t>（</w:t>
      </w:r>
      <w:r>
        <w:rPr>
          <w:rFonts w:ascii="Times New Roman" w:hAnsi="Times New Roman" w:cs="Times New Roman" w:eastAsia="Times New Roman" w:hint="default"/>
        </w:rPr>
        <w:t>4</w:t>
      </w:r>
      <w:r>
        <w:rPr/>
        <w:t>）。</w:t>
      </w:r>
    </w:p>
    <w:p>
      <w:pPr>
        <w:spacing w:before="16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其他说明，包括利率区间：</w:t>
      </w:r>
    </w:p>
    <w:p>
      <w:pPr>
        <w:pStyle w:val="BodyText"/>
        <w:spacing w:line="240" w:lineRule="auto" w:before="89"/>
        <w:ind w:left="574" w:right="0"/>
        <w:jc w:val="left"/>
      </w:pPr>
      <w:r>
        <w:rPr/>
        <w:t>上述长期借款利率区间为</w:t>
      </w:r>
      <w:r>
        <w:rPr>
          <w:rFonts w:ascii="Times New Roman" w:hAnsi="Times New Roman" w:cs="Times New Roman" w:eastAsia="Times New Roman" w:hint="default"/>
        </w:rPr>
        <w:t>5.445-10%</w:t>
      </w:r>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5"/>
          <w:szCs w:val="15"/>
        </w:rPr>
      </w:pPr>
    </w:p>
    <w:p>
      <w:pPr>
        <w:pStyle w:val="Heading4"/>
        <w:spacing w:line="240" w:lineRule="auto"/>
        <w:ind w:right="0"/>
        <w:jc w:val="left"/>
        <w:rPr>
          <w:b w:val="0"/>
          <w:bCs w:val="0"/>
        </w:rPr>
      </w:pPr>
      <w:bookmarkStart w:name="38、应付债券" w:id="338"/>
      <w:bookmarkEnd w:id="338"/>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付债券" w:id="339"/>
      <w:bookmarkEnd w:id="339"/>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中信建投</w:t>
            </w:r>
            <w:r>
              <w:rPr>
                <w:rFonts w:ascii="Times New Roman" w:hAnsi="Times New Roman" w:cs="Times New Roman" w:eastAsia="Times New Roman" w:hint="default"/>
                <w:sz w:val="18"/>
                <w:szCs w:val="18"/>
              </w:rPr>
              <w:t>-</w:t>
            </w:r>
            <w:r>
              <w:rPr>
                <w:rFonts w:ascii="宋体" w:hAnsi="宋体" w:cs="宋体" w:eastAsia="宋体" w:hint="default"/>
                <w:sz w:val="18"/>
                <w:szCs w:val="18"/>
              </w:rPr>
              <w:t>京蓝沐禾</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项目可持续发展</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5" w:right="0"/>
              <w:jc w:val="left"/>
              <w:rPr>
                <w:rFonts w:ascii="Times New Roman" w:hAnsi="Times New Roman" w:cs="Times New Roman" w:eastAsia="Times New Roman" w:hint="default"/>
                <w:sz w:val="18"/>
                <w:szCs w:val="18"/>
              </w:rPr>
            </w:pPr>
            <w:r>
              <w:rPr>
                <w:rFonts w:ascii="Times New Roman"/>
                <w:sz w:val="18"/>
              </w:rPr>
              <w:t>319,740,000.00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36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资产支持专项计划</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319,740,000.00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应付债券的增减变动（不包括划分为金融负债的优先股、永续债等其他金融工具）" w:id="340"/>
      <w:bookmarkEnd w:id="340"/>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87"/>
        <w:gridCol w:w="809"/>
        <w:gridCol w:w="798"/>
        <w:gridCol w:w="798"/>
        <w:gridCol w:w="798"/>
        <w:gridCol w:w="798"/>
        <w:gridCol w:w="798"/>
        <w:gridCol w:w="798"/>
        <w:gridCol w:w="798"/>
        <w:gridCol w:w="798"/>
        <w:gridCol w:w="798"/>
        <w:gridCol w:w="798"/>
      </w:tblGrid>
      <w:tr>
        <w:trPr>
          <w:trHeight w:val="2275" w:hRule="exact"/>
        </w:trPr>
        <w:tc>
          <w:tcPr>
            <w:tcW w:w="78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中信建投</w:t>
            </w:r>
          </w:p>
          <w:p>
            <w:pPr>
              <w:pStyle w:val="TableParagraph"/>
              <w:spacing w:line="312" w:lineRule="auto" w:before="75"/>
              <w:ind w:left="22"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京蓝沐</w:t>
            </w:r>
            <w:r>
              <w:rPr>
                <w:rFonts w:ascii="宋体" w:hAnsi="宋体" w:cs="宋体" w:eastAsia="宋体" w:hint="default"/>
                <w:w w:val="99"/>
                <w:sz w:val="18"/>
                <w:szCs w:val="18"/>
              </w:rPr>
              <w:t> </w:t>
            </w:r>
            <w:r>
              <w:rPr>
                <w:rFonts w:ascii="宋体" w:hAnsi="宋体" w:cs="宋体" w:eastAsia="宋体" w:hint="default"/>
                <w:sz w:val="18"/>
                <w:szCs w:val="18"/>
              </w:rPr>
              <w:t>禾</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项 目可持续 发展资产 支持专项 计划</w:t>
            </w:r>
          </w:p>
        </w:tc>
        <w:tc>
          <w:tcPr>
            <w:tcW w:w="809"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411,000,0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2018-6-1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411,000,0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411,000,0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12,928,13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91,260,00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319,740,0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可转换公司债券的转股条件、转股时间说明" w:id="341"/>
      <w:bookmarkEnd w:id="341"/>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划分为金融负债的其他金融工具说明" w:id="342"/>
      <w:bookmarkEnd w:id="342"/>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57" w:lineRule="auto"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5" w:space="417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1"/>
        <w:ind w:left="154" w:right="7512"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39、长期应付款" w:id="343"/>
      <w:bookmarkEnd w:id="343"/>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145,941,836.03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232,899,862.15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145,941,836.03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232,899,862.15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按款项性质列示长期应付款" w:id="344"/>
      <w:bookmarkEnd w:id="344"/>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某国际租赁有限公司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101,270,086.96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150,666,216.87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某投资合伙企业</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93,297,866.67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某融资租赁有限公司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46,594,733.04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某金融租赁有限公司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13,967,126.33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6,253,809.02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某国际租赁（天津）有限公司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某租赁有限公司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6,008,313.04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9,220,788.89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某国际租赁有限公司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13,986,598.30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某汽车金融有限公司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29,417.56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减：一年内到期部分</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117,098,423.34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70,554,835.16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145,941,836.03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232,899,862.15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58"/>
        <w:ind w:right="0"/>
        <w:jc w:val="left"/>
        <w:rPr>
          <w:b w:val="0"/>
          <w:bCs w:val="0"/>
        </w:rPr>
      </w:pPr>
      <w:bookmarkStart w:name="（2）专项应付款" w:id="345"/>
      <w:bookmarkEnd w:id="345"/>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0、长期应付职工薪酬" w:id="346"/>
      <w:bookmarkEnd w:id="346"/>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长期应付职工薪酬表" w:id="347"/>
      <w:bookmarkEnd w:id="347"/>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设定受益计划变动情况" w:id="348"/>
      <w:bookmarkEnd w:id="348"/>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60" w:lineRule="auto" w:before="51"/>
        <w:ind w:left="154" w:right="3552"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1、预计负债" w:id="349"/>
      <w:bookmarkEnd w:id="349"/>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2、递延收益" w:id="350"/>
      <w:bookmarkEnd w:id="350"/>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2,499,040.00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96,939.02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3,102,100.98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售后回租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3,800,394.70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1,414,675.29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2,385,719.41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售后回租形成</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6,299,434.70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1,511,614.31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5,487,820.39</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可再生能源 建筑应用专 项资金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453,440.00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34,880.00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418,560.00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设施蔬菜根 结线虫综合 控制与土壤 质量提升技 术的应用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灌区智慧用 水决策技术 与平台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29,859.02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520,140.98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三期土地基 础设施建设 费</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1,545,600.00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1,513,400.00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农作物秸秆 和污泥在盐 碱地改良中 应用的研究</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3、其他非流动负债" w:id="351"/>
      <w:bookmarkEnd w:id="351"/>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4、股本" w:id="352"/>
      <w:bookmarkEnd w:id="352"/>
      <w:r>
        <w:rPr>
          <w:b w:val="0"/>
          <w:bCs w:val="0"/>
        </w:rPr>
      </w:r>
      <w:r>
        <w:rPr>
          <w:rFonts w:ascii="Times New Roman" w:hAnsi="Times New Roman" w:cs="Times New Roman" w:eastAsia="Times New Roman" w:hint="default"/>
        </w:rPr>
        <w:t>44</w:t>
      </w:r>
      <w:r>
        <w:rPr/>
        <w:t>、股本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730,545,885.00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146,109,177.00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146,109,177.00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876,655,062.00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5、其他权益工具" w:id="353"/>
      <w:bookmarkEnd w:id="353"/>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期末发行在外的优先股、永续债等其他金融工具基本情况" w:id="354"/>
      <w:bookmarkEnd w:id="354"/>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期末发行在外的优先股、永续债等金融工具变动情况表" w:id="355"/>
      <w:bookmarkEnd w:id="355"/>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1"/>
        <w:ind w:left="154" w:right="4632"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46、资本公积" w:id="356"/>
      <w:bookmarkEnd w:id="356"/>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3,127,786,071.59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147,454,806.88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2,980,331,264.71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650,791.68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540,960.00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1,191,751.68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3,128,436,863.27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540,960.00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147,454,806.88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2,981,523,016.39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
        <w:rPr>
          <w:rFonts w:ascii="宋体" w:hAnsi="宋体" w:cs="宋体" w:eastAsia="宋体" w:hint="default"/>
          <w:sz w:val="13"/>
          <w:szCs w:val="13"/>
        </w:rPr>
      </w:pPr>
    </w:p>
    <w:p>
      <w:pPr>
        <w:pStyle w:val="BodyText"/>
        <w:spacing w:line="256" w:lineRule="auto"/>
        <w:ind w:right="0" w:firstLine="370"/>
        <w:jc w:val="left"/>
      </w:pPr>
      <w:r>
        <w:rPr>
          <w:spacing w:val="-2"/>
        </w:rPr>
        <w:t>本期减少</w:t>
      </w:r>
      <w:r>
        <w:rPr>
          <w:rFonts w:ascii="Times New Roman" w:hAnsi="Times New Roman" w:cs="Times New Roman" w:eastAsia="Times New Roman" w:hint="default"/>
          <w:spacing w:val="-2"/>
        </w:rPr>
        <w:t>146,109,177.00</w:t>
      </w:r>
      <w:r>
        <w:rPr>
          <w:spacing w:val="-2"/>
        </w:rPr>
        <w:t>系资本公积转增股本，以</w:t>
      </w:r>
      <w:r>
        <w:rPr>
          <w:rFonts w:ascii="Times New Roman" w:hAnsi="Times New Roman" w:cs="Times New Roman" w:eastAsia="Times New Roman" w:hint="default"/>
          <w:spacing w:val="-2"/>
        </w:rPr>
        <w:t>2017</w:t>
      </w:r>
      <w:r>
        <w:rPr>
          <w:spacing w:val="-2"/>
        </w:rPr>
        <w:t>年末公司总股本</w:t>
      </w:r>
      <w:r>
        <w:rPr>
          <w:rFonts w:ascii="Times New Roman" w:hAnsi="Times New Roman" w:cs="Times New Roman" w:eastAsia="Times New Roman" w:hint="default"/>
          <w:spacing w:val="-2"/>
        </w:rPr>
        <w:t>730,545,885.00</w:t>
      </w:r>
      <w:r>
        <w:rPr>
          <w:spacing w:val="-2"/>
        </w:rPr>
        <w:t>股为基数，以资本</w:t>
      </w:r>
      <w:r>
        <w:rPr/>
        <w:t> </w:t>
      </w:r>
      <w:r>
        <w:rPr>
          <w:spacing w:val="-3"/>
        </w:rPr>
        <w:t>公积向全体股东每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2</w:t>
      </w:r>
      <w:r>
        <w:rPr>
          <w:spacing w:val="-3"/>
        </w:rPr>
        <w:t>股，共计转增</w:t>
      </w:r>
      <w:r>
        <w:rPr>
          <w:rFonts w:ascii="Times New Roman" w:hAnsi="Times New Roman" w:cs="Times New Roman" w:eastAsia="Times New Roman" w:hint="default"/>
          <w:spacing w:val="-3"/>
        </w:rPr>
        <w:t>146,109,177.00</w:t>
      </w:r>
      <w:r>
        <w:rPr>
          <w:spacing w:val="-3"/>
        </w:rPr>
        <w:t>股，转增后公司总股本将增加至</w:t>
      </w:r>
      <w:r>
        <w:rPr>
          <w:rFonts w:ascii="Times New Roman" w:hAnsi="Times New Roman" w:cs="Times New Roman" w:eastAsia="Times New Roman" w:hint="default"/>
          <w:spacing w:val="-3"/>
        </w:rPr>
        <w:t>876,655,062.00</w:t>
      </w:r>
      <w:r>
        <w:rPr>
          <w:spacing w:val="-3"/>
        </w:rPr>
        <w:t>股。</w:t>
      </w:r>
      <w:r>
        <w:rPr>
          <w:spacing w:val="-47"/>
        </w:rPr>
        <w:t> </w:t>
      </w:r>
      <w:r>
        <w:rPr>
          <w:spacing w:val="-2"/>
        </w:rPr>
        <w:t>本期减少</w:t>
      </w:r>
      <w:r>
        <w:rPr>
          <w:rFonts w:ascii="Times New Roman" w:hAnsi="Times New Roman" w:cs="Times New Roman" w:eastAsia="Times New Roman" w:hint="default"/>
          <w:spacing w:val="-2"/>
        </w:rPr>
        <w:t>15,858.00</w:t>
      </w:r>
      <w:r>
        <w:rPr>
          <w:spacing w:val="-2"/>
        </w:rPr>
        <w:t>系购买京蓝北方园林（天津）少数股东股权。本期减少</w:t>
      </w:r>
      <w:r>
        <w:rPr>
          <w:rFonts w:ascii="Times New Roman" w:hAnsi="Times New Roman" w:cs="Times New Roman" w:eastAsia="Times New Roman" w:hint="default"/>
          <w:spacing w:val="-2"/>
        </w:rPr>
        <w:t>1,329,771.88</w:t>
      </w:r>
      <w:r>
        <w:rPr>
          <w:spacing w:val="-2"/>
        </w:rPr>
        <w:t>系收购中科鼎实环境</w:t>
      </w:r>
      <w:r>
        <w:rPr>
          <w:spacing w:val="-69"/>
        </w:rPr>
        <w:t> </w:t>
      </w:r>
      <w:r>
        <w:rPr>
          <w:spacing w:val="-69"/>
        </w:rPr>
      </w:r>
      <w:r>
        <w:rPr/>
        <w:t>工程股份有限公司发生的费用。</w:t>
      </w:r>
    </w:p>
    <w:p>
      <w:pPr>
        <w:spacing w:after="0" w:line="25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6"/>
        <w:ind w:right="0"/>
        <w:jc w:val="left"/>
        <w:rPr>
          <w:b w:val="0"/>
          <w:bCs w:val="0"/>
        </w:rPr>
      </w:pPr>
      <w:bookmarkStart w:name="47、库存股" w:id="357"/>
      <w:bookmarkEnd w:id="357"/>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8、其他综合收益" w:id="358"/>
      <w:bookmarkEnd w:id="358"/>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8"/>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8" w:type="dxa"/>
            <w:vMerge/>
            <w:tcBorders>
              <w:left w:val="single" w:sz="4" w:space="0" w:color="000000"/>
              <w:bottom w:val="single" w:sz="4" w:space="0" w:color="000000"/>
              <w:right w:val="single" w:sz="4" w:space="0" w:color="000000"/>
            </w:tcBorders>
            <w:shd w:val="clear" w:color="auto" w:fill="D2D2D2"/>
          </w:tcPr>
          <w:p>
            <w:pP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9、专项储备" w:id="359"/>
      <w:bookmarkEnd w:id="359"/>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0、盈余公积" w:id="360"/>
      <w:bookmarkEnd w:id="360"/>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19,687,014.03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19,687,014.03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10,664,905.83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10,664,905.83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30,351,919.86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30,351,919.86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1、未分配利润" w:id="361"/>
      <w:bookmarkEnd w:id="361"/>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352,352,636.73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95,618,149.37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352,352,636.73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95,618,149.37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102,535,975.63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289,292,396.12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32,557,908.76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771" w:right="0"/>
              <w:jc w:val="left"/>
              <w:rPr>
                <w:rFonts w:ascii="Times New Roman" w:hAnsi="Times New Roman" w:cs="Times New Roman" w:eastAsia="Times New Roman" w:hint="default"/>
                <w:sz w:val="18"/>
                <w:szCs w:val="18"/>
              </w:rPr>
            </w:pPr>
            <w:r>
              <w:rPr>
                <w:rFonts w:ascii="Times New Roman"/>
                <w:sz w:val="18"/>
              </w:rPr>
              <w:t>454,888,612.36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0" w:right="0"/>
              <w:jc w:val="left"/>
              <w:rPr>
                <w:rFonts w:ascii="Times New Roman" w:hAnsi="Times New Roman" w:cs="Times New Roman" w:eastAsia="Times New Roman" w:hint="default"/>
                <w:sz w:val="18"/>
                <w:szCs w:val="18"/>
              </w:rPr>
            </w:pPr>
            <w:r>
              <w:rPr>
                <w:rFonts w:ascii="Times New Roman"/>
                <w:sz w:val="18"/>
              </w:rPr>
              <w:t>352,352,636.73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2、营业收入和营业成本" w:id="362"/>
      <w:bookmarkEnd w:id="362"/>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2,438,628,505.46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1,746,329,319.99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1,746,070,076.95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1,232,909,340.90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52,229,272.31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13,766,192.74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61,865,592.47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2,976,942.86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2,490,857,777.77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1,760,095,512.73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1,807,935,669.42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1,235,886,283.76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3、税金及附加" w:id="363"/>
      <w:bookmarkEnd w:id="363"/>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4,633,940.85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4,028,770.06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2,013,271.51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1,963,583.25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181,371.81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297,486.42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2,116,392.97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1,754,546.95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897,192.19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788,456.84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366,072.91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41,363.84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1,682,583.49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2,767,070.75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1,286,618.07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1,198,620.69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731,181.69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1,028,781.56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522,008.21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363,359.71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残疾人保障金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346,798.97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环境保护税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4,650.00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14,782,082.67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14,232,040.07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4、销售费用" w:id="364"/>
      <w:bookmarkEnd w:id="364"/>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1,007,810.30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1,516,825.37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5,037,837.80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3,705,731.51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6,207,480.75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6,323,740.40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6,787,001.64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5,118,481.07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2,754,568.12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2,010,020.37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1,118,623.11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344,586.04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36,847,794.25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25,677,179.06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专业机构服务费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2,297,168.96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1,975,287.91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1,104,857.80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1,465,020.33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769,904.25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137,859.85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63,933,046.98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48,274,731.91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5、管理费用" w:id="365"/>
      <w:bookmarkEnd w:id="365"/>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9,870,896.16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7,734,606.01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4,593,783.09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5,295,565.12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560,227.60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1,718,338.22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1,707,717.55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1,647,410.65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5,060,087.99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4,065,841.48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13,790,866.76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5,188,996.69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27,721,866.32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21,200,162.61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专业机构服务费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38,247,256.10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18,259,449.33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28,167,923.45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12,407,103.25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100,526,490.20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65,612,380.24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4,414,767.31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1,921,411.56</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234,661,882.53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145,051,265.16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6、研发费用" w:id="366"/>
      <w:bookmarkEnd w:id="366"/>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9,036,835.06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3,562,376.96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316,091.45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294,029.45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7,837.86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13,063.10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25,427.09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645,772.02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8,058,604.21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25,480.06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150,713.94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59,549.91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362,498.41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512,979.18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46,529.00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526,595.20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211,538.39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专业机构服务费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1,047,660.81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925,123.93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知识产权费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403,612.12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38,551.46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439,602.15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796,545.73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327,039.85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96,914.86</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21,215,497.33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6,715,474.87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7、财务费用" w:id="367"/>
      <w:bookmarkEnd w:id="367"/>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234,743,506.93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88,511,187.40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20,377,800.79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11,972,707.27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1,346,070.12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291,542.27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担保费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7,618,303.78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422,383.02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223,330,080.04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77,252,405.42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8、资产减值损失" w:id="368"/>
      <w:bookmarkEnd w:id="368"/>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11,814,536.50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-18,413,245.66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6,031,564.23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-7,817,745.24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17,846,100.73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1" w:right="0"/>
              <w:jc w:val="left"/>
              <w:rPr>
                <w:rFonts w:ascii="Times New Roman" w:hAnsi="Times New Roman" w:cs="Times New Roman" w:eastAsia="Times New Roman" w:hint="default"/>
                <w:sz w:val="18"/>
                <w:szCs w:val="18"/>
              </w:rPr>
            </w:pPr>
            <w:r>
              <w:rPr>
                <w:rFonts w:ascii="Times New Roman"/>
                <w:sz w:val="18"/>
              </w:rPr>
              <w:t>-26,230,990.90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9、其他收益" w:id="369"/>
      <w:bookmarkEnd w:id="369"/>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东丽区科学技术奖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东丽科委创新联盟补贴款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东丽区科协千企万人拨款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耐盐碱耐旱彩叶植物在园林景观上的示 范应用项目补贴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工业和信息化委员会补贴款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援企稳岗补贴资金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59,483.44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29,193.90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翁旗劳动就业服务局拨付的失业保险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国家知识产权优势、示范企业工程建设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申请专利的减免费用</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大学生就业补助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年自治区科技重大专项资金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建库房补贴款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政府补助赤峰市知识产权实物管理中心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国家服务业发展款项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东丽科委</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年第五批科技计划项目拨 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东丽科委</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年科技重大专项与工程重 点研发计划拨款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科协示范院士工作站补贴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年知识产权战略企业资助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可再生能源建筑应用专项资金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34,880.00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三期土地基础设施建设费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政府补助小计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5,240,463.44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1,935,973.90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代扣个人所得税手续费返还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65,469.52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5,305,932.96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1,935,973.90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60、投资收益" w:id="370"/>
      <w:bookmarkEnd w:id="370"/>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-177,990.77</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-1,050,068.92</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15,032,910.32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15,019,351.53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购买理财产品取得的投资收益</w:t>
            </w:r>
          </w:p>
        </w:tc>
        <w:tc>
          <w:tcPr>
            <w:tcW w:w="3203"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1,041,268.84</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29,874,271.08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-8,800.08</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1、公允价值变动收益" w:id="371"/>
      <w:bookmarkEnd w:id="371"/>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2、资产处置收益" w:id="372"/>
      <w:bookmarkEnd w:id="372"/>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-48,766.40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-72,911.02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-48,766.40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-72,911.02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3、营业外收入" w:id="373"/>
      <w:bookmarkEnd w:id="373"/>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13,344,937.31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违约、罚款收入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15,379.20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2,629,610.74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15,379.20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80,644.38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673,923.89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80,644.38</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2,576,023.58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16,648,471.94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2,576,023.58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3"/>
        <w:gridCol w:w="1051"/>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38"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市长产品质 量奖金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赤峰市人民 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扶贫专项资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巴林左旗水 利局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地方政府兑 现招商引资 优惠政策返 还企业所得 税和增值税</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13,307,378.9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个税奖励金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37,558.39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4、营业外支出" w:id="374"/>
      <w:bookmarkEnd w:id="374"/>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8,966.21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8,966.21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租房合同提前解约补偿</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2,755,048.86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2,755,048.86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692,160.28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692,160.28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8,490.60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613,159.04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8,490.60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3,654,665.95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4,113,159.04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3,654,665.95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5、所得税费用" w:id="375"/>
      <w:bookmarkEnd w:id="375"/>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所得税费用表" w:id="376"/>
      <w:bookmarkEnd w:id="376"/>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58,108,708.47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20,271,852.05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24,846,563.55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367,148.09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82,955,272.02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20,639,000.14</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会计利润与所得税费用调整过程" w:id="377"/>
      <w:bookmarkEnd w:id="377"/>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189,046,370.03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47,261,592.51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-31,040,065.75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205,902.53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-404,985.00</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2,667,020.49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-453,522.04</w:t>
            </w:r>
            <w:r>
              <w:rPr>
                <w:rFonts w:ascii="Times New Roman"/>
                <w:sz w:val="18"/>
              </w:rPr>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62,633,194.84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研发费加计扣除的影响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-131,618.54</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所得税减免优惠的影响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-234,552.93</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2,452,305.91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82,955,272.02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6、其他综合收益" w:id="378"/>
      <w:bookmarkEnd w:id="378"/>
      <w:r>
        <w:rPr>
          <w:b w:val="0"/>
          <w:bCs w:val="0"/>
        </w:rPr>
      </w:r>
      <w:r>
        <w:rPr>
          <w:rFonts w:ascii="Times New Roman" w:hAnsi="Times New Roman" w:cs="Times New Roman" w:eastAsia="Times New Roman" w:hint="default"/>
        </w:rPr>
        <w:t>66</w:t>
      </w:r>
      <w:r>
        <w:rPr/>
        <w:t>、其他综合收益</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7、现金流量表项目" w:id="379"/>
      <w:bookmarkEnd w:id="379"/>
      <w:r>
        <w:rPr>
          <w:b w:val="0"/>
          <w:bCs w:val="0"/>
        </w:rPr>
      </w:r>
      <w:r>
        <w:rPr>
          <w:rFonts w:ascii="Times New Roman" w:hAnsi="Times New Roman" w:cs="Times New Roman" w:eastAsia="Times New Roman" w:hint="default"/>
        </w:rPr>
        <w:t>67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收到的其他与经营活动有关的现金" w:id="380"/>
      <w:bookmarkEnd w:id="380"/>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22,393,290.44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27,957,642.94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170,035,173.18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166,619,936.47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4,847,060.66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9,065,881.68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9,341,986.12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59,643,648.92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政府补贴及其他拨款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6,799,646.98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15,313,831.21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32,678.34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1,005,133.78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213,449,835.72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279,606,075.00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支付的其他与经营活动有关的现金" w:id="381"/>
      <w:bookmarkEnd w:id="381"/>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97,459,323.51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100,975,380.79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299,241,185.83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252,851,680.82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支付项目备用金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144,152,299.63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82,728,931.80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19,785,959.80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82,101,878.54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2,078,879.95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291,542.27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捐款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罚款滞纳金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692,160.28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782,871.59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163,712.28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564,342,680.59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522,613,126.50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收到的其他与投资活动有关的现金" w:id="382"/>
      <w:bookmarkEnd w:id="382"/>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收到与资产相关的政府补助</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非金融机构的资金拆借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116,646,696.51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485,134,575.43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116,646,696.51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486,744,575.43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支付的其他与投资活动有关的现金" w:id="383"/>
      <w:bookmarkEnd w:id="383"/>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非金融机构的资金拆借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289,267,731.96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655,000,000.00</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中信建投</w:t>
            </w:r>
            <w:r>
              <w:rPr>
                <w:rFonts w:ascii="Times New Roman" w:hAnsi="Times New Roman" w:cs="Times New Roman" w:eastAsia="Times New Roman" w:hint="default"/>
                <w:sz w:val="18"/>
                <w:szCs w:val="18"/>
              </w:rPr>
              <w:t>-</w:t>
            </w:r>
            <w:r>
              <w:rPr>
                <w:rFonts w:ascii="宋体" w:hAnsi="宋体" w:cs="宋体" w:eastAsia="宋体" w:hint="default"/>
                <w:sz w:val="18"/>
                <w:szCs w:val="18"/>
              </w:rPr>
              <w:t>京蓝沐禾</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项目可持续发展 资产支持专项计划</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310,267,731.96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656,500,000.00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收到的其他与筹资活动有关的现金" w:id="384"/>
      <w:bookmarkEnd w:id="384"/>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融资保证金收回</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52,817,926.71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8,579,247.74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售后回租款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718.709961pt;width:151.25pt;height:40.8pt;mso-position-horizontal-relative:page;mso-position-vertical-relative:page;z-index:-1540984" coordorigin="4467,14374" coordsize="3025,816">
            <v:group style="position:absolute;left:4478;top:14386;width:2;height:392" coordorigin="4478,14386" coordsize="2,392">
              <v:shape style="position:absolute;left:4478;top:14386;width:2;height:392" coordorigin="4478,14386" coordsize="0,392" path="m4478,14386l4478,14777e" filled="false" stroked="true" strokeweight="1.140pt" strokecolor="#ffffff">
                <v:path arrowok="t"/>
              </v:shape>
            </v:group>
            <v:group style="position:absolute;left:4490;top:14386;width:3002;height:392" coordorigin="4490,14386" coordsize="3002,392">
              <v:shape style="position:absolute;left:4490;top:14386;width:3002;height:392" coordorigin="4490,14386" coordsize="3002,392" path="m4490,14777l7491,14777,7491,14386,4490,14386,4490,14777xe" filled="true" fillcolor="#ffffff" stroked="false">
                <v:path arrowok="t"/>
                <v:fill type="solid"/>
              </v:shape>
            </v:group>
            <v:group style="position:absolute;left:4478;top:14788;width:2;height:392" coordorigin="4478,14788" coordsize="2,392">
              <v:shape style="position:absolute;left:4478;top:14788;width:2;height:392" coordorigin="4478,14788" coordsize="0,392" path="m4478,14788l4478,15179e" filled="false" stroked="true" strokeweight="1.140pt" strokecolor="#ffffff">
                <v:path arrowok="t"/>
              </v:shape>
            </v:group>
            <v:group style="position:absolute;left:4490;top:14788;width:3002;height:392" coordorigin="4490,14788" coordsize="3002,392">
              <v:shape style="position:absolute;left:4490;top:14788;width:3002;height:392" coordorigin="4490,14788" coordsize="3002,392" path="m4490,15179l7491,15179,7491,14788,4490,14788,4490,15179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非金融机构的资金拆借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341,086,219.62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354,738,986.19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票据融资本金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157,753,409.20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75,996,266.42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564,657,555.53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479,314,500.35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支付的其他与筹资活动有关的现金" w:id="385"/>
      <w:bookmarkEnd w:id="385"/>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102,604,000.00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53,103,000.00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39,190,086.37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26,942,154.45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非金融机构的资金拆借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361,525,779.16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351,588,361.76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融资相关费用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45,953,703.78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18,773,000.00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资金占用费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8,255,333.56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质押银行定期存单</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589,273,569.31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458,661,849.77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8、现金流量表补充资料" w:id="386"/>
      <w:bookmarkEnd w:id="386"/>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387"/>
      <w:bookmarkEnd w:id="387"/>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106,091,098.01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300,505,034.69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17,846,100.73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-26,230,990.90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34,616,732.78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24,028,950.27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11,872,886.09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5,911,386.62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7,566,582.67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2,397,257.14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48,766.40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72,911.02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227,274,473.23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84,964,919.21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-29,874,271.08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8,800.08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1989" w:val="left" w:leader="none"/>
              </w:tabs>
              <w:spacing w:line="240" w:lineRule="auto" w:before="52"/>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22,674,760.81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-32,564,817.34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085" w:val="left" w:leader="none"/>
              </w:tabs>
              <w:spacing w:line="240" w:lineRule="auto" w:before="52"/>
              <w:ind w:left="-124" w:right="2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2,175,932.11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32,931,965.43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-2,021,198,022.14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-1,514,109,514.08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61,523,628.51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-524,536,553.42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716,002,054.19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1,249,924,682.07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1,617,600.00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-843,379,277.69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-395,078,369.21</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347,154,334.00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971,134,681.18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971,134,681.18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986,109,535.47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-623,980,347.18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-14,974,854.29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本期支付的取得子公司的现金净额" w:id="388"/>
      <w:bookmarkEnd w:id="388"/>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本期收到的处置子公司的现金净额" w:id="389"/>
      <w:bookmarkEnd w:id="389"/>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现金和现金等价物的构成" w:id="390"/>
      <w:bookmarkEnd w:id="390"/>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347,154,334.00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971,134,681.18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267,403.77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153,014.55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346,886,930.23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970,981,666.63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347,154,334.00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971,134,681.18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line="547" w:lineRule="auto" w:before="0"/>
        <w:ind w:left="154" w:right="5372" w:firstLine="0"/>
        <w:jc w:val="left"/>
        <w:rPr>
          <w:rFonts w:ascii="宋体" w:hAnsi="宋体" w:cs="宋体" w:eastAsia="宋体" w:hint="default"/>
          <w:sz w:val="21"/>
          <w:szCs w:val="21"/>
        </w:rPr>
      </w:pPr>
      <w:bookmarkStart w:name="69、所有者权益变动表项目注释" w:id="391"/>
      <w:bookmarkEnd w:id="391"/>
      <w:r>
        <w:rPr/>
      </w: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0、所有权或使用权受到限制的资产" w:id="392"/>
      <w:bookmarkEnd w:id="392"/>
      <w:r>
        <w:rPr>
          <w:rFonts w:ascii="宋体" w:hAnsi="宋体" w:cs="宋体" w:eastAsia="宋体" w:hint="default"/>
          <w:sz w:val="18"/>
          <w:szCs w:val="18"/>
        </w:rPr>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44"/>
        <w:ind w:left="0" w:right="1139" w:firstLine="0"/>
        <w:jc w:val="right"/>
        <w:rPr>
          <w:rFonts w:ascii="宋体" w:hAnsi="宋体" w:cs="宋体" w:eastAsia="宋体" w:hint="default"/>
          <w:sz w:val="18"/>
          <w:szCs w:val="18"/>
        </w:rPr>
      </w:pPr>
      <w:r>
        <w:rPr/>
        <w:pict>
          <v:shape style="position:absolute;margin-left:56.459999pt;margin-top:-20.948298pt;width:479.2pt;height:176.9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61" w:hRule="exact"/>
                    </w:trPr>
                    <w:tc>
                      <w:tcPr>
                        <w:tcW w:w="3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3" w:right="0"/>
                          <w:jc w:val="left"/>
                          <w:rPr>
                            <w:rFonts w:ascii="Times New Roman" w:hAnsi="Times New Roman" w:cs="Times New Roman" w:eastAsia="Times New Roman" w:hint="default"/>
                            <w:sz w:val="18"/>
                            <w:szCs w:val="18"/>
                          </w:rPr>
                        </w:pPr>
                        <w:r>
                          <w:rPr>
                            <w:rFonts w:ascii="Times New Roman"/>
                            <w:sz w:val="18"/>
                          </w:rPr>
                          <w:t>243,180,368.96</w:t>
                        </w:r>
                      </w:p>
                    </w:tc>
                    <w:tc>
                      <w:tcPr>
                        <w:tcW w:w="3184"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pacing w:val="-2"/>
                            <w:sz w:val="18"/>
                            <w:szCs w:val="18"/>
                          </w:rPr>
                          <w:t>银行承兑汇票保证金，履约保函保证金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农民工质保金，定期存单</w:t>
                        </w:r>
                      </w:p>
                    </w:tc>
                  </w:tr>
                  <w:tr>
                    <w:trPr>
                      <w:trHeight w:val="392" w:hRule="exact"/>
                    </w:trPr>
                    <w:tc>
                      <w:tcPr>
                        <w:tcW w:w="3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vMerge/>
                        <w:tcBorders>
                          <w:left w:val="single" w:sz="9" w:space="0" w:color="D2D2D2"/>
                          <w:right w:val="single" w:sz="4" w:space="0" w:color="000000"/>
                        </w:tcBorders>
                      </w:tcPr>
                      <w:p>
                        <w:pPr/>
                      </w:p>
                    </w:tc>
                    <w:tc>
                      <w:tcPr>
                        <w:tcW w:w="3184" w:type="dxa"/>
                        <w:vMerge/>
                        <w:tcBorders>
                          <w:left w:val="single" w:sz="4" w:space="0" w:color="000000"/>
                          <w:right w:val="single" w:sz="4" w:space="0" w:color="000000"/>
                        </w:tcBorders>
                      </w:tcPr>
                      <w:p>
                        <w:pPr/>
                      </w:p>
                    </w:tc>
                  </w:tr>
                  <w:tr>
                    <w:trPr>
                      <w:trHeight w:val="161" w:hRule="exact"/>
                    </w:trPr>
                    <w:tc>
                      <w:tcPr>
                        <w:tcW w:w="3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7" w:type="dxa"/>
                        <w:vMerge/>
                        <w:tcBorders>
                          <w:left w:val="single" w:sz="9" w:space="0" w:color="D2D2D2"/>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158,923,013.41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抵押担保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2,379,641.04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抵押担保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14,985,897.07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质押担保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质押担保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27,863,036.72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抵押担保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1,447,331,957.20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1、外币货币性项目" w:id="393"/>
      <w:bookmarkEnd w:id="393"/>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外币货币性项目" w:id="394"/>
      <w:bookmarkEnd w:id="394"/>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0"/>
              <w:jc w:val="righ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0"/>
              <w:jc w:val="righ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59" w:lineRule="auto"/>
        <w:ind w:right="0"/>
        <w:jc w:val="left"/>
        <w:rPr>
          <w:b w:val="0"/>
          <w:bCs w:val="0"/>
        </w:rPr>
      </w:pPr>
      <w:bookmarkStart w:name="（2）境外经营实体说明，包括对于重要的境外经营实体，应披露其境外主要经营地、记账" w:id="395"/>
      <w:bookmarkEnd w:id="395"/>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72、套期" w:id="396"/>
      <w:bookmarkEnd w:id="396"/>
      <w:r>
        <w:rPr>
          <w:b w:val="0"/>
          <w:bCs w:val="0"/>
        </w:rPr>
      </w:r>
      <w:r>
        <w:rPr>
          <w:rFonts w:ascii="Times New Roman" w:hAnsi="Times New Roman" w:cs="Times New Roman" w:eastAsia="Times New Roman" w:hint="default"/>
        </w:rPr>
        <w:t>72</w:t>
      </w:r>
      <w:r>
        <w:rPr/>
        <w:t>、套期</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73、政府补助" w:id="397"/>
      <w:bookmarkEnd w:id="397"/>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政府补助基本情况" w:id="398"/>
      <w:bookmarkEnd w:id="398"/>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07"/>
              <w:jc w:val="both"/>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年知识产权战略企业 资助</w:t>
            </w:r>
            <w:r>
              <w:rPr>
                <w:rFonts w:ascii="Times New Roman" w:hAnsi="Times New Roman" w:cs="Times New Roman" w:eastAsia="Times New Roman" w:hint="default"/>
                <w:sz w:val="18"/>
                <w:szCs w:val="18"/>
              </w:rPr>
              <w:t>-</w:t>
            </w:r>
            <w:r>
              <w:rPr>
                <w:rFonts w:ascii="宋体" w:hAnsi="宋体" w:cs="宋体" w:eastAsia="宋体" w:hint="default"/>
                <w:sz w:val="18"/>
                <w:szCs w:val="18"/>
              </w:rPr>
              <w:t>天津市东丽区科学技术 委员会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收东丽科委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年第五批科 技计划项目拨款、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东丽科委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年科技重大专 项与工程重点研发计划拨款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科协示范院士工作站补贴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市长产品质量奖金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37"/>
              <w:jc w:val="left"/>
              <w:rPr>
                <w:rFonts w:ascii="宋体" w:hAnsi="宋体" w:cs="宋体" w:eastAsia="宋体" w:hint="default"/>
                <w:sz w:val="18"/>
                <w:szCs w:val="18"/>
              </w:rPr>
            </w:pPr>
            <w:r>
              <w:rPr>
                <w:rFonts w:ascii="宋体" w:hAnsi="宋体" w:cs="宋体" w:eastAsia="宋体" w:hint="default"/>
                <w:sz w:val="18"/>
                <w:szCs w:val="18"/>
              </w:rPr>
              <w:t>扶贫专项资金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巴林左旗水利 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翁旗劳动就业服务局拨付的 失业保险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60,300.00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92"/>
              <w:jc w:val="left"/>
              <w:rPr>
                <w:rFonts w:ascii="宋体" w:hAnsi="宋体" w:cs="宋体" w:eastAsia="宋体" w:hint="default"/>
                <w:sz w:val="18"/>
                <w:szCs w:val="18"/>
              </w:rPr>
            </w:pPr>
            <w:r>
              <w:rPr>
                <w:rFonts w:ascii="Times New Roman" w:hAnsi="Times New Roman" w:cs="Times New Roman" w:eastAsia="Times New Roman" w:hint="default"/>
                <w:sz w:val="18"/>
                <w:szCs w:val="18"/>
              </w:rPr>
              <w:t>2016-2018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年自治区科技重大 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收到建库房补贴款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190,000.00</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政府补助赤峰市知识产权实 物管理中心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援企稳岗补贴资金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59,483.44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59,483.44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国家服务业发展款项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灌区智慧用水决策技术与平 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递延收益、冲减成本费用</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29,859.02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农作物秸秆和污泥在盐碱地 改良中应用的研究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可再生能源建筑应用专项资 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34,880.00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34,880.00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三期土地基础设施建设费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政府补助退回情况" w:id="399"/>
      <w:bookmarkEnd w:id="399"/>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其他说明：</w:t>
      </w:r>
    </w:p>
    <w:p>
      <w:pPr>
        <w:spacing w:line="240" w:lineRule="auto" w:before="12"/>
        <w:rPr>
          <w:rFonts w:ascii="宋体" w:hAnsi="宋体" w:cs="宋体" w:eastAsia="宋体" w:hint="default"/>
          <w:sz w:val="20"/>
          <w:szCs w:val="20"/>
        </w:rPr>
      </w:pPr>
    </w:p>
    <w:p>
      <w:pPr>
        <w:spacing w:line="487" w:lineRule="auto" w:before="0"/>
        <w:ind w:left="154" w:right="8328" w:firstLine="0"/>
        <w:jc w:val="left"/>
        <w:rPr>
          <w:rFonts w:ascii="宋体" w:hAnsi="宋体" w:cs="宋体" w:eastAsia="宋体" w:hint="default"/>
          <w:sz w:val="21"/>
          <w:szCs w:val="21"/>
        </w:rPr>
      </w:pPr>
      <w:bookmarkStart w:name="74、其他" w:id="400"/>
      <w:bookmarkEnd w:id="400"/>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401"/>
      <w:bookmarkEnd w:id="401"/>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02"/>
      <w:bookmarkEnd w:id="40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3"/>
        <w:ind w:right="0"/>
        <w:jc w:val="left"/>
        <w:rPr>
          <w:b w:val="0"/>
          <w:bCs w:val="0"/>
        </w:rPr>
      </w:pPr>
      <w:bookmarkStart w:name="（1）本期发生的非同一控制下企业合并" w:id="403"/>
      <w:bookmarkEnd w:id="403"/>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京蓝环境建 </w:t>
            </w:r>
            <w:r>
              <w:rPr>
                <w:rFonts w:ascii="宋体" w:hAnsi="宋体" w:cs="宋体" w:eastAsia="宋体" w:hint="default"/>
                <w:spacing w:val="-12"/>
                <w:sz w:val="18"/>
                <w:szCs w:val="18"/>
              </w:rPr>
              <w:t>设（北京）有</w:t>
            </w:r>
            <w:r>
              <w:rPr>
                <w:rFonts w:ascii="宋体" w:hAnsi="宋体" w:cs="宋体" w:eastAsia="宋体" w:hint="default"/>
                <w:sz w:val="18"/>
                <w:szCs w:val="18"/>
              </w:rPr>
              <w:t> 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both"/>
              <w:rPr>
                <w:rFonts w:ascii="宋体" w:hAnsi="宋体" w:cs="宋体" w:eastAsia="宋体" w:hint="default"/>
                <w:sz w:val="18"/>
                <w:szCs w:val="18"/>
              </w:rPr>
            </w:pPr>
            <w:r>
              <w:rPr>
                <w:rFonts w:ascii="宋体" w:hAnsi="宋体" w:cs="宋体" w:eastAsia="宋体" w:hint="default"/>
                <w:spacing w:val="-13"/>
                <w:sz w:val="18"/>
                <w:szCs w:val="18"/>
              </w:rPr>
              <w:t>工商登记、法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人代表、董监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高变更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合并成本及商誉" w:id="404"/>
      <w:bookmarkEnd w:id="404"/>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27" w:right="0"/>
              <w:jc w:val="left"/>
              <w:rPr>
                <w:rFonts w:ascii="宋体" w:hAnsi="宋体" w:cs="宋体" w:eastAsia="宋体" w:hint="default"/>
                <w:sz w:val="18"/>
                <w:szCs w:val="18"/>
              </w:rPr>
            </w:pPr>
            <w:r>
              <w:rPr>
                <w:rFonts w:ascii="宋体" w:hAnsi="宋体" w:cs="宋体" w:eastAsia="宋体" w:hint="default"/>
                <w:sz w:val="18"/>
                <w:szCs w:val="18"/>
              </w:rPr>
              <w:t>京蓝环境建设（北京）有限公司</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38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21;top:14;width:2;height:353" coordorigin="21,14" coordsize="2,353">
              <v:shape style="position:absolute;left:21;top:14;width:2;height:353" coordorigin="21,14" coordsize="0,353" path="m21,14l21,367e" filled="false" stroked="true" strokeweight="1.140pt" strokecolor="#d2d2d2">
                <v:path arrowok="t"/>
              </v:shape>
            </v:group>
            <v:group style="position:absolute;left:4773;top:14;width:2;height:353" coordorigin="4773,14" coordsize="2,353">
              <v:shape style="position:absolute;left:4773;top:14;width:2;height:353" coordorigin="4773,14" coordsize="0,353" path="m4773,14l4773,367e" filled="false" stroked="true" strokeweight="1.140pt" strokecolor="#d2d2d2">
                <v:path arrowok="t"/>
              </v:shape>
            </v:group>
            <v:group style="position:absolute;left:32;top:14;width:4729;height:353" coordorigin="32,14" coordsize="4729,353">
              <v:shape style="position:absolute;left:32;top:14;width:4729;height:353" coordorigin="32,14" coordsize="4729,353" path="m32,367l4761,367,4761,14,32,14,32,367xe" filled="true" fillcolor="#d2d2d2"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4776;height:2" coordorigin="10,372" coordsize="4776,2">
              <v:shape style="position:absolute;left:10;top:372;width:4776;height:2" coordorigin="10,372" coordsize="4776,0" path="m10,372l4785,372e" filled="false" stroked="true" strokeweight=".48pt" strokecolor="#000000">
                <v:path arrowok="t"/>
              </v:shape>
            </v:group>
            <v:group style="position:absolute;left:4790;top:5;width:2;height:372" coordorigin="4790,5" coordsize="2,372">
              <v:shape style="position:absolute;left:4790;top:5;width:2;height:372" coordorigin="4790,5" coordsize="0,372" path="m4790,5l4790,377e" filled="false" stroked="true" strokeweight=".47998pt" strokecolor="#000000">
                <v:path arrowok="t"/>
              </v:shape>
            </v:group>
            <v:group style="position:absolute;left:4795;top:372;width:4774;height:2" coordorigin="4795,372" coordsize="4774,2">
              <v:shape style="position:absolute;left:4795;top:372;width:4774;height:2" coordorigin="4795,372" coordsize="4774,0" path="m4795,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004pt" strokecolor="#000000">
                <v:path arrowok="t"/>
              </v:shape>
              <v:shape style="position:absolute;left:32;top:8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额</w:t>
                      </w:r>
                    </w:p>
                  </w:txbxContent>
                </v:textbox>
                <w10:wrap type="none"/>
              </v:shape>
            </v:group>
          </v:group>
        </w:pict>
      </w:r>
      <w:r>
        <w:rPr>
          <w:rFonts w:ascii="宋体" w:hAnsi="宋体" w:cs="宋体" w:eastAsia="宋体" w:hint="default"/>
          <w:position w:val="-7"/>
          <w:sz w:val="20"/>
          <w:szCs w:val="20"/>
        </w:rPr>
      </w:r>
    </w:p>
    <w:p>
      <w:pPr>
        <w:spacing w:line="360" w:lineRule="auto" w:before="47"/>
        <w:ind w:left="154" w:right="6072"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被购买方于购买日可辨认资产、负债" w:id="405"/>
      <w:bookmarkEnd w:id="405"/>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3"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left="1926" w:right="0"/>
              <w:jc w:val="left"/>
              <w:rPr>
                <w:rFonts w:ascii="宋体" w:hAnsi="宋体" w:cs="宋体" w:eastAsia="宋体" w:hint="default"/>
                <w:sz w:val="18"/>
                <w:szCs w:val="18"/>
              </w:rPr>
            </w:pPr>
            <w:r>
              <w:rPr>
                <w:rFonts w:ascii="宋体" w:hAnsi="宋体" w:cs="宋体" w:eastAsia="宋体" w:hint="default"/>
                <w:sz w:val="18"/>
                <w:szCs w:val="18"/>
              </w:rPr>
              <w:t>京蓝环境建设（北京）有限公司</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360" w:lineRule="auto" w:before="51"/>
        <w:ind w:left="154" w:right="7530"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pStyle w:val="Heading4"/>
        <w:spacing w:line="240" w:lineRule="auto"/>
        <w:ind w:right="0"/>
        <w:jc w:val="both"/>
        <w:rPr>
          <w:b w:val="0"/>
          <w:bCs w:val="0"/>
        </w:rPr>
      </w:pPr>
      <w:bookmarkStart w:name="（4）购买日之前持有的股权按照公允价值重新计量产生的利得或损失" w:id="406"/>
      <w:bookmarkEnd w:id="406"/>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6"/>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0"/>
        <w:jc w:val="both"/>
        <w:rPr>
          <w:b w:val="0"/>
          <w:bCs w:val="0"/>
        </w:rPr>
      </w:pPr>
      <w:bookmarkStart w:name="（5）购买日或合并当期期末无法合理确定合并对价或被购买方可辨认资产、负债公允价值" w:id="407"/>
      <w:bookmarkEnd w:id="407"/>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6）其他说明" w:id="408"/>
      <w:bookmarkEnd w:id="408"/>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2、同一控制下企业合并" w:id="409"/>
      <w:bookmarkEnd w:id="409"/>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本期发生的同一控制下企业合并" w:id="410"/>
      <w:bookmarkEnd w:id="410"/>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合并成本" w:id="411"/>
      <w:bookmarkEnd w:id="411"/>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001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001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0" w:lineRule="auto" w:before="46"/>
        <w:ind w:left="154" w:right="8592"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3）合并日被合并方资产、负债的账面价值" w:id="412"/>
      <w:bookmarkEnd w:id="412"/>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824"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5pt;mso-position-horizontal-relative:char;mso-position-vertical-relative:line" coordorigin="0,0" coordsize="9581,825">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3179;top:16;width:2;height:392" coordorigin="3179,16" coordsize="2,392">
              <v:shape style="position:absolute;left:3179;top:16;width:2;height:392" coordorigin="3179,16" coordsize="0,392" path="m3179,16l3179,407e" filled="false" stroked="true" strokeweight="1.140pt" strokecolor="#d2d2d2">
                <v:path arrowok="t"/>
              </v:shape>
            </v:group>
            <v:group style="position:absolute;left:32;top:16;width:3135;height:392" coordorigin="32,16" coordsize="3135,392">
              <v:shape style="position:absolute;left:32;top:16;width:3135;height:392" coordorigin="32,16" coordsize="3135,392" path="m32,407l3167,407,3167,16,32,16,32,407xe" filled="true" fillcolor="#d2d2d2" stroked="false">
                <v:path arrowok="t"/>
                <v:fill type="solid"/>
              </v:shape>
            </v:group>
            <v:group style="position:absolute;left:3212;top:16;width:2;height:392" coordorigin="3212,16" coordsize="2,392">
              <v:shape style="position:absolute;left:3212;top:16;width:2;height:392" coordorigin="3212,16" coordsize="0,392" path="m3212,16l3212,407e" filled="false" stroked="true" strokeweight="1.2pt" strokecolor="#e0ffff">
                <v:path arrowok="t"/>
              </v:shape>
            </v:group>
            <v:group style="position:absolute;left:9560;top:16;width:2;height:392" coordorigin="9560,16" coordsize="2,392">
              <v:shape style="position:absolute;left:9560;top:16;width:2;height:392" coordorigin="9560,16" coordsize="0,392" path="m9560,16l9560,407e" filled="false" stroked="true" strokeweight="1.140pt" strokecolor="#e0ffff">
                <v:path arrowok="t"/>
              </v:shape>
            </v:group>
            <v:group style="position:absolute;left:3224;top:16;width:6325;height:392" coordorigin="3224,16" coordsize="6325,392">
              <v:shape style="position:absolute;left:3224;top:16;width:6325;height:392" coordorigin="3224,16" coordsize="6325,392" path="m3224,407l9548,407,9548,16,3224,16,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799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7998pt" strokecolor="#000000">
                <v:path arrowok="t"/>
              </v:shape>
            </v:group>
            <v:group style="position:absolute;left:21;top:418;width:2;height:392" coordorigin="21,418" coordsize="2,392">
              <v:shape style="position:absolute;left:21;top:418;width:2;height:392" coordorigin="21,418" coordsize="0,392" path="m21,418l21,809e" filled="false" stroked="true" strokeweight="1.140pt" strokecolor="#d2d2d2">
                <v:path arrowok="t"/>
              </v:shape>
            </v:group>
            <v:group style="position:absolute;left:3179;top:418;width:2;height:392" coordorigin="3179,418" coordsize="2,392">
              <v:shape style="position:absolute;left:3179;top:418;width:2;height:392" coordorigin="3179,418" coordsize="0,392" path="m3179,418l3179,809e" filled="false" stroked="true" strokeweight="1.140pt" strokecolor="#d2d2d2">
                <v:path arrowok="t"/>
              </v:shape>
            </v:group>
            <v:group style="position:absolute;left:32;top:418;width:3135;height:392" coordorigin="32,418" coordsize="3135,392">
              <v:shape style="position:absolute;left:32;top:418;width:3135;height:392" coordorigin="32,418" coordsize="3135,392" path="m32,809l3167,809,3167,418,32,418,32,809xe" filled="true" fillcolor="#d2d2d2" stroked="false">
                <v:path arrowok="t"/>
                <v:fill type="solid"/>
              </v:shape>
            </v:group>
            <v:group style="position:absolute;left:3212;top:418;width:2;height:392" coordorigin="3212,418" coordsize="2,392">
              <v:shape style="position:absolute;left:3212;top:418;width:2;height:392" coordorigin="3212,418" coordsize="0,392" path="m3212,418l3212,809e" filled="false" stroked="true" strokeweight="1.2pt" strokecolor="#d2d2d2">
                <v:path arrowok="t"/>
              </v:shape>
            </v:group>
            <v:group style="position:absolute;left:6369;top:418;width:2;height:392" coordorigin="6369,418" coordsize="2,392">
              <v:shape style="position:absolute;left:6369;top:418;width:2;height:392" coordorigin="6369,418" coordsize="0,392" path="m6369,418l6369,809e" filled="false" stroked="true" strokeweight="1.140pt" strokecolor="#d2d2d2">
                <v:path arrowok="t"/>
              </v:shape>
            </v:group>
            <v:group style="position:absolute;left:3224;top:418;width:3134;height:392" coordorigin="3224,418" coordsize="3134,392">
              <v:shape style="position:absolute;left:3224;top:418;width:3134;height:392" coordorigin="3224,418" coordsize="3134,392" path="m3224,809l6357,809,6357,418,3224,418,3224,809xe" filled="true" fillcolor="#d2d2d2" stroked="false">
                <v:path arrowok="t"/>
                <v:fill type="solid"/>
              </v:shape>
            </v:group>
            <v:group style="position:absolute;left:6402;top:418;width:2;height:392" coordorigin="6402,418" coordsize="2,392">
              <v:shape style="position:absolute;left:6402;top:418;width:2;height:392" coordorigin="6402,418" coordsize="0,392" path="m6402,418l6402,809e" filled="false" stroked="true" strokeweight="1.140pt" strokecolor="#d2d2d2">
                <v:path arrowok="t"/>
              </v:shape>
            </v:group>
            <v:group style="position:absolute;left:9560;top:418;width:2;height:392" coordorigin="9560,418" coordsize="2,392">
              <v:shape style="position:absolute;left:9560;top:418;width:2;height:392" coordorigin="9560,418" coordsize="0,392" path="m9560,418l9560,809e" filled="false" stroked="true" strokeweight="1.140pt" strokecolor="#d2d2d2">
                <v:path arrowok="t"/>
              </v:shape>
            </v:group>
            <v:group style="position:absolute;left:6414;top:418;width:3135;height:392" coordorigin="6414,418" coordsize="3135,392">
              <v:shape style="position:absolute;left:6414;top:418;width:3135;height:392" coordorigin="6414,418" coordsize="3135,392" path="m6414,809l9548,809,9548,418,6414,418,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001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001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001pt" strokecolor="#000000">
                <v:path arrowok="t"/>
              </v:shape>
            </v:group>
            <v:group style="position:absolute;left:5;top:5;width:2;height:815" coordorigin="5,5" coordsize="2,815">
              <v:shape style="position:absolute;left:5;top:5;width:2;height:815" coordorigin="5,5" coordsize="0,815" path="m5,5l5,820e" filled="false" stroked="true" strokeweight=".48pt" strokecolor="#000000">
                <v:path arrowok="t"/>
              </v:shape>
            </v:group>
            <v:group style="position:absolute;left:10;top:815;width:3181;height:2" coordorigin="10,815" coordsize="3181,2">
              <v:shape style="position:absolute;left:10;top:815;width:3181;height:2" coordorigin="10,815" coordsize="3181,0" path="m10,815l3190,815e" filled="false" stroked="true" strokeweight=".48001pt" strokecolor="#000000">
                <v:path arrowok="t"/>
              </v:shape>
            </v:group>
            <v:group style="position:absolute;left:3195;top:5;width:2;height:815" coordorigin="3195,5" coordsize="2,815">
              <v:shape style="position:absolute;left:3195;top:5;width:2;height:815" coordorigin="3195,5" coordsize="0,815" path="m3195,5l3195,820e" filled="false" stroked="true" strokeweight=".48001pt" strokecolor="#000000">
                <v:path arrowok="t"/>
              </v:shape>
            </v:group>
            <v:group style="position:absolute;left:3200;top:815;width:3182;height:2" coordorigin="3200,815" coordsize="3182,2">
              <v:shape style="position:absolute;left:3200;top:815;width:3182;height:2" coordorigin="3200,815" coordsize="3182,0" path="m3200,815l6381,815e" filled="false" stroked="true" strokeweight=".48001pt" strokecolor="#000000">
                <v:path arrowok="t"/>
              </v:shape>
            </v:group>
            <v:group style="position:absolute;left:6386;top:407;width:2;height:413" coordorigin="6386,407" coordsize="2,413">
              <v:shape style="position:absolute;left:6386;top:407;width:2;height:413" coordorigin="6386,407" coordsize="0,413" path="m6386,407l6386,820e" filled="false" stroked="true" strokeweight=".48001pt" strokecolor="#000000">
                <v:path arrowok="t"/>
              </v:shape>
            </v:group>
            <v:group style="position:absolute;left:6391;top:815;width:3181;height:2" coordorigin="6391,815" coordsize="3181,2">
              <v:shape style="position:absolute;left:6391;top:815;width:3181;height:2" coordorigin="6391,815" coordsize="3181,0" path="m6391,815l9571,815e" filled="false" stroked="true" strokeweight=".48001pt" strokecolor="#000000">
                <v:path arrowok="t"/>
              </v:shape>
            </v:group>
            <v:group style="position:absolute;left:9576;top:5;width:2;height:815" coordorigin="9576,5" coordsize="2,815">
              <v:shape style="position:absolute;left:9576;top:5;width:2;height:815" coordorigin="9576,5" coordsize="0,815" path="m9576,5l9576,820e" filled="false" stroked="true" strokeweight=".48004pt" strokecolor="#000000">
                <v:path arrowok="t"/>
              </v:shape>
              <v:shape style="position:absolute;left:3183;top:412;width:3202;height:403"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3"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57" w:lineRule="auto" w:before="47"/>
        <w:ind w:left="154" w:right="7512"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3、反向购买" w:id="413"/>
      <w:bookmarkEnd w:id="413"/>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spacing w:line="319" w:lineRule="auto" w:before="0"/>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性交易处理时调整权益的金额及其计算：</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bookmarkStart w:name="4、处置子公司" w:id="414"/>
      <w:bookmarkEnd w:id="414"/>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482"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319"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0"/>
              <w:jc w:val="both"/>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9"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bl>
    <w:p>
      <w:pPr>
        <w:spacing w:after="0" w:line="319"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r>
        <w:rPr/>
        <w:pict>
          <v:group style="position:absolute;margin-left:331.720001pt;margin-top:731.700012pt;width:65.6pt;height:19.6pt;mso-position-horizontal-relative:page;mso-position-vertical-relative:page;z-index:-1540768" coordorigin="6634,14634" coordsize="1312,392">
            <v:shape style="position:absolute;left:6634;top:14634;width:1312;height:392" coordorigin="6634,14634" coordsize="1312,392" path="m6634,15025l7946,15025,7946,14634,6634,14634,6634,15025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62"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58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61"/>
              <w:jc w:val="both"/>
              <w:rPr>
                <w:rFonts w:ascii="宋体" w:hAnsi="宋体" w:cs="宋体" w:eastAsia="宋体" w:hint="default"/>
                <w:sz w:val="18"/>
                <w:szCs w:val="18"/>
              </w:rPr>
            </w:pPr>
            <w:r>
              <w:rPr>
                <w:rFonts w:ascii="宋体" w:hAnsi="宋体" w:cs="宋体" w:eastAsia="宋体" w:hint="default"/>
                <w:sz w:val="18"/>
                <w:szCs w:val="18"/>
              </w:rPr>
              <w:t>林州京 蓝能科 余热发 电有限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签订股 份转让 协议开 </w:t>
            </w:r>
            <w:r>
              <w:rPr>
                <w:rFonts w:ascii="宋体" w:hAnsi="宋体" w:cs="宋体" w:eastAsia="宋体" w:hint="default"/>
                <w:spacing w:val="-11"/>
                <w:sz w:val="18"/>
                <w:szCs w:val="18"/>
              </w:rPr>
              <w:t>始，生产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经营控 制权已 发生转 移</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23,733.4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r>
    </w:tbl>
    <w:p>
      <w:pPr>
        <w:spacing w:line="360" w:lineRule="auto" w:before="51"/>
        <w:ind w:left="154" w:right="4992" w:firstLine="0"/>
        <w:jc w:val="left"/>
        <w:rPr>
          <w:rFonts w:ascii="宋体" w:hAnsi="宋体" w:cs="宋体" w:eastAsia="宋体" w:hint="default"/>
          <w:sz w:val="18"/>
          <w:szCs w:val="18"/>
        </w:rPr>
      </w:pPr>
      <w:r>
        <w:rPr>
          <w:rFonts w:ascii="宋体" w:hAnsi="宋体" w:cs="宋体" w:eastAsia="宋体" w:hint="default"/>
          <w:sz w:val="18"/>
          <w:szCs w:val="18"/>
        </w:rPr>
        <w:t>其他说明： 是否存在通过多次交易分步处置对子公司投资且在本期丧失控制权的情形</w:t>
      </w:r>
    </w:p>
    <w:p>
      <w:pPr>
        <w:spacing w:before="2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其他原因的合并范围变动" w:id="415"/>
      <w:bookmarkEnd w:id="415"/>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13"/>
        <w:rPr>
          <w:rFonts w:ascii="宋体" w:hAnsi="宋体" w:cs="宋体" w:eastAsia="宋体" w:hint="default"/>
          <w:sz w:val="12"/>
          <w:szCs w:val="12"/>
        </w:rPr>
      </w:pPr>
    </w:p>
    <w:p>
      <w:pPr>
        <w:pStyle w:val="BodyText"/>
        <w:spacing w:line="268" w:lineRule="auto"/>
        <w:ind w:right="1131" w:firstLine="423"/>
        <w:jc w:val="both"/>
      </w:pPr>
      <w:r>
        <w:rPr>
          <w:spacing w:val="-1"/>
        </w:rPr>
        <w:t>本期新纳入合并范围内的新设子公司共计</w:t>
      </w:r>
      <w:r>
        <w:rPr>
          <w:rFonts w:ascii="Times New Roman" w:hAnsi="Times New Roman" w:cs="Times New Roman" w:eastAsia="Times New Roman" w:hint="default"/>
          <w:spacing w:val="-1"/>
        </w:rPr>
        <w:t>11</w:t>
      </w:r>
      <w:r>
        <w:rPr>
          <w:spacing w:val="-1"/>
        </w:rPr>
        <w:t>家，分别为：京蓝科技研究有限公司、京蓝国际工程有限</w:t>
      </w:r>
      <w:r>
        <w:rPr/>
        <w:t> </w:t>
      </w:r>
      <w:r>
        <w:rPr>
          <w:spacing w:val="-1"/>
        </w:rPr>
        <w:t>公司、京蓝沐禾巨鹿田田通农业供水有限公司、京蓝沐禾（中卫）灌溉服务有限公司、京蓝沐禾（赤峰市</w:t>
      </w:r>
      <w:r>
        <w:rPr>
          <w:spacing w:val="-83"/>
        </w:rPr>
        <w:t> </w:t>
      </w:r>
      <w:r>
        <w:rPr>
          <w:spacing w:val="-83"/>
        </w:rPr>
      </w:r>
      <w:r>
        <w:rPr>
          <w:spacing w:val="-1"/>
        </w:rPr>
        <w:t>松山区）农业供水有限公司、京蓝沐禾（东阿县）节水灌溉科技有限公司、京蓝沐禾（贺兰县）灌溉服务</w:t>
      </w:r>
      <w:r>
        <w:rPr>
          <w:spacing w:val="-85"/>
        </w:rPr>
        <w:t> </w:t>
      </w:r>
      <w:r>
        <w:rPr>
          <w:spacing w:val="-85"/>
        </w:rPr>
      </w:r>
      <w:r>
        <w:rPr>
          <w:spacing w:val="-1"/>
        </w:rPr>
        <w:t>有限公司、京蓝沐禾（丘北）节水灌溉有限责任公司、京蓝沐禾（宁城县）农业供水有限公司、汤阴京蓝</w:t>
      </w:r>
      <w:r>
        <w:rPr>
          <w:spacing w:val="-85"/>
        </w:rPr>
        <w:t> </w:t>
      </w:r>
      <w:r>
        <w:rPr>
          <w:spacing w:val="-85"/>
        </w:rPr>
      </w:r>
      <w:r>
        <w:rPr/>
        <w:t>建设有限公司和驻马店市京蓝北方建设工程有限公司。</w:t>
      </w:r>
    </w:p>
    <w:p>
      <w:pPr>
        <w:pStyle w:val="BodyText"/>
        <w:spacing w:line="240" w:lineRule="auto" w:before="132"/>
        <w:ind w:left="577" w:right="0"/>
        <w:jc w:val="left"/>
      </w:pPr>
      <w:r>
        <w:rPr/>
        <w:t>本期注销的子公司共计</w:t>
      </w:r>
      <w:r>
        <w:rPr>
          <w:rFonts w:ascii="Times New Roman" w:hAnsi="Times New Roman" w:cs="Times New Roman" w:eastAsia="Times New Roman" w:hint="default"/>
        </w:rPr>
        <w:t>2</w:t>
      </w:r>
      <w:r>
        <w:rPr/>
        <w:t>家，分别为：甘肃京蓝生态科技有限公司、内蒙古润禾节水工程设备有限公</w:t>
      </w:r>
    </w:p>
    <w:p>
      <w:pPr>
        <w:pStyle w:val="BodyText"/>
        <w:spacing w:line="240" w:lineRule="auto" w:before="21"/>
        <w:ind w:right="0"/>
        <w:jc w:val="left"/>
      </w:pPr>
      <w:r>
        <w:rPr/>
        <w:t>司。</w:t>
      </w:r>
    </w:p>
    <w:p>
      <w:pPr>
        <w:spacing w:line="240" w:lineRule="auto" w:before="2"/>
        <w:rPr>
          <w:rFonts w:ascii="宋体" w:hAnsi="宋体" w:cs="宋体" w:eastAsia="宋体" w:hint="default"/>
          <w:sz w:val="23"/>
          <w:szCs w:val="23"/>
        </w:rPr>
      </w:pPr>
    </w:p>
    <w:p>
      <w:pPr>
        <w:spacing w:line="487" w:lineRule="auto" w:before="35"/>
        <w:ind w:left="154" w:right="7692" w:firstLine="0"/>
        <w:jc w:val="left"/>
        <w:rPr>
          <w:rFonts w:ascii="宋体" w:hAnsi="宋体" w:cs="宋体" w:eastAsia="宋体" w:hint="default"/>
          <w:sz w:val="21"/>
          <w:szCs w:val="21"/>
        </w:rPr>
      </w:pPr>
      <w:bookmarkStart w:name="6、其他" w:id="416"/>
      <w:bookmarkEnd w:id="416"/>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17"/>
      <w:bookmarkEnd w:id="417"/>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18"/>
      <w:bookmarkEnd w:id="418"/>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3"/>
        <w:ind w:right="0"/>
        <w:jc w:val="left"/>
        <w:rPr>
          <w:b w:val="0"/>
          <w:bCs w:val="0"/>
        </w:rPr>
      </w:pPr>
      <w:bookmarkStart w:name="（1）企业集团的构成" w:id="419"/>
      <w:bookmarkEnd w:id="419"/>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京蓝科技集团有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23"/>
              <w:jc w:val="left"/>
              <w:rPr>
                <w:rFonts w:ascii="Times New Roman" w:hAnsi="Times New Roman" w:cs="Times New Roman" w:eastAsia="Times New Roman" w:hint="default"/>
                <w:sz w:val="18"/>
                <w:szCs w:val="18"/>
              </w:rPr>
            </w:pPr>
            <w:r>
              <w:rPr>
                <w:rFonts w:ascii="Times New Roman"/>
                <w:sz w:val="18"/>
              </w:rPr>
              <w:t>RMD10/FTOWE RABILLIONCT </w:t>
            </w:r>
            <w:r>
              <w:rPr>
                <w:rFonts w:ascii="Times New Roman"/>
                <w:spacing w:val="-3"/>
                <w:sz w:val="18"/>
              </w:rPr>
              <w:t>R1WANGKWON</w:t>
            </w:r>
            <w:r>
              <w:rPr>
                <w:rFonts w:ascii="Times New Roman"/>
                <w:spacing w:val="-40"/>
                <w:sz w:val="18"/>
              </w:rPr>
              <w:t> </w:t>
            </w:r>
            <w:r>
              <w:rPr>
                <w:rFonts w:ascii="Times New Roman"/>
                <w:spacing w:val="-40"/>
                <w:sz w:val="18"/>
              </w:rPr>
            </w:r>
            <w:r>
              <w:rPr>
                <w:rFonts w:ascii="Times New Roman"/>
                <w:sz w:val="18"/>
              </w:rPr>
              <w:t>GRDKOWLOON</w:t>
            </w:r>
            <w:r>
              <w:rPr>
                <w:rFonts w:ascii="Times New Roman"/>
                <w:w w:val="99"/>
                <w:sz w:val="18"/>
              </w:rPr>
              <w:t> </w:t>
            </w:r>
            <w:r>
              <w:rPr>
                <w:rFonts w:ascii="Times New Roman"/>
                <w:spacing w:val="-4"/>
                <w:sz w:val="18"/>
              </w:rPr>
              <w:t>BAYKL</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贸易、投资控股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京蓝云智物联网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北京市丰台区广 安路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511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71"/>
              <w:ind w:left="22" w:right="62"/>
              <w:jc w:val="both"/>
              <w:rPr>
                <w:rFonts w:ascii="宋体" w:hAnsi="宋体" w:cs="宋体" w:eastAsia="宋体" w:hint="default"/>
                <w:sz w:val="18"/>
                <w:szCs w:val="18"/>
              </w:rPr>
            </w:pPr>
            <w:r>
              <w:rPr>
                <w:rFonts w:ascii="宋体" w:hAnsi="宋体" w:cs="宋体" w:eastAsia="宋体" w:hint="default"/>
                <w:sz w:val="18"/>
                <w:szCs w:val="18"/>
              </w:rPr>
              <w:t>技术咨询、技术 </w:t>
            </w:r>
            <w:r>
              <w:rPr>
                <w:rFonts w:ascii="宋体" w:hAnsi="宋体" w:cs="宋体" w:eastAsia="宋体" w:hint="default"/>
                <w:spacing w:val="-6"/>
                <w:sz w:val="18"/>
                <w:szCs w:val="18"/>
              </w:rPr>
              <w:t>开发、技术转让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技术服务；数据</w:t>
            </w:r>
          </w:p>
        </w:tc>
        <w:tc>
          <w:tcPr>
            <w:tcW w:w="378" w:type="dxa"/>
            <w:tcBorders>
              <w:top w:val="single" w:sz="4" w:space="0" w:color="000000"/>
              <w:left w:val="single" w:sz="13" w:space="0" w:color="FFFFFF"/>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footerReference w:type="default" r:id="rId19"/>
          <w:pgSz w:w="11910" w:h="16840"/>
          <w:pgMar w:footer="979" w:header="747"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399994pt;margin-top:72.47998pt;width:74.05pt;height:345.3pt;mso-position-horizontal-relative:page;mso-position-vertical-relative:page;z-index:-1540696"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24.399994pt;margin-top:600.639954pt;width:74.05pt;height:162.8pt;mso-position-horizontal-relative:page;mso-position-vertical-relative:page;z-index:-1540672" type="#_x0000_t202" filled="false" stroked="false">
            <v:textbox inset="0,0,0,0">
              <w:txbxContent>
                <w:p>
                  <w:pPr>
                    <w:spacing w:before="14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17" w:hRule="exact"/>
        </w:trPr>
        <w:tc>
          <w:tcPr>
            <w:tcW w:w="1372"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处理；环境监测</w:t>
            </w:r>
          </w:p>
        </w:tc>
        <w:tc>
          <w:tcPr>
            <w:tcW w:w="1367" w:type="dxa"/>
            <w:vMerge w:val="restart"/>
            <w:tcBorders>
              <w:top w:val="single" w:sz="4" w:space="0" w:color="000000"/>
              <w:left w:val="single" w:sz="4" w:space="0" w:color="000000"/>
              <w:right w:val="single" w:sz="4" w:space="0" w:color="000000"/>
            </w:tcBorders>
          </w:tcPr>
          <w:p>
            <w:pPr>
              <w:pStyle w:val="TableParagraph"/>
              <w:spacing w:line="6905"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7"/>
                <w:sz w:val="20"/>
                <w:szCs w:val="20"/>
              </w:rPr>
              <w:pict>
                <v:group style="width:67.9pt;height:345.3pt;mso-position-horizontal-relative:char;mso-position-vertical-relative:line" coordorigin="0,0" coordsize="1358,6906">
                  <v:group style="position:absolute;left:0;top:0;width:1358;height:6906" coordorigin="0,0" coordsize="1358,6906">
                    <v:shape style="position:absolute;left:0;top:0;width:1358;height:6906" coordorigin="0,0" coordsize="1358,6906" path="m0,6905l1357,6905,1357,0,0,0,0,6905xe" filled="true" fillcolor="#ffffff" stroked="false">
                      <v:path arrowok="t"/>
                      <v:fill type="solid"/>
                    </v:shape>
                  </v:group>
                </v:group>
              </w:pict>
            </w:r>
            <w:r>
              <w:rPr>
                <w:rFonts w:ascii="Times New Roman" w:hAnsi="Times New Roman" w:cs="Times New Roman" w:eastAsia="Times New Roman" w:hint="default"/>
                <w:position w:val="-137"/>
                <w:sz w:val="20"/>
                <w:szCs w:val="20"/>
              </w:rPr>
            </w:r>
          </w:p>
        </w:tc>
        <w:tc>
          <w:tcPr>
            <w:tcW w:w="1367"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计算机系统服</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务、水污染治理</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电子产品、通信</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设备、机械设备</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计算机软硬件及</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辅助设备、建筑</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材料（不从事实</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体店铺经营</w:t>
            </w:r>
            <w:r>
              <w:rPr>
                <w:rFonts w:ascii="宋体" w:hAnsi="宋体" w:cs="宋体" w:eastAsia="宋体" w:hint="default"/>
                <w:spacing w:val="-90"/>
                <w:sz w:val="18"/>
                <w:szCs w:val="18"/>
              </w:rPr>
              <w:t>）</w:t>
            </w:r>
            <w:r>
              <w:rPr>
                <w:rFonts w:ascii="宋体" w:hAnsi="宋体" w:cs="宋体" w:eastAsia="宋体" w:hint="default"/>
                <w:spacing w:val="-40"/>
                <w:sz w:val="18"/>
                <w:szCs w:val="18"/>
              </w:rPr>
              <w:t>；</w:t>
            </w:r>
            <w:r>
              <w:rPr>
                <w:rFonts w:ascii="宋体" w:hAnsi="宋体" w:cs="宋体" w:eastAsia="宋体" w:hint="default"/>
                <w:sz w:val="18"/>
                <w:szCs w:val="18"/>
              </w:rPr>
              <w:t>园</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林景观设计</w:t>
            </w:r>
            <w:r>
              <w:rPr>
                <w:rFonts w:ascii="宋体" w:hAnsi="宋体" w:cs="宋体" w:eastAsia="宋体" w:hint="default"/>
                <w:spacing w:val="-129"/>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企</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业依法自主选择</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经营项目，开展</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经营活动；依法</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须经批准的项</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目，经相关部门</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批准后依据批准</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的内容开展经营</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活动；不得从事</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本市产业政策禁</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3"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止和限制类项目</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57" w:hRule="exact"/>
        </w:trPr>
        <w:tc>
          <w:tcPr>
            <w:tcW w:w="1372"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的经营活动）</w:t>
            </w: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计算机技术服</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25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4"/>
                <w:sz w:val="20"/>
                <w:szCs w:val="20"/>
              </w:rPr>
              <w:pict>
                <v:group style="width:67.9pt;height:162.8pt;mso-position-horizontal-relative:char;mso-position-vertical-relative:line" coordorigin="0,0" coordsize="1358,3256">
                  <v:group style="position:absolute;left:0;top:0;width:1358;height:3256" coordorigin="0,0" coordsize="1358,3256">
                    <v:shape style="position:absolute;left:0;top:0;width:1358;height:3256" coordorigin="0,0" coordsize="1358,3256" path="m0,3256l1357,3256,1357,0,0,0,0,3256xe" filled="true" fillcolor="#ffffff" stroked="false">
                      <v:path arrowok="t"/>
                      <v:fill type="solid"/>
                    </v:shape>
                  </v:group>
                </v:group>
              </w:pict>
            </w:r>
            <w:r>
              <w:rPr>
                <w:rFonts w:ascii="Times New Roman" w:hAnsi="Times New Roman" w:cs="Times New Roman" w:eastAsia="Times New Roman" w:hint="default"/>
                <w:position w:val="-64"/>
                <w:sz w:val="20"/>
                <w:szCs w:val="20"/>
              </w:rPr>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务、技术咨询、</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技术转让；软件</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开发；数据处理</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与存库服务；租</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赁储存及网络设</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备；网页设计；</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计算机系统服</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河北省廊坊市固</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务、销售计算机</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安县永定路西</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软硬件及外围设</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77"/>
              <w:jc w:val="left"/>
              <w:rPr>
                <w:rFonts w:ascii="宋体" w:hAnsi="宋体" w:cs="宋体" w:eastAsia="宋体" w:hint="default"/>
                <w:sz w:val="18"/>
                <w:szCs w:val="18"/>
              </w:rPr>
            </w:pPr>
            <w:r>
              <w:rPr>
                <w:rFonts w:ascii="宋体" w:hAnsi="宋体" w:cs="宋体" w:eastAsia="宋体" w:hint="default"/>
                <w:sz w:val="18"/>
                <w:szCs w:val="18"/>
              </w:rPr>
              <w:t>固安京蓝云科技 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廊坊市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28"/>
              <w:jc w:val="left"/>
              <w:rPr>
                <w:rFonts w:ascii="Times New Roman" w:hAnsi="Times New Roman" w:cs="Times New Roman" w:eastAsia="Times New Roman" w:hint="default"/>
                <w:sz w:val="18"/>
                <w:szCs w:val="18"/>
              </w:rPr>
            </w:pPr>
            <w:r>
              <w:rPr>
                <w:rFonts w:ascii="宋体" w:hAnsi="宋体" w:cs="宋体" w:eastAsia="宋体" w:hint="default"/>
                <w:sz w:val="18"/>
                <w:szCs w:val="18"/>
              </w:rPr>
              <w:t>侧、新昌街北侧 苹果公寓第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0001</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72"/>
              <w:jc w:val="left"/>
              <w:rPr>
                <w:rFonts w:ascii="宋体" w:hAnsi="宋体" w:cs="宋体" w:eastAsia="宋体" w:hint="default"/>
                <w:sz w:val="18"/>
                <w:szCs w:val="18"/>
              </w:rPr>
            </w:pPr>
            <w:r>
              <w:rPr>
                <w:rFonts w:ascii="宋体" w:hAnsi="宋体" w:cs="宋体" w:eastAsia="宋体" w:hint="default"/>
                <w:sz w:val="18"/>
                <w:szCs w:val="18"/>
              </w:rPr>
              <w:t>备、网络设备、 电子产品、通讯</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0813</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pacing w:val="-6"/>
                <w:sz w:val="18"/>
                <w:szCs w:val="18"/>
              </w:rPr>
              <w:t>产品、办公设备</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2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日用品；通讯工</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程、计算机系统</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工程设计与施</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工；节水灌溉成</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套设备研发、生</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产、销售；节水</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灌溉工程设计、</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施工、咨询；温</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室大棚施工、安</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20"/>
          <w:pgSz w:w="11910" w:h="16840"/>
          <w:pgMar w:footer="979" w:header="747" w:top="1060" w:bottom="1160" w:left="980" w:right="0"/>
          <w:pgNumType w:start="201"/>
        </w:sectPr>
      </w:pPr>
    </w:p>
    <w:p>
      <w:pPr>
        <w:spacing w:line="240" w:lineRule="auto" w:before="0"/>
        <w:rPr>
          <w:rFonts w:ascii="Times New Roman" w:hAnsi="Times New Roman" w:cs="Times New Roman" w:eastAsia="Times New Roman" w:hint="default"/>
          <w:sz w:val="20"/>
          <w:szCs w:val="20"/>
        </w:rPr>
      </w:pPr>
      <w:r>
        <w:rPr/>
        <w:pict>
          <v:shape style="position:absolute;margin-left:324.399994pt;margin-top:72.47998pt;width:74.05pt;height:360.9pt;mso-position-horizontal-relative:page;mso-position-vertical-relative:page;z-index:-15406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24.399994pt;margin-top:433.839996pt;width:74.05pt;height:109.2pt;mso-position-horizontal-relative:page;mso-position-vertical-relative:page;z-index:-15406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24.399994pt;margin-top:672.339966pt;width:74.05pt;height:38pt;mso-position-horizontal-relative:page;mso-position-vertical-relative:page;z-index:-15406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30.579987pt;margin-top:72.47998pt;width:67.9pt;height:470.6pt;mso-position-horizontal-relative:page;mso-position-vertical-relative:page;z-index:-1540576" coordorigin="6612,1450" coordsize="1358,9412">
            <v:group style="position:absolute;left:6612;top:1450;width:1358;height:7218" coordorigin="6612,1450" coordsize="1358,7218">
              <v:shape style="position:absolute;left:6612;top:1450;width:1358;height:7218" coordorigin="6612,1450" coordsize="1358,7218" path="m6612,8667l7969,8667,7969,1450,6612,1450,6612,8667xe" filled="true" fillcolor="#ffffff" stroked="false">
                <v:path arrowok="t"/>
                <v:fill type="solid"/>
              </v:shape>
            </v:group>
            <v:group style="position:absolute;left:6612;top:8677;width:1358;height:2184" coordorigin="6612,8677" coordsize="1358,2184">
              <v:shape style="position:absolute;left:6612;top:8677;width:1358;height:2184" coordorigin="6612,8677" coordsize="1358,2184" path="m6612,10861l7969,10861,7969,8677,6612,8677,6612,10861xe" filled="true" fillcolor="#ffffff" stroked="false">
                <v:path arrowok="t"/>
                <v:fill type="solid"/>
              </v:shape>
            </v:group>
            <w10:wrap type="none"/>
          </v:group>
        </w:pict>
      </w:r>
      <w:r>
        <w:rPr/>
        <w:pict>
          <v:group style="position:absolute;margin-left:330.579987pt;margin-top:672.339966pt;width:67.9pt;height:38pt;mso-position-horizontal-relative:page;mso-position-vertical-relative:page;z-index:-1540552" coordorigin="6612,13447" coordsize="1358,760">
            <v:shape style="position:absolute;left:6612;top:13447;width:1358;height:760" coordorigin="6612,13447" coordsize="1358,760" path="m6612,14207l7969,14207,7969,13447,6612,13447,6612,1420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317" w:hRule="exact"/>
        </w:trPr>
        <w:tc>
          <w:tcPr>
            <w:tcW w:w="1372"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装；农业技术推</w:t>
            </w:r>
          </w:p>
        </w:tc>
        <w:tc>
          <w:tcPr>
            <w:tcW w:w="1367" w:type="dxa"/>
            <w:gridSpan w:val="2"/>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广服务；农药、</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肥料、农用机械</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农具、化工产品</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（不含危险化学</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w:t>
            </w:r>
            <w:r>
              <w:rPr>
                <w:rFonts w:ascii="宋体" w:hAnsi="宋体" w:cs="宋体" w:eastAsia="宋体" w:hint="default"/>
                <w:spacing w:val="-90"/>
                <w:sz w:val="18"/>
                <w:szCs w:val="18"/>
              </w:rPr>
              <w:t>）</w:t>
            </w:r>
            <w:r>
              <w:rPr>
                <w:rFonts w:ascii="宋体" w:hAnsi="宋体" w:cs="宋体" w:eastAsia="宋体" w:hint="default"/>
                <w:spacing w:val="-39"/>
                <w:sz w:val="18"/>
                <w:szCs w:val="18"/>
              </w:rPr>
              <w:t>、</w:t>
            </w:r>
            <w:r>
              <w:rPr>
                <w:rFonts w:ascii="宋体" w:hAnsi="宋体" w:cs="宋体" w:eastAsia="宋体" w:hint="default"/>
                <w:sz w:val="18"/>
                <w:szCs w:val="18"/>
              </w:rPr>
              <w:t>机械设</w:t>
            </w:r>
            <w:r>
              <w:rPr>
                <w:rFonts w:ascii="宋体" w:hAnsi="宋体" w:cs="宋体" w:eastAsia="宋体" w:hint="default"/>
                <w:spacing w:val="-2"/>
                <w:sz w:val="18"/>
                <w:szCs w:val="18"/>
              </w:rPr>
              <w:t>备</w:t>
            </w:r>
            <w:r>
              <w:rPr>
                <w:rFonts w:ascii="宋体" w:hAnsi="宋体" w:cs="宋体" w:eastAsia="宋体" w:hint="default"/>
                <w:sz w:val="18"/>
                <w:szCs w:val="18"/>
              </w:rPr>
              <w:t>销</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售；灌溉服务；</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土壤检测服务；</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农业技术开发、</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技术推广、技术</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服务、技术咨询</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票务代理；设计</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制作代理及发布</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广告；展示展览</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服务；电子商务</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服务；会议服务</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技术进出口；货</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物进出口、代理</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进出口（依法须</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经批准的项目，</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经相关部门批准</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3"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后方可开展经营</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57" w:hRule="exact"/>
        </w:trPr>
        <w:tc>
          <w:tcPr>
            <w:tcW w:w="1372"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活动）</w:t>
            </w:r>
          </w:p>
        </w:tc>
        <w:tc>
          <w:tcPr>
            <w:tcW w:w="1367" w:type="dxa"/>
            <w:gridSpan w:val="2"/>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技术开发、技术</w:t>
            </w:r>
          </w:p>
        </w:tc>
        <w:tc>
          <w:tcPr>
            <w:tcW w:w="378" w:type="dxa"/>
            <w:vMerge w:val="restart"/>
            <w:tcBorders>
              <w:top w:val="single" w:sz="4" w:space="0" w:color="000000"/>
              <w:left w:val="single" w:sz="4" w:space="0" w:color="000000"/>
              <w:right w:val="nil" w:sz="6" w:space="0" w:color="auto"/>
            </w:tcBorders>
          </w:tcPr>
          <w:p>
            <w:pPr/>
          </w:p>
        </w:tc>
        <w:tc>
          <w:tcPr>
            <w:tcW w:w="989" w:type="dxa"/>
            <w:tcBorders>
              <w:top w:val="single" w:sz="4" w:space="0" w:color="000000"/>
              <w:left w:val="nil" w:sz="6" w:space="0" w:color="auto"/>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转让、技术咨询</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技术推广、技术</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w:t>
            </w:r>
            <w:r>
              <w:rPr>
                <w:rFonts w:ascii="宋体" w:hAnsi="宋体" w:cs="宋体" w:eastAsia="宋体" w:hint="default"/>
                <w:spacing w:val="-129"/>
                <w:sz w:val="18"/>
                <w:szCs w:val="18"/>
              </w:rPr>
              <w:t>。</w:t>
            </w:r>
            <w:r>
              <w:rPr>
                <w:rFonts w:ascii="宋体" w:hAnsi="宋体" w:cs="宋体" w:eastAsia="宋体" w:hint="default"/>
                <w:sz w:val="18"/>
                <w:szCs w:val="18"/>
              </w:rPr>
              <w:t>（企业</w:t>
            </w:r>
            <w:r>
              <w:rPr>
                <w:rFonts w:ascii="宋体" w:hAnsi="宋体" w:cs="宋体" w:eastAsia="宋体" w:hint="default"/>
                <w:spacing w:val="-2"/>
                <w:sz w:val="18"/>
                <w:szCs w:val="18"/>
              </w:rPr>
              <w:t>依</w:t>
            </w:r>
            <w:r>
              <w:rPr>
                <w:rFonts w:ascii="宋体" w:hAnsi="宋体" w:cs="宋体" w:eastAsia="宋体" w:hint="default"/>
                <w:sz w:val="18"/>
                <w:szCs w:val="18"/>
              </w:rPr>
              <w:t>法</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自主选择经营项</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目，开展经营活</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京蓝时代科技</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北京市朝阳区望</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动；依法须经批</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（北京）有限公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京东园七区</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准的项目，经相</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关部门批准后依</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批准的内容开展</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经营活动；不得</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从事本市产业政</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策禁止和限制类</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项目的经营活</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78" w:type="dxa"/>
            <w:vMerge/>
            <w:tcBorders>
              <w:left w:val="single" w:sz="4" w:space="0" w:color="000000"/>
              <w:bottom w:val="single" w:sz="4" w:space="0" w:color="000000"/>
              <w:right w:val="nil" w:sz="6" w:space="0" w:color="auto"/>
            </w:tcBorders>
          </w:tcPr>
          <w:p>
            <w:pPr/>
          </w:p>
        </w:tc>
        <w:tc>
          <w:tcPr>
            <w:tcW w:w="989" w:type="dxa"/>
            <w:tcBorders>
              <w:top w:val="nil" w:sz="6" w:space="0" w:color="auto"/>
              <w:left w:val="nil" w:sz="6" w:space="0" w:color="auto"/>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投资管理；资产</w:t>
            </w:r>
          </w:p>
        </w:tc>
        <w:tc>
          <w:tcPr>
            <w:tcW w:w="378" w:type="dxa"/>
            <w:vMerge w:val="restart"/>
            <w:tcBorders>
              <w:top w:val="single" w:sz="4" w:space="0" w:color="000000"/>
              <w:left w:val="single" w:sz="4" w:space="0" w:color="000000"/>
              <w:right w:val="nil" w:sz="6" w:space="0" w:color="auto"/>
            </w:tcBorders>
          </w:tcPr>
          <w:p>
            <w:pPr/>
          </w:p>
        </w:tc>
        <w:tc>
          <w:tcPr>
            <w:tcW w:w="989" w:type="dxa"/>
            <w:tcBorders>
              <w:top w:val="single" w:sz="4" w:space="0" w:color="000000"/>
              <w:left w:val="nil" w:sz="6" w:space="0" w:color="auto"/>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京蓝有道创业投 资有限公司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2" w:right="72"/>
              <w:jc w:val="left"/>
              <w:rPr>
                <w:rFonts w:ascii="宋体" w:hAnsi="宋体" w:cs="宋体" w:eastAsia="宋体" w:hint="default"/>
                <w:sz w:val="18"/>
                <w:szCs w:val="18"/>
              </w:rPr>
            </w:pPr>
            <w:r>
              <w:rPr>
                <w:rFonts w:ascii="宋体" w:hAnsi="宋体" w:cs="宋体" w:eastAsia="宋体" w:hint="default"/>
                <w:sz w:val="18"/>
                <w:szCs w:val="18"/>
              </w:rPr>
              <w:t>北京市丰台区广 安路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2" w:right="-7"/>
              <w:jc w:val="left"/>
              <w:rPr>
                <w:rFonts w:ascii="宋体" w:hAnsi="宋体" w:cs="宋体" w:eastAsia="宋体" w:hint="default"/>
                <w:sz w:val="18"/>
                <w:szCs w:val="18"/>
              </w:rPr>
            </w:pPr>
            <w:r>
              <w:rPr>
                <w:rFonts w:ascii="宋体" w:hAnsi="宋体" w:cs="宋体" w:eastAsia="宋体" w:hint="default"/>
                <w:spacing w:val="-6"/>
                <w:sz w:val="18"/>
                <w:szCs w:val="18"/>
              </w:rPr>
              <w:t>管理；投资咨询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w w:val="100"/>
                <w:sz w:val="18"/>
                <w:szCs w:val="18"/>
              </w:rPr>
              <w:t>项目投资。（</w:t>
            </w:r>
            <w:r>
              <w:rPr>
                <w:rFonts w:ascii="Times New Roman" w:hAnsi="Times New Roman" w:cs="Times New Roman" w:eastAsia="Times New Roman" w:hint="default"/>
                <w:spacing w:val="-10"/>
                <w:w w:val="100"/>
                <w:sz w:val="18"/>
                <w:szCs w:val="18"/>
              </w:rPr>
              <w:t>“</w:t>
            </w:r>
            <w:r>
              <w:rPr>
                <w:rFonts w:ascii="Times New Roman" w:hAnsi="Times New Roman" w:cs="Times New Roman" w:eastAsia="Times New Roman" w:hint="default"/>
                <w:spacing w:val="-10"/>
                <w:w w:val="100"/>
                <w:sz w:val="18"/>
                <w:szCs w:val="18"/>
              </w:rPr>
              <w:t>1</w:t>
            </w:r>
            <w:r>
              <w:rPr>
                <w:rFonts w:ascii="宋体" w:hAnsi="宋体" w:cs="宋体" w:eastAsia="宋体" w:hint="default"/>
                <w:spacing w:val="-10"/>
                <w:w w:val="100"/>
                <w:sz w:val="18"/>
                <w:szCs w:val="18"/>
              </w:rPr>
              <w:t>、</w:t>
            </w:r>
            <w:r>
              <w:rPr>
                <w:rFonts w:ascii="宋体" w:hAnsi="宋体" w:cs="宋体" w:eastAsia="宋体" w:hint="default"/>
                <w:sz w:val="18"/>
                <w:szCs w:val="18"/>
              </w:rPr>
              <w:t> 未经有关部门批 准，不得以公开</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18"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方式募集资金；</w:t>
            </w:r>
          </w:p>
        </w:tc>
        <w:tc>
          <w:tcPr>
            <w:tcW w:w="378" w:type="dxa"/>
            <w:vMerge/>
            <w:tcBorders>
              <w:left w:val="single" w:sz="4" w:space="0" w:color="000000"/>
              <w:bottom w:val="single" w:sz="4" w:space="0" w:color="000000"/>
              <w:right w:val="nil" w:sz="6" w:space="0" w:color="auto"/>
            </w:tcBorders>
          </w:tcPr>
          <w:p>
            <w:pPr/>
          </w:p>
        </w:tc>
        <w:tc>
          <w:tcPr>
            <w:tcW w:w="989" w:type="dxa"/>
            <w:tcBorders>
              <w:top w:val="nil" w:sz="6" w:space="0" w:color="auto"/>
              <w:left w:val="nil" w:sz="6" w:space="0" w:color="auto"/>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15.459991pt;margin-top:418.219971pt;width:83pt;height:162.8pt;mso-position-horizontal-relative:page;mso-position-vertical-relative:page;z-index:-15405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务；</w:t>
                  </w:r>
                </w:p>
              </w:txbxContent>
            </v:textbox>
            <w10:wrap type="none"/>
          </v:shape>
        </w:pict>
      </w:r>
      <w:r>
        <w:rPr/>
        <w:pict>
          <v:group style="position:absolute;margin-left:330.579987pt;margin-top:418.219971pt;width:67.9pt;height:162.8pt;mso-position-horizontal-relative:page;mso-position-vertical-relative:page;z-index:-1540504" coordorigin="6612,8364" coordsize="1358,3256">
            <v:shape style="position:absolute;left:6612;top:8364;width:1358;height:3256" coordorigin="6612,8364" coordsize="1358,3256" path="m6612,11620l7969,11620,7969,8364,6612,8364,6612,1162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377"/>
        <w:gridCol w:w="989"/>
        <w:gridCol w:w="1367"/>
        <w:gridCol w:w="1366"/>
      </w:tblGrid>
      <w:tr>
        <w:trPr>
          <w:trHeight w:val="6915"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3"/>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、不得公开开展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证券类产品和金 融衍生品交易活 </w:t>
            </w:r>
            <w:r>
              <w:rPr>
                <w:rFonts w:ascii="宋体" w:hAnsi="宋体" w:cs="宋体" w:eastAsia="宋体" w:hint="default"/>
                <w:spacing w:val="-6"/>
                <w:sz w:val="18"/>
                <w:szCs w:val="18"/>
              </w:rPr>
              <w:t>动；</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、不得发放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贷款；</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、不得对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所投资企业以外 的其他企业提供 </w:t>
            </w:r>
            <w:r>
              <w:rPr>
                <w:rFonts w:ascii="宋体" w:hAnsi="宋体" w:cs="宋体" w:eastAsia="宋体" w:hint="default"/>
                <w:spacing w:val="-6"/>
                <w:sz w:val="18"/>
                <w:szCs w:val="18"/>
              </w:rPr>
              <w:t>担保；</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、不得向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投资者承诺投资 本金不受损失或 者承诺最低收益 </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；企业依法自主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选择经营项目， 开展经营活动； 依法须经批准的 项目，经相关部 门批准后依批准 的内容开展经营 活动；不得从事 本市产业政策禁 止和限制类项目 </w:t>
            </w:r>
            <w:r>
              <w:rPr>
                <w:rFonts w:ascii="宋体" w:hAnsi="宋体" w:cs="宋体" w:eastAsia="宋体" w:hint="default"/>
                <w:spacing w:val="-13"/>
                <w:sz w:val="18"/>
                <w:szCs w:val="18"/>
              </w:rPr>
              <w:t>的经营活动。）</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69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京蓝若水产业投 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北京市丰台区广 安路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项目投资；企业 管理服务；投资 </w:t>
            </w:r>
            <w:r>
              <w:rPr>
                <w:rFonts w:ascii="宋体" w:hAnsi="宋体" w:cs="宋体" w:eastAsia="宋体" w:hint="default"/>
                <w:spacing w:val="-7"/>
                <w:sz w:val="18"/>
                <w:szCs w:val="18"/>
              </w:rPr>
              <w:t>管理；劳务服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技术咨询服务。</w:t>
            </w:r>
          </w:p>
          <w:p>
            <w:pPr>
              <w:pStyle w:val="TableParagraph"/>
              <w:spacing w:line="312"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、未经有关 部门批准，不得 以公开方式募集 </w:t>
            </w:r>
            <w:r>
              <w:rPr>
                <w:rFonts w:ascii="宋体" w:hAnsi="宋体" w:cs="宋体" w:eastAsia="宋体" w:hint="default"/>
                <w:spacing w:val="-6"/>
                <w:sz w:val="18"/>
                <w:szCs w:val="18"/>
              </w:rPr>
              <w:t>资金；</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、不得公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开开展证券类产 品和金融衍生品 </w:t>
            </w:r>
            <w:r>
              <w:rPr>
                <w:rFonts w:ascii="宋体" w:hAnsi="宋体" w:cs="宋体" w:eastAsia="宋体" w:hint="default"/>
                <w:spacing w:val="-8"/>
                <w:sz w:val="18"/>
                <w:szCs w:val="18"/>
              </w:rPr>
              <w:t>交易活动；</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、不</w:t>
            </w:r>
            <w:r>
              <w:rPr>
                <w:rFonts w:ascii="宋体" w:hAnsi="宋体" w:cs="宋体" w:eastAsia="宋体" w:hint="default"/>
                <w:spacing w:val="-88"/>
                <w:sz w:val="18"/>
                <w:szCs w:val="18"/>
              </w:rPr>
              <w:t> </w:t>
            </w:r>
            <w:r>
              <w:rPr>
                <w:rFonts w:ascii="宋体" w:hAnsi="宋体" w:cs="宋体" w:eastAsia="宋体" w:hint="default"/>
                <w:sz w:val="18"/>
                <w:szCs w:val="18"/>
              </w:rPr>
              <w:t>得发放贷款；</w:t>
            </w:r>
            <w:r>
              <w:rPr>
                <w:rFonts w:ascii="Times New Roman" w:hAnsi="Times New Roman" w:cs="Times New Roman" w:eastAsia="Times New Roman" w:hint="default"/>
                <w:sz w:val="18"/>
                <w:szCs w:val="18"/>
              </w:rPr>
              <w:t>4</w:t>
            </w:r>
            <w:r>
              <w:rPr>
                <w:rFonts w:ascii="宋体" w:hAnsi="宋体" w:cs="宋体" w:eastAsia="宋体" w:hint="default"/>
                <w:sz w:val="18"/>
                <w:szCs w:val="18"/>
              </w:rPr>
              <w:t>、 不得对所投资企 业以外的其他企 业提供担保；</w:t>
            </w:r>
            <w:r>
              <w:rPr>
                <w:rFonts w:ascii="Times New Roman" w:hAnsi="Times New Roman" w:cs="Times New Roman" w:eastAsia="Times New Roman" w:hint="default"/>
                <w:sz w:val="18"/>
                <w:szCs w:val="18"/>
              </w:rPr>
              <w:t>5</w:t>
            </w:r>
            <w:r>
              <w:rPr>
                <w:rFonts w:ascii="宋体" w:hAnsi="宋体" w:cs="宋体" w:eastAsia="宋体" w:hint="default"/>
                <w:sz w:val="18"/>
                <w:szCs w:val="18"/>
              </w:rPr>
              <w:t>、 不得向投资者承 诺投资本金不受 损失或者承诺最 </w:t>
            </w:r>
            <w:r>
              <w:rPr>
                <w:rFonts w:ascii="宋体" w:hAnsi="宋体" w:cs="宋体" w:eastAsia="宋体" w:hint="default"/>
                <w:spacing w:val="-4"/>
                <w:sz w:val="18"/>
                <w:szCs w:val="18"/>
              </w:rPr>
              <w:t>低收益</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；企业依</w:t>
            </w:r>
            <w:r>
              <w:rPr>
                <w:rFonts w:ascii="宋体" w:hAnsi="宋体" w:cs="宋体" w:eastAsia="宋体" w:hint="default"/>
                <w:sz w:val="18"/>
                <w:szCs w:val="18"/>
              </w:rPr>
              <w:t> 法自主选择经营 项目，开展经营 活动；依法须经</w:t>
            </w:r>
          </w:p>
        </w:tc>
        <w:tc>
          <w:tcPr>
            <w:tcW w:w="377" w:type="dxa"/>
            <w:tcBorders>
              <w:top w:val="single" w:sz="4" w:space="0" w:color="000000"/>
              <w:left w:val="single" w:sz="9" w:space="0" w:color="FFFFFF"/>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399994pt;margin-top:199.819977pt;width:74.05pt;height:93.6pt;mso-position-horizontal-relative:page;mso-position-vertical-relative:page;z-index:-1540480"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24.399994pt;margin-top:407.119995pt;width:74.05pt;height:163.85pt;mso-position-horizontal-relative:page;mso-position-vertical-relative:page;z-index:-15404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30.579987pt;margin-top:199.819977pt;width:67.9pt;height:93.6pt;mso-position-horizontal-relative:page;mso-position-vertical-relative:page;z-index:-1540432" coordorigin="6612,3996" coordsize="1358,1872">
            <v:shape style="position:absolute;left:6612;top:3996;width:1358;height:1872" coordorigin="6612,3996" coordsize="1358,1872" path="m6612,5868l7969,5868,7969,3996,6612,3996,6612,5868xe" filled="true" fillcolor="#ffffff" stroked="false">
              <v:path arrowok="t"/>
              <v:fill type="solid"/>
            </v:shape>
            <w10:wrap type="none"/>
          </v:group>
        </w:pict>
      </w:r>
      <w:r>
        <w:rPr/>
        <w:pict>
          <v:group style="position:absolute;margin-left:330.579987pt;margin-top:407.119995pt;width:67.9pt;height:163.85pt;mso-position-horizontal-relative:page;mso-position-vertical-relative:page;z-index:-1540408" coordorigin="6612,8142" coordsize="1358,3277">
            <v:shape style="position:absolute;left:6612;top:8142;width:1358;height:3277" coordorigin="6612,8142" coordsize="1358,3277" path="m6612,11419l7969,11419,7969,8142,6612,8142,6612,1141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2547"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批准的项目，经 相关部门批准后 依批准的内容开 展经营活动；不 得从事本市产业 政策禁止和限制 类项目的经营活 </w:t>
            </w:r>
            <w:r>
              <w:rPr>
                <w:rFonts w:ascii="宋体" w:hAnsi="宋体" w:cs="宋体" w:eastAsia="宋体" w:hint="default"/>
                <w:spacing w:val="-30"/>
                <w:sz w:val="18"/>
                <w:szCs w:val="18"/>
              </w:rPr>
              <w:t>动。）</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14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77"/>
              <w:jc w:val="left"/>
              <w:rPr>
                <w:rFonts w:ascii="宋体" w:hAnsi="宋体" w:cs="宋体" w:eastAsia="宋体" w:hint="default"/>
                <w:sz w:val="18"/>
                <w:szCs w:val="18"/>
              </w:rPr>
            </w:pPr>
            <w:r>
              <w:rPr>
                <w:rFonts w:ascii="宋体" w:hAnsi="宋体" w:cs="宋体" w:eastAsia="宋体" w:hint="default"/>
                <w:sz w:val="18"/>
                <w:szCs w:val="18"/>
              </w:rPr>
              <w:t>浙江京蓝得韬投 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上城区甘水巷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6"/>
                <w:sz w:val="18"/>
                <w:szCs w:val="18"/>
              </w:rPr>
              <w:t>服务：实业投资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7"/>
                <w:sz w:val="18"/>
                <w:szCs w:val="18"/>
              </w:rPr>
              <w:t>投资管理。（未经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金融等监管部门 批准，不得从事 向公众融资存 款、融资担保、 代客理财等金融 </w:t>
            </w:r>
            <w:r>
              <w:rPr>
                <w:rFonts w:ascii="宋体" w:hAnsi="宋体" w:cs="宋体" w:eastAsia="宋体" w:hint="default"/>
                <w:spacing w:val="-17"/>
                <w:sz w:val="18"/>
                <w:szCs w:val="18"/>
              </w:rPr>
              <w:t>服务），企业管理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咨询（依法须经 批准的项目，经 相关部门批准后 方可开展经营活 动）</w:t>
            </w:r>
          </w:p>
        </w:tc>
        <w:tc>
          <w:tcPr>
            <w:tcW w:w="378"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95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77"/>
              <w:jc w:val="both"/>
              <w:rPr>
                <w:rFonts w:ascii="宋体" w:hAnsi="宋体" w:cs="宋体" w:eastAsia="宋体" w:hint="default"/>
                <w:sz w:val="18"/>
                <w:szCs w:val="18"/>
              </w:rPr>
            </w:pPr>
            <w:r>
              <w:rPr>
                <w:rFonts w:ascii="宋体" w:hAnsi="宋体" w:cs="宋体" w:eastAsia="宋体" w:hint="default"/>
                <w:sz w:val="18"/>
                <w:szCs w:val="18"/>
              </w:rPr>
              <w:t>京蓝天拓航空应 用技术（北京）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72"/>
              <w:jc w:val="left"/>
              <w:rPr>
                <w:rFonts w:ascii="宋体" w:hAnsi="宋体" w:cs="宋体" w:eastAsia="宋体" w:hint="default"/>
                <w:sz w:val="18"/>
                <w:szCs w:val="18"/>
              </w:rPr>
            </w:pPr>
            <w:r>
              <w:rPr>
                <w:rFonts w:ascii="宋体" w:hAnsi="宋体" w:cs="宋体" w:eastAsia="宋体" w:hint="default"/>
                <w:sz w:val="18"/>
                <w:szCs w:val="18"/>
              </w:rPr>
              <w:t>北京市丰台区广 安路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技术开发、技术 </w:t>
            </w:r>
            <w:r>
              <w:rPr>
                <w:rFonts w:ascii="宋体" w:hAnsi="宋体" w:cs="宋体" w:eastAsia="宋体" w:hint="default"/>
                <w:spacing w:val="-6"/>
                <w:sz w:val="18"/>
                <w:szCs w:val="18"/>
              </w:rPr>
              <w:t>服务、技术推广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技术转让、技术 咨询；销售电子 </w:t>
            </w:r>
            <w:r>
              <w:rPr>
                <w:rFonts w:ascii="宋体" w:hAnsi="宋体" w:cs="宋体" w:eastAsia="宋体" w:hint="default"/>
                <w:spacing w:val="-6"/>
                <w:sz w:val="18"/>
                <w:szCs w:val="18"/>
              </w:rPr>
              <w:t>产品、仪器仪表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金属材料、五金 交点（不在实体 </w:t>
            </w:r>
            <w:r>
              <w:rPr>
                <w:rFonts w:ascii="宋体" w:hAnsi="宋体" w:cs="宋体" w:eastAsia="宋体" w:hint="default"/>
                <w:spacing w:val="-17"/>
                <w:sz w:val="18"/>
                <w:szCs w:val="18"/>
              </w:rPr>
              <w:t>店铺经营）、机械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设备、模型；机 械设备租赁；应 </w:t>
            </w:r>
            <w:r>
              <w:rPr>
                <w:rFonts w:ascii="宋体" w:hAnsi="宋体" w:cs="宋体" w:eastAsia="宋体" w:hint="default"/>
                <w:spacing w:val="-17"/>
                <w:sz w:val="18"/>
                <w:szCs w:val="18"/>
              </w:rPr>
              <w:t>用软件服务。（企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业依法自主选择 经营项目，开展 经营活动；依法 须经批准的项 目，经相关部门 批准后依批准的 内容开展经营活 动；不得从事本 市产业政策禁止 和限制类项目的 </w:t>
            </w:r>
            <w:r>
              <w:rPr>
                <w:rFonts w:ascii="宋体" w:hAnsi="宋体" w:cs="宋体" w:eastAsia="宋体" w:hint="default"/>
                <w:spacing w:val="-15"/>
                <w:sz w:val="18"/>
                <w:szCs w:val="18"/>
              </w:rPr>
              <w:t>经营活动。）</w:t>
            </w:r>
          </w:p>
        </w:tc>
        <w:tc>
          <w:tcPr>
            <w:tcW w:w="378"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399994pt;margin-top:72.47998pt;width:74.05pt;height:148.25pt;mso-position-horizontal-relative:page;mso-position-vertical-relative:page;z-index:-15403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24.399994pt;margin-top:388.999969pt;width:74.05pt;height:178.5pt;mso-position-horizontal-relative:page;mso-position-vertical-relative:page;z-index:-15403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24.399994pt;margin-top:587.019958pt;width:74.05pt;height:178.5pt;mso-position-horizontal-relative:page;mso-position-vertical-relative:page;z-index:-15403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30.579987pt;margin-top:72.47998pt;width:67.9pt;height:148.25pt;mso-position-horizontal-relative:page;mso-position-vertical-relative:page;z-index:-1540312" coordorigin="6612,1450" coordsize="1358,2965">
            <v:shape style="position:absolute;left:6612;top:1450;width:1358;height:2965" coordorigin="6612,1450" coordsize="1358,2965" path="m6612,4414l7969,4414,7969,1450,6612,1450,6612,4414xe" filled="true" fillcolor="#ffffff" stroked="false">
              <v:path arrowok="t"/>
              <v:fill type="solid"/>
            </v:shape>
            <w10:wrap type="none"/>
          </v:group>
        </w:pict>
      </w:r>
      <w:r>
        <w:rPr/>
        <w:pict>
          <v:group style="position:absolute;margin-left:330.579987pt;margin-top:388.999969pt;width:67.9pt;height:376.5pt;mso-position-horizontal-relative:page;mso-position-vertical-relative:page;z-index:-1540288" coordorigin="6612,7780" coordsize="1358,7530">
            <v:group style="position:absolute;left:6612;top:7780;width:1358;height:3570" coordorigin="6612,7780" coordsize="1358,3570">
              <v:shape style="position:absolute;left:6612;top:7780;width:1358;height:3570" coordorigin="6612,7780" coordsize="1358,3570" path="m6612,11349l7969,11349,7969,7780,6612,7780,6612,11349xe" filled="true" fillcolor="#ffffff" stroked="false">
                <v:path arrowok="t"/>
                <v:fill type="solid"/>
              </v:shape>
            </v:group>
            <v:group style="position:absolute;left:6623;top:11349;width:2;height:392" coordorigin="6623,11349" coordsize="2,392">
              <v:shape style="position:absolute;left:6623;top:11349;width:2;height:392" coordorigin="6623,11349" coordsize="0,392" path="m6623,11349l6623,11740e" filled="false" stroked="true" strokeweight="1.140pt" strokecolor="#ffffff">
                <v:path arrowok="t"/>
              </v:shape>
            </v:group>
            <v:group style="position:absolute;left:6612;top:11740;width:1358;height:3570" coordorigin="6612,11740" coordsize="1358,3570">
              <v:shape style="position:absolute;left:6612;top:11740;width:1358;height:3570" coordorigin="6612,11740" coordsize="1358,3570" path="m6612,15310l7969,15310,7969,11740,6612,11740,6612,15310xe" filled="true" fillcolor="#ffffff" stroked="false">
                <v:path arrowok="t"/>
                <v:fill type="solid"/>
              </v:shape>
            </v:group>
            <v:group style="position:absolute;left:6634;top:11349;width:1312;height:392" coordorigin="6634,11349" coordsize="1312,392">
              <v:shape style="position:absolute;left:6634;top:11349;width:1312;height:392" coordorigin="6634,11349" coordsize="1312,392" path="m6634,11740l7946,11740,7946,11349,6634,11349,6634,1174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技术开发、技术</w:t>
            </w:r>
          </w:p>
        </w:tc>
        <w:tc>
          <w:tcPr>
            <w:tcW w:w="378" w:type="dxa"/>
            <w:vMerge w:val="restart"/>
            <w:tcBorders>
              <w:top w:val="single" w:sz="4" w:space="0" w:color="000000"/>
              <w:left w:val="single" w:sz="4" w:space="0" w:color="000000"/>
              <w:right w:val="nil" w:sz="6" w:space="0" w:color="auto"/>
            </w:tcBorders>
          </w:tcPr>
          <w:p>
            <w:pPr/>
          </w:p>
        </w:tc>
        <w:tc>
          <w:tcPr>
            <w:tcW w:w="989" w:type="dxa"/>
            <w:tcBorders>
              <w:top w:val="single" w:sz="4" w:space="0" w:color="000000"/>
              <w:left w:val="nil" w:sz="6" w:space="0" w:color="auto"/>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转让、技术咨询</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技术服务、技术</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推广；合同能源</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管理；工程设计</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新能源设备销</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售；节能产品销</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售；机械设备租</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2" w:right="77"/>
              <w:jc w:val="left"/>
              <w:rPr>
                <w:rFonts w:ascii="宋体" w:hAnsi="宋体" w:cs="宋体" w:eastAsia="宋体" w:hint="default"/>
                <w:sz w:val="18"/>
                <w:szCs w:val="18"/>
              </w:rPr>
            </w:pPr>
            <w:r>
              <w:rPr>
                <w:rFonts w:ascii="宋体" w:hAnsi="宋体" w:cs="宋体" w:eastAsia="宋体" w:hint="default"/>
                <w:sz w:val="18"/>
                <w:szCs w:val="18"/>
              </w:rPr>
              <w:t>京蓝资源科技有 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北京市丰台区广 安路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504</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pacing w:val="-17"/>
                <w:sz w:val="18"/>
                <w:szCs w:val="18"/>
              </w:rPr>
              <w:t>赁。（企业依法自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主选择经营项 目，开展经营活 动；依法须经批</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316" w:right="0"/>
              <w:jc w:val="lef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准的项目，经相</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关部门批准后依</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批准的内容开展</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经营活动；不得</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从事本市产业政</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策禁止和限制类</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项目的经营活</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动</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78" w:type="dxa"/>
            <w:vMerge/>
            <w:tcBorders>
              <w:left w:val="single" w:sz="4" w:space="0" w:color="000000"/>
              <w:bottom w:val="single" w:sz="4" w:space="0" w:color="000000"/>
              <w:right w:val="nil" w:sz="6" w:space="0" w:color="auto"/>
            </w:tcBorders>
          </w:tcPr>
          <w:p>
            <w:pPr/>
          </w:p>
        </w:tc>
        <w:tc>
          <w:tcPr>
            <w:tcW w:w="989" w:type="dxa"/>
            <w:tcBorders>
              <w:top w:val="nil" w:sz="6" w:space="0" w:color="auto"/>
              <w:left w:val="nil" w:sz="6" w:space="0" w:color="auto"/>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技术开发、技术</w:t>
            </w:r>
          </w:p>
        </w:tc>
        <w:tc>
          <w:tcPr>
            <w:tcW w:w="1367" w:type="dxa"/>
            <w:gridSpan w:val="2"/>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推广、技术转让</w:t>
            </w:r>
          </w:p>
        </w:tc>
        <w:tc>
          <w:tcPr>
            <w:tcW w:w="1367" w:type="dxa"/>
            <w:gridSpan w:val="2"/>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技术咨询、技术</w:t>
            </w:r>
          </w:p>
        </w:tc>
        <w:tc>
          <w:tcPr>
            <w:tcW w:w="1367" w:type="dxa"/>
            <w:gridSpan w:val="2"/>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服务；基础软件</w:t>
            </w:r>
          </w:p>
        </w:tc>
        <w:tc>
          <w:tcPr>
            <w:tcW w:w="1367" w:type="dxa"/>
            <w:gridSpan w:val="2"/>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服务、应用软件</w:t>
            </w:r>
          </w:p>
        </w:tc>
        <w:tc>
          <w:tcPr>
            <w:tcW w:w="1367" w:type="dxa"/>
            <w:gridSpan w:val="2"/>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服务；计算机系</w:t>
            </w:r>
          </w:p>
        </w:tc>
        <w:tc>
          <w:tcPr>
            <w:tcW w:w="1367" w:type="dxa"/>
            <w:gridSpan w:val="2"/>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统服务；项目投</w:t>
            </w:r>
          </w:p>
        </w:tc>
        <w:tc>
          <w:tcPr>
            <w:tcW w:w="1367" w:type="dxa"/>
            <w:gridSpan w:val="2"/>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资；销售计算机</w:t>
            </w:r>
          </w:p>
        </w:tc>
        <w:tc>
          <w:tcPr>
            <w:tcW w:w="1367" w:type="dxa"/>
            <w:gridSpan w:val="2"/>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软件及辅助设</w:t>
            </w:r>
          </w:p>
        </w:tc>
        <w:tc>
          <w:tcPr>
            <w:tcW w:w="1367" w:type="dxa"/>
            <w:gridSpan w:val="2"/>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备、机械设备、</w:t>
            </w:r>
          </w:p>
        </w:tc>
        <w:tc>
          <w:tcPr>
            <w:tcW w:w="1367" w:type="dxa"/>
            <w:gridSpan w:val="2"/>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京蓝能科技术有 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北京市昌平区科 技园区仁和路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电子产品、通讯 </w:t>
            </w:r>
            <w:r>
              <w:rPr>
                <w:rFonts w:ascii="宋体" w:hAnsi="宋体" w:cs="宋体" w:eastAsia="宋体" w:hint="default"/>
                <w:spacing w:val="-6"/>
                <w:sz w:val="18"/>
                <w:szCs w:val="18"/>
              </w:rPr>
              <w:t>设备、五金交电</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金属材料、化工 产品（不含危险</w:t>
            </w:r>
          </w:p>
        </w:tc>
        <w:tc>
          <w:tcPr>
            <w:tcW w:w="1367"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化学品及一类易</w:t>
            </w:r>
          </w:p>
        </w:tc>
        <w:tc>
          <w:tcPr>
            <w:tcW w:w="1367" w:type="dxa"/>
            <w:gridSpan w:val="2"/>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制毒化学品、建</w:t>
            </w:r>
          </w:p>
        </w:tc>
        <w:tc>
          <w:tcPr>
            <w:tcW w:w="1367" w:type="dxa"/>
            <w:gridSpan w:val="2"/>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筑材料；维修仪</w:t>
            </w:r>
          </w:p>
        </w:tc>
        <w:tc>
          <w:tcPr>
            <w:tcW w:w="1367" w:type="dxa"/>
            <w:gridSpan w:val="2"/>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器仪表、计算机</w:t>
            </w:r>
          </w:p>
        </w:tc>
        <w:tc>
          <w:tcPr>
            <w:tcW w:w="1367" w:type="dxa"/>
            <w:gridSpan w:val="2"/>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租赁计算机、机</w:t>
            </w:r>
          </w:p>
        </w:tc>
        <w:tc>
          <w:tcPr>
            <w:tcW w:w="1367" w:type="dxa"/>
            <w:gridSpan w:val="2"/>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械设备（不含汽</w:t>
            </w:r>
          </w:p>
        </w:tc>
        <w:tc>
          <w:tcPr>
            <w:tcW w:w="1367" w:type="dxa"/>
            <w:gridSpan w:val="2"/>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车租赁</w:t>
            </w:r>
            <w:r>
              <w:rPr>
                <w:rFonts w:ascii="宋体" w:hAnsi="宋体" w:cs="宋体" w:eastAsia="宋体" w:hint="default"/>
                <w:spacing w:val="-90"/>
                <w:sz w:val="18"/>
                <w:szCs w:val="18"/>
              </w:rPr>
              <w:t>）</w:t>
            </w:r>
            <w:r>
              <w:rPr>
                <w:rFonts w:ascii="宋体" w:hAnsi="宋体" w:cs="宋体" w:eastAsia="宋体" w:hint="default"/>
                <w:spacing w:val="-39"/>
                <w:sz w:val="18"/>
                <w:szCs w:val="18"/>
              </w:rPr>
              <w:t>；</w:t>
            </w:r>
            <w:r>
              <w:rPr>
                <w:rFonts w:ascii="宋体" w:hAnsi="宋体" w:cs="宋体" w:eastAsia="宋体" w:hint="default"/>
                <w:sz w:val="18"/>
                <w:szCs w:val="18"/>
              </w:rPr>
              <w:t>货</w:t>
            </w:r>
            <w:r>
              <w:rPr>
                <w:rFonts w:ascii="宋体" w:hAnsi="宋体" w:cs="宋体" w:eastAsia="宋体" w:hint="default"/>
                <w:spacing w:val="-2"/>
                <w:sz w:val="18"/>
                <w:szCs w:val="18"/>
              </w:rPr>
              <w:t>物</w:t>
            </w:r>
            <w:r>
              <w:rPr>
                <w:rFonts w:ascii="宋体" w:hAnsi="宋体" w:cs="宋体" w:eastAsia="宋体" w:hint="default"/>
                <w:sz w:val="18"/>
                <w:szCs w:val="18"/>
              </w:rPr>
              <w:t>进</w:t>
            </w:r>
          </w:p>
        </w:tc>
        <w:tc>
          <w:tcPr>
            <w:tcW w:w="1367" w:type="dxa"/>
            <w:gridSpan w:val="2"/>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出口、技术进出</w:t>
            </w:r>
          </w:p>
        </w:tc>
        <w:tc>
          <w:tcPr>
            <w:tcW w:w="1367" w:type="dxa"/>
            <w:gridSpan w:val="2"/>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口、代理进出口</w:t>
            </w:r>
          </w:p>
        </w:tc>
        <w:tc>
          <w:tcPr>
            <w:tcW w:w="1367" w:type="dxa"/>
            <w:gridSpan w:val="2"/>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建设工程项目管</w:t>
            </w:r>
          </w:p>
        </w:tc>
        <w:tc>
          <w:tcPr>
            <w:tcW w:w="1367" w:type="dxa"/>
            <w:gridSpan w:val="2"/>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399994pt;margin-top:262.219971pt;width:74.05pt;height:195.05pt;mso-position-horizontal-relative:page;mso-position-vertical-relative:page;z-index:-15402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6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24.399994pt;margin-top:729.959961pt;width:74.05pt;height:38pt;mso-position-horizontal-relative:page;mso-position-vertical-relative:page;z-index:-1540216" type="#_x0000_t202" filled="false" stroked="false">
            <v:textbox inset="0,0,0,0">
              <w:txbxContent>
                <w:p>
                  <w:pPr>
                    <w:spacing w:before="14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30.579987pt;margin-top:262.219971pt;width:67.9pt;height:195.05pt;mso-position-horizontal-relative:page;mso-position-vertical-relative:page;z-index:-1540192" coordorigin="6612,5244" coordsize="1358,3901">
            <v:shape style="position:absolute;left:6612;top:5244;width:1358;height:3901" coordorigin="6612,5244" coordsize="1358,3901" path="m6612,9145l7969,9145,7969,5244,6612,5244,6612,914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317" w:hRule="exact"/>
        </w:trPr>
        <w:tc>
          <w:tcPr>
            <w:tcW w:w="1372"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7"/>
                <w:sz w:val="18"/>
                <w:szCs w:val="18"/>
              </w:rPr>
              <w:t>理；专业承包（企</w:t>
            </w:r>
          </w:p>
        </w:tc>
        <w:tc>
          <w:tcPr>
            <w:tcW w:w="1367" w:type="dxa"/>
            <w:gridSpan w:val="2"/>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业依法自主选择</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经营项目，开展</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经营活动；依法</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须经批准的项</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目，经相关部门</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批准后依批准的</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内容开展经营活</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动；不得从事本</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市产业政策禁止</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3"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和限制类项目的</w:t>
            </w:r>
          </w:p>
        </w:tc>
        <w:tc>
          <w:tcPr>
            <w:tcW w:w="1367" w:type="dxa"/>
            <w:gridSpan w:val="2"/>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57" w:hRule="exact"/>
        </w:trPr>
        <w:tc>
          <w:tcPr>
            <w:tcW w:w="1372"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经营活动</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367" w:type="dxa"/>
            <w:gridSpan w:val="2"/>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环境治理技术和</w:t>
            </w:r>
          </w:p>
        </w:tc>
        <w:tc>
          <w:tcPr>
            <w:tcW w:w="378" w:type="dxa"/>
            <w:vMerge w:val="restart"/>
            <w:tcBorders>
              <w:top w:val="single" w:sz="4" w:space="0" w:color="000000"/>
              <w:left w:val="single" w:sz="9" w:space="0" w:color="FFFFFF"/>
              <w:right w:val="nil" w:sz="6" w:space="0" w:color="auto"/>
            </w:tcBorders>
          </w:tcPr>
          <w:p>
            <w:pPr/>
          </w:p>
        </w:tc>
        <w:tc>
          <w:tcPr>
            <w:tcW w:w="989" w:type="dxa"/>
            <w:tcBorders>
              <w:top w:val="single" w:sz="4" w:space="0" w:color="000000"/>
              <w:left w:val="nil" w:sz="6" w:space="0" w:color="auto"/>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水处理技术的开</w:t>
            </w:r>
          </w:p>
        </w:tc>
        <w:tc>
          <w:tcPr>
            <w:tcW w:w="378" w:type="dxa"/>
            <w:vMerge/>
            <w:tcBorders>
              <w:left w:val="single" w:sz="9" w:space="0" w:color="FFFFFF"/>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发、咨询、应用</w:t>
            </w:r>
          </w:p>
        </w:tc>
        <w:tc>
          <w:tcPr>
            <w:tcW w:w="378" w:type="dxa"/>
            <w:vMerge/>
            <w:tcBorders>
              <w:left w:val="single" w:sz="9" w:space="0" w:color="FFFFFF"/>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及转让；生态环</w:t>
            </w:r>
          </w:p>
        </w:tc>
        <w:tc>
          <w:tcPr>
            <w:tcW w:w="378" w:type="dxa"/>
            <w:vMerge/>
            <w:tcBorders>
              <w:left w:val="single" w:sz="9" w:space="0" w:color="FFFFFF"/>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保产品的开发与</w:t>
            </w:r>
          </w:p>
        </w:tc>
        <w:tc>
          <w:tcPr>
            <w:tcW w:w="378" w:type="dxa"/>
            <w:vMerge/>
            <w:tcBorders>
              <w:left w:val="single" w:sz="9" w:space="0" w:color="FFFFFF"/>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应用、生态修复</w:t>
            </w:r>
          </w:p>
        </w:tc>
        <w:tc>
          <w:tcPr>
            <w:tcW w:w="378" w:type="dxa"/>
            <w:vMerge/>
            <w:tcBorders>
              <w:left w:val="single" w:sz="9" w:space="0" w:color="FFFFFF"/>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水土保持；研究</w:t>
            </w:r>
          </w:p>
        </w:tc>
        <w:tc>
          <w:tcPr>
            <w:tcW w:w="378" w:type="dxa"/>
            <w:vMerge/>
            <w:tcBorders>
              <w:left w:val="single" w:sz="9" w:space="0" w:color="FFFFFF"/>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开发、种植、销</w:t>
            </w:r>
          </w:p>
        </w:tc>
        <w:tc>
          <w:tcPr>
            <w:tcW w:w="378" w:type="dxa"/>
            <w:vMerge/>
            <w:tcBorders>
              <w:left w:val="single" w:sz="9" w:space="0" w:color="FFFFFF"/>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售园林植物；园</w:t>
            </w:r>
          </w:p>
        </w:tc>
        <w:tc>
          <w:tcPr>
            <w:tcW w:w="378" w:type="dxa"/>
            <w:vMerge/>
            <w:tcBorders>
              <w:left w:val="single" w:sz="9" w:space="0" w:color="FFFFFF"/>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林环境景观的设</w:t>
            </w:r>
          </w:p>
        </w:tc>
        <w:tc>
          <w:tcPr>
            <w:tcW w:w="378" w:type="dxa"/>
            <w:vMerge/>
            <w:tcBorders>
              <w:left w:val="single" w:sz="9" w:space="0" w:color="FFFFFF"/>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计、园林绿化工</w:t>
            </w:r>
          </w:p>
        </w:tc>
        <w:tc>
          <w:tcPr>
            <w:tcW w:w="378" w:type="dxa"/>
            <w:vMerge/>
            <w:tcBorders>
              <w:left w:val="single" w:sz="9" w:space="0" w:color="FFFFFF"/>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河北省廊坊市固</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程和园林维护；</w:t>
            </w:r>
          </w:p>
        </w:tc>
        <w:tc>
          <w:tcPr>
            <w:tcW w:w="378" w:type="dxa"/>
            <w:vMerge/>
            <w:tcBorders>
              <w:left w:val="single" w:sz="9" w:space="0" w:color="FFFFFF"/>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京蓝环境科技有 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廊坊市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安县工业园区南 区通大道南侧、</w:t>
            </w:r>
          </w:p>
        </w:tc>
        <w:tc>
          <w:tcPr>
            <w:tcW w:w="1367" w:type="dxa"/>
            <w:tcBorders>
              <w:top w:val="nil" w:sz="6" w:space="0" w:color="auto"/>
              <w:left w:val="single" w:sz="4" w:space="0" w:color="000000"/>
              <w:bottom w:val="nil" w:sz="6" w:space="0" w:color="auto"/>
              <w:right w:val="single" w:sz="13" w:space="0" w:color="FFFFFF"/>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销售：建筑材料</w:t>
            </w:r>
          </w:p>
          <w:p>
            <w:pPr>
              <w:pStyle w:val="TableParagraph"/>
              <w:spacing w:line="240" w:lineRule="auto" w:before="76"/>
              <w:ind w:left="22" w:right="-28"/>
              <w:jc w:val="left"/>
              <w:rPr>
                <w:rFonts w:ascii="宋体" w:hAnsi="宋体" w:cs="宋体" w:eastAsia="宋体" w:hint="default"/>
                <w:sz w:val="18"/>
                <w:szCs w:val="18"/>
              </w:rPr>
            </w:pPr>
            <w:r>
              <w:rPr>
                <w:rFonts w:ascii="宋体" w:hAnsi="宋体" w:cs="宋体" w:eastAsia="宋体" w:hint="default"/>
                <w:sz w:val="18"/>
                <w:szCs w:val="18"/>
              </w:rPr>
              <w:t>（不含砂石料</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78" w:type="dxa"/>
            <w:vMerge/>
            <w:tcBorders>
              <w:left w:val="single" w:sz="9" w:space="0" w:color="FFFFFF"/>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富达路东侧</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园林机械设备；</w:t>
            </w:r>
          </w:p>
        </w:tc>
        <w:tc>
          <w:tcPr>
            <w:tcW w:w="378" w:type="dxa"/>
            <w:vMerge/>
            <w:tcBorders>
              <w:left w:val="single" w:sz="9" w:space="0" w:color="FFFFFF"/>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技术开发；企业</w:t>
            </w:r>
          </w:p>
        </w:tc>
        <w:tc>
          <w:tcPr>
            <w:tcW w:w="378" w:type="dxa"/>
            <w:vMerge/>
            <w:tcBorders>
              <w:left w:val="single" w:sz="9" w:space="0" w:color="FFFFFF"/>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管理服务；水污</w:t>
            </w:r>
          </w:p>
        </w:tc>
        <w:tc>
          <w:tcPr>
            <w:tcW w:w="378" w:type="dxa"/>
            <w:vMerge/>
            <w:tcBorders>
              <w:left w:val="single" w:sz="9" w:space="0" w:color="FFFFFF"/>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染治理服务；地</w:t>
            </w:r>
          </w:p>
        </w:tc>
        <w:tc>
          <w:tcPr>
            <w:tcW w:w="378" w:type="dxa"/>
            <w:vMerge/>
            <w:tcBorders>
              <w:left w:val="single" w:sz="9" w:space="0" w:color="FFFFFF"/>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质灾害治理服</w:t>
            </w:r>
          </w:p>
        </w:tc>
        <w:tc>
          <w:tcPr>
            <w:tcW w:w="378" w:type="dxa"/>
            <w:vMerge/>
            <w:tcBorders>
              <w:left w:val="single" w:sz="9" w:space="0" w:color="FFFFFF"/>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务；土木工程施</w:t>
            </w:r>
          </w:p>
        </w:tc>
        <w:tc>
          <w:tcPr>
            <w:tcW w:w="378" w:type="dxa"/>
            <w:vMerge/>
            <w:tcBorders>
              <w:left w:val="single" w:sz="9" w:space="0" w:color="FFFFFF"/>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工；绿化养护及</w:t>
            </w:r>
          </w:p>
        </w:tc>
        <w:tc>
          <w:tcPr>
            <w:tcW w:w="378" w:type="dxa"/>
            <w:vMerge/>
            <w:tcBorders>
              <w:left w:val="single" w:sz="9" w:space="0" w:color="FFFFFF"/>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技术咨询</w:t>
            </w:r>
            <w:r>
              <w:rPr>
                <w:rFonts w:ascii="宋体" w:hAnsi="宋体" w:cs="宋体" w:eastAsia="宋体" w:hint="default"/>
                <w:spacing w:val="-129"/>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依</w:t>
            </w:r>
            <w:r>
              <w:rPr>
                <w:rFonts w:ascii="宋体" w:hAnsi="宋体" w:cs="宋体" w:eastAsia="宋体" w:hint="default"/>
                <w:sz w:val="18"/>
                <w:szCs w:val="18"/>
              </w:rPr>
              <w:t>法</w:t>
            </w:r>
          </w:p>
        </w:tc>
        <w:tc>
          <w:tcPr>
            <w:tcW w:w="378" w:type="dxa"/>
            <w:vMerge/>
            <w:tcBorders>
              <w:left w:val="single" w:sz="9" w:space="0" w:color="FFFFFF"/>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须经批准的项</w:t>
            </w:r>
          </w:p>
        </w:tc>
        <w:tc>
          <w:tcPr>
            <w:tcW w:w="378" w:type="dxa"/>
            <w:vMerge/>
            <w:tcBorders>
              <w:left w:val="single" w:sz="9" w:space="0" w:color="FFFFFF"/>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目，经相关部门</w:t>
            </w:r>
          </w:p>
        </w:tc>
        <w:tc>
          <w:tcPr>
            <w:tcW w:w="378" w:type="dxa"/>
            <w:vMerge/>
            <w:tcBorders>
              <w:left w:val="single" w:sz="9" w:space="0" w:color="FFFFFF"/>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批准后方可开展</w:t>
            </w:r>
          </w:p>
        </w:tc>
        <w:tc>
          <w:tcPr>
            <w:tcW w:w="378" w:type="dxa"/>
            <w:vMerge/>
            <w:tcBorders>
              <w:left w:val="single" w:sz="9" w:space="0" w:color="FFFFFF"/>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经营活动）</w:t>
            </w:r>
          </w:p>
        </w:tc>
        <w:tc>
          <w:tcPr>
            <w:tcW w:w="378" w:type="dxa"/>
            <w:vMerge/>
            <w:tcBorders>
              <w:left w:val="single" w:sz="9" w:space="0" w:color="FFFFFF"/>
              <w:bottom w:val="single" w:sz="4" w:space="0" w:color="000000"/>
              <w:right w:val="nil" w:sz="6" w:space="0" w:color="auto"/>
            </w:tcBorders>
          </w:tcPr>
          <w:p>
            <w:pPr/>
          </w:p>
        </w:tc>
        <w:tc>
          <w:tcPr>
            <w:tcW w:w="989" w:type="dxa"/>
            <w:tcBorders>
              <w:top w:val="nil" w:sz="6" w:space="0" w:color="auto"/>
              <w:left w:val="nil" w:sz="6" w:space="0" w:color="auto"/>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4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工程勘察；工程</w:t>
            </w:r>
          </w:p>
        </w:tc>
        <w:tc>
          <w:tcPr>
            <w:tcW w:w="1367"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75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pict>
                <v:group style="width:67.9pt;height:38pt;mso-position-horizontal-relative:char;mso-position-vertical-relative:line" coordorigin="0,0" coordsize="1358,760">
                  <v:group style="position:absolute;left:0;top:0;width:1358;height:760" coordorigin="0,0" coordsize="1358,760">
                    <v:shape style="position:absolute;left:0;top:0;width:1358;height:760" coordorigin="0,0" coordsize="1358,760" path="m0,760l1357,760,1357,0,0,0,0,760xe" filled="true" fillcolor="#ffffff" stroked="false">
                      <v:path arrowok="t"/>
                      <v:fill type="solid"/>
                    </v:shape>
                  </v:group>
                </v:group>
              </w:pict>
            </w:r>
            <w:r>
              <w:rPr>
                <w:rFonts w:ascii="Times New Roman" w:hAnsi="Times New Roman" w:cs="Times New Roman" w:eastAsia="Times New Roman" w:hint="default"/>
                <w:position w:val="-14"/>
                <w:sz w:val="20"/>
                <w:szCs w:val="20"/>
              </w:rPr>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1257"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京蓝环境建设</w:t>
            </w:r>
          </w:p>
          <w:p>
            <w:pPr>
              <w:pStyle w:val="TableParagraph"/>
              <w:spacing w:line="319" w:lineRule="auto" w:before="76"/>
              <w:ind w:left="22" w:right="77"/>
              <w:jc w:val="left"/>
              <w:rPr>
                <w:rFonts w:ascii="宋体" w:hAnsi="宋体" w:cs="宋体" w:eastAsia="宋体" w:hint="default"/>
                <w:sz w:val="18"/>
                <w:szCs w:val="18"/>
              </w:rPr>
            </w:pPr>
            <w:r>
              <w:rPr>
                <w:rFonts w:ascii="宋体" w:hAnsi="宋体" w:cs="宋体" w:eastAsia="宋体" w:hint="default"/>
                <w:sz w:val="18"/>
                <w:szCs w:val="18"/>
              </w:rPr>
              <w:t>（北京）有限公 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2" w:right="72"/>
              <w:jc w:val="both"/>
              <w:rPr>
                <w:rFonts w:ascii="宋体" w:hAnsi="宋体" w:cs="宋体" w:eastAsia="宋体" w:hint="default"/>
                <w:sz w:val="18"/>
                <w:szCs w:val="18"/>
              </w:rPr>
            </w:pPr>
            <w:r>
              <w:rPr>
                <w:rFonts w:ascii="宋体" w:hAnsi="宋体" w:cs="宋体" w:eastAsia="宋体" w:hint="default"/>
                <w:sz w:val="18"/>
                <w:szCs w:val="18"/>
              </w:rPr>
              <w:t>北京市门头沟区 大台商贸公司玉 皇庙门市部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p>
            <w:pPr>
              <w:pStyle w:val="TableParagraph"/>
              <w:spacing w:line="247" w:lineRule="exact"/>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层</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DT0146</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72"/>
              <w:jc w:val="both"/>
              <w:rPr>
                <w:rFonts w:ascii="宋体" w:hAnsi="宋体" w:cs="宋体" w:eastAsia="宋体" w:hint="default"/>
                <w:sz w:val="18"/>
                <w:szCs w:val="18"/>
              </w:rPr>
            </w:pPr>
            <w:r>
              <w:rPr>
                <w:rFonts w:ascii="宋体" w:hAnsi="宋体" w:cs="宋体" w:eastAsia="宋体" w:hint="default"/>
                <w:sz w:val="18"/>
                <w:szCs w:val="18"/>
              </w:rPr>
              <w:t>设计；施工总承 包；专业承包； 劳务分包；园林 </w:t>
            </w:r>
            <w:r>
              <w:rPr>
                <w:rFonts w:ascii="宋体" w:hAnsi="宋体" w:cs="宋体" w:eastAsia="宋体" w:hint="default"/>
                <w:spacing w:val="-6"/>
                <w:sz w:val="18"/>
                <w:szCs w:val="18"/>
              </w:rPr>
              <w:t>绿化；景观设计</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318"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销售五金交电</w:t>
            </w:r>
          </w:p>
        </w:tc>
        <w:tc>
          <w:tcPr>
            <w:tcW w:w="1367" w:type="dxa"/>
            <w:gridSpan w:val="2"/>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399994pt;margin-top:500.73999pt;width:74.05pt;height:123.8pt;mso-position-horizontal-relative:page;mso-position-vertical-relative:page;z-index:-15401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30.579987pt;margin-top:500.73999pt;width:67.9pt;height:123.8pt;mso-position-horizontal-relative:page;mso-position-vertical-relative:page;z-index:-1540144" coordorigin="6612,10015" coordsize="1358,2476">
            <v:shape style="position:absolute;left:6612;top:10015;width:1358;height:2476" coordorigin="6612,10015" coordsize="1358,2476" path="m6612,12490l7969,12490,7969,10015,6612,10015,6612,1249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3171"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
              <w:jc w:val="left"/>
              <w:rPr>
                <w:rFonts w:ascii="宋体" w:hAnsi="宋体" w:cs="宋体" w:eastAsia="宋体" w:hint="default"/>
                <w:sz w:val="18"/>
                <w:szCs w:val="18"/>
              </w:rPr>
            </w:pPr>
            <w:r>
              <w:rPr>
                <w:rFonts w:ascii="宋体" w:hAnsi="宋体" w:cs="宋体" w:eastAsia="宋体" w:hint="default"/>
                <w:sz w:val="18"/>
                <w:szCs w:val="18"/>
              </w:rPr>
              <w:t>（不含电动自行 </w:t>
            </w:r>
            <w:r>
              <w:rPr>
                <w:rFonts w:ascii="宋体" w:hAnsi="宋体" w:cs="宋体" w:eastAsia="宋体" w:hint="default"/>
                <w:spacing w:val="-12"/>
                <w:sz w:val="18"/>
                <w:szCs w:val="18"/>
              </w:rPr>
              <w:t>车）、机械设备；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建筑机械设备租 赁；技术开发、 咨询、服务、推 广、转让；会议 服务；企业形象 策划；设计、制 作、代理、发布 广告。</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2" w:right="77"/>
              <w:jc w:val="left"/>
              <w:rPr>
                <w:rFonts w:ascii="宋体" w:hAnsi="宋体" w:cs="宋体" w:eastAsia="宋体" w:hint="default"/>
                <w:sz w:val="18"/>
                <w:szCs w:val="18"/>
              </w:rPr>
            </w:pPr>
            <w:r>
              <w:rPr>
                <w:rFonts w:ascii="宋体" w:hAnsi="宋体" w:cs="宋体" w:eastAsia="宋体" w:hint="default"/>
                <w:sz w:val="18"/>
                <w:szCs w:val="18"/>
              </w:rPr>
              <w:t>京蓝科技研究有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北京市海淀区上 地东路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工程和技术研究 与试验发展；农 业科学研究与试 验发展；技术开 发、技术推广、 </w:t>
            </w:r>
            <w:r>
              <w:rPr>
                <w:rFonts w:ascii="宋体" w:hAnsi="宋体" w:cs="宋体" w:eastAsia="宋体" w:hint="default"/>
                <w:spacing w:val="-17"/>
                <w:sz w:val="18"/>
                <w:szCs w:val="18"/>
              </w:rPr>
              <w:t>技术服务。（企业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依法自主选择经 营项目，开展经 营活动；依法须 经批准的项目， 经相关部门批准 后依批准的内容 开展经营活动； 不得从事本市产 业政策禁止和限 制类项目的经营 </w:t>
            </w:r>
            <w:r>
              <w:rPr>
                <w:rFonts w:ascii="宋体" w:hAnsi="宋体" w:cs="宋体" w:eastAsia="宋体" w:hint="default"/>
                <w:spacing w:val="-23"/>
                <w:sz w:val="18"/>
                <w:szCs w:val="18"/>
              </w:rPr>
              <w:t>活动。）</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535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京蓝国际工程有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5"/>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北京市昌平区科 技园区仁和路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施工总承包；建 设工程项目管 </w:t>
            </w:r>
            <w:r>
              <w:rPr>
                <w:rFonts w:ascii="宋体" w:hAnsi="宋体" w:cs="宋体" w:eastAsia="宋体" w:hint="default"/>
                <w:spacing w:val="-6"/>
                <w:sz w:val="18"/>
                <w:szCs w:val="18"/>
              </w:rPr>
              <w:t>理；技术进出口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贸易进出口；水 利水电工程的技 术咨询；工程设 </w:t>
            </w:r>
            <w:r>
              <w:rPr>
                <w:rFonts w:ascii="宋体" w:hAnsi="宋体" w:cs="宋体" w:eastAsia="宋体" w:hint="default"/>
                <w:spacing w:val="-17"/>
                <w:sz w:val="18"/>
                <w:szCs w:val="18"/>
              </w:rPr>
              <w:t>计。（企业依法自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主先选择经营项 目，开展经营活 动；工程设计以 及依法须批准的 项目，经相关部 门批准后依批准 的内容开展经营 活动；不得从事 本市产业政策禁 止和限制类项目</w:t>
            </w:r>
          </w:p>
        </w:tc>
        <w:tc>
          <w:tcPr>
            <w:tcW w:w="378"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399994pt;margin-top:90.599983pt;width:74.05pt;height:163.85pt;mso-position-horizontal-relative:page;mso-position-vertical-relative:page;z-index:-15400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24.399994pt;margin-top:612.940002pt;width:74.05pt;height:155pt;mso-position-horizontal-relative:page;mso-position-vertical-relative:page;z-index:-15400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30.579987pt;margin-top:90.599983pt;width:67.9pt;height:163.85pt;mso-position-horizontal-relative:page;mso-position-vertical-relative:page;z-index:-1540048" coordorigin="6612,1812" coordsize="1358,3277">
            <v:shape style="position:absolute;left:6612;top:1812;width:1358;height:3277" coordorigin="6612,1812" coordsize="1358,3277" path="m6612,5088l7969,5088,7969,1812,6612,1812,6612,508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的经营活动）</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技术开发、技术</w:t>
            </w:r>
          </w:p>
        </w:tc>
        <w:tc>
          <w:tcPr>
            <w:tcW w:w="378" w:type="dxa"/>
            <w:vMerge w:val="restart"/>
            <w:tcBorders>
              <w:top w:val="single" w:sz="4" w:space="0" w:color="000000"/>
              <w:left w:val="single" w:sz="4" w:space="0" w:color="000000"/>
              <w:right w:val="nil" w:sz="6" w:space="0" w:color="auto"/>
            </w:tcBorders>
          </w:tcPr>
          <w:p>
            <w:pPr/>
          </w:p>
        </w:tc>
        <w:tc>
          <w:tcPr>
            <w:tcW w:w="989" w:type="dxa"/>
            <w:tcBorders>
              <w:top w:val="single" w:sz="4" w:space="0" w:color="000000"/>
              <w:left w:val="nil" w:sz="6" w:space="0" w:color="auto"/>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推广、技术转让</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技术咨询、技术</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服务、技术培训</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货物进出口、技</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术进出口、代理</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进出口；生态环</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境治理；水污染</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治理；污水处理</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河北省廊坊市固</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大气污染治理；</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京蓝生态科技有 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廊坊市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安县固安工业园 区南区通达道、</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环境监测；工程 勘察设计；规划</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富达路东侧</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管理；城市园林</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绿化；工程和技</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术研究与实验发</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展；销售机械设</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备；经济信息咨</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询（依法须经批</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准的项目，经相</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关部门批准后方</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可开展经营活</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78" w:type="dxa"/>
            <w:vMerge/>
            <w:tcBorders>
              <w:left w:val="single" w:sz="4" w:space="0" w:color="000000"/>
              <w:bottom w:val="single" w:sz="4" w:space="0" w:color="000000"/>
              <w:right w:val="nil" w:sz="6" w:space="0" w:color="auto"/>
            </w:tcBorders>
          </w:tcPr>
          <w:p>
            <w:pPr/>
          </w:p>
        </w:tc>
        <w:tc>
          <w:tcPr>
            <w:tcW w:w="989" w:type="dxa"/>
            <w:tcBorders>
              <w:top w:val="nil" w:sz="6" w:space="0" w:color="auto"/>
              <w:left w:val="nil" w:sz="6" w:space="0" w:color="auto"/>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许可经营项目：</w:t>
            </w:r>
          </w:p>
        </w:tc>
        <w:tc>
          <w:tcPr>
            <w:tcW w:w="1367"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0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1"/>
                <w:sz w:val="20"/>
                <w:szCs w:val="20"/>
              </w:rPr>
              <w:pict>
                <v:group style="width:67.9pt;height:155pt;mso-position-horizontal-relative:char;mso-position-vertical-relative:line" coordorigin="0,0" coordsize="1358,3100">
                  <v:group style="position:absolute;left:0;top:0;width:1358;height:3100" coordorigin="0,0" coordsize="1358,3100">
                    <v:shape style="position:absolute;left:0;top:0;width:1358;height:3100" coordorigin="0,0" coordsize="1358,3100" path="m0,3100l1357,3100,1357,0,0,0,0,3100xe" filled="true" fillcolor="#ffffff" stroked="false">
                      <v:path arrowok="t"/>
                      <v:fill type="solid"/>
                    </v:shape>
                  </v:group>
                </v:group>
              </w:pict>
            </w:r>
            <w:r>
              <w:rPr>
                <w:rFonts w:ascii="Times New Roman" w:hAnsi="Times New Roman" w:cs="Times New Roman" w:eastAsia="Times New Roman" w:hint="default"/>
                <w:position w:val="-61"/>
                <w:sz w:val="20"/>
                <w:szCs w:val="20"/>
              </w:rPr>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无一般经营项</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目：灌溉、农村</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饮水、建筑用</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PVC</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PE</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PP</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给</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排水管材及管件</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制造、销售；卷</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盘式、平移式、</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中心支轴式喷灌</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9" w:lineRule="auto" w:before="157"/>
              <w:ind w:left="22" w:right="77"/>
              <w:jc w:val="left"/>
              <w:rPr>
                <w:rFonts w:ascii="宋体" w:hAnsi="宋体" w:cs="宋体" w:eastAsia="宋体" w:hint="default"/>
                <w:sz w:val="18"/>
                <w:szCs w:val="18"/>
              </w:rPr>
            </w:pPr>
            <w:r>
              <w:rPr>
                <w:rFonts w:ascii="宋体" w:hAnsi="宋体" w:cs="宋体" w:eastAsia="宋体" w:hint="default"/>
                <w:sz w:val="18"/>
                <w:szCs w:val="18"/>
              </w:rPr>
              <w:t>京蓝沐禾节水装 备有限公司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赤峰市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72"/>
              <w:jc w:val="both"/>
              <w:rPr>
                <w:rFonts w:ascii="宋体" w:hAnsi="宋体" w:cs="宋体" w:eastAsia="宋体" w:hint="default"/>
                <w:sz w:val="18"/>
                <w:szCs w:val="18"/>
              </w:rPr>
            </w:pPr>
            <w:r>
              <w:rPr>
                <w:rFonts w:ascii="宋体" w:hAnsi="宋体" w:cs="宋体" w:eastAsia="宋体" w:hint="default"/>
                <w:sz w:val="18"/>
                <w:szCs w:val="18"/>
              </w:rPr>
              <w:t>内蒙古自治区赤 峰市翁牛特旗玉 龙工业园区</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3"/>
              <w:jc w:val="both"/>
              <w:rPr>
                <w:rFonts w:ascii="宋体" w:hAnsi="宋体" w:cs="宋体" w:eastAsia="宋体" w:hint="default"/>
                <w:sz w:val="18"/>
                <w:szCs w:val="18"/>
              </w:rPr>
            </w:pPr>
            <w:r>
              <w:rPr>
                <w:rFonts w:ascii="宋体" w:hAnsi="宋体" w:cs="宋体" w:eastAsia="宋体" w:hint="default"/>
                <w:sz w:val="18"/>
                <w:szCs w:val="18"/>
              </w:rPr>
              <w:t>机等喷灌设备和 </w:t>
            </w:r>
            <w:r>
              <w:rPr>
                <w:rFonts w:ascii="宋体" w:hAnsi="宋体" w:cs="宋体" w:eastAsia="宋体" w:hint="default"/>
                <w:spacing w:val="-17"/>
                <w:sz w:val="18"/>
                <w:szCs w:val="18"/>
              </w:rPr>
              <w:t>滴灌带（管）、输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配水软管、过滤</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8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9" w:lineRule="auto" w:before="157"/>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器、施肥器等微</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滴灌设备的生</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产、销售及安装</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生态环境治理工</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程设计、建设、</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维护及咨询；水</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利、电力、农业</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项目投资；农业</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机械、化肥、农</w:t>
            </w:r>
          </w:p>
        </w:tc>
        <w:tc>
          <w:tcPr>
            <w:tcW w:w="1367" w:type="dxa"/>
            <w:gridSpan w:val="2"/>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399994pt;margin-top:72.47998pt;width:74.05pt;height:345.3pt;mso-position-horizontal-relative:page;mso-position-vertical-relative:page;z-index:-15400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24.399994pt;margin-top:418.219971pt;width:74.05pt;height:162.8pt;mso-position-horizontal-relative:page;mso-position-vertical-relative:page;z-index:-1540000"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before="7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30.579987pt;margin-top:72.47998pt;width:67.9pt;height:508.55pt;mso-position-horizontal-relative:page;mso-position-vertical-relative:page;z-index:-1539976" coordorigin="6612,1450" coordsize="1358,10171">
            <v:group style="position:absolute;left:6612;top:1450;width:1358;height:6906" coordorigin="6612,1450" coordsize="1358,6906">
              <v:shape style="position:absolute;left:6612;top:1450;width:1358;height:6906" coordorigin="6612,1450" coordsize="1358,6906" path="m6612,8355l7969,8355,7969,1450,6612,1450,6612,8355xe" filled="true" fillcolor="#ffffff" stroked="false">
                <v:path arrowok="t"/>
                <v:fill type="solid"/>
              </v:shape>
            </v:group>
            <v:group style="position:absolute;left:6612;top:8364;width:1358;height:3256" coordorigin="6612,8364" coordsize="1358,3256">
              <v:shape style="position:absolute;left:6612;top:8364;width:1358;height:3256" coordorigin="6612,8364" coordsize="1358,3256" path="m6612,11620l7969,11620,7969,8364,6612,8364,6612,1162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17" w:hRule="exact"/>
        </w:trPr>
        <w:tc>
          <w:tcPr>
            <w:tcW w:w="1372"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膜、机电设备、</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建筑材料销售及</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进出口业务；水</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利、水电工程设</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计、施工；市政</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公用工程施工；</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园林绿化工程；</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农村灌溉用水井</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凿井作业；沙地</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治理；种树、种</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草；水泥桩制作</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网围栏刺线制</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作、架设；林木</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种子经营，飞播</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造林；文体用品</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日用品、电力设</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备、电线电缆、</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电器购销</w:t>
            </w:r>
            <w:r>
              <w:rPr>
                <w:rFonts w:ascii="宋体" w:hAnsi="宋体" w:cs="宋体" w:eastAsia="宋体" w:hint="default"/>
                <w:spacing w:val="-129"/>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依</w:t>
            </w:r>
            <w:r>
              <w:rPr>
                <w:rFonts w:ascii="宋体" w:hAnsi="宋体" w:cs="宋体" w:eastAsia="宋体" w:hint="default"/>
                <w:sz w:val="18"/>
                <w:szCs w:val="18"/>
              </w:rPr>
              <w:t>法</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须经批准的项</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目，经相关部门</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3"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批准后方可开展</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57" w:hRule="exact"/>
        </w:trPr>
        <w:tc>
          <w:tcPr>
            <w:tcW w:w="1372"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经营活动）</w:t>
            </w: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滴灌、农村饮水</w:t>
            </w: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建筑用</w:t>
            </w:r>
            <w:r>
              <w:rPr>
                <w:rFonts w:ascii="宋体" w:hAnsi="宋体" w:cs="宋体" w:eastAsia="宋体" w:hint="default"/>
                <w:spacing w:val="-59"/>
                <w:sz w:val="18"/>
                <w:szCs w:val="18"/>
              </w:rPr>
              <w:t> </w:t>
            </w:r>
            <w:r>
              <w:rPr>
                <w:rFonts w:ascii="Times New Roman" w:hAnsi="Times New Roman" w:cs="Times New Roman" w:eastAsia="Times New Roman" w:hint="default"/>
                <w:spacing w:val="-1"/>
                <w:w w:val="99"/>
                <w:sz w:val="18"/>
                <w:szCs w:val="18"/>
              </w:rPr>
              <w:t>PV</w:t>
            </w:r>
            <w:r>
              <w:rPr>
                <w:rFonts w:ascii="Times New Roman" w:hAnsi="Times New Roman" w:cs="Times New Roman" w:eastAsia="Times New Roman" w:hint="default"/>
                <w:w w:val="99"/>
                <w:sz w:val="18"/>
                <w:szCs w:val="18"/>
              </w:rPr>
              <w:t>C</w:t>
            </w:r>
            <w:r>
              <w:rPr>
                <w:rFonts w:ascii="宋体" w:hAnsi="宋体" w:cs="宋体" w:eastAsia="宋体" w:hint="default"/>
                <w:spacing w:val="-90"/>
                <w:sz w:val="18"/>
                <w:szCs w:val="18"/>
              </w:rPr>
              <w:t>、</w:t>
            </w:r>
            <w:r>
              <w:rPr>
                <w:rFonts w:ascii="Times New Roman" w:hAnsi="Times New Roman" w:cs="Times New Roman" w:eastAsia="Times New Roman" w:hint="default"/>
                <w:spacing w:val="-1"/>
                <w:w w:val="99"/>
                <w:sz w:val="18"/>
                <w:szCs w:val="18"/>
              </w:rPr>
              <w:t>PE</w:t>
            </w:r>
            <w:r>
              <w:rPr>
                <w:rFonts w:ascii="Times New Roman" w:hAnsi="Times New Roman" w:cs="Times New Roman" w:eastAsia="Times New Roman" w:hint="default"/>
                <w:sz w:val="18"/>
                <w:szCs w:val="18"/>
              </w:rPr>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PP</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给排水管材及</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管件制造、销售</w:t>
            </w:r>
            <w:r>
              <w:rPr>
                <w:rFonts w:ascii="Times New Roman" w:hAnsi="Times New Roman" w:cs="Times New Roman" w:eastAsia="Times New Roman" w:hint="default"/>
                <w:sz w:val="18"/>
                <w:szCs w:val="18"/>
              </w:rPr>
              <w:t>,</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卷盘式、平移式</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中心支轴式喷灌</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机等喷灌设备和</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滴灌带</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管</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、输配</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水软管、过滤器</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77"/>
              <w:jc w:val="both"/>
              <w:rPr>
                <w:rFonts w:ascii="宋体" w:hAnsi="宋体" w:cs="宋体" w:eastAsia="宋体" w:hint="default"/>
                <w:sz w:val="18"/>
                <w:szCs w:val="18"/>
              </w:rPr>
            </w:pPr>
            <w:r>
              <w:rPr>
                <w:rFonts w:ascii="宋体" w:hAnsi="宋体" w:cs="宋体" w:eastAsia="宋体" w:hint="default"/>
                <w:sz w:val="18"/>
                <w:szCs w:val="18"/>
              </w:rPr>
              <w:t>呼伦贝尔京蓝沐 禾节水装备有限 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呼伦贝尔</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72"/>
              <w:jc w:val="both"/>
              <w:rPr>
                <w:rFonts w:ascii="宋体" w:hAnsi="宋体" w:cs="宋体" w:eastAsia="宋体" w:hint="default"/>
                <w:sz w:val="18"/>
                <w:szCs w:val="18"/>
              </w:rPr>
            </w:pPr>
            <w:r>
              <w:rPr>
                <w:rFonts w:ascii="宋体" w:hAnsi="宋体" w:cs="宋体" w:eastAsia="宋体" w:hint="default"/>
                <w:sz w:val="18"/>
                <w:szCs w:val="18"/>
              </w:rPr>
              <w:t>内蒙古阿荣旗工 业园区南工五街 东侧</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施肥器等微滴灌 设备的生产、销 售及安装</w:t>
            </w:r>
            <w:r>
              <w:rPr>
                <w:rFonts w:ascii="Times New Roman" w:hAnsi="Times New Roman" w:cs="Times New Roman" w:eastAsia="Times New Roman" w:hint="default"/>
                <w:sz w:val="18"/>
                <w:szCs w:val="18"/>
              </w:rPr>
              <w:t>:</w:t>
            </w:r>
            <w:r>
              <w:rPr>
                <w:rFonts w:ascii="宋体" w:hAnsi="宋体" w:cs="宋体" w:eastAsia="宋体" w:hint="default"/>
                <w:sz w:val="18"/>
                <w:szCs w:val="18"/>
              </w:rPr>
              <w:t>生态环 境治理工程设</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计、建设、维护</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及咨询</w:t>
            </w:r>
            <w:r>
              <w:rPr>
                <w:rFonts w:ascii="Times New Roman" w:hAnsi="Times New Roman" w:cs="Times New Roman" w:eastAsia="Times New Roman" w:hint="default"/>
                <w:sz w:val="18"/>
                <w:szCs w:val="18"/>
              </w:rPr>
              <w:t>;</w:t>
            </w:r>
            <w:r>
              <w:rPr>
                <w:rFonts w:ascii="宋体" w:hAnsi="宋体" w:cs="宋体" w:eastAsia="宋体" w:hint="default"/>
                <w:sz w:val="18"/>
                <w:szCs w:val="18"/>
              </w:rPr>
              <w:t>水利、水</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电、农业项目投</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w:t>
            </w:r>
            <w:r>
              <w:rPr>
                <w:rFonts w:ascii="Times New Roman" w:hAnsi="Times New Roman" w:cs="Times New Roman" w:eastAsia="Times New Roman" w:hint="default"/>
                <w:sz w:val="18"/>
                <w:szCs w:val="18"/>
              </w:rPr>
              <w:t>;</w:t>
            </w:r>
            <w:r>
              <w:rPr>
                <w:rFonts w:ascii="宋体" w:hAnsi="宋体" w:cs="宋体" w:eastAsia="宋体" w:hint="default"/>
                <w:sz w:val="18"/>
                <w:szCs w:val="18"/>
              </w:rPr>
              <w:t>农业机械、化</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肥、农膜、机电</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设备销售</w:t>
            </w:r>
            <w:r>
              <w:rPr>
                <w:rFonts w:ascii="Times New Roman" w:hAnsi="Times New Roman" w:cs="Times New Roman" w:eastAsia="Times New Roman" w:hint="default"/>
                <w:sz w:val="18"/>
                <w:szCs w:val="18"/>
              </w:rPr>
              <w:t>;</w:t>
            </w:r>
            <w:r>
              <w:rPr>
                <w:rFonts w:ascii="宋体" w:hAnsi="宋体" w:cs="宋体" w:eastAsia="宋体" w:hint="default"/>
                <w:sz w:val="18"/>
                <w:szCs w:val="18"/>
              </w:rPr>
              <w:t>水利、</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水电工程设计、</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施工、市政公用</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工程施工：园林</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399994pt;margin-top:72.47998pt;width:74.05pt;height:142.5pt;mso-position-horizontal-relative:page;mso-position-vertical-relative:page;z-index:-15399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24.399994pt;margin-top:344.23999pt;width:74.05pt;height:109.25pt;mso-position-horizontal-relative:page;mso-position-vertical-relative:page;z-index:-1539904" type="#_x0000_t202" filled="false" stroked="false">
            <v:textbox inset="0,0,0,0">
              <w:txbxContent>
                <w:p>
                  <w:pPr>
                    <w:spacing w:line="240" w:lineRule="auto" w:before="6"/>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297.399994pt;margin-top:453.939972pt;width:101.05pt;height:147.2pt;mso-position-horizontal-relative:page;mso-position-vertical-relative:page;z-index:-15398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喷灌机、</w:t>
                  </w:r>
                </w:p>
              </w:txbxContent>
            </v:textbox>
            <w10:wrap type="none"/>
          </v:shape>
        </w:pict>
      </w:r>
      <w:r>
        <w:rPr/>
        <w:pict>
          <v:group style="position:absolute;margin-left:330.579987pt;margin-top:344.23999pt;width:67.9pt;height:256.9pt;mso-position-horizontal-relative:page;mso-position-vertical-relative:page;z-index:-1539856" coordorigin="6612,6885" coordsize="1358,5138">
            <v:group style="position:absolute;left:6612;top:6885;width:1358;height:2185" coordorigin="6612,6885" coordsize="1358,2185">
              <v:shape style="position:absolute;left:6612;top:6885;width:1358;height:2185" coordorigin="6612,6885" coordsize="1358,2185" path="m6612,9069l7969,9069,7969,6885,6612,6885,6612,9069xe" filled="true" fillcolor="#ffffff" stroked="false">
                <v:path arrowok="t"/>
                <v:fill type="solid"/>
              </v:shape>
            </v:group>
            <v:group style="position:absolute;left:6612;top:9079;width:1358;height:2944" coordorigin="6612,9079" coordsize="1358,2944">
              <v:shape style="position:absolute;left:6612;top:9079;width:1358;height:2944" coordorigin="6612,9079" coordsize="1358,2944" path="m6612,12022l7969,12022,7969,9079,6612,9079,6612,1202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17" w:hRule="exact"/>
        </w:trPr>
        <w:tc>
          <w:tcPr>
            <w:tcW w:w="1372"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绿化工程；农村</w:t>
            </w:r>
          </w:p>
        </w:tc>
        <w:tc>
          <w:tcPr>
            <w:tcW w:w="1367" w:type="dxa"/>
            <w:vMerge w:val="restart"/>
            <w:tcBorders>
              <w:top w:val="single" w:sz="4" w:space="0" w:color="000000"/>
              <w:left w:val="single" w:sz="4" w:space="0" w:color="000000"/>
              <w:right w:val="single" w:sz="4" w:space="0" w:color="000000"/>
            </w:tcBorders>
          </w:tcPr>
          <w:p>
            <w:pPr>
              <w:pStyle w:val="TableParagraph"/>
              <w:spacing w:line="284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6"/>
                <w:sz w:val="20"/>
                <w:szCs w:val="20"/>
              </w:rPr>
              <w:pict>
                <v:group style="width:67.9pt;height:142.5pt;mso-position-horizontal-relative:char;mso-position-vertical-relative:line" coordorigin="0,0" coordsize="1358,2850">
                  <v:group style="position:absolute;left:0;top:0;width:1358;height:2850" coordorigin="0,0" coordsize="1358,2850">
                    <v:shape style="position:absolute;left:0;top:0;width:1358;height:2850" coordorigin="0,0" coordsize="1358,2850" path="m0,2849l1357,2849,1357,0,0,0,0,2849xe" filled="true" fillcolor="#ffffff" stroked="false">
                      <v:path arrowok="t"/>
                      <v:fill type="solid"/>
                    </v:shape>
                  </v:group>
                </v:group>
              </w:pict>
            </w:r>
            <w:r>
              <w:rPr>
                <w:rFonts w:ascii="Times New Roman" w:hAnsi="Times New Roman" w:cs="Times New Roman" w:eastAsia="Times New Roman" w:hint="default"/>
                <w:position w:val="-56"/>
                <w:sz w:val="20"/>
                <w:szCs w:val="20"/>
              </w:rPr>
            </w:r>
          </w:p>
        </w:tc>
        <w:tc>
          <w:tcPr>
            <w:tcW w:w="1367"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灌溉用水井凿井</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作业，沙地治理</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种树、种草；租</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赁业务</w:t>
            </w:r>
            <w:r>
              <w:rPr>
                <w:rFonts w:ascii="宋体" w:hAnsi="宋体" w:cs="宋体" w:eastAsia="宋体" w:hint="default"/>
                <w:spacing w:val="-129"/>
                <w:sz w:val="18"/>
                <w:szCs w:val="18"/>
              </w:rPr>
              <w:t>。</w:t>
            </w:r>
            <w:r>
              <w:rPr>
                <w:rFonts w:ascii="宋体" w:hAnsi="宋体" w:cs="宋体" w:eastAsia="宋体" w:hint="default"/>
                <w:sz w:val="18"/>
                <w:szCs w:val="18"/>
              </w:rPr>
              <w:t>（依</w:t>
            </w:r>
            <w:r>
              <w:rPr>
                <w:rFonts w:ascii="宋体" w:hAnsi="宋体" w:cs="宋体" w:eastAsia="宋体" w:hint="default"/>
                <w:spacing w:val="-2"/>
                <w:sz w:val="18"/>
                <w:szCs w:val="18"/>
              </w:rPr>
              <w:t>法</w:t>
            </w:r>
            <w:r>
              <w:rPr>
                <w:rFonts w:ascii="宋体" w:hAnsi="宋体" w:cs="宋体" w:eastAsia="宋体" w:hint="default"/>
                <w:sz w:val="18"/>
                <w:szCs w:val="18"/>
              </w:rPr>
              <w:t>须</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经批准的项目，</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经相关部门批准</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3"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后方可开展经营</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57" w:hRule="exact"/>
        </w:trPr>
        <w:tc>
          <w:tcPr>
            <w:tcW w:w="1372"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活动）</w:t>
            </w: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节水设备及大管</w:t>
            </w: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生产、安装；节</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水装备、化工产</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品（不含危险化</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学品和易制毒化</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学品</w:t>
            </w:r>
            <w:r>
              <w:rPr>
                <w:rFonts w:ascii="宋体" w:hAnsi="宋体" w:cs="宋体" w:eastAsia="宋体" w:hint="default"/>
                <w:spacing w:val="-90"/>
                <w:sz w:val="18"/>
                <w:szCs w:val="18"/>
              </w:rPr>
              <w:t>）</w:t>
            </w:r>
            <w:r>
              <w:rPr>
                <w:rFonts w:ascii="宋体" w:hAnsi="宋体" w:cs="宋体" w:eastAsia="宋体" w:hint="default"/>
                <w:sz w:val="18"/>
                <w:szCs w:val="18"/>
              </w:rPr>
              <w:t>、农业机</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942"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7"/>
              <w:jc w:val="both"/>
              <w:rPr>
                <w:rFonts w:ascii="宋体" w:hAnsi="宋体" w:cs="宋体" w:eastAsia="宋体" w:hint="default"/>
                <w:sz w:val="18"/>
                <w:szCs w:val="18"/>
              </w:rPr>
            </w:pPr>
            <w:r>
              <w:rPr>
                <w:rFonts w:ascii="宋体" w:hAnsi="宋体" w:cs="宋体" w:eastAsia="宋体" w:hint="default"/>
                <w:sz w:val="18"/>
                <w:szCs w:val="18"/>
              </w:rPr>
              <w:t>兴安盟沐禾节水 工程设备有限公 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兴安盟</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2"/>
              <w:jc w:val="both"/>
              <w:rPr>
                <w:rFonts w:ascii="宋体" w:hAnsi="宋体" w:cs="宋体" w:eastAsia="宋体" w:hint="default"/>
                <w:sz w:val="18"/>
                <w:szCs w:val="18"/>
              </w:rPr>
            </w:pPr>
            <w:r>
              <w:rPr>
                <w:rFonts w:ascii="宋体" w:hAnsi="宋体" w:cs="宋体" w:eastAsia="宋体" w:hint="default"/>
                <w:sz w:val="18"/>
                <w:szCs w:val="18"/>
              </w:rPr>
              <w:t>兴安盟科右前旗 碧桂园北国之春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街</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械、机电设备经 销及进出口业 务；水利及节水</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306"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技术研发、改造</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（筹建期一年）</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（依法须经批准</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的项目，经相关</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部门批准后方可</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开展经营活动）</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农田节水灌溉与</w:t>
            </w: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水肥一体化技术</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研发</w:t>
            </w:r>
            <w:r>
              <w:rPr>
                <w:rFonts w:ascii="Times New Roman" w:hAnsi="Times New Roman" w:cs="Times New Roman" w:eastAsia="Times New Roman" w:hint="default"/>
                <w:sz w:val="18"/>
                <w:szCs w:val="18"/>
              </w:rPr>
              <w:t>:</w:t>
            </w:r>
            <w:r>
              <w:rPr>
                <w:rFonts w:ascii="宋体" w:hAnsi="宋体" w:cs="宋体" w:eastAsia="宋体" w:hint="default"/>
                <w:sz w:val="18"/>
                <w:szCs w:val="18"/>
              </w:rPr>
              <w:t>节水灌溉产</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品的研发</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系统基础软件开</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发及推广应用</w:t>
            </w:r>
            <w:r>
              <w:rPr>
                <w:rFonts w:ascii="Times New Roman" w:hAnsi="Times New Roman" w:cs="Times New Roman" w:eastAsia="Times New Roman" w:hint="default"/>
                <w:sz w:val="18"/>
                <w:szCs w:val="18"/>
              </w:rPr>
              <w:t>;</w:t>
            </w:r>
            <w:r>
              <w:rPr>
                <w:rFonts w:ascii="宋体" w:hAnsi="宋体" w:cs="宋体" w:eastAsia="宋体" w:hint="default"/>
                <w:sz w:val="18"/>
                <w:szCs w:val="18"/>
              </w:rPr>
              <w:t>微</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喷灌及滴灌设</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w:t>
            </w:r>
            <w:r>
              <w:rPr>
                <w:rFonts w:ascii="Times New Roman" w:hAnsi="Times New Roman" w:cs="Times New Roman" w:eastAsia="Times New Roman" w:hint="default"/>
                <w:sz w:val="18"/>
                <w:szCs w:val="18"/>
              </w:rPr>
              <w:t>PVC</w:t>
            </w:r>
            <w:r>
              <w:rPr>
                <w:rFonts w:ascii="宋体" w:hAnsi="宋体" w:cs="宋体" w:eastAsia="宋体" w:hint="default"/>
                <w:sz w:val="18"/>
                <w:szCs w:val="18"/>
              </w:rPr>
              <w:t>、</w:t>
            </w:r>
            <w:r>
              <w:rPr>
                <w:rFonts w:ascii="Times New Roman" w:hAnsi="Times New Roman" w:cs="Times New Roman" w:eastAsia="Times New Roman" w:hint="default"/>
                <w:sz w:val="18"/>
                <w:szCs w:val="18"/>
              </w:rPr>
              <w:t>PE</w:t>
            </w:r>
            <w:r>
              <w:rPr>
                <w:rFonts w:ascii="宋体" w:hAnsi="宋体" w:cs="宋体" w:eastAsia="宋体" w:hint="default"/>
                <w:sz w:val="18"/>
                <w:szCs w:val="18"/>
              </w:rPr>
              <w:t>、</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衡水沐禾节水科 技有限公司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衡水市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9" w:lineRule="auto" w:before="142"/>
              <w:ind w:left="22" w:right="72"/>
              <w:jc w:val="both"/>
              <w:rPr>
                <w:rFonts w:ascii="宋体" w:hAnsi="宋体" w:cs="宋体" w:eastAsia="宋体" w:hint="default"/>
                <w:sz w:val="18"/>
                <w:szCs w:val="18"/>
              </w:rPr>
            </w:pPr>
            <w:r>
              <w:rPr>
                <w:rFonts w:ascii="宋体" w:hAnsi="宋体" w:cs="宋体" w:eastAsia="宋体" w:hint="default"/>
                <w:sz w:val="18"/>
                <w:szCs w:val="18"/>
              </w:rPr>
              <w:t>衡水市高新区新 区六路北侧、新 桥新路西侧</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2" w:lineRule="auto" w:before="5"/>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PP</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管材、 节水灌溉产品的 生产、销售及安 装</w:t>
            </w:r>
            <w:r>
              <w:rPr>
                <w:rFonts w:ascii="Times New Roman" w:hAnsi="Times New Roman" w:cs="Times New Roman" w:eastAsia="Times New Roman" w:hint="default"/>
                <w:sz w:val="18"/>
                <w:szCs w:val="18"/>
              </w:rPr>
              <w:t>;</w:t>
            </w:r>
            <w:r>
              <w:rPr>
                <w:rFonts w:ascii="宋体" w:hAnsi="宋体" w:cs="宋体" w:eastAsia="宋体" w:hint="default"/>
                <w:sz w:val="18"/>
                <w:szCs w:val="18"/>
              </w:rPr>
              <w:t>土地整理</w:t>
            </w:r>
            <w:r>
              <w:rPr>
                <w:rFonts w:ascii="Times New Roman" w:hAnsi="Times New Roman" w:cs="Times New Roman" w:eastAsia="Times New Roman" w:hint="default"/>
                <w:sz w:val="18"/>
                <w:szCs w:val="18"/>
              </w:rPr>
              <w:t>;</w:t>
            </w:r>
            <w:r>
              <w:rPr>
                <w:rFonts w:ascii="宋体" w:hAnsi="宋体" w:cs="宋体" w:eastAsia="宋体" w:hint="default"/>
                <w:sz w:val="18"/>
                <w:szCs w:val="18"/>
              </w:rPr>
              <w:t>水</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30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利工程、农业灌</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溉、园林绿化工</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程施工</w:t>
            </w:r>
            <w:r>
              <w:rPr>
                <w:rFonts w:ascii="Times New Roman" w:hAnsi="Times New Roman" w:cs="Times New Roman" w:eastAsia="Times New Roman" w:hint="default"/>
                <w:sz w:val="18"/>
                <w:szCs w:val="18"/>
              </w:rPr>
              <w:t>;</w:t>
            </w:r>
            <w:r>
              <w:rPr>
                <w:rFonts w:ascii="宋体" w:hAnsi="宋体" w:cs="宋体" w:eastAsia="宋体" w:hint="default"/>
                <w:sz w:val="18"/>
                <w:szCs w:val="18"/>
              </w:rPr>
              <w:t>土壤检测</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服务、无人机植</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保服务</w:t>
            </w:r>
            <w:r>
              <w:rPr>
                <w:rFonts w:ascii="Times New Roman" w:hAnsi="Times New Roman" w:cs="Times New Roman" w:eastAsia="Times New Roman" w:hint="default"/>
                <w:sz w:val="18"/>
                <w:szCs w:val="18"/>
              </w:rPr>
              <w:t>;</w:t>
            </w:r>
            <w:r>
              <w:rPr>
                <w:rFonts w:ascii="宋体" w:hAnsi="宋体" w:cs="宋体" w:eastAsia="宋体" w:hint="default"/>
                <w:sz w:val="18"/>
                <w:szCs w:val="18"/>
              </w:rPr>
              <w:t>农业项目</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开发</w:t>
            </w:r>
            <w:r>
              <w:rPr>
                <w:rFonts w:ascii="Times New Roman" w:hAnsi="Times New Roman" w:cs="Times New Roman" w:eastAsia="Times New Roman" w:hint="default"/>
                <w:sz w:val="18"/>
                <w:szCs w:val="18"/>
              </w:rPr>
              <w:t>;</w:t>
            </w:r>
            <w:r>
              <w:rPr>
                <w:rFonts w:ascii="宋体" w:hAnsi="宋体" w:cs="宋体" w:eastAsia="宋体" w:hint="default"/>
                <w:sz w:val="18"/>
                <w:szCs w:val="18"/>
              </w:rPr>
              <w:t>机械设备租</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赁</w:t>
            </w:r>
            <w:r>
              <w:rPr>
                <w:rFonts w:ascii="Times New Roman" w:hAnsi="Times New Roman" w:cs="Times New Roman" w:eastAsia="Times New Roman" w:hint="default"/>
                <w:sz w:val="18"/>
                <w:szCs w:val="18"/>
              </w:rPr>
              <w:t>:</w:t>
            </w:r>
            <w:r>
              <w:rPr>
                <w:rFonts w:ascii="宋体" w:hAnsi="宋体" w:cs="宋体" w:eastAsia="宋体" w:hint="default"/>
                <w:sz w:val="18"/>
                <w:szCs w:val="18"/>
              </w:rPr>
              <w:t>化工产品</w:t>
            </w:r>
            <w:r>
              <w:rPr>
                <w:rFonts w:ascii="Times New Roman" w:hAnsi="Times New Roman" w:cs="Times New Roman" w:eastAsia="Times New Roman" w:hint="default"/>
                <w:sz w:val="18"/>
                <w:szCs w:val="18"/>
              </w:rPr>
              <w:t>(</w:t>
            </w:r>
            <w:r>
              <w:rPr>
                <w:rFonts w:ascii="宋体" w:hAnsi="宋体" w:cs="宋体" w:eastAsia="宋体" w:hint="default"/>
                <w:sz w:val="18"/>
                <w:szCs w:val="18"/>
              </w:rPr>
              <w:t>不</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含危险、剧毒、</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399994pt;margin-top:72.47998pt;width:74.05pt;height:204.9pt;mso-position-horizontal-relative:page;mso-position-vertical-relative:page;z-index:-15398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24.399994pt;margin-top:476.859985pt;width:74.05pt;height:179.4pt;mso-position-horizontal-relative:page;mso-position-vertical-relative:page;z-index:-1539784" type="#_x0000_t202" filled="false" stroked="false">
            <v:textbox inset="0,0,0,0">
              <w:txbxContent>
                <w:p>
                  <w:pPr>
                    <w:spacing w:before="12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30.579987pt;margin-top:456.669983pt;width:67.9pt;height:199.6pt;mso-position-horizontal-relative:page;mso-position-vertical-relative:page;z-index:-1539760" coordorigin="6612,9133" coordsize="1358,3992">
            <v:group style="position:absolute;left:6623;top:9145;width:2;height:393" coordorigin="6623,9145" coordsize="2,393">
              <v:shape style="position:absolute;left:6623;top:9145;width:2;height:393" coordorigin="6623,9145" coordsize="0,393" path="m6623,9145l6623,9537e" filled="false" stroked="true" strokeweight="1.140pt" strokecolor="#ffffff">
                <v:path arrowok="t"/>
              </v:shape>
            </v:group>
            <v:group style="position:absolute;left:6612;top:9537;width:1358;height:3588" coordorigin="6612,9537" coordsize="1358,3588">
              <v:shape style="position:absolute;left:6612;top:9537;width:1358;height:3588" coordorigin="6612,9537" coordsize="1358,3588" path="m6612,13125l7969,13125,7969,9537,6612,9537,6612,13125xe" filled="true" fillcolor="#ffffff" stroked="false">
                <v:path arrowok="t"/>
                <v:fill type="solid"/>
              </v:shape>
            </v:group>
            <v:group style="position:absolute;left:6634;top:9145;width:1312;height:393" coordorigin="6634,9145" coordsize="1312,393">
              <v:shape style="position:absolute;left:6634;top:9145;width:1312;height:393" coordorigin="6634,9145" coordsize="1312,393" path="m6634,9537l7946,9537,7946,9145,6634,9145,6634,953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17" w:hRule="exact"/>
        </w:trPr>
        <w:tc>
          <w:tcPr>
            <w:tcW w:w="1372"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监控、易制毒化</w:t>
            </w:r>
          </w:p>
        </w:tc>
        <w:tc>
          <w:tcPr>
            <w:tcW w:w="1367" w:type="dxa"/>
            <w:vMerge w:val="restart"/>
            <w:tcBorders>
              <w:top w:val="single" w:sz="4" w:space="0" w:color="000000"/>
              <w:left w:val="single" w:sz="4" w:space="0" w:color="000000"/>
              <w:right w:val="single" w:sz="4" w:space="0" w:color="000000"/>
            </w:tcBorders>
          </w:tcPr>
          <w:p>
            <w:pPr>
              <w:pStyle w:val="TableParagraph"/>
              <w:spacing w:line="4097"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1"/>
                <w:sz w:val="20"/>
                <w:szCs w:val="20"/>
              </w:rPr>
              <w:pict>
                <v:group style="width:67.9pt;height:204.9pt;mso-position-horizontal-relative:char;mso-position-vertical-relative:line" coordorigin="0,0" coordsize="1358,4098">
                  <v:group style="position:absolute;left:0;top:0;width:1358;height:4098" coordorigin="0,0" coordsize="1358,4098">
                    <v:shape style="position:absolute;left:0;top:0;width:1358;height:4098" coordorigin="0,0" coordsize="1358,4098" path="m0,4097l1357,4097,1357,0,0,0,0,4097xe" filled="true" fillcolor="#ffffff" stroked="false">
                      <v:path arrowok="t"/>
                      <v:fill type="solid"/>
                    </v:shape>
                  </v:group>
                </v:group>
              </w:pict>
            </w:r>
            <w:r>
              <w:rPr>
                <w:rFonts w:ascii="Times New Roman" w:hAnsi="Times New Roman" w:cs="Times New Roman" w:eastAsia="Times New Roman" w:hint="default"/>
                <w:position w:val="-81"/>
                <w:sz w:val="20"/>
                <w:szCs w:val="20"/>
              </w:rPr>
            </w:r>
          </w:p>
        </w:tc>
        <w:tc>
          <w:tcPr>
            <w:tcW w:w="1367"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r>
      <w:tr>
        <w:trPr>
          <w:trHeight w:val="317"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学品</w:t>
            </w:r>
            <w:r>
              <w:rPr>
                <w:rFonts w:ascii="Times New Roman" w:hAnsi="Times New Roman" w:cs="Times New Roman" w:eastAsia="Times New Roman" w:hint="default"/>
                <w:sz w:val="18"/>
                <w:szCs w:val="18"/>
              </w:rPr>
              <w:t>)</w:t>
            </w:r>
            <w:r>
              <w:rPr>
                <w:rFonts w:ascii="宋体" w:hAnsi="宋体" w:cs="宋体" w:eastAsia="宋体" w:hint="default"/>
                <w:sz w:val="18"/>
                <w:szCs w:val="18"/>
              </w:rPr>
              <w:t>、农业机</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07"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械、机电设备、</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变频和智能控制</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设备、电子产品</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球墨铸铁管、闸</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7"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门、建材</w:t>
            </w:r>
            <w:r>
              <w:rPr>
                <w:rFonts w:ascii="Times New Roman" w:hAnsi="Times New Roman" w:cs="Times New Roman" w:eastAsia="Times New Roman" w:hint="default"/>
                <w:sz w:val="18"/>
                <w:szCs w:val="18"/>
              </w:rPr>
              <w:t>(</w:t>
            </w:r>
            <w:r>
              <w:rPr>
                <w:rFonts w:ascii="宋体" w:hAnsi="宋体" w:cs="宋体" w:eastAsia="宋体" w:hint="default"/>
                <w:sz w:val="18"/>
                <w:szCs w:val="18"/>
              </w:rPr>
              <w:t>不含沙</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石料</w:t>
            </w:r>
            <w:r>
              <w:rPr>
                <w:rFonts w:ascii="Times New Roman" w:hAnsi="Times New Roman" w:cs="Times New Roman" w:eastAsia="Times New Roman" w:hint="default"/>
                <w:sz w:val="18"/>
                <w:szCs w:val="18"/>
              </w:rPr>
              <w:t>)</w:t>
            </w:r>
            <w:r>
              <w:rPr>
                <w:rFonts w:ascii="宋体" w:hAnsi="宋体" w:cs="宋体" w:eastAsia="宋体" w:hint="default"/>
                <w:sz w:val="18"/>
                <w:szCs w:val="18"/>
              </w:rPr>
              <w:t>的销售</w:t>
            </w:r>
            <w:r>
              <w:rPr>
                <w:rFonts w:ascii="Times New Roman" w:hAnsi="Times New Roman" w:cs="Times New Roman" w:eastAsia="Times New Roman" w:hint="default"/>
                <w:sz w:val="18"/>
                <w:szCs w:val="18"/>
              </w:rPr>
              <w:t>;</w:t>
            </w:r>
            <w:r>
              <w:rPr>
                <w:rFonts w:ascii="宋体" w:hAnsi="宋体" w:cs="宋体" w:eastAsia="宋体" w:hint="default"/>
                <w:sz w:val="18"/>
                <w:szCs w:val="18"/>
              </w:rPr>
              <w:t>货</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物进出口</w:t>
            </w:r>
            <w:r>
              <w:rPr>
                <w:rFonts w:ascii="Times New Roman" w:hAnsi="Times New Roman" w:cs="Times New Roman" w:eastAsia="Times New Roman" w:hint="default"/>
                <w:sz w:val="18"/>
                <w:szCs w:val="18"/>
              </w:rPr>
              <w:t>(</w:t>
            </w:r>
            <w:r>
              <w:rPr>
                <w:rFonts w:ascii="宋体" w:hAnsi="宋体" w:cs="宋体" w:eastAsia="宋体" w:hint="default"/>
                <w:sz w:val="18"/>
                <w:szCs w:val="18"/>
              </w:rPr>
              <w:t>依法</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须经批准的项目</w:t>
            </w:r>
            <w:r>
              <w:rPr>
                <w:rFonts w:ascii="Times New Roman" w:hAnsi="Times New Roman" w:cs="Times New Roman" w:eastAsia="Times New Roman" w:hint="default"/>
                <w:sz w:val="18"/>
                <w:szCs w:val="18"/>
              </w:rPr>
              <w:t>,</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07"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经相关部门批准</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3"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后方可开展经营</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57" w:hRule="exact"/>
        </w:trPr>
        <w:tc>
          <w:tcPr>
            <w:tcW w:w="1372"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活动</w:t>
            </w:r>
            <w:r>
              <w:rPr>
                <w:rFonts w:ascii="Times New Roman" w:hAnsi="Times New Roman" w:cs="Times New Roman" w:eastAsia="Times New Roman" w:hint="default"/>
                <w:sz w:val="18"/>
                <w:szCs w:val="18"/>
              </w:rPr>
              <w:t>)</w:t>
            </w: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天然水收集与分</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配；农业机械服</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务；供水设施安</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装、农田灌溉服</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务；农业技术推</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广服务；土壤检</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测；给排水管材</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及管件【聚氯乙</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5"/>
                <w:sz w:val="18"/>
                <w:szCs w:val="18"/>
              </w:rPr>
              <w:t>烯</w:t>
            </w:r>
            <w:r>
              <w:rPr>
                <w:rFonts w:ascii="宋体" w:hAnsi="宋体" w:cs="宋体" w:eastAsia="宋体" w:hint="default"/>
                <w:sz w:val="18"/>
                <w:szCs w:val="18"/>
              </w:rPr>
              <w:t>（</w:t>
            </w:r>
            <w:r>
              <w:rPr>
                <w:rFonts w:ascii="Times New Roman" w:hAnsi="Times New Roman" w:cs="Times New Roman" w:eastAsia="Times New Roman" w:hint="default"/>
                <w:spacing w:val="-1"/>
                <w:w w:val="99"/>
                <w:sz w:val="18"/>
                <w:szCs w:val="18"/>
              </w:rPr>
              <w:t>PV</w:t>
            </w:r>
            <w:r>
              <w:rPr>
                <w:rFonts w:ascii="Times New Roman" w:hAnsi="Times New Roman" w:cs="Times New Roman" w:eastAsia="Times New Roman" w:hint="default"/>
                <w:w w:val="99"/>
                <w:sz w:val="18"/>
                <w:szCs w:val="18"/>
              </w:rPr>
              <w:t>C</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聚丙</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1867"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沐禾威县农业供 水有限公司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威县</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河北省邢台市威 县经济开发区东 迎宾大道北侧、 巨腾商务中心 </w:t>
            </w:r>
            <w:r>
              <w:rPr>
                <w:rFonts w:ascii="Times New Roman" w:hAnsi="Times New Roman" w:cs="Times New Roman" w:eastAsia="Times New Roman" w:hint="default"/>
                <w:sz w:val="18"/>
                <w:szCs w:val="18"/>
              </w:rPr>
              <w:t>1002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烯（</w:t>
            </w:r>
            <w:r>
              <w:rPr>
                <w:rFonts w:ascii="Times New Roman" w:hAnsi="Times New Roman" w:cs="Times New Roman" w:eastAsia="Times New Roman" w:hint="default"/>
                <w:sz w:val="18"/>
                <w:szCs w:val="18"/>
              </w:rPr>
              <w:t>PP</w:t>
            </w:r>
            <w:r>
              <w:rPr>
                <w:rFonts w:ascii="宋体" w:hAnsi="宋体" w:cs="宋体" w:eastAsia="宋体" w:hint="default"/>
                <w:sz w:val="18"/>
                <w:szCs w:val="18"/>
              </w:rPr>
              <w:t>）聚乙烯</w:t>
            </w:r>
          </w:p>
          <w:p>
            <w:pPr>
              <w:pStyle w:val="TableParagraph"/>
              <w:spacing w:line="314" w:lineRule="auto" w:before="63"/>
              <w:ind w:left="22" w:right="42"/>
              <w:jc w:val="left"/>
              <w:rPr>
                <w:rFonts w:ascii="宋体" w:hAnsi="宋体" w:cs="宋体" w:eastAsia="宋体" w:hint="default"/>
                <w:sz w:val="18"/>
                <w:szCs w:val="18"/>
              </w:rPr>
            </w:pPr>
            <w:r>
              <w:rPr>
                <w:rFonts w:ascii="宋体" w:hAnsi="宋体" w:cs="宋体" w:eastAsia="宋体" w:hint="default"/>
                <w:spacing w:val="-21"/>
                <w:w w:val="99"/>
                <w:sz w:val="18"/>
                <w:szCs w:val="18"/>
              </w:rPr>
              <w:t>（</w:t>
            </w:r>
            <w:r>
              <w:rPr>
                <w:rFonts w:ascii="Times New Roman" w:hAnsi="Times New Roman" w:cs="Times New Roman" w:eastAsia="Times New Roman" w:hint="default"/>
                <w:spacing w:val="-21"/>
                <w:w w:val="99"/>
                <w:sz w:val="18"/>
                <w:szCs w:val="18"/>
              </w:rPr>
              <w:t>PE</w:t>
            </w:r>
            <w:r>
              <w:rPr>
                <w:rFonts w:ascii="宋体" w:hAnsi="宋体" w:cs="宋体" w:eastAsia="宋体" w:hint="default"/>
                <w:spacing w:val="-21"/>
                <w:w w:val="99"/>
                <w:sz w:val="18"/>
                <w:szCs w:val="18"/>
              </w:rPr>
              <w:t>）】、机电设</w:t>
            </w:r>
            <w:r>
              <w:rPr>
                <w:rFonts w:ascii="宋体" w:hAnsi="宋体" w:cs="宋体" w:eastAsia="宋体" w:hint="default"/>
                <w:spacing w:val="-82"/>
                <w:w w:val="99"/>
                <w:sz w:val="18"/>
                <w:szCs w:val="18"/>
              </w:rPr>
              <w:t> </w:t>
            </w:r>
            <w:r>
              <w:rPr>
                <w:rFonts w:ascii="宋体" w:hAnsi="宋体" w:cs="宋体" w:eastAsia="宋体" w:hint="default"/>
                <w:spacing w:val="-82"/>
                <w:w w:val="99"/>
                <w:sz w:val="18"/>
                <w:szCs w:val="18"/>
              </w:rPr>
            </w:r>
            <w:r>
              <w:rPr>
                <w:rFonts w:ascii="宋体" w:hAnsi="宋体" w:cs="宋体" w:eastAsia="宋体" w:hint="default"/>
                <w:sz w:val="18"/>
                <w:szCs w:val="18"/>
              </w:rPr>
              <w:t>备、灌溉设备制 </w:t>
            </w:r>
            <w:r>
              <w:rPr>
                <w:rFonts w:ascii="宋体" w:hAnsi="宋体" w:cs="宋体" w:eastAsia="宋体" w:hint="default"/>
                <w:spacing w:val="-6"/>
                <w:sz w:val="18"/>
                <w:szCs w:val="18"/>
              </w:rPr>
              <w:t>造、销售、安装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租赁；观光旅游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农业项目开发；</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在资质等级许可</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范围内从事水利</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水电工程、土石</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方工程、园林绿</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化工程施工</w:t>
            </w:r>
            <w:r>
              <w:rPr>
                <w:rFonts w:ascii="宋体" w:hAnsi="宋体" w:cs="宋体" w:eastAsia="宋体" w:hint="default"/>
                <w:spacing w:val="-129"/>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依</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法须经批准的项</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目，经相关部门</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批准后方可开展</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经营活动）</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节水设备研发及</w:t>
            </w: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77"/>
              <w:jc w:val="left"/>
              <w:rPr>
                <w:rFonts w:ascii="宋体" w:hAnsi="宋体" w:cs="宋体" w:eastAsia="宋体" w:hint="default"/>
                <w:sz w:val="18"/>
                <w:szCs w:val="18"/>
              </w:rPr>
            </w:pPr>
            <w:r>
              <w:rPr>
                <w:rFonts w:ascii="宋体" w:hAnsi="宋体" w:cs="宋体" w:eastAsia="宋体" w:hint="default"/>
                <w:sz w:val="18"/>
                <w:szCs w:val="18"/>
              </w:rPr>
              <w:t>赤峰沐原节水科 技有限公司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赤峰市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22" w:right="72"/>
              <w:jc w:val="both"/>
              <w:rPr>
                <w:rFonts w:ascii="宋体" w:hAnsi="宋体" w:cs="宋体" w:eastAsia="宋体" w:hint="default"/>
                <w:sz w:val="18"/>
                <w:szCs w:val="18"/>
              </w:rPr>
            </w:pPr>
            <w:r>
              <w:rPr>
                <w:rFonts w:ascii="宋体" w:hAnsi="宋体" w:cs="宋体" w:eastAsia="宋体" w:hint="default"/>
                <w:sz w:val="18"/>
                <w:szCs w:val="18"/>
              </w:rPr>
              <w:t>赤峰市红山区农 畜产品加工产业 园</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pacing w:val="-17"/>
                <w:sz w:val="18"/>
                <w:szCs w:val="18"/>
              </w:rPr>
              <w:t>技术转让。（依法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须经批准的项 目，经相关部门 批准后方可开展</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经营活动）</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399994pt;margin-top:232.999985pt;width:74.05pt;height:117pt;mso-position-horizontal-relative:page;mso-position-vertical-relative:page;z-index:-15396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24.399994pt;margin-top:369.619995pt;width:74.05pt;height:117.05pt;mso-position-horizontal-relative:page;mso-position-vertical-relative:page;z-index:-15396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24.399994pt;margin-top:487.119995pt;width:74.05pt;height:117pt;mso-position-horizontal-relative:page;mso-position-vertical-relative:page;z-index:-15396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24.399994pt;margin-top:623.73999pt;width:74.05pt;height:117.05pt;mso-position-horizontal-relative:page;mso-position-vertical-relative:page;z-index:-15396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30.579987pt;margin-top:369.619995pt;width:67.9pt;height:234.5pt;mso-position-horizontal-relative:page;mso-position-vertical-relative:page;z-index:-1539592" coordorigin="6612,7392" coordsize="1358,4690">
            <v:group style="position:absolute;left:6612;top:7392;width:1358;height:2341" coordorigin="6612,7392" coordsize="1358,2341">
              <v:shape style="position:absolute;left:6612;top:7392;width:1358;height:2341" coordorigin="6612,7392" coordsize="1358,2341" path="m6612,9733l7969,9733,7969,7392,6612,7392,6612,9733xe" filled="true" fillcolor="#ffffff" stroked="false">
                <v:path arrowok="t"/>
                <v:fill type="solid"/>
              </v:shape>
            </v:group>
            <v:group style="position:absolute;left:6612;top:9742;width:1358;height:2340" coordorigin="6612,9742" coordsize="1358,2340">
              <v:shape style="position:absolute;left:6612;top:9742;width:1358;height:2340" coordorigin="6612,9742" coordsize="1358,2340" path="m6612,12082l7969,12082,7969,9742,6612,9742,6612,1208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房地产开发经</w:t>
            </w:r>
          </w:p>
        </w:tc>
        <w:tc>
          <w:tcPr>
            <w:tcW w:w="1367" w:type="dxa"/>
            <w:vMerge w:val="restart"/>
            <w:tcBorders>
              <w:top w:val="single" w:sz="4" w:space="0" w:color="000000"/>
              <w:left w:val="single" w:sz="9" w:space="0" w:color="FFFFFF"/>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营；物业管理服</w:t>
            </w:r>
          </w:p>
        </w:tc>
        <w:tc>
          <w:tcPr>
            <w:tcW w:w="1367" w:type="dxa"/>
            <w:vMerge/>
            <w:tcBorders>
              <w:left w:val="single" w:sz="9" w:space="0" w:color="FFFFFF"/>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赤峰沐原置业有 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赤峰市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内蒙古自治区赤 峰市红山区桥北 镇姚家洼居委会 红山物流园区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7"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号商厅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01012</w:t>
            </w:r>
          </w:p>
        </w:tc>
        <w:tc>
          <w:tcPr>
            <w:tcW w:w="1367" w:type="dxa"/>
            <w:tcBorders>
              <w:top w:val="nil" w:sz="6" w:space="0" w:color="auto"/>
              <w:left w:val="single" w:sz="4" w:space="0" w:color="000000"/>
              <w:bottom w:val="nil" w:sz="6" w:space="0" w:color="auto"/>
              <w:right w:val="single" w:sz="9" w:space="0" w:color="FFFFFF"/>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务；展示展览服 务；信息咨询服 </w:t>
            </w:r>
            <w:r>
              <w:rPr>
                <w:rFonts w:ascii="宋体" w:hAnsi="宋体" w:cs="宋体" w:eastAsia="宋体" w:hint="default"/>
                <w:spacing w:val="-12"/>
                <w:sz w:val="18"/>
                <w:szCs w:val="18"/>
              </w:rPr>
              <w:t>务（不含中介）；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房屋租赁服务。</w:t>
            </w:r>
          </w:p>
          <w:p>
            <w:pPr>
              <w:pStyle w:val="TableParagraph"/>
              <w:spacing w:line="316" w:lineRule="auto" w:before="17"/>
              <w:ind w:left="22" w:right="65"/>
              <w:jc w:val="left"/>
              <w:rPr>
                <w:rFonts w:ascii="宋体" w:hAnsi="宋体" w:cs="宋体" w:eastAsia="宋体" w:hint="default"/>
                <w:sz w:val="18"/>
                <w:szCs w:val="18"/>
              </w:rPr>
            </w:pPr>
            <w:r>
              <w:rPr>
                <w:rFonts w:ascii="宋体" w:hAnsi="宋体" w:cs="宋体" w:eastAsia="宋体" w:hint="default"/>
                <w:sz w:val="18"/>
                <w:szCs w:val="18"/>
              </w:rPr>
              <w:t>（依法须经批准 的项目，经相关</w:t>
            </w:r>
          </w:p>
        </w:tc>
        <w:tc>
          <w:tcPr>
            <w:tcW w:w="1367" w:type="dxa"/>
            <w:vMerge/>
            <w:tcBorders>
              <w:left w:val="single" w:sz="9" w:space="0" w:color="FFFFFF"/>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部门批准后方可</w:t>
            </w:r>
          </w:p>
        </w:tc>
        <w:tc>
          <w:tcPr>
            <w:tcW w:w="1367" w:type="dxa"/>
            <w:vMerge/>
            <w:tcBorders>
              <w:left w:val="single" w:sz="9" w:space="0" w:color="FFFFFF"/>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开展经营活动）</w:t>
            </w:r>
          </w:p>
        </w:tc>
        <w:tc>
          <w:tcPr>
            <w:tcW w:w="1367" w:type="dxa"/>
            <w:vMerge/>
            <w:tcBorders>
              <w:left w:val="single" w:sz="9" w:space="0" w:color="FFFFFF"/>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生态环境治理；</w:t>
            </w:r>
          </w:p>
        </w:tc>
        <w:tc>
          <w:tcPr>
            <w:tcW w:w="1367" w:type="dxa"/>
            <w:vMerge w:val="restart"/>
            <w:tcBorders>
              <w:top w:val="single" w:sz="4" w:space="0" w:color="000000"/>
              <w:left w:val="single" w:sz="4" w:space="0" w:color="000000"/>
              <w:right w:val="single" w:sz="4" w:space="0" w:color="000000"/>
            </w:tcBorders>
          </w:tcPr>
          <w:p>
            <w:pPr>
              <w:pStyle w:val="TableParagraph"/>
              <w:spacing w:line="234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6"/>
                <w:sz w:val="20"/>
                <w:szCs w:val="20"/>
              </w:rPr>
              <w:pict>
                <v:group style="width:67.9pt;height:117pt;mso-position-horizontal-relative:char;mso-position-vertical-relative:line" coordorigin="0,0" coordsize="1358,2340">
                  <v:group style="position:absolute;left:0;top:0;width:1358;height:2340" coordorigin="0,0" coordsize="1358,2340">
                    <v:shape style="position:absolute;left:0;top:0;width:1358;height:2340" coordorigin="0,0" coordsize="1358,2340" path="m0,2340l1357,2340,1357,0,0,0,0,2340xe" filled="true" fillcolor="#ffffff" stroked="false">
                      <v:path arrowok="t"/>
                      <v:fill type="solid"/>
                    </v:shape>
                  </v:group>
                </v:group>
              </w:pict>
            </w:r>
            <w:r>
              <w:rPr>
                <w:rFonts w:ascii="Times New Roman" w:hAnsi="Times New Roman" w:cs="Times New Roman" w:eastAsia="Times New Roman" w:hint="default"/>
                <w:position w:val="-4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水资源管理；沙</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地治理；种树、</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种草、园林绿化</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环保工程施工；</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节水工程施工；</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77"/>
              <w:jc w:val="both"/>
              <w:rPr>
                <w:rFonts w:ascii="宋体" w:hAnsi="宋体" w:cs="宋体" w:eastAsia="宋体" w:hint="default"/>
                <w:sz w:val="18"/>
                <w:szCs w:val="18"/>
              </w:rPr>
            </w:pPr>
            <w:r>
              <w:rPr>
                <w:rFonts w:ascii="宋体" w:hAnsi="宋体" w:cs="宋体" w:eastAsia="宋体" w:hint="default"/>
                <w:sz w:val="18"/>
                <w:szCs w:val="18"/>
              </w:rPr>
              <w:t>翁牛特旗沐禾生 态环境治理有限 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赤峰市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72"/>
              <w:jc w:val="both"/>
              <w:rPr>
                <w:rFonts w:ascii="宋体" w:hAnsi="宋体" w:cs="宋体" w:eastAsia="宋体" w:hint="default"/>
                <w:sz w:val="18"/>
                <w:szCs w:val="18"/>
              </w:rPr>
            </w:pPr>
            <w:r>
              <w:rPr>
                <w:rFonts w:ascii="宋体" w:hAnsi="宋体" w:cs="宋体" w:eastAsia="宋体" w:hint="default"/>
                <w:sz w:val="18"/>
                <w:szCs w:val="18"/>
              </w:rPr>
              <w:t>翁牛特旗乌丹镇 玉龙工业园区北 区</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工程桥梁工程施 工；生态环境治 理技术推广、咨 询、服务；农业</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99.00%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技术推广、咨询</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w:t>
            </w:r>
            <w:r>
              <w:rPr>
                <w:rFonts w:ascii="宋体" w:hAnsi="宋体" w:cs="宋体" w:eastAsia="宋体" w:hint="default"/>
                <w:spacing w:val="-129"/>
                <w:sz w:val="18"/>
                <w:szCs w:val="18"/>
              </w:rPr>
              <w:t>。</w:t>
            </w:r>
            <w:r>
              <w:rPr>
                <w:rFonts w:ascii="宋体" w:hAnsi="宋体" w:cs="宋体" w:eastAsia="宋体" w:hint="default"/>
                <w:sz w:val="18"/>
                <w:szCs w:val="18"/>
              </w:rPr>
              <w:t>（依法</w:t>
            </w:r>
            <w:r>
              <w:rPr>
                <w:rFonts w:ascii="宋体" w:hAnsi="宋体" w:cs="宋体" w:eastAsia="宋体" w:hint="default"/>
                <w:spacing w:val="-2"/>
                <w:sz w:val="18"/>
                <w:szCs w:val="18"/>
              </w:rPr>
              <w:t>须</w:t>
            </w:r>
            <w:r>
              <w:rPr>
                <w:rFonts w:ascii="宋体" w:hAnsi="宋体" w:cs="宋体" w:eastAsia="宋体" w:hint="default"/>
                <w:sz w:val="18"/>
                <w:szCs w:val="18"/>
              </w:rPr>
              <w:t>经</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批准的项目，经</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相关部门批准后</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方可开展经营活</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生态环境治理；</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4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6"/>
                <w:sz w:val="20"/>
                <w:szCs w:val="20"/>
              </w:rPr>
              <w:pict>
                <v:group style="width:67.9pt;height:117.05pt;mso-position-horizontal-relative:char;mso-position-vertical-relative:line" coordorigin="0,0" coordsize="1358,2341">
                  <v:group style="position:absolute;left:0;top:0;width:1358;height:2341" coordorigin="0,0" coordsize="1358,2341">
                    <v:shape style="position:absolute;left:0;top:0;width:1358;height:2341" coordorigin="0,0" coordsize="1358,2341" path="m0,2340l1357,2340,1357,0,0,0,0,2340xe" filled="true" fillcolor="#ffffff" stroked="false">
                      <v:path arrowok="t"/>
                      <v:fill type="solid"/>
                    </v:shape>
                  </v:group>
                </v:group>
              </w:pict>
            </w:r>
            <w:r>
              <w:rPr>
                <w:rFonts w:ascii="Times New Roman" w:hAnsi="Times New Roman" w:cs="Times New Roman" w:eastAsia="Times New Roman" w:hint="default"/>
                <w:position w:val="-46"/>
                <w:sz w:val="20"/>
                <w:szCs w:val="20"/>
              </w:rPr>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水资源管理；沙</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地治理；种树；</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种草；园林绿化</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环保工程施工；</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9" w:lineRule="auto"/>
              <w:ind w:left="22" w:right="77"/>
              <w:jc w:val="both"/>
              <w:rPr>
                <w:rFonts w:ascii="宋体" w:hAnsi="宋体" w:cs="宋体" w:eastAsia="宋体" w:hint="default"/>
                <w:sz w:val="18"/>
                <w:szCs w:val="18"/>
              </w:rPr>
            </w:pPr>
            <w:r>
              <w:rPr>
                <w:rFonts w:ascii="宋体" w:hAnsi="宋体" w:cs="宋体" w:eastAsia="宋体" w:hint="default"/>
                <w:sz w:val="18"/>
                <w:szCs w:val="18"/>
              </w:rPr>
              <w:t>敖汉旗沐禾生态 环境治理有限公 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赤峰市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72"/>
              <w:jc w:val="both"/>
              <w:rPr>
                <w:rFonts w:ascii="宋体" w:hAnsi="宋体" w:cs="宋体" w:eastAsia="宋体" w:hint="default"/>
                <w:sz w:val="18"/>
                <w:szCs w:val="18"/>
              </w:rPr>
            </w:pPr>
            <w:r>
              <w:rPr>
                <w:rFonts w:ascii="宋体" w:hAnsi="宋体" w:cs="宋体" w:eastAsia="宋体" w:hint="default"/>
                <w:sz w:val="18"/>
                <w:szCs w:val="18"/>
              </w:rPr>
              <w:t>内蒙古自治区赤 峰市敖汉旗新惠 镇滨河街西新园 路南（秀水小区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组团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节水工程施工； 公路桥梁工程施 工；生态环境治 理技术推广、咨 询、服务；农业 </w:t>
            </w:r>
            <w:r>
              <w:rPr>
                <w:rFonts w:ascii="宋体" w:hAnsi="宋体" w:cs="宋体" w:eastAsia="宋体" w:hint="default"/>
                <w:spacing w:val="-6"/>
                <w:sz w:val="18"/>
                <w:szCs w:val="18"/>
              </w:rPr>
              <w:t>技术推广、咨询</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w:t>
            </w:r>
            <w:r>
              <w:rPr>
                <w:rFonts w:ascii="宋体" w:hAnsi="宋体" w:cs="宋体" w:eastAsia="宋体" w:hint="default"/>
                <w:spacing w:val="-129"/>
                <w:sz w:val="18"/>
                <w:szCs w:val="18"/>
              </w:rPr>
              <w:t>。</w:t>
            </w:r>
            <w:r>
              <w:rPr>
                <w:rFonts w:ascii="宋体" w:hAnsi="宋体" w:cs="宋体" w:eastAsia="宋体" w:hint="default"/>
                <w:sz w:val="18"/>
                <w:szCs w:val="18"/>
              </w:rPr>
              <w:t>（依法</w:t>
            </w:r>
            <w:r>
              <w:rPr>
                <w:rFonts w:ascii="宋体" w:hAnsi="宋体" w:cs="宋体" w:eastAsia="宋体" w:hint="default"/>
                <w:spacing w:val="-2"/>
                <w:sz w:val="18"/>
                <w:szCs w:val="18"/>
              </w:rPr>
              <w:t>须</w:t>
            </w:r>
            <w:r>
              <w:rPr>
                <w:rFonts w:ascii="宋体" w:hAnsi="宋体" w:cs="宋体" w:eastAsia="宋体" w:hint="default"/>
                <w:sz w:val="18"/>
                <w:szCs w:val="18"/>
              </w:rPr>
              <w:t>经</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批准的项目，经</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相关部门批准后</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方可开展经营活</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巴林左旗沐禾生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赤峰市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巴林左旗林东东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生态环境治理；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非同一控制下的</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399994pt;margin-top:72.47998pt;width:74.05pt;height:220.5pt;mso-position-horizontal-relative:page;mso-position-vertical-relative:page;z-index:-15395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24.399994pt;margin-top:293.419983pt;width:74.05pt;height:132.65pt;mso-position-horizontal-relative:page;mso-position-vertical-relative:page;z-index:-15395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30.579987pt;margin-top:72.47998pt;width:67.9pt;height:353.6pt;mso-position-horizontal-relative:page;mso-position-vertical-relative:page;z-index:-1539520" coordorigin="6612,1450" coordsize="1358,7072">
            <v:group style="position:absolute;left:6612;top:1450;width:1358;height:4410" coordorigin="6612,1450" coordsize="1358,4410">
              <v:shape style="position:absolute;left:6612;top:1450;width:1358;height:4410" coordorigin="6612,1450" coordsize="1358,4410" path="m6612,5859l7969,5859,7969,1450,6612,1450,6612,5859xe" filled="true" fillcolor="#ffffff" stroked="false">
                <v:path arrowok="t"/>
                <v:fill type="solid"/>
              </v:shape>
            </v:group>
            <v:group style="position:absolute;left:6612;top:5868;width:1358;height:2653" coordorigin="6612,5868" coordsize="1358,2653">
              <v:shape style="position:absolute;left:6612;top:5868;width:1358;height:2653" coordorigin="6612,5868" coordsize="1358,2653" path="m6612,8521l7969,8521,7969,5868,6612,5868,6612,852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18" w:hRule="exact"/>
        </w:trPr>
        <w:tc>
          <w:tcPr>
            <w:tcW w:w="13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态环境治理有限</w:t>
            </w: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城区东河路中段</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水资源管理；沙</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路东东和家园小</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地治理；种树；</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1-1-103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厅</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种草；园林绿化</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环保、节水、公</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路桥梁工程施</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工；生态环境治</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理技术推广、咨</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询、服务；农业</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技术推广、咨询</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w:t>
            </w:r>
            <w:r>
              <w:rPr>
                <w:rFonts w:ascii="宋体" w:hAnsi="宋体" w:cs="宋体" w:eastAsia="宋体" w:hint="default"/>
                <w:spacing w:val="-129"/>
                <w:sz w:val="18"/>
                <w:szCs w:val="18"/>
              </w:rPr>
              <w:t>。</w:t>
            </w:r>
            <w:r>
              <w:rPr>
                <w:rFonts w:ascii="宋体" w:hAnsi="宋体" w:cs="宋体" w:eastAsia="宋体" w:hint="default"/>
                <w:sz w:val="18"/>
                <w:szCs w:val="18"/>
              </w:rPr>
              <w:t>（依法</w:t>
            </w:r>
            <w:r>
              <w:rPr>
                <w:rFonts w:ascii="宋体" w:hAnsi="宋体" w:cs="宋体" w:eastAsia="宋体" w:hint="default"/>
                <w:spacing w:val="-2"/>
                <w:sz w:val="18"/>
                <w:szCs w:val="18"/>
              </w:rPr>
              <w:t>须</w:t>
            </w:r>
            <w:r>
              <w:rPr>
                <w:rFonts w:ascii="宋体" w:hAnsi="宋体" w:cs="宋体" w:eastAsia="宋体" w:hint="default"/>
                <w:sz w:val="18"/>
                <w:szCs w:val="18"/>
              </w:rPr>
              <w:t>经</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批准的项目，经</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相关部门批准后</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方可开展经营活</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生态环境治理及</w:t>
            </w: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技术推广、咨询</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服务；农村饮水</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灌溉；农业机械</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化肥、农膜、机</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电设备销售及进</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出口业务；水利</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1249"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77"/>
              <w:jc w:val="both"/>
              <w:rPr>
                <w:rFonts w:ascii="宋体" w:hAnsi="宋体" w:cs="宋体" w:eastAsia="宋体" w:hint="default"/>
                <w:sz w:val="18"/>
                <w:szCs w:val="18"/>
              </w:rPr>
            </w:pPr>
            <w:r>
              <w:rPr>
                <w:rFonts w:ascii="宋体" w:hAnsi="宋体" w:cs="宋体" w:eastAsia="宋体" w:hint="default"/>
                <w:sz w:val="18"/>
                <w:szCs w:val="18"/>
              </w:rPr>
              <w:t>巴林右旗京蓝沐 禾生态环境治理 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赤峰市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9" w:lineRule="auto" w:before="11"/>
              <w:ind w:left="22" w:right="72"/>
              <w:jc w:val="both"/>
              <w:rPr>
                <w:rFonts w:ascii="宋体" w:hAnsi="宋体" w:cs="宋体" w:eastAsia="宋体" w:hint="default"/>
                <w:sz w:val="18"/>
                <w:szCs w:val="18"/>
              </w:rPr>
            </w:pPr>
            <w:r>
              <w:rPr>
                <w:rFonts w:ascii="宋体" w:hAnsi="宋体" w:cs="宋体" w:eastAsia="宋体" w:hint="default"/>
                <w:sz w:val="18"/>
                <w:szCs w:val="18"/>
              </w:rPr>
              <w:t>内蒙古自治区赤 峰市巴林右旗大 板镇三区益和诺 尔街西段北侧</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水电工程施工； 农村用水井凿井 作业；水资源管 理；沙地治理；</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种树；种草；园</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林绿化、环保、</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公路桥梁施工。</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（依法须经批准</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的项目，经相关</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部门批准后方可</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开展经营活动）</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节水工程设备研</w:t>
            </w: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发生产销售及安</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7"/>
                <w:sz w:val="18"/>
                <w:szCs w:val="18"/>
              </w:rPr>
              <w:t>装、化工产品（不</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含危险化学品和</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吉林省沐禾节水 科技有限公司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白城</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72"/>
              <w:jc w:val="both"/>
              <w:rPr>
                <w:rFonts w:ascii="宋体" w:hAnsi="宋体" w:cs="宋体" w:eastAsia="宋体" w:hint="default"/>
                <w:sz w:val="18"/>
                <w:szCs w:val="18"/>
              </w:rPr>
            </w:pPr>
            <w:r>
              <w:rPr>
                <w:rFonts w:ascii="宋体" w:hAnsi="宋体" w:cs="宋体" w:eastAsia="宋体" w:hint="default"/>
                <w:sz w:val="18"/>
                <w:szCs w:val="18"/>
              </w:rPr>
              <w:t>白城工业园区辽 河路北、青海街 西</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6"/>
              <w:jc w:val="left"/>
              <w:rPr>
                <w:rFonts w:ascii="宋体" w:hAnsi="宋体" w:cs="宋体" w:eastAsia="宋体" w:hint="default"/>
                <w:sz w:val="18"/>
                <w:szCs w:val="18"/>
              </w:rPr>
            </w:pPr>
            <w:r>
              <w:rPr>
                <w:rFonts w:ascii="宋体" w:hAnsi="宋体" w:cs="宋体" w:eastAsia="宋体" w:hint="default"/>
                <w:spacing w:val="-12"/>
                <w:sz w:val="18"/>
                <w:szCs w:val="18"/>
              </w:rPr>
              <w:t>易制毒化学品）、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农业机械、机电 设备销售、塑料 管道研发生产销</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售及安装；水利</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工程施工</w:t>
            </w:r>
            <w:r>
              <w:rPr>
                <w:rFonts w:ascii="宋体" w:hAnsi="宋体" w:cs="宋体" w:eastAsia="宋体" w:hint="default"/>
                <w:spacing w:val="-129"/>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依</w:t>
            </w:r>
            <w:r>
              <w:rPr>
                <w:rFonts w:ascii="宋体" w:hAnsi="宋体" w:cs="宋体" w:eastAsia="宋体" w:hint="default"/>
                <w:sz w:val="18"/>
                <w:szCs w:val="18"/>
              </w:rPr>
              <w:t>法</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须经批准的项</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目，经相关部门</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399994pt;margin-top:106.199982pt;width:74.05pt;height:218.45pt;mso-position-horizontal-relative:page;mso-position-vertical-relative:page;z-index:-15394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92.343002pt;margin-top:563.139954pt;width:101.1pt;height:92.6pt;mso-position-horizontal-relative:page;mso-position-vertical-relative:page;z-index:-15394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42"/>
                    <w:ind w:left="0" w:right="0" w:firstLine="0"/>
                    <w:jc w:val="left"/>
                    <w:rPr>
                      <w:rFonts w:ascii="宋体" w:hAnsi="宋体" w:cs="宋体" w:eastAsia="宋体" w:hint="default"/>
                      <w:sz w:val="18"/>
                      <w:szCs w:val="18"/>
                    </w:rPr>
                  </w:pPr>
                  <w:r>
                    <w:rPr>
                      <w:rFonts w:ascii="宋体" w:hAnsi="宋体" w:cs="宋体" w:eastAsia="宋体" w:hint="default"/>
                      <w:sz w:val="18"/>
                      <w:szCs w:val="18"/>
                    </w:rPr>
                    <w:t>（中卫）</w:t>
                  </w:r>
                </w:p>
              </w:txbxContent>
            </v:textbox>
            <w10:wrap type="none"/>
          </v:shape>
        </w:pict>
      </w:r>
      <w:r>
        <w:rPr/>
        <w:pict>
          <v:group style="position:absolute;margin-left:125.540001pt;margin-top:563.139954pt;width:67.9pt;height:92.6pt;mso-position-horizontal-relative:page;mso-position-vertical-relative:page;z-index:-1539424" coordorigin="2511,11263" coordsize="1358,1852">
            <v:shape style="position:absolute;left:2511;top:11263;width:1358;height:1852" coordorigin="2511,11263" coordsize="1358,1852" path="m2511,13114l3868,13114,3868,11263,2511,11263,2511,1311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批准后方可开展 经营活动）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农业用水供应；</w:t>
            </w:r>
          </w:p>
        </w:tc>
        <w:tc>
          <w:tcPr>
            <w:tcW w:w="1367" w:type="dxa"/>
            <w:vMerge w:val="restart"/>
            <w:tcBorders>
              <w:top w:val="single" w:sz="4" w:space="0" w:color="000000"/>
              <w:left w:val="single" w:sz="4" w:space="0" w:color="000000"/>
              <w:right w:val="single" w:sz="4" w:space="0" w:color="000000"/>
            </w:tcBorders>
          </w:tcPr>
          <w:p>
            <w:pPr>
              <w:pStyle w:val="TableParagraph"/>
              <w:spacing w:line="43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6"/>
                <w:sz w:val="20"/>
                <w:szCs w:val="20"/>
              </w:rPr>
              <w:pict>
                <v:group style="width:67.9pt;height:218.45pt;mso-position-horizontal-relative:char;mso-position-vertical-relative:line" coordorigin="0,0" coordsize="1358,4369">
                  <v:group style="position:absolute;left:0;top:0;width:1358;height:4369" coordorigin="0,0" coordsize="1358,4369">
                    <v:shape style="position:absolute;left:0;top:0;width:1358;height:4369" coordorigin="0,0" coordsize="1358,4369" path="m0,4368l1357,4368,1357,0,0,0,0,4368xe" filled="true" fillcolor="#ffffff" stroked="false">
                      <v:path arrowok="t"/>
                      <v:fill type="solid"/>
                    </v:shape>
                  </v:group>
                </v:group>
              </w:pict>
            </w:r>
            <w:r>
              <w:rPr>
                <w:rFonts w:ascii="Times New Roman" w:hAnsi="Times New Roman" w:cs="Times New Roman" w:eastAsia="Times New Roman" w:hint="default"/>
                <w:position w:val="-8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农业供水工程施</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工及管理（打井</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除外</w:t>
            </w:r>
            <w:r>
              <w:rPr>
                <w:rFonts w:ascii="宋体" w:hAnsi="宋体" w:cs="宋体" w:eastAsia="宋体" w:hint="default"/>
                <w:spacing w:val="-90"/>
                <w:sz w:val="18"/>
                <w:szCs w:val="18"/>
              </w:rPr>
              <w:t>）</w:t>
            </w:r>
            <w:r>
              <w:rPr>
                <w:rFonts w:ascii="宋体" w:hAnsi="宋体" w:cs="宋体" w:eastAsia="宋体" w:hint="default"/>
                <w:spacing w:val="-39"/>
                <w:sz w:val="18"/>
                <w:szCs w:val="18"/>
              </w:rPr>
              <w:t>；</w:t>
            </w:r>
            <w:r>
              <w:rPr>
                <w:rFonts w:ascii="宋体" w:hAnsi="宋体" w:cs="宋体" w:eastAsia="宋体" w:hint="default"/>
                <w:sz w:val="18"/>
                <w:szCs w:val="18"/>
              </w:rPr>
              <w:t>农业</w:t>
            </w:r>
            <w:r>
              <w:rPr>
                <w:rFonts w:ascii="宋体" w:hAnsi="宋体" w:cs="宋体" w:eastAsia="宋体" w:hint="default"/>
                <w:spacing w:val="-2"/>
                <w:sz w:val="18"/>
                <w:szCs w:val="18"/>
              </w:rPr>
              <w:t>供</w:t>
            </w:r>
            <w:r>
              <w:rPr>
                <w:rFonts w:ascii="宋体" w:hAnsi="宋体" w:cs="宋体" w:eastAsia="宋体" w:hint="default"/>
                <w:sz w:val="18"/>
                <w:szCs w:val="18"/>
              </w:rPr>
              <w:t>水</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设备仪器销售、</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安装及维修养</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护；节水灌溉设</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备生产、销售、</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租赁；节水灌溉</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工程规划、设计</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施工；水利、水</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电工程设计、施</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工及维修养护；</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京蓝沐禾巨鹿田</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51"/>
              <w:jc w:val="center"/>
              <w:rPr>
                <w:rFonts w:ascii="宋体" w:hAnsi="宋体" w:cs="宋体" w:eastAsia="宋体" w:hint="default"/>
                <w:sz w:val="18"/>
                <w:szCs w:val="18"/>
              </w:rPr>
            </w:pPr>
            <w:r>
              <w:rPr>
                <w:rFonts w:ascii="宋体" w:hAnsi="宋体" w:cs="宋体" w:eastAsia="宋体" w:hint="default"/>
                <w:sz w:val="18"/>
                <w:szCs w:val="18"/>
              </w:rPr>
              <w:t>河北省邢台市巨</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河道综合治理、</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田通农业供水有</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邢台市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51"/>
              <w:jc w:val="center"/>
              <w:rPr>
                <w:rFonts w:ascii="宋体" w:hAnsi="宋体" w:cs="宋体" w:eastAsia="宋体" w:hint="default"/>
                <w:sz w:val="18"/>
                <w:szCs w:val="18"/>
              </w:rPr>
            </w:pPr>
            <w:r>
              <w:rPr>
                <w:rFonts w:ascii="宋体" w:hAnsi="宋体" w:cs="宋体" w:eastAsia="宋体" w:hint="default"/>
                <w:sz w:val="18"/>
                <w:szCs w:val="18"/>
              </w:rPr>
              <w:t>鹿县巨鹿镇富强</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开发、利用；绿</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89.28%</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40"/>
              <w:jc w:val="center"/>
              <w:rPr>
                <w:rFonts w:ascii="宋体" w:hAnsi="宋体" w:cs="宋体" w:eastAsia="宋体" w:hint="default"/>
                <w:sz w:val="18"/>
                <w:szCs w:val="18"/>
              </w:rPr>
            </w:pPr>
            <w:r>
              <w:rPr>
                <w:rFonts w:ascii="宋体" w:hAnsi="宋体" w:cs="宋体" w:eastAsia="宋体" w:hint="default"/>
                <w:sz w:val="18"/>
                <w:szCs w:val="18"/>
              </w:rPr>
              <w:t>东路北侧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化工程施工及工</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程管理；景观工</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程施工；农业机</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械服务；农业技</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术推广服务；节</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水灌溉技术服</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务；土壤检测；</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土地整理；观光</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旅游；农业项目</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w:t>
            </w:r>
            <w:r>
              <w:rPr>
                <w:rFonts w:ascii="宋体" w:hAnsi="宋体" w:cs="宋体" w:eastAsia="宋体" w:hint="default"/>
                <w:spacing w:val="-129"/>
                <w:sz w:val="18"/>
                <w:szCs w:val="18"/>
              </w:rPr>
              <w:t>。</w:t>
            </w:r>
            <w:r>
              <w:rPr>
                <w:rFonts w:ascii="宋体" w:hAnsi="宋体" w:cs="宋体" w:eastAsia="宋体" w:hint="default"/>
                <w:sz w:val="18"/>
                <w:szCs w:val="18"/>
              </w:rPr>
              <w:t>（依法</w:t>
            </w:r>
            <w:r>
              <w:rPr>
                <w:rFonts w:ascii="宋体" w:hAnsi="宋体" w:cs="宋体" w:eastAsia="宋体" w:hint="default"/>
                <w:spacing w:val="-2"/>
                <w:sz w:val="18"/>
                <w:szCs w:val="18"/>
              </w:rPr>
              <w:t>须</w:t>
            </w:r>
            <w:r>
              <w:rPr>
                <w:rFonts w:ascii="宋体" w:hAnsi="宋体" w:cs="宋体" w:eastAsia="宋体" w:hint="default"/>
                <w:sz w:val="18"/>
                <w:szCs w:val="18"/>
              </w:rPr>
              <w:t>经</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批准的项目，经</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相关部门批准后</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方可开展经营活</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灌溉服务；水源</w:t>
            </w: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及供水设施工程</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建筑；园林绿化</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工程；农村土地</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京蓝沐禾 灌溉服务有限公 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中卫市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2" w:lineRule="auto" w:before="147"/>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中卫市沙坡头区 文萃南路西侧美 利东方明珠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1E05</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整理服务；塑料 管材；农业机械 设备销售及售后 服务；农产品， 化肥，农膜，农</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药，机械设备；</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仪器仪表销售；</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网络商品现货交</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易；软件开发。</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399994pt;margin-top:137.399979pt;width:74.05pt;height:187.25pt;mso-position-horizontal-relative:page;mso-position-vertical-relative:page;z-index:-15393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24.399994pt;margin-top:531.940002pt;width:74.05pt;height:108.2pt;mso-position-horizontal-relative:page;mso-position-vertical-relative:page;z-index:-15393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63.380005pt;margin-top:674.320007pt;width:65.6pt;height:15.6pt;mso-position-horizontal-relative:page;mso-position-vertical-relative:page;z-index:-1539304" coordorigin="5268,13486" coordsize="1312,312">
            <v:shape style="position:absolute;left:5268;top:13486;width:1312;height:312" coordorigin="5268,13486" coordsize="1312,312" path="m5268,13798l6579,13798,6579,13486,5268,13486,5268,1379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17" w:hRule="exact"/>
        </w:trPr>
        <w:tc>
          <w:tcPr>
            <w:tcW w:w="1372"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（依法须经批准</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的项目，经相关</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3"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部门批准后方可</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57" w:hRule="exact"/>
        </w:trPr>
        <w:tc>
          <w:tcPr>
            <w:tcW w:w="1372"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开展经营活动）</w:t>
            </w: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农业供水、灌溉</w:t>
            </w:r>
          </w:p>
        </w:tc>
        <w:tc>
          <w:tcPr>
            <w:tcW w:w="1367" w:type="dxa"/>
            <w:vMerge w:val="restart"/>
            <w:tcBorders>
              <w:top w:val="single" w:sz="4" w:space="0" w:color="000000"/>
              <w:left w:val="single" w:sz="4" w:space="0" w:color="000000"/>
              <w:right w:val="single" w:sz="4" w:space="0" w:color="000000"/>
            </w:tcBorders>
          </w:tcPr>
          <w:p>
            <w:pPr>
              <w:pStyle w:val="TableParagraph"/>
              <w:spacing w:line="374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4"/>
                <w:sz w:val="20"/>
                <w:szCs w:val="20"/>
              </w:rPr>
              <w:pict>
                <v:group style="width:67.9pt;height:187.25pt;mso-position-horizontal-relative:char;mso-position-vertical-relative:line" coordorigin="0,0" coordsize="1358,3745">
                  <v:group style="position:absolute;left:0;top:0;width:1358;height:3745" coordorigin="0,0" coordsize="1358,3745">
                    <v:shape style="position:absolute;left:0;top:0;width:1358;height:3745" coordorigin="0,0" coordsize="1358,3745" path="m0,3744l1357,3744,1357,0,0,0,0,3744xe" filled="true" fillcolor="#ffffff" stroked="false">
                      <v:path arrowok="t"/>
                      <v:fill type="solid"/>
                    </v:shape>
                  </v:group>
                </v:group>
              </w:pict>
            </w:r>
            <w:r>
              <w:rPr>
                <w:rFonts w:ascii="Times New Roman" w:hAnsi="Times New Roman" w:cs="Times New Roman" w:eastAsia="Times New Roman" w:hint="default"/>
                <w:position w:val="-7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服务；给排水管</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材及管件制造、</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销售；喷灌设备</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微滴灌设备生</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产、销售及安装</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生态环境治理工</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程设计、建设、</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维护及咨询；水</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利、电力、农业</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77"/>
              <w:jc w:val="both"/>
              <w:rPr>
                <w:rFonts w:ascii="宋体" w:hAnsi="宋体" w:cs="宋体" w:eastAsia="宋体" w:hint="default"/>
                <w:sz w:val="18"/>
                <w:szCs w:val="18"/>
              </w:rPr>
            </w:pPr>
            <w:r>
              <w:rPr>
                <w:rFonts w:ascii="宋体" w:hAnsi="宋体" w:cs="宋体" w:eastAsia="宋体" w:hint="default"/>
                <w:sz w:val="18"/>
                <w:szCs w:val="18"/>
              </w:rPr>
              <w:t>京蓝沐禾（赤峰 市松山区）农业 供水有限公司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赤峰市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72"/>
              <w:jc w:val="both"/>
              <w:rPr>
                <w:rFonts w:ascii="宋体" w:hAnsi="宋体" w:cs="宋体" w:eastAsia="宋体" w:hint="default"/>
                <w:sz w:val="18"/>
                <w:szCs w:val="18"/>
              </w:rPr>
            </w:pPr>
            <w:r>
              <w:rPr>
                <w:rFonts w:ascii="宋体" w:hAnsi="宋体" w:cs="宋体" w:eastAsia="宋体" w:hint="default"/>
                <w:sz w:val="18"/>
                <w:szCs w:val="18"/>
              </w:rPr>
              <w:t>赤峰市新城区玉 龙大街南皇家帝 苑商业写字楼</w:t>
            </w:r>
          </w:p>
          <w:p>
            <w:pPr>
              <w:pStyle w:val="TableParagraph"/>
              <w:spacing w:line="240" w:lineRule="auto" w:before="20"/>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A-C </w:t>
            </w:r>
            <w:r>
              <w:rPr>
                <w:rFonts w:ascii="宋体" w:hAnsi="宋体" w:cs="宋体" w:eastAsia="宋体" w:hint="default"/>
                <w:sz w:val="18"/>
                <w:szCs w:val="18"/>
              </w:rPr>
              <w:t>段</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02076</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项目投资；农业 机械、化肥、农 膜、机电设备、 建筑材料销售； 进出口业务；水</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利、水电工程设</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计、施工制作、</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网围栏刺线制</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作、架设；林木</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种植培育经营、</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植树造林</w:t>
            </w:r>
            <w:r>
              <w:rPr>
                <w:rFonts w:ascii="宋体" w:hAnsi="宋体" w:cs="宋体" w:eastAsia="宋体" w:hint="default"/>
                <w:spacing w:val="-129"/>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依</w:t>
            </w:r>
            <w:r>
              <w:rPr>
                <w:rFonts w:ascii="宋体" w:hAnsi="宋体" w:cs="宋体" w:eastAsia="宋体" w:hint="default"/>
                <w:sz w:val="18"/>
                <w:szCs w:val="18"/>
              </w:rPr>
              <w:t>法</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须经批准的项</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目，经相关部门</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批准后方可开展</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经营活动）</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9" w:space="0" w:color="FFFFFF"/>
            </w:tcBorders>
          </w:tcPr>
          <w:p>
            <w:pPr/>
          </w:p>
        </w:tc>
        <w:tc>
          <w:tcPr>
            <w:tcW w:w="1367" w:type="dxa"/>
            <w:tcBorders>
              <w:top w:val="single" w:sz="4" w:space="0" w:color="000000"/>
              <w:left w:val="single" w:sz="9" w:space="0" w:color="FFFFFF"/>
              <w:bottom w:val="nil" w:sz="6" w:space="0" w:color="auto"/>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农业机械服务；</w:t>
            </w:r>
          </w:p>
        </w:tc>
        <w:tc>
          <w:tcPr>
            <w:tcW w:w="1367" w:type="dxa"/>
            <w:vMerge w:val="restart"/>
            <w:tcBorders>
              <w:top w:val="single" w:sz="4" w:space="0" w:color="000000"/>
              <w:left w:val="single" w:sz="4" w:space="0" w:color="000000"/>
              <w:right w:val="single" w:sz="4" w:space="0" w:color="000000"/>
            </w:tcBorders>
          </w:tcPr>
          <w:p>
            <w:pPr>
              <w:pStyle w:val="TableParagraph"/>
              <w:spacing w:line="216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2"/>
                <w:sz w:val="20"/>
                <w:szCs w:val="20"/>
              </w:rPr>
              <w:pict>
                <v:group style="width:67.9pt;height:108.2pt;mso-position-horizontal-relative:char;mso-position-vertical-relative:line" coordorigin="0,0" coordsize="1358,2164">
                  <v:group style="position:absolute;left:0;top:0;width:1358;height:2164" coordorigin="0,0" coordsize="1358,2164">
                    <v:shape style="position:absolute;left:0;top:0;width:1358;height:2164" coordorigin="0,0" coordsize="1358,2164" path="m0,2164l1357,2164,1357,0,0,0,0,2164xe" filled="true" fillcolor="#ffffff" stroked="false">
                      <v:path arrowok="t"/>
                      <v:fill type="solid"/>
                    </v:shape>
                  </v:group>
                </v:group>
              </w:pict>
            </w:r>
            <w:r>
              <w:rPr>
                <w:rFonts w:ascii="Times New Roman" w:hAnsi="Times New Roman" w:cs="Times New Roman" w:eastAsia="Times New Roman" w:hint="default"/>
                <w:position w:val="-42"/>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9" w:space="0" w:color="FFFFFF"/>
            </w:tcBorders>
          </w:tcPr>
          <w:p>
            <w:pPr/>
          </w:p>
        </w:tc>
        <w:tc>
          <w:tcPr>
            <w:tcW w:w="1367" w:type="dxa"/>
            <w:tcBorders>
              <w:top w:val="nil" w:sz="6" w:space="0" w:color="auto"/>
              <w:left w:val="single" w:sz="9"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农业自动化、信</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9" w:space="0" w:color="FFFFFF"/>
            </w:tcBorders>
          </w:tcPr>
          <w:p>
            <w:pPr/>
          </w:p>
        </w:tc>
        <w:tc>
          <w:tcPr>
            <w:tcW w:w="1367" w:type="dxa"/>
            <w:tcBorders>
              <w:top w:val="nil" w:sz="6" w:space="0" w:color="auto"/>
              <w:left w:val="single" w:sz="9"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息化服务；供水</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9" w:space="0" w:color="FFFFFF"/>
            </w:tcBorders>
          </w:tcPr>
          <w:p>
            <w:pPr/>
          </w:p>
        </w:tc>
        <w:tc>
          <w:tcPr>
            <w:tcW w:w="1367" w:type="dxa"/>
            <w:tcBorders>
              <w:top w:val="nil" w:sz="6" w:space="0" w:color="auto"/>
              <w:left w:val="single" w:sz="9"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设施安装；农业</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9" w:space="0" w:color="FFFFFF"/>
            </w:tcBorders>
          </w:tcPr>
          <w:p>
            <w:pPr/>
          </w:p>
        </w:tc>
        <w:tc>
          <w:tcPr>
            <w:tcW w:w="1367" w:type="dxa"/>
            <w:tcBorders>
              <w:top w:val="nil" w:sz="6" w:space="0" w:color="auto"/>
              <w:left w:val="single" w:sz="9"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灌溉服务；农业</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9" w:space="0" w:color="FFFFFF"/>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山东省聊城市东</w:t>
            </w:r>
          </w:p>
        </w:tc>
        <w:tc>
          <w:tcPr>
            <w:tcW w:w="1367" w:type="dxa"/>
            <w:tcBorders>
              <w:top w:val="nil" w:sz="6" w:space="0" w:color="auto"/>
              <w:left w:val="single" w:sz="9" w:space="0" w:color="FFFFFF"/>
              <w:bottom w:val="nil" w:sz="6" w:space="0" w:color="auto"/>
              <w:right w:val="single" w:sz="4" w:space="0" w:color="000000"/>
            </w:tcBorders>
          </w:tcPr>
          <w:p>
            <w:pPr>
              <w:pStyle w:val="TableParagraph"/>
              <w:spacing w:line="240" w:lineRule="auto" w:before="20"/>
              <w:ind w:left="16" w:right="0"/>
              <w:jc w:val="left"/>
              <w:rPr>
                <w:rFonts w:ascii="宋体" w:hAnsi="宋体" w:cs="宋体" w:eastAsia="宋体" w:hint="default"/>
                <w:sz w:val="18"/>
                <w:szCs w:val="18"/>
              </w:rPr>
            </w:pPr>
            <w:r>
              <w:rPr>
                <w:rFonts w:ascii="宋体" w:hAnsi="宋体" w:cs="宋体" w:eastAsia="宋体" w:hint="default"/>
                <w:sz w:val="18"/>
                <w:szCs w:val="18"/>
              </w:rPr>
              <w:t>技术推广服务；</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京蓝沐禾（东阿</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9" w:space="0" w:color="FFFFFF"/>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阿县牛角店镇驻</w:t>
            </w:r>
          </w:p>
        </w:tc>
        <w:tc>
          <w:tcPr>
            <w:tcW w:w="1367" w:type="dxa"/>
            <w:tcBorders>
              <w:top w:val="nil" w:sz="6" w:space="0" w:color="auto"/>
              <w:left w:val="single" w:sz="9" w:space="0" w:color="FFFFFF"/>
              <w:bottom w:val="nil" w:sz="6" w:space="0" w:color="auto"/>
              <w:right w:val="single" w:sz="4" w:space="0" w:color="000000"/>
            </w:tcBorders>
          </w:tcPr>
          <w:p>
            <w:pPr>
              <w:pStyle w:val="TableParagraph"/>
              <w:spacing w:line="240" w:lineRule="auto" w:before="20"/>
              <w:ind w:left="16" w:right="0"/>
              <w:jc w:val="left"/>
              <w:rPr>
                <w:rFonts w:ascii="宋体" w:hAnsi="宋体" w:cs="宋体" w:eastAsia="宋体" w:hint="default"/>
                <w:sz w:val="18"/>
                <w:szCs w:val="18"/>
              </w:rPr>
            </w:pPr>
            <w:r>
              <w:rPr>
                <w:rFonts w:ascii="宋体" w:hAnsi="宋体" w:cs="宋体" w:eastAsia="宋体" w:hint="default"/>
                <w:spacing w:val="-6"/>
                <w:sz w:val="18"/>
                <w:szCs w:val="18"/>
              </w:rPr>
              <w:t>土壤检测；农业</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县）节水灌溉科</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聊城市</w:t>
            </w:r>
          </w:p>
        </w:tc>
        <w:tc>
          <w:tcPr>
            <w:tcW w:w="1367" w:type="dxa"/>
            <w:tcBorders>
              <w:top w:val="nil" w:sz="6" w:space="0" w:color="auto"/>
              <w:left w:val="single" w:sz="4" w:space="0" w:color="000000"/>
              <w:bottom w:val="nil" w:sz="6" w:space="0" w:color="auto"/>
              <w:right w:val="single" w:sz="9" w:space="0" w:color="FFFFFF"/>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地（牛高路与聊</w:t>
            </w:r>
          </w:p>
        </w:tc>
        <w:tc>
          <w:tcPr>
            <w:tcW w:w="1367" w:type="dxa"/>
            <w:tcBorders>
              <w:top w:val="nil" w:sz="6" w:space="0" w:color="auto"/>
              <w:left w:val="single" w:sz="9" w:space="0" w:color="FFFFFF"/>
              <w:bottom w:val="nil" w:sz="6" w:space="0" w:color="auto"/>
              <w:right w:val="single" w:sz="4" w:space="0" w:color="000000"/>
            </w:tcBorders>
          </w:tcPr>
          <w:p>
            <w:pPr>
              <w:pStyle w:val="TableParagraph"/>
              <w:spacing w:line="240" w:lineRule="auto" w:before="20"/>
              <w:ind w:left="16" w:right="0"/>
              <w:jc w:val="left"/>
              <w:rPr>
                <w:rFonts w:ascii="宋体" w:hAnsi="宋体" w:cs="宋体" w:eastAsia="宋体" w:hint="default"/>
                <w:sz w:val="18"/>
                <w:szCs w:val="18"/>
              </w:rPr>
            </w:pPr>
            <w:r>
              <w:rPr>
                <w:rFonts w:ascii="宋体" w:hAnsi="宋体" w:cs="宋体" w:eastAsia="宋体" w:hint="default"/>
                <w:sz w:val="18"/>
                <w:szCs w:val="18"/>
              </w:rPr>
              <w:t>林业病虫害防治</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18"/>
                <w:szCs w:val="18"/>
              </w:rPr>
            </w:pPr>
            <w:r>
              <w:rPr>
                <w:rFonts w:ascii="Times New Roman"/>
                <w:sz w:val="18"/>
              </w:rPr>
              <w:t>69.09%</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9" w:space="0" w:color="FFFFFF"/>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城水务西街交叉</w:t>
            </w:r>
          </w:p>
        </w:tc>
        <w:tc>
          <w:tcPr>
            <w:tcW w:w="1367" w:type="dxa"/>
            <w:tcBorders>
              <w:top w:val="nil" w:sz="6" w:space="0" w:color="auto"/>
              <w:left w:val="single" w:sz="9" w:space="0" w:color="FFFFFF"/>
              <w:bottom w:val="nil" w:sz="6" w:space="0" w:color="auto"/>
              <w:right w:val="single" w:sz="4" w:space="0" w:color="000000"/>
            </w:tcBorders>
          </w:tcPr>
          <w:p>
            <w:pPr>
              <w:pStyle w:val="TableParagraph"/>
              <w:spacing w:line="240" w:lineRule="auto" w:before="20"/>
              <w:ind w:left="16" w:right="0"/>
              <w:jc w:val="left"/>
              <w:rPr>
                <w:rFonts w:ascii="宋体" w:hAnsi="宋体" w:cs="宋体" w:eastAsia="宋体" w:hint="default"/>
                <w:sz w:val="18"/>
                <w:szCs w:val="18"/>
              </w:rPr>
            </w:pPr>
            <w:r>
              <w:rPr>
                <w:rFonts w:ascii="宋体" w:hAnsi="宋体" w:cs="宋体" w:eastAsia="宋体" w:hint="default"/>
                <w:sz w:val="18"/>
                <w:szCs w:val="18"/>
              </w:rPr>
              <w:t>服务；电器机械</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2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9" w:space="0" w:color="FFFFFF"/>
            </w:tcBorders>
          </w:tcPr>
          <w:p>
            <w:pPr>
              <w:pStyle w:val="TableParagraph"/>
              <w:spacing w:line="240" w:lineRule="auto" w:before="1"/>
              <w:ind w:left="22" w:right="-39"/>
              <w:jc w:val="left"/>
              <w:rPr>
                <w:rFonts w:ascii="宋体" w:hAnsi="宋体" w:cs="宋体" w:eastAsia="宋体" w:hint="default"/>
                <w:sz w:val="18"/>
                <w:szCs w:val="18"/>
              </w:rPr>
            </w:pPr>
            <w:r>
              <w:rPr>
                <w:rFonts w:ascii="宋体" w:hAnsi="宋体" w:cs="宋体" w:eastAsia="宋体" w:hint="default"/>
                <w:sz w:val="18"/>
                <w:szCs w:val="18"/>
              </w:rPr>
              <w:t>口东</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9"/>
                <w:sz w:val="18"/>
                <w:szCs w:val="18"/>
              </w:rPr>
              <w:t> </w:t>
            </w:r>
            <w:r>
              <w:rPr>
                <w:rFonts w:ascii="宋体" w:hAnsi="宋体" w:cs="宋体" w:eastAsia="宋体" w:hint="default"/>
                <w:spacing w:val="-9"/>
                <w:sz w:val="18"/>
                <w:szCs w:val="18"/>
              </w:rPr>
              <w:t>米路北）</w:t>
            </w:r>
            <w:r>
              <w:rPr>
                <w:rFonts w:ascii="宋体" w:hAnsi="宋体" w:cs="宋体" w:eastAsia="宋体" w:hint="default"/>
                <w:sz w:val="18"/>
                <w:szCs w:val="18"/>
              </w:rPr>
            </w:r>
          </w:p>
        </w:tc>
        <w:tc>
          <w:tcPr>
            <w:tcW w:w="1367" w:type="dxa"/>
            <w:tcBorders>
              <w:top w:val="nil" w:sz="6" w:space="0" w:color="auto"/>
              <w:left w:val="single" w:sz="9" w:space="0" w:color="FFFFFF"/>
              <w:bottom w:val="nil" w:sz="6" w:space="0" w:color="auto"/>
              <w:right w:val="single" w:sz="4" w:space="0" w:color="000000"/>
            </w:tcBorders>
          </w:tcPr>
          <w:p>
            <w:pPr>
              <w:pStyle w:val="TableParagraph"/>
              <w:spacing w:line="240" w:lineRule="auto" w:before="19"/>
              <w:ind w:left="16" w:right="0"/>
              <w:jc w:val="left"/>
              <w:rPr>
                <w:rFonts w:ascii="宋体" w:hAnsi="宋体" w:cs="宋体" w:eastAsia="宋体" w:hint="default"/>
                <w:sz w:val="18"/>
                <w:szCs w:val="18"/>
              </w:rPr>
            </w:pPr>
            <w:r>
              <w:rPr>
                <w:rFonts w:ascii="宋体" w:hAnsi="宋体" w:cs="宋体" w:eastAsia="宋体" w:hint="default"/>
                <w:sz w:val="18"/>
                <w:szCs w:val="18"/>
              </w:rPr>
              <w:t>和器材、灌溉设</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9" w:space="0" w:color="FFFFFF"/>
            </w:tcBorders>
          </w:tcPr>
          <w:p>
            <w:pPr/>
          </w:p>
        </w:tc>
        <w:tc>
          <w:tcPr>
            <w:tcW w:w="1367" w:type="dxa"/>
            <w:tcBorders>
              <w:top w:val="nil" w:sz="6" w:space="0" w:color="auto"/>
              <w:left w:val="single" w:sz="9"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备制造、销售、</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9" w:space="0" w:color="FFFFFF"/>
            </w:tcBorders>
          </w:tcPr>
          <w:p>
            <w:pPr/>
          </w:p>
        </w:tc>
        <w:tc>
          <w:tcPr>
            <w:tcW w:w="1367" w:type="dxa"/>
            <w:tcBorders>
              <w:top w:val="nil" w:sz="6" w:space="0" w:color="auto"/>
              <w:left w:val="single" w:sz="9"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安装、租赁；给</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9" w:space="0" w:color="FFFFFF"/>
            </w:tcBorders>
          </w:tcPr>
          <w:p>
            <w:pPr/>
          </w:p>
        </w:tc>
        <w:tc>
          <w:tcPr>
            <w:tcW w:w="1367" w:type="dxa"/>
            <w:tcBorders>
              <w:top w:val="nil" w:sz="6" w:space="0" w:color="auto"/>
              <w:left w:val="single" w:sz="9"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排水管材及管件</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9" w:space="0" w:color="FFFFFF"/>
            </w:tcBorders>
          </w:tcPr>
          <w:p>
            <w:pPr/>
          </w:p>
        </w:tc>
        <w:tc>
          <w:tcPr>
            <w:tcW w:w="1367" w:type="dxa"/>
            <w:tcBorders>
              <w:top w:val="nil" w:sz="6" w:space="0" w:color="auto"/>
              <w:left w:val="single" w:sz="9"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制造、销售、安</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9" w:space="0" w:color="FFFFFF"/>
            </w:tcBorders>
          </w:tcPr>
          <w:p>
            <w:pPr/>
          </w:p>
        </w:tc>
        <w:tc>
          <w:tcPr>
            <w:tcW w:w="1367" w:type="dxa"/>
            <w:tcBorders>
              <w:top w:val="nil" w:sz="6" w:space="0" w:color="auto"/>
              <w:left w:val="single" w:sz="9" w:space="0" w:color="FFFFFF"/>
              <w:bottom w:val="single" w:sz="4" w:space="0" w:color="000000"/>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装；利用自有场</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2859"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地提供生态农业 观光服务；水利 水电工程；土石 方工程、园林绿 </w:t>
            </w:r>
            <w:r>
              <w:rPr>
                <w:rFonts w:ascii="宋体" w:hAnsi="宋体" w:cs="宋体" w:eastAsia="宋体" w:hint="default"/>
                <w:spacing w:val="-17"/>
                <w:sz w:val="18"/>
                <w:szCs w:val="18"/>
              </w:rPr>
              <w:t>化工程施工。（依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法须经批准的项 目，经相关部门 批准后方可开展 经营活动）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971"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9" w:lineRule="auto"/>
              <w:ind w:left="22" w:right="77"/>
              <w:jc w:val="both"/>
              <w:rPr>
                <w:rFonts w:ascii="宋体" w:hAnsi="宋体" w:cs="宋体" w:eastAsia="宋体" w:hint="default"/>
                <w:sz w:val="18"/>
                <w:szCs w:val="18"/>
              </w:rPr>
            </w:pPr>
            <w:r>
              <w:rPr>
                <w:rFonts w:ascii="宋体" w:hAnsi="宋体" w:cs="宋体" w:eastAsia="宋体" w:hint="default"/>
                <w:sz w:val="18"/>
                <w:szCs w:val="18"/>
              </w:rPr>
              <w:t>京蓝沐禾（贺兰 县）灌溉服务有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贺兰县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贺兰县全民创业 园兴胜巷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农业灌溉服务； 农田水利；农村 土地管理服务； 农业机械服务； 供水设施安装； 农业技术推广服 务；农业、林业 病虫害防治服 务；利用自有场 地提供生态农业 观光服务；农业 高效节水灌溉工 程建设与运营管 理；水电站、水 源工程建设与运 营管理；供水经 营调度及水利技 术咨询服务；水 源及供水设施工 程建筑；水权水 价交易；供排水 管网工程；水利 工程设计、施工 与工程管理；水 利水电工程、土 石方工程；园林 绿化工程施工； 给排水管材及管 件、机电设备及 灌溉产品制造、 销售、安装、租 赁；环境保护； 污水治理；水利 信息化、智能化 领域技术开发、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82.45%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107"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产品生产及销 售；农产品、化 肥、农膜，农机 配件类农业生产 资料销售；农业 机械设备销售及 售后服务；网络 商品现质交易； 软件开发（依法 须经批准的项 目，经相关部门 批准后方可开展 经营活动）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9723" w:hRule="exact"/>
        </w:trPr>
        <w:tc>
          <w:tcPr>
            <w:tcW w:w="1372"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22" w:right="72"/>
              <w:jc w:val="both"/>
              <w:rPr>
                <w:rFonts w:ascii="宋体" w:hAnsi="宋体" w:cs="宋体" w:eastAsia="宋体" w:hint="default"/>
                <w:sz w:val="18"/>
                <w:szCs w:val="18"/>
              </w:rPr>
            </w:pPr>
            <w:r>
              <w:rPr>
                <w:rFonts w:ascii="宋体" w:hAnsi="宋体" w:cs="宋体" w:eastAsia="宋体" w:hint="default"/>
                <w:spacing w:val="-5"/>
                <w:sz w:val="18"/>
                <w:szCs w:val="18"/>
              </w:rPr>
              <w:t>京蓝沐禾（丘北</w:t>
            </w:r>
            <w:r>
              <w:rPr>
                <w:rFonts w:ascii="宋体" w:hAnsi="宋体" w:cs="宋体" w:eastAsia="宋体" w:hint="default"/>
                <w:sz w:val="18"/>
                <w:szCs w:val="18"/>
              </w:rPr>
              <w:t> 节水灌溉有限责 任公司</w:t>
            </w:r>
          </w:p>
        </w:tc>
        <w:tc>
          <w:tcPr>
            <w:tcW w:w="1367"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196"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文山壮族苗族自</w:t>
            </w:r>
          </w:p>
          <w:p>
            <w:pPr>
              <w:pStyle w:val="TableParagraph"/>
              <w:spacing w:line="240" w:lineRule="auto" w:before="77"/>
              <w:ind w:left="16" w:right="0"/>
              <w:jc w:val="left"/>
              <w:rPr>
                <w:rFonts w:ascii="宋体" w:hAnsi="宋体" w:cs="宋体" w:eastAsia="宋体" w:hint="default"/>
                <w:sz w:val="18"/>
                <w:szCs w:val="18"/>
              </w:rPr>
            </w:pPr>
            <w:r>
              <w:rPr>
                <w:rFonts w:ascii="宋体" w:hAnsi="宋体" w:cs="宋体" w:eastAsia="宋体" w:hint="default"/>
                <w:sz w:val="18"/>
                <w:szCs w:val="18"/>
              </w:rPr>
              <w:t>治州</w:t>
            </w:r>
          </w:p>
          <w:p>
            <w:pPr>
              <w:pStyle w:val="TableParagraph"/>
              <w:spacing w:line="4856"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6"/>
                <w:sz w:val="20"/>
                <w:szCs w:val="20"/>
              </w:rPr>
              <w:pict>
                <v:group style="width:67.9pt;height:242.85pt;mso-position-horizontal-relative:char;mso-position-vertical-relative:line" coordorigin="0,0" coordsize="1358,4857">
                  <v:group style="position:absolute;left:0;top:0;width:1358;height:4504" coordorigin="0,0" coordsize="1358,4504">
                    <v:shape style="position:absolute;left:0;top:0;width:1358;height:4504" coordorigin="0,0" coordsize="1358,4504" path="m0,4504l1357,4504,1357,0,0,0,0,4504xe" filled="true" fillcolor="#ffffff" stroked="false">
                      <v:path arrowok="t"/>
                      <v:fill type="solid"/>
                    </v:shape>
                  </v:group>
                  <v:group style="position:absolute;left:23;top:4504;width:1311;height:353" coordorigin="23,4504" coordsize="1311,353">
                    <v:shape style="position:absolute;left:23;top:4504;width:1311;height:353" coordorigin="23,4504" coordsize="1311,353" path="m23,4857l1333,4857,1333,4504,23,4504,23,4857xe" filled="true" fillcolor="#ffffff" stroked="false">
                      <v:path arrowok="t"/>
                      <v:fill type="solid"/>
                    </v:shape>
                  </v:group>
                </v:group>
              </w:pict>
            </w:r>
            <w:r>
              <w:rPr>
                <w:rFonts w:ascii="Times New Roman" w:hAnsi="Times New Roman" w:cs="Times New Roman" w:eastAsia="Times New Roman" w:hint="default"/>
                <w:position w:val="-9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2"/>
                <w:szCs w:val="22"/>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3"/>
              <w:ind w:left="22" w:right="72"/>
              <w:jc w:val="both"/>
              <w:rPr>
                <w:rFonts w:ascii="宋体" w:hAnsi="宋体" w:cs="宋体" w:eastAsia="宋体" w:hint="default"/>
                <w:sz w:val="18"/>
                <w:szCs w:val="18"/>
              </w:rPr>
            </w:pPr>
            <w:r>
              <w:rPr>
                <w:rFonts w:ascii="宋体" w:hAnsi="宋体" w:cs="宋体" w:eastAsia="宋体" w:hint="default"/>
                <w:sz w:val="18"/>
                <w:szCs w:val="18"/>
              </w:rPr>
              <w:t>云南省文山壮族 苗族自治州丘北 县锦屏镇重阳街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农业灌溉服务； 农田水利；农村 土地管理服务； 农业机械服务； 供水设施安装； 农业技术推广服 务；农业、林业 病虫害防治服 务；利用自有场 地提供生态农业 观光服务；农业 高效节水灌溉工 程建设与运营管 理；水电站、水 源工程建设与运 营管理；供水经 营调度及水利技 术咨询服务；水 源及供水设施工 程建筑；水权水 价交易；供排水 管网工程；水利 工程设计、施工 与工程管理；水 利水电工程、土 石方工程；园林 绿化工程施工； 给排水管材及管 件、机电设备及 灌溉产品制造、 销售、安装、租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69.94%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399994pt;margin-top:340.219971pt;width:74.05pt;height:187.25pt;mso-position-horizontal-relative:page;mso-position-vertical-relative:page;z-index:-15392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17" w:hRule="exact"/>
        </w:trPr>
        <w:tc>
          <w:tcPr>
            <w:tcW w:w="1372"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赁；环境保护；</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污水治理；水利</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信息化、智能化</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领域技术开发、</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产品生产及销</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售；农产品、化</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肥、农膜，农机</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配件类农业生产</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资料销售；农业</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机械设备销售及</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售后服务；网络</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商品现质交易；</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软件开发（依法</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须经批准的项</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目，经相关部门</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3"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批准后方可开展</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57" w:hRule="exact"/>
        </w:trPr>
        <w:tc>
          <w:tcPr>
            <w:tcW w:w="1372"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经营活动）</w:t>
            </w: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灌溉活动；塑料</w:t>
            </w:r>
          </w:p>
        </w:tc>
        <w:tc>
          <w:tcPr>
            <w:tcW w:w="1367" w:type="dxa"/>
            <w:vMerge w:val="restart"/>
            <w:tcBorders>
              <w:top w:val="single" w:sz="4" w:space="0" w:color="000000"/>
              <w:left w:val="single" w:sz="4" w:space="0" w:color="000000"/>
              <w:right w:val="single" w:sz="4" w:space="0" w:color="000000"/>
            </w:tcBorders>
          </w:tcPr>
          <w:p>
            <w:pPr>
              <w:pStyle w:val="TableParagraph"/>
              <w:spacing w:line="374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4"/>
                <w:sz w:val="20"/>
                <w:szCs w:val="20"/>
              </w:rPr>
              <w:pict>
                <v:group style="width:67.9pt;height:187.25pt;mso-position-horizontal-relative:char;mso-position-vertical-relative:line" coordorigin="0,0" coordsize="1358,3745">
                  <v:group style="position:absolute;left:0;top:0;width:1358;height:3745" coordorigin="0,0" coordsize="1358,3745">
                    <v:shape style="position:absolute;left:0;top:0;width:1358;height:3745" coordorigin="0,0" coordsize="1358,3745" path="m0,3744l1357,3744,1357,0,0,0,0,3744xe" filled="true" fillcolor="#ffffff" stroked="false">
                      <v:path arrowok="t"/>
                      <v:fill type="solid"/>
                    </v:shape>
                  </v:group>
                </v:group>
              </w:pict>
            </w:r>
            <w:r>
              <w:rPr>
                <w:rFonts w:ascii="Times New Roman" w:hAnsi="Times New Roman" w:cs="Times New Roman" w:eastAsia="Times New Roman" w:hint="default"/>
                <w:position w:val="-7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管、板、型材制</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造；金属制品业</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农业机械活动；</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农作物病虫害防</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治活动；机械设</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备、五金产品及</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电子产品批发；</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建筑材料批发；</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工程技术与设计</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77"/>
              <w:jc w:val="both"/>
              <w:rPr>
                <w:rFonts w:ascii="宋体" w:hAnsi="宋体" w:cs="宋体" w:eastAsia="宋体" w:hint="default"/>
                <w:sz w:val="18"/>
                <w:szCs w:val="18"/>
              </w:rPr>
            </w:pPr>
            <w:r>
              <w:rPr>
                <w:rFonts w:ascii="宋体" w:hAnsi="宋体" w:cs="宋体" w:eastAsia="宋体" w:hint="default"/>
                <w:sz w:val="18"/>
                <w:szCs w:val="18"/>
              </w:rPr>
              <w:t>京蓝沐禾（宁城 县）农业供水有 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赤峰市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72"/>
              <w:jc w:val="both"/>
              <w:rPr>
                <w:rFonts w:ascii="宋体" w:hAnsi="宋体" w:cs="宋体" w:eastAsia="宋体" w:hint="default"/>
                <w:sz w:val="18"/>
                <w:szCs w:val="18"/>
              </w:rPr>
            </w:pPr>
            <w:r>
              <w:rPr>
                <w:rFonts w:ascii="宋体" w:hAnsi="宋体" w:cs="宋体" w:eastAsia="宋体" w:hint="default"/>
                <w:sz w:val="18"/>
                <w:szCs w:val="18"/>
              </w:rPr>
              <w:t>内蒙古自治区赤 峰市宁城县天义 镇园林路南段北 侧</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服务；技术推广 服务；水污染治 理；土壤污染治 理与修复服务； 水资源管理；水</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99.01%</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源及供水设施工</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程建设；管道工</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程建筑；管道和</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设备安装；电力</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工程施工；园林</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绿化工程施工</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（依法须经批准</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的项目，经相关</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部门批准后方可</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开展经营活动）</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京蓝北方园林</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（天津）有限公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天津市东丽区华 明高新技术产业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园林绿化工程； 土木工程；苗木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786" w:right="0"/>
              <w:jc w:val="left"/>
              <w:rPr>
                <w:rFonts w:ascii="Times New Roman" w:hAnsi="Times New Roman" w:cs="Times New Roman" w:eastAsia="Times New Roman" w:hint="default"/>
                <w:sz w:val="18"/>
                <w:szCs w:val="18"/>
              </w:rPr>
            </w:pPr>
            <w:r>
              <w:rPr>
                <w:rFonts w:ascii="Times New Roman"/>
                <w:sz w:val="18"/>
              </w:rPr>
              <w:t>90.11%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非同一控制下的</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399994pt;margin-top:516.339966pt;width:74.05pt;height:116pt;mso-position-horizontal-relative:page;mso-position-vertical-relative:page;z-index:-15391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6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22" w:hRule="exact"/>
        </w:trPr>
        <w:tc>
          <w:tcPr>
            <w:tcW w:w="13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区华明大道</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的培育、栽植和</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306"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销售（种子除</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6"/>
              <w:jc w:val="left"/>
              <w:rPr>
                <w:rFonts w:ascii="宋体" w:hAnsi="宋体" w:cs="宋体" w:eastAsia="宋体" w:hint="default"/>
                <w:sz w:val="18"/>
                <w:szCs w:val="18"/>
              </w:rPr>
            </w:pPr>
            <w:r>
              <w:rPr>
                <w:rFonts w:ascii="宋体" w:hAnsi="宋体" w:cs="宋体" w:eastAsia="宋体" w:hint="default"/>
                <w:sz w:val="18"/>
                <w:szCs w:val="18"/>
              </w:rPr>
              <w:t>外</w:t>
            </w:r>
            <w:r>
              <w:rPr>
                <w:rFonts w:ascii="宋体" w:hAnsi="宋体" w:cs="宋体" w:eastAsia="宋体" w:hint="default"/>
                <w:spacing w:val="-90"/>
                <w:sz w:val="18"/>
                <w:szCs w:val="18"/>
              </w:rPr>
              <w:t>）</w:t>
            </w:r>
            <w:r>
              <w:rPr>
                <w:rFonts w:ascii="宋体" w:hAnsi="宋体" w:cs="宋体" w:eastAsia="宋体" w:hint="default"/>
                <w:sz w:val="18"/>
                <w:szCs w:val="18"/>
              </w:rPr>
              <w:t>；保洁环卫；</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绿化养管及技术</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咨询</w:t>
            </w:r>
            <w:r>
              <w:rPr>
                <w:rFonts w:ascii="宋体" w:hAnsi="宋体" w:cs="宋体" w:eastAsia="宋体" w:hint="default"/>
                <w:spacing w:val="-129"/>
                <w:sz w:val="18"/>
                <w:szCs w:val="18"/>
              </w:rPr>
              <w:t>。</w:t>
            </w:r>
            <w:r>
              <w:rPr>
                <w:rFonts w:ascii="宋体" w:hAnsi="宋体" w:cs="宋体" w:eastAsia="宋体" w:hint="default"/>
                <w:sz w:val="18"/>
                <w:szCs w:val="18"/>
              </w:rPr>
              <w:t>（以上</w:t>
            </w:r>
            <w:r>
              <w:rPr>
                <w:rFonts w:ascii="宋体" w:hAnsi="宋体" w:cs="宋体" w:eastAsia="宋体" w:hint="default"/>
                <w:spacing w:val="-2"/>
                <w:sz w:val="18"/>
                <w:szCs w:val="18"/>
              </w:rPr>
              <w:t>经</w:t>
            </w:r>
            <w:r>
              <w:rPr>
                <w:rFonts w:ascii="宋体" w:hAnsi="宋体" w:cs="宋体" w:eastAsia="宋体" w:hint="default"/>
                <w:sz w:val="18"/>
                <w:szCs w:val="18"/>
              </w:rPr>
              <w:t>营</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范围涉及行业许</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可的凭许可证</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件，在有效期限</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内经营，国家有</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专项专营规定的</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按规定办理</w:t>
            </w:r>
            <w:r>
              <w:rPr>
                <w:rFonts w:ascii="宋体" w:hAnsi="宋体" w:cs="宋体" w:eastAsia="宋体" w:hint="default"/>
                <w:spacing w:val="-129"/>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依</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法须经批准的项</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目，经相关部门</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批准后方可开展</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经营活动）</w:t>
            </w: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市政公用行业、</w:t>
            </w: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风景园林工程设</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计；规划设计；</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工程咨询；资源</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6"/>
              <w:ind w:left="22" w:right="77"/>
              <w:jc w:val="both"/>
              <w:rPr>
                <w:rFonts w:ascii="宋体" w:hAnsi="宋体" w:cs="宋体" w:eastAsia="宋体" w:hint="default"/>
                <w:sz w:val="18"/>
                <w:szCs w:val="18"/>
              </w:rPr>
            </w:pPr>
            <w:r>
              <w:rPr>
                <w:rFonts w:ascii="宋体" w:hAnsi="宋体" w:cs="宋体" w:eastAsia="宋体" w:hint="default"/>
                <w:sz w:val="18"/>
                <w:szCs w:val="18"/>
              </w:rPr>
              <w:t>天津市北方园林 市政工程设计院 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2" w:lineRule="auto"/>
              <w:ind w:left="22" w:right="22"/>
              <w:jc w:val="both"/>
              <w:rPr>
                <w:rFonts w:ascii="宋体" w:hAnsi="宋体" w:cs="宋体" w:eastAsia="宋体" w:hint="default"/>
                <w:sz w:val="18"/>
                <w:szCs w:val="18"/>
              </w:rPr>
            </w:pPr>
            <w:r>
              <w:rPr>
                <w:rFonts w:ascii="宋体" w:hAnsi="宋体" w:cs="宋体" w:eastAsia="宋体" w:hint="default"/>
                <w:sz w:val="18"/>
                <w:szCs w:val="18"/>
              </w:rPr>
              <w:t>天津市东丽区华 明工业园华明大 道</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号北方大厦 四层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与环境技术科研 </w:t>
            </w:r>
            <w:r>
              <w:rPr>
                <w:rFonts w:ascii="宋体" w:hAnsi="宋体" w:cs="宋体" w:eastAsia="宋体" w:hint="default"/>
                <w:spacing w:val="-17"/>
                <w:sz w:val="18"/>
                <w:szCs w:val="18"/>
              </w:rPr>
              <w:t>开发与咨询。（以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上经营范围涉及 行业许可的凭许 可证件，在有效</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90.11%</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期限内经营，国</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家有专项专营规</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定的按规定办</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园林绿化土壤改</w:t>
            </w:r>
          </w:p>
        </w:tc>
        <w:tc>
          <w:tcPr>
            <w:tcW w:w="1367" w:type="dxa"/>
            <w:vMerge w:val="restart"/>
            <w:tcBorders>
              <w:top w:val="single" w:sz="4" w:space="0" w:color="000000"/>
              <w:left w:val="single" w:sz="4" w:space="0" w:color="000000"/>
              <w:right w:val="single" w:sz="4" w:space="0" w:color="000000"/>
            </w:tcBorders>
          </w:tcPr>
          <w:p>
            <w:pPr>
              <w:pStyle w:val="TableParagraph"/>
              <w:spacing w:line="231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5"/>
                <w:sz w:val="20"/>
                <w:szCs w:val="20"/>
              </w:rPr>
              <w:pict>
                <v:group style="width:67.9pt;height:116pt;mso-position-horizontal-relative:char;mso-position-vertical-relative:line" coordorigin="0,0" coordsize="1358,2320">
                  <v:group style="position:absolute;left:0;top:0;width:1358;height:2320" coordorigin="0,0" coordsize="1358,2320">
                    <v:shape style="position:absolute;left:0;top:0;width:1358;height:2320" coordorigin="0,0" coordsize="1358,2320" path="m0,2320l1357,2320,1357,0,0,0,0,2320xe" filled="true" fillcolor="#ffffff" stroked="false">
                      <v:path arrowok="t"/>
                      <v:fill type="solid"/>
                    </v:shape>
                  </v:group>
                </v:group>
              </w:pict>
            </w:r>
            <w:r>
              <w:rPr>
                <w:rFonts w:ascii="Times New Roman" w:hAnsi="Times New Roman" w:cs="Times New Roman" w:eastAsia="Times New Roman" w:hint="default"/>
                <w:position w:val="-4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良及土壤污染修</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复技术的研究与</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开发；园林植物</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新品种的引进与</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选育，植物培育</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施工及养护管理</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77"/>
              <w:jc w:val="left"/>
              <w:rPr>
                <w:rFonts w:ascii="宋体" w:hAnsi="宋体" w:cs="宋体" w:eastAsia="宋体" w:hint="default"/>
                <w:sz w:val="18"/>
                <w:szCs w:val="18"/>
              </w:rPr>
            </w:pPr>
            <w:r>
              <w:rPr>
                <w:rFonts w:ascii="宋体" w:hAnsi="宋体" w:cs="宋体" w:eastAsia="宋体" w:hint="default"/>
                <w:sz w:val="18"/>
                <w:szCs w:val="18"/>
              </w:rPr>
              <w:t>天津市北方生态 环境工程研究院</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72"/>
              <w:jc w:val="left"/>
              <w:rPr>
                <w:rFonts w:ascii="宋体" w:hAnsi="宋体" w:cs="宋体" w:eastAsia="宋体" w:hint="default"/>
                <w:sz w:val="18"/>
                <w:szCs w:val="18"/>
              </w:rPr>
            </w:pPr>
            <w:r>
              <w:rPr>
                <w:rFonts w:ascii="宋体" w:hAnsi="宋体" w:cs="宋体" w:eastAsia="宋体" w:hint="default"/>
                <w:sz w:val="18"/>
                <w:szCs w:val="18"/>
              </w:rPr>
              <w:t>天津市河东区卫 国道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72"/>
              <w:jc w:val="left"/>
              <w:rPr>
                <w:rFonts w:ascii="宋体" w:hAnsi="宋体" w:cs="宋体" w:eastAsia="宋体" w:hint="default"/>
                <w:sz w:val="18"/>
                <w:szCs w:val="18"/>
              </w:rPr>
            </w:pPr>
            <w:r>
              <w:rPr>
                <w:rFonts w:ascii="宋体" w:hAnsi="宋体" w:cs="宋体" w:eastAsia="宋体" w:hint="default"/>
                <w:sz w:val="18"/>
                <w:szCs w:val="18"/>
              </w:rPr>
              <w:t>技术的研究与开 发；水环境污染</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90.11%</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治理及生态修复</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技术的开发；城</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市及农村生活垃</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圾、餐厨垃圾资</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源化技术的开</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发，秸秆资源化</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技术、城市污泥</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399994pt;margin-top:628.539978pt;width:74.05pt;height:139.4pt;mso-position-horizontal-relative:page;mso-position-vertical-relative:page;z-index:-15391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17" w:hRule="exact"/>
        </w:trPr>
        <w:tc>
          <w:tcPr>
            <w:tcW w:w="1372"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资源化技术、畜</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禽粪便资源化技</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术的研究与开</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发；新能源技术</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的研究、应用与</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开发；技术咨询</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与服务</w:t>
            </w:r>
            <w:r>
              <w:rPr>
                <w:rFonts w:ascii="宋体" w:hAnsi="宋体" w:cs="宋体" w:eastAsia="宋体" w:hint="default"/>
                <w:spacing w:val="-129"/>
                <w:sz w:val="18"/>
                <w:szCs w:val="18"/>
              </w:rPr>
              <w:t>。</w:t>
            </w:r>
            <w:r>
              <w:rPr>
                <w:rFonts w:ascii="宋体" w:hAnsi="宋体" w:cs="宋体" w:eastAsia="宋体" w:hint="default"/>
                <w:sz w:val="18"/>
                <w:szCs w:val="18"/>
              </w:rPr>
              <w:t>（国</w:t>
            </w:r>
            <w:r>
              <w:rPr>
                <w:rFonts w:ascii="宋体" w:hAnsi="宋体" w:cs="宋体" w:eastAsia="宋体" w:hint="default"/>
                <w:spacing w:val="-2"/>
                <w:sz w:val="18"/>
                <w:szCs w:val="18"/>
              </w:rPr>
              <w:t>家</w:t>
            </w:r>
            <w:r>
              <w:rPr>
                <w:rFonts w:ascii="宋体" w:hAnsi="宋体" w:cs="宋体" w:eastAsia="宋体" w:hint="default"/>
                <w:sz w:val="18"/>
                <w:szCs w:val="18"/>
              </w:rPr>
              <w:t>法</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3"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律法规需要认证</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57" w:hRule="exact"/>
        </w:trPr>
        <w:tc>
          <w:tcPr>
            <w:tcW w:w="1372"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许可的除外）</w:t>
            </w: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以自有资产对生</w:t>
            </w: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态建设进行投</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资、城市基础建</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设项目的投资、</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规划、设计、施</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工；公用设施养</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77"/>
              <w:jc w:val="both"/>
              <w:rPr>
                <w:rFonts w:ascii="宋体" w:hAnsi="宋体" w:cs="宋体" w:eastAsia="宋体" w:hint="default"/>
                <w:sz w:val="18"/>
                <w:szCs w:val="18"/>
              </w:rPr>
            </w:pPr>
            <w:r>
              <w:rPr>
                <w:rFonts w:ascii="宋体" w:hAnsi="宋体" w:cs="宋体" w:eastAsia="宋体" w:hint="default"/>
                <w:sz w:val="18"/>
                <w:szCs w:val="18"/>
              </w:rPr>
              <w:t>天津东丽湖生态 建设投资有限公 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72"/>
              <w:jc w:val="left"/>
              <w:rPr>
                <w:rFonts w:ascii="宋体" w:hAnsi="宋体" w:cs="宋体" w:eastAsia="宋体" w:hint="default"/>
                <w:sz w:val="18"/>
                <w:szCs w:val="18"/>
              </w:rPr>
            </w:pPr>
            <w:r>
              <w:rPr>
                <w:rFonts w:ascii="宋体" w:hAnsi="宋体" w:cs="宋体" w:eastAsia="宋体" w:hint="default"/>
                <w:sz w:val="18"/>
                <w:szCs w:val="18"/>
              </w:rPr>
              <w:t>东丽区东丽湖度 假区</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护及管理，物业 管理；建筑项目 咨询，建筑项目 </w:t>
            </w:r>
            <w:r>
              <w:rPr>
                <w:rFonts w:ascii="宋体" w:hAnsi="宋体" w:cs="宋体" w:eastAsia="宋体" w:hint="default"/>
                <w:spacing w:val="-17"/>
                <w:sz w:val="18"/>
                <w:szCs w:val="18"/>
              </w:rPr>
              <w:t>招投标代理。（涉</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85.60%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及国家有关专项</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专营规定的，按</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规定执行，涉及</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行业许可的，凭</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许可证或批准文</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件经营）</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土壤和水污染生</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78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5"/>
                <w:sz w:val="20"/>
                <w:szCs w:val="20"/>
              </w:rPr>
              <w:pict>
                <v:group style="width:67.9pt;height:139.4pt;mso-position-horizontal-relative:char;mso-position-vertical-relative:line" coordorigin="0,0" coordsize="1358,2788">
                  <v:group style="position:absolute;left:0;top:0;width:1358;height:2788" coordorigin="0,0" coordsize="1358,2788">
                    <v:shape style="position:absolute;left:0;top:0;width:1358;height:2788" coordorigin="0,0" coordsize="1358,2788" path="m0,2788l1357,2788,1357,0,0,0,0,2788xe" filled="true" fillcolor="#ffffff" stroked="false">
                      <v:path arrowok="t"/>
                      <v:fill type="solid"/>
                    </v:shape>
                  </v:group>
                </v:group>
              </w:pict>
            </w:r>
            <w:r>
              <w:rPr>
                <w:rFonts w:ascii="Times New Roman" w:hAnsi="Times New Roman" w:cs="Times New Roman" w:eastAsia="Times New Roman" w:hint="default"/>
                <w:position w:val="-55"/>
                <w:sz w:val="20"/>
                <w:szCs w:val="20"/>
              </w:rPr>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态修复技术研发</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和服务；景观水</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体净化设备及药</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剂（不含危险物</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品）的研发和销</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售；园林景观设</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施的研发和销</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77"/>
              <w:jc w:val="both"/>
              <w:rPr>
                <w:rFonts w:ascii="宋体" w:hAnsi="宋体" w:cs="宋体" w:eastAsia="宋体" w:hint="default"/>
                <w:sz w:val="18"/>
                <w:szCs w:val="18"/>
              </w:rPr>
            </w:pPr>
            <w:r>
              <w:rPr>
                <w:rFonts w:ascii="宋体" w:hAnsi="宋体" w:cs="宋体" w:eastAsia="宋体" w:hint="default"/>
                <w:sz w:val="18"/>
                <w:szCs w:val="18"/>
              </w:rPr>
              <w:t>天津市北方绿业 生态科技有限公 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09" w:lineRule="auto" w:before="1"/>
              <w:ind w:left="22" w:right="29"/>
              <w:jc w:val="both"/>
              <w:rPr>
                <w:rFonts w:ascii="宋体" w:hAnsi="宋体" w:cs="宋体" w:eastAsia="宋体" w:hint="default"/>
                <w:sz w:val="18"/>
                <w:szCs w:val="18"/>
              </w:rPr>
            </w:pPr>
            <w:r>
              <w:rPr>
                <w:rFonts w:ascii="宋体" w:hAnsi="宋体" w:cs="宋体" w:eastAsia="宋体" w:hint="default"/>
                <w:sz w:val="18"/>
                <w:szCs w:val="18"/>
              </w:rPr>
              <w:t>天津市东丽区华 明街华明大道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72"/>
              <w:jc w:val="both"/>
              <w:rPr>
                <w:rFonts w:ascii="宋体" w:hAnsi="宋体" w:cs="宋体" w:eastAsia="宋体" w:hint="default"/>
                <w:sz w:val="18"/>
                <w:szCs w:val="18"/>
              </w:rPr>
            </w:pPr>
            <w:r>
              <w:rPr>
                <w:rFonts w:ascii="宋体" w:hAnsi="宋体" w:cs="宋体" w:eastAsia="宋体" w:hint="default"/>
                <w:sz w:val="18"/>
                <w:szCs w:val="18"/>
              </w:rPr>
              <w:t>售；观赏苗木和 花卉的培育和销 售；农业园林专</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2"/>
                <w:sz w:val="18"/>
              </w:rPr>
              <w:t>90.11%</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9" w:lineRule="auto" w:before="157"/>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用有机肥料的研</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发、生产和销售</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观赏苗木维护；</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园艺工具、园林</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机械设备及其配</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件、太阳能灯具</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包装种子、五金</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交电、园林家俱</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399994pt;margin-top:72.47998pt;width:74.05pt;height:298.5pt;mso-position-horizontal-relative:page;mso-position-vertical-relative:page;z-index:-15391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1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24.399994pt;margin-top:371.419983pt;width:74.05pt;height:93.65pt;mso-position-horizontal-relative:page;mso-position-vertical-relative:page;z-index:-153908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30.579987pt;margin-top:72.47998pt;width:67.9pt;height:412.75pt;mso-position-horizontal-relative:page;mso-position-vertical-relative:page;z-index:-1539064" coordorigin="6612,1450" coordsize="1358,8255">
            <v:group style="position:absolute;left:6612;top:1450;width:1358;height:5970" coordorigin="6612,1450" coordsize="1358,5970">
              <v:shape style="position:absolute;left:6612;top:1450;width:1358;height:5970" coordorigin="6612,1450" coordsize="1358,5970" path="m6612,7419l7969,7419,7969,1450,6612,1450,6612,7419xe" filled="true" fillcolor="#ffffff" stroked="false">
                <v:path arrowok="t"/>
                <v:fill type="solid"/>
              </v:shape>
            </v:group>
            <v:group style="position:absolute;left:6612;top:7428;width:1358;height:1873" coordorigin="6612,7428" coordsize="1358,1873">
              <v:shape style="position:absolute;left:6612;top:7428;width:1358;height:1873" coordorigin="6612,7428" coordsize="1358,1873" path="m6612,9301l7969,9301,7969,7428,6612,7428,6612,9301xe" filled="true" fillcolor="#ffffff" stroked="false">
                <v:path arrowok="t"/>
                <v:fill type="solid"/>
              </v:shape>
            </v:group>
            <v:group style="position:absolute;left:6623;top:9301;width:2;height:393" coordorigin="6623,9301" coordsize="2,393">
              <v:shape style="position:absolute;left:6623;top:9301;width:2;height:393" coordorigin="6623,9301" coordsize="0,393" path="m6623,9301l6623,9693e" filled="false" stroked="true" strokeweight="1.140pt" strokecolor="#ffffff">
                <v:path arrowok="t"/>
              </v:shape>
            </v:group>
            <v:group style="position:absolute;left:6634;top:9301;width:1312;height:393" coordorigin="6634,9301" coordsize="1312,393">
              <v:shape style="position:absolute;left:6634;top:9301;width:1312;height:393" coordorigin="6634,9301" coordsize="1312,393" path="m6634,9693l7946,9693,7946,9301,6634,9301,6634,969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17" w:hRule="exact"/>
        </w:trPr>
        <w:tc>
          <w:tcPr>
            <w:tcW w:w="1372"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建筑材料、仪器</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仪表、办公用品</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日用百货、包装</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制品、木竹制品</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塑料制品、装饰</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装修材料、健身</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器材、环卫设备</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瓷制品、仿真花</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卉、文体用品、</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游乐设备、交通</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设施销售；园林</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绿化工程设计及</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施工咨询</w:t>
            </w:r>
            <w:r>
              <w:rPr>
                <w:rFonts w:ascii="宋体" w:hAnsi="宋体" w:cs="宋体" w:eastAsia="宋体" w:hint="default"/>
                <w:spacing w:val="-129"/>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以</w:t>
            </w:r>
            <w:r>
              <w:rPr>
                <w:rFonts w:ascii="宋体" w:hAnsi="宋体" w:cs="宋体" w:eastAsia="宋体" w:hint="default"/>
                <w:sz w:val="18"/>
                <w:szCs w:val="18"/>
              </w:rPr>
              <w:t>上</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经营范围涉及行</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业许可的凭许可</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证件，在有效期</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限内经营，国家</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3"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有专项专营规定</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57" w:hRule="exact"/>
        </w:trPr>
        <w:tc>
          <w:tcPr>
            <w:tcW w:w="1372"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的按规定办理）</w:t>
            </w: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花卉、苗木种植</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园艺技术开发、</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咨询；园林器械</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销售；栽培基质</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天津市东丽区东</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有机肥料生产、</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940"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7"/>
              <w:jc w:val="both"/>
              <w:rPr>
                <w:rFonts w:ascii="宋体" w:hAnsi="宋体" w:cs="宋体" w:eastAsia="宋体" w:hint="default"/>
                <w:sz w:val="18"/>
                <w:szCs w:val="18"/>
              </w:rPr>
            </w:pPr>
            <w:r>
              <w:rPr>
                <w:rFonts w:ascii="宋体" w:hAnsi="宋体" w:cs="宋体" w:eastAsia="宋体" w:hint="default"/>
                <w:sz w:val="18"/>
                <w:szCs w:val="18"/>
              </w:rPr>
              <w:t>天津北方创业园 林花苗木有限公 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丽湖华纳景湖花 </w:t>
            </w:r>
            <w:r>
              <w:rPr>
                <w:rFonts w:ascii="宋体" w:hAnsi="宋体" w:cs="宋体" w:eastAsia="宋体" w:hint="default"/>
                <w:spacing w:val="-13"/>
                <w:sz w:val="18"/>
                <w:szCs w:val="18"/>
              </w:rPr>
              <w:t>园（景湖科技园</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号楼）</w:t>
            </w:r>
            <w:r>
              <w:rPr>
                <w:rFonts w:ascii="Times New Roman" w:hAnsi="Times New Roman" w:cs="Times New Roman" w:eastAsia="Times New Roman" w:hint="default"/>
                <w:sz w:val="18"/>
                <w:szCs w:val="18"/>
              </w:rPr>
              <w:t>1-105-12</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both"/>
              <w:rPr>
                <w:rFonts w:ascii="宋体" w:hAnsi="宋体" w:cs="宋体" w:eastAsia="宋体" w:hint="default"/>
                <w:sz w:val="18"/>
                <w:szCs w:val="18"/>
              </w:rPr>
            </w:pPr>
            <w:r>
              <w:rPr>
                <w:rFonts w:ascii="宋体" w:hAnsi="宋体" w:cs="宋体" w:eastAsia="宋体" w:hint="default"/>
                <w:spacing w:val="-6"/>
                <w:sz w:val="18"/>
                <w:szCs w:val="18"/>
              </w:rPr>
              <w:t>销售；道路维修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清洗；垃圾处理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清运；水污染处</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spacing w:val="-2"/>
                <w:sz w:val="18"/>
              </w:rPr>
              <w:t>90.11%</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308"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室</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理；保洁服务。</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（依法须经批准</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的项目，经相关</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部门批准后方可</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开展经营活动）</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园林绿化工程、</w:t>
            </w: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土木工程建筑施</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工（凭资质证经</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9" w:lineRule="auto"/>
              <w:ind w:left="22" w:right="77"/>
              <w:jc w:val="both"/>
              <w:rPr>
                <w:rFonts w:ascii="宋体" w:hAnsi="宋体" w:cs="宋体" w:eastAsia="宋体" w:hint="default"/>
                <w:sz w:val="18"/>
                <w:szCs w:val="18"/>
              </w:rPr>
            </w:pPr>
            <w:r>
              <w:rPr>
                <w:rFonts w:ascii="宋体" w:hAnsi="宋体" w:cs="宋体" w:eastAsia="宋体" w:hint="default"/>
                <w:sz w:val="18"/>
                <w:szCs w:val="18"/>
              </w:rPr>
              <w:t>天津市灵感园林 景观工程有限公 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天津市西青区西 青开发区兴华道 与兴化四支路交 口银湾广场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
              <w:jc w:val="left"/>
              <w:rPr>
                <w:rFonts w:ascii="宋体" w:hAnsi="宋体" w:cs="宋体" w:eastAsia="宋体" w:hint="default"/>
                <w:sz w:val="18"/>
                <w:szCs w:val="18"/>
              </w:rPr>
            </w:pPr>
            <w:r>
              <w:rPr>
                <w:rFonts w:ascii="宋体" w:hAnsi="宋体" w:cs="宋体" w:eastAsia="宋体" w:hint="default"/>
                <w:spacing w:val="-12"/>
                <w:sz w:val="18"/>
                <w:szCs w:val="18"/>
              </w:rPr>
              <w:t>营）；建筑机械、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园林机械设计； 园林绿化养护管 理及技术咨询</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（中介除外</w:t>
            </w:r>
            <w:r>
              <w:rPr>
                <w:rFonts w:ascii="宋体" w:hAnsi="宋体" w:cs="宋体" w:eastAsia="宋体" w:hint="default"/>
                <w:spacing w:val="-129"/>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以</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90.11%</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上经营范围内国</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家有专项专营规</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定的按规定办</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85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22" w:right="77"/>
              <w:jc w:val="both"/>
              <w:rPr>
                <w:rFonts w:ascii="宋体" w:hAnsi="宋体" w:cs="宋体" w:eastAsia="宋体" w:hint="default"/>
                <w:sz w:val="18"/>
                <w:szCs w:val="18"/>
              </w:rPr>
            </w:pPr>
            <w:r>
              <w:rPr>
                <w:rFonts w:ascii="宋体" w:hAnsi="宋体" w:cs="宋体" w:eastAsia="宋体" w:hint="default"/>
                <w:sz w:val="18"/>
                <w:szCs w:val="18"/>
              </w:rPr>
              <w:t>天津绿动植物营 养技术开发有限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22" w:right="72"/>
              <w:jc w:val="both"/>
              <w:rPr>
                <w:rFonts w:ascii="宋体" w:hAnsi="宋体" w:cs="宋体" w:eastAsia="宋体" w:hint="default"/>
                <w:sz w:val="18"/>
                <w:szCs w:val="18"/>
              </w:rPr>
            </w:pPr>
            <w:r>
              <w:rPr>
                <w:rFonts w:ascii="宋体" w:hAnsi="宋体" w:cs="宋体" w:eastAsia="宋体" w:hint="default"/>
                <w:sz w:val="18"/>
                <w:szCs w:val="18"/>
              </w:rPr>
              <w:t>天津市东丽区华 明工业园内华明 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
              <w:jc w:val="left"/>
              <w:rPr>
                <w:rFonts w:ascii="宋体" w:hAnsi="宋体" w:cs="宋体" w:eastAsia="宋体" w:hint="default"/>
                <w:sz w:val="18"/>
                <w:szCs w:val="18"/>
              </w:rPr>
            </w:pPr>
            <w:r>
              <w:rPr>
                <w:rFonts w:ascii="宋体" w:hAnsi="宋体" w:cs="宋体" w:eastAsia="宋体" w:hint="default"/>
                <w:sz w:val="18"/>
                <w:szCs w:val="18"/>
              </w:rPr>
              <w:t>树木移栽专用养 护技术研发及相 关产品生产、销 售；肥料、植物 生长调节剂、土 壤改良调节剂、 生物杀菌剂及杀 虫剂的研发、生 产、销售（危险 品及易制毒品除 </w:t>
            </w:r>
            <w:r>
              <w:rPr>
                <w:rFonts w:ascii="宋体" w:hAnsi="宋体" w:cs="宋体" w:eastAsia="宋体" w:hint="default"/>
                <w:spacing w:val="-12"/>
                <w:sz w:val="18"/>
                <w:szCs w:val="18"/>
              </w:rPr>
              <w:t>外）；化肥销售；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沼气相关设备产 品研发、销售； 大中型沼气工程 技术研究、技术 咨询、设计与施 工；农作物秸秆 回收、加工、销 售；城乡废物资 源回收、加工。</w:t>
            </w:r>
          </w:p>
          <w:p>
            <w:pPr>
              <w:pStyle w:val="TableParagraph"/>
              <w:spacing w:line="319" w:lineRule="auto" w:before="19"/>
              <w:ind w:left="22" w:right="72"/>
              <w:jc w:val="left"/>
              <w:rPr>
                <w:rFonts w:ascii="宋体" w:hAnsi="宋体" w:cs="宋体" w:eastAsia="宋体" w:hint="default"/>
                <w:sz w:val="18"/>
                <w:szCs w:val="18"/>
              </w:rPr>
            </w:pPr>
            <w:r>
              <w:rPr>
                <w:rFonts w:ascii="宋体" w:hAnsi="宋体" w:cs="宋体" w:eastAsia="宋体" w:hint="default"/>
                <w:sz w:val="18"/>
                <w:szCs w:val="18"/>
              </w:rPr>
              <w:t>（以上经营范围 涉及行业许可的 凭许可证件，在 有效期限内经 营，国家有专项 专营规定的按规 定办理）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504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77"/>
              <w:jc w:val="both"/>
              <w:rPr>
                <w:rFonts w:ascii="宋体" w:hAnsi="宋体" w:cs="宋体" w:eastAsia="宋体" w:hint="default"/>
                <w:sz w:val="18"/>
                <w:szCs w:val="18"/>
              </w:rPr>
            </w:pPr>
            <w:r>
              <w:rPr>
                <w:rFonts w:ascii="宋体" w:hAnsi="宋体" w:cs="宋体" w:eastAsia="宋体" w:hint="default"/>
                <w:sz w:val="18"/>
                <w:szCs w:val="18"/>
              </w:rPr>
              <w:t>天津景观水环境 修复技术有限公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09" w:lineRule="auto"/>
              <w:ind w:left="22" w:right="29"/>
              <w:jc w:val="both"/>
              <w:rPr>
                <w:rFonts w:ascii="宋体" w:hAnsi="宋体" w:cs="宋体" w:eastAsia="宋体" w:hint="default"/>
                <w:sz w:val="18"/>
                <w:szCs w:val="18"/>
              </w:rPr>
            </w:pPr>
            <w:r>
              <w:rPr>
                <w:rFonts w:ascii="宋体" w:hAnsi="宋体" w:cs="宋体" w:eastAsia="宋体" w:hint="default"/>
                <w:sz w:val="18"/>
                <w:szCs w:val="18"/>
              </w:rPr>
              <w:t>东丽区华明工业 园内华明大道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城市景观河道、 湖泊富营养化的 治理与生态修 复；景观水体水 质监测、水质维 护；景观水体净 化工程设计、施 工及技术咨询； 景观水体水质净 化技术及产品的 </w:t>
            </w:r>
            <w:r>
              <w:rPr>
                <w:rFonts w:ascii="宋体" w:hAnsi="宋体" w:cs="宋体" w:eastAsia="宋体" w:hint="default"/>
                <w:spacing w:val="-17"/>
                <w:sz w:val="18"/>
                <w:szCs w:val="18"/>
              </w:rPr>
              <w:t>研发、销售；（涉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及国家有专项专 营规定的，按规 定执行；涉及行 业许可的，凭许 可证或批准文件</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21"/>
              <w:jc w:val="right"/>
              <w:rPr>
                <w:rFonts w:ascii="Times New Roman" w:hAnsi="Times New Roman" w:cs="Times New Roman" w:eastAsia="Times New Roman" w:hint="default"/>
                <w:sz w:val="18"/>
                <w:szCs w:val="18"/>
              </w:rPr>
            </w:pPr>
            <w:r>
              <w:rPr>
                <w:rFonts w:ascii="Times New Roman"/>
                <w:sz w:val="18"/>
              </w:rPr>
              <w:t>71.19%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399994pt;margin-top:286.819977pt;width:74.05pt;height:62.4pt;mso-position-horizontal-relative:page;mso-position-vertical-relative:page;z-index:-15390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生态环境检测。</w:t>
            </w: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942"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9" w:lineRule="auto" w:before="11"/>
              <w:ind w:left="22" w:right="77"/>
              <w:jc w:val="both"/>
              <w:rPr>
                <w:rFonts w:ascii="宋体" w:hAnsi="宋体" w:cs="宋体" w:eastAsia="宋体" w:hint="default"/>
                <w:sz w:val="18"/>
                <w:szCs w:val="18"/>
              </w:rPr>
            </w:pPr>
            <w:r>
              <w:rPr>
                <w:rFonts w:ascii="宋体" w:hAnsi="宋体" w:cs="宋体" w:eastAsia="宋体" w:hint="default"/>
                <w:sz w:val="18"/>
                <w:szCs w:val="18"/>
              </w:rPr>
              <w:t>天津市北方科创 环境检测有限公 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9" w:lineRule="auto" w:before="11"/>
              <w:ind w:left="22" w:right="23"/>
              <w:jc w:val="both"/>
              <w:rPr>
                <w:rFonts w:ascii="宋体" w:hAnsi="宋体" w:cs="宋体" w:eastAsia="宋体" w:hint="default"/>
                <w:sz w:val="18"/>
                <w:szCs w:val="18"/>
              </w:rPr>
            </w:pPr>
            <w:r>
              <w:rPr>
                <w:rFonts w:ascii="宋体" w:hAnsi="宋体" w:cs="宋体" w:eastAsia="宋体" w:hint="default"/>
                <w:sz w:val="18"/>
                <w:szCs w:val="18"/>
              </w:rPr>
              <w:t>天津市东丽区华 明高新技术产业 区华明大道</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（依法须经批准 的项目，经相关 部门批准后方可</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z w:val="18"/>
              </w:rPr>
              <w:t>72.99%</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351"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开展经营活动）</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园林工程项目的</w:t>
            </w: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温州北方园林建 设有限公司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温州市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浙江省温州瓯江 口产业集聚区管 委会行政中心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建设、投资、管 </w:t>
            </w:r>
            <w:r>
              <w:rPr>
                <w:rFonts w:ascii="宋体" w:hAnsi="宋体" w:cs="宋体" w:eastAsia="宋体" w:hint="default"/>
                <w:spacing w:val="-17"/>
                <w:sz w:val="18"/>
                <w:szCs w:val="18"/>
              </w:rPr>
              <w:t>理。（依法须经批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准的项目，经相 关部门批准后方 可开展经营活</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46.25%</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园林绿化、河道</w:t>
            </w:r>
          </w:p>
        </w:tc>
        <w:tc>
          <w:tcPr>
            <w:tcW w:w="1367" w:type="dxa"/>
            <w:vMerge w:val="restart"/>
            <w:tcBorders>
              <w:top w:val="single" w:sz="4" w:space="0" w:color="000000"/>
              <w:left w:val="single" w:sz="4" w:space="0" w:color="000000"/>
              <w:right w:val="single" w:sz="4" w:space="0" w:color="000000"/>
            </w:tcBorders>
          </w:tcPr>
          <w:p>
            <w:pPr>
              <w:pStyle w:val="TableParagraph"/>
              <w:spacing w:line="124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pict>
                <v:group style="width:67.9pt;height:62.4pt;mso-position-horizontal-relative:char;mso-position-vertical-relative:line" coordorigin="0,0" coordsize="1358,1248">
                  <v:group style="position:absolute;left:0;top:0;width:1358;height:1248" coordorigin="0,0" coordsize="1358,1248">
                    <v:shape style="position:absolute;left:0;top:0;width:1358;height:1248" coordorigin="0,0" coordsize="1358,1248" path="m0,1248l1357,1248,1357,0,0,0,0,1248xe" filled="true" fillcolor="#ffffff" stroked="false">
                      <v:path arrowok="t"/>
                      <v:fill type="solid"/>
                    </v:shape>
                  </v:group>
                </v:group>
              </w:pict>
            </w:r>
            <w:r>
              <w:rPr>
                <w:rFonts w:ascii="Times New Roman" w:hAnsi="Times New Roman" w:cs="Times New Roman" w:eastAsia="Times New Roman" w:hint="default"/>
                <w:position w:val="-2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治理、市政工程</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水利设施的建设</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7"/>
              <w:jc w:val="both"/>
              <w:rPr>
                <w:rFonts w:ascii="宋体" w:hAnsi="宋体" w:cs="宋体" w:eastAsia="宋体" w:hint="default"/>
                <w:sz w:val="18"/>
                <w:szCs w:val="18"/>
              </w:rPr>
            </w:pPr>
            <w:r>
              <w:rPr>
                <w:rFonts w:ascii="宋体" w:hAnsi="宋体" w:cs="宋体" w:eastAsia="宋体" w:hint="default"/>
                <w:sz w:val="18"/>
                <w:szCs w:val="18"/>
              </w:rPr>
              <w:t>呼图壁北方创业 工程建设投资有 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呼图壁县</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2"/>
              <w:jc w:val="both"/>
              <w:rPr>
                <w:rFonts w:ascii="宋体" w:hAnsi="宋体" w:cs="宋体" w:eastAsia="宋体" w:hint="default"/>
                <w:sz w:val="18"/>
                <w:szCs w:val="18"/>
              </w:rPr>
            </w:pPr>
            <w:r>
              <w:rPr>
                <w:rFonts w:ascii="宋体" w:hAnsi="宋体" w:cs="宋体" w:eastAsia="宋体" w:hint="default"/>
                <w:sz w:val="18"/>
                <w:szCs w:val="18"/>
              </w:rPr>
              <w:t>新疆昌吉州呼图 壁县东风路招商 局二楼</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投资；房地产开 </w:t>
            </w:r>
            <w:r>
              <w:rPr>
                <w:rFonts w:ascii="宋体" w:hAnsi="宋体" w:cs="宋体" w:eastAsia="宋体" w:hint="default"/>
                <w:spacing w:val="-17"/>
                <w:sz w:val="18"/>
                <w:szCs w:val="18"/>
              </w:rPr>
              <w:t>发投资。（依法须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经批准的项目，</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z w:val="18"/>
              </w:rPr>
              <w:t>72.09%</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经相关部门批准</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后方可开展经营</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活动）</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园林工程项目、</w:t>
            </w: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市政道路工程项</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目、环境治理项</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目、生态保护修</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汤阴京蓝建设有 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汤阴县</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汤阴县韩庄镇小 傅庄村</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复项目、建设以 及运营维护服 </w:t>
            </w:r>
            <w:r>
              <w:rPr>
                <w:rFonts w:ascii="宋体" w:hAnsi="宋体" w:cs="宋体" w:eastAsia="宋体" w:hint="default"/>
                <w:spacing w:val="-17"/>
                <w:sz w:val="18"/>
                <w:szCs w:val="18"/>
              </w:rPr>
              <w:t>务。（依法须经批</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z w:val="18"/>
              </w:rPr>
              <w:t>84.70%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准的项目，经相</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关部门批准后方</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可开展经营活</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园林绿化工程；</w:t>
            </w:r>
          </w:p>
        </w:tc>
        <w:tc>
          <w:tcPr>
            <w:tcW w:w="1367" w:type="dxa"/>
            <w:vMerge w:val="restart"/>
            <w:tcBorders>
              <w:top w:val="single" w:sz="4" w:space="0" w:color="000000"/>
              <w:left w:val="single" w:sz="9" w:space="0" w:color="FFFFFF"/>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土木工程；苗木</w:t>
            </w:r>
          </w:p>
        </w:tc>
        <w:tc>
          <w:tcPr>
            <w:tcW w:w="1367" w:type="dxa"/>
            <w:vMerge/>
            <w:tcBorders>
              <w:left w:val="single" w:sz="9" w:space="0" w:color="FFFFFF"/>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9" w:lineRule="auto"/>
              <w:ind w:left="22" w:right="77"/>
              <w:jc w:val="both"/>
              <w:rPr>
                <w:rFonts w:ascii="宋体" w:hAnsi="宋体" w:cs="宋体" w:eastAsia="宋体" w:hint="default"/>
                <w:sz w:val="18"/>
                <w:szCs w:val="18"/>
              </w:rPr>
            </w:pPr>
            <w:r>
              <w:rPr>
                <w:rFonts w:ascii="宋体" w:hAnsi="宋体" w:cs="宋体" w:eastAsia="宋体" w:hint="default"/>
                <w:sz w:val="18"/>
                <w:szCs w:val="18"/>
              </w:rPr>
              <w:t>驻马店市京蓝北 方建设工程有限 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驻马店市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72"/>
              <w:jc w:val="both"/>
              <w:rPr>
                <w:rFonts w:ascii="宋体" w:hAnsi="宋体" w:cs="宋体" w:eastAsia="宋体" w:hint="default"/>
                <w:sz w:val="18"/>
                <w:szCs w:val="18"/>
              </w:rPr>
            </w:pPr>
            <w:r>
              <w:rPr>
                <w:rFonts w:ascii="宋体" w:hAnsi="宋体" w:cs="宋体" w:eastAsia="宋体" w:hint="default"/>
                <w:sz w:val="18"/>
                <w:szCs w:val="18"/>
              </w:rPr>
              <w:t>驻马店市驿城区 纬一路与金马路 交叉口天基城中 心花园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号写字</w:t>
            </w:r>
          </w:p>
          <w:p>
            <w:pPr>
              <w:pStyle w:val="TableParagraph"/>
              <w:spacing w:line="247" w:lineRule="exact"/>
              <w:ind w:left="22" w:right="0"/>
              <w:jc w:val="both"/>
              <w:rPr>
                <w:rFonts w:ascii="宋体" w:hAnsi="宋体" w:cs="宋体" w:eastAsia="宋体" w:hint="default"/>
                <w:sz w:val="18"/>
                <w:szCs w:val="18"/>
              </w:rPr>
            </w:pP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1004-1005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nil" w:sz="6" w:space="0" w:color="auto"/>
              <w:left w:val="single" w:sz="4" w:space="0" w:color="000000"/>
              <w:bottom w:val="nil" w:sz="6" w:space="0" w:color="auto"/>
              <w:right w:val="single" w:sz="9" w:space="0" w:color="FFFFFF"/>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的培育、栽植和 销售（种子除 </w:t>
            </w:r>
            <w:r>
              <w:rPr>
                <w:rFonts w:ascii="宋体" w:hAnsi="宋体" w:cs="宋体" w:eastAsia="宋体" w:hint="default"/>
                <w:spacing w:val="-12"/>
                <w:sz w:val="18"/>
                <w:szCs w:val="18"/>
              </w:rPr>
              <w:t>外）；保洁环卫，</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绿化养护及技术 </w:t>
            </w:r>
            <w:r>
              <w:rPr>
                <w:rFonts w:ascii="宋体" w:hAnsi="宋体" w:cs="宋体" w:eastAsia="宋体" w:hint="default"/>
                <w:spacing w:val="-17"/>
                <w:sz w:val="18"/>
                <w:szCs w:val="18"/>
              </w:rPr>
              <w:t>咨询。（依法须经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批准的项目，经</w:t>
            </w:r>
          </w:p>
        </w:tc>
        <w:tc>
          <w:tcPr>
            <w:tcW w:w="1367" w:type="dxa"/>
            <w:vMerge/>
            <w:tcBorders>
              <w:left w:val="single" w:sz="9" w:space="0" w:color="FFFFFF"/>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90.11%</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相关部门批准后</w:t>
            </w:r>
          </w:p>
        </w:tc>
        <w:tc>
          <w:tcPr>
            <w:tcW w:w="1367" w:type="dxa"/>
            <w:vMerge/>
            <w:tcBorders>
              <w:left w:val="single" w:sz="9" w:space="0" w:color="FFFFFF"/>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方可开展经营活</w:t>
            </w:r>
          </w:p>
        </w:tc>
        <w:tc>
          <w:tcPr>
            <w:tcW w:w="1367" w:type="dxa"/>
            <w:vMerge/>
            <w:tcBorders>
              <w:left w:val="single" w:sz="9" w:space="0" w:color="FFFFFF"/>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2832"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60" w:lineRule="auto" w:before="26"/>
        <w:ind w:left="154" w:right="769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2）重要的非全资子公司" w:id="420"/>
      <w:bookmarkEnd w:id="420"/>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京蓝北方园林（天津）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9,102,638.01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93,165,356.36</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衡水沐禾节水科技有限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-5,375,631.02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20,934,211.37</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翁牛特旗沐禾生态环境 治理有限公司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-16,436.23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243,516.04</w:t>
            </w: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bookmarkStart w:name="（3）重要非全资子公司的主要财务信息" w:id="421"/>
      <w:bookmarkEnd w:id="421"/>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京蓝北 方园林</w:t>
            </w:r>
          </w:p>
          <w:p>
            <w:pPr>
              <w:pStyle w:val="TableParagraph"/>
              <w:spacing w:line="316" w:lineRule="auto" w:before="19"/>
              <w:ind w:left="22" w:right="-29"/>
              <w:jc w:val="left"/>
              <w:rPr>
                <w:rFonts w:ascii="宋体" w:hAnsi="宋体" w:cs="宋体" w:eastAsia="宋体" w:hint="default"/>
                <w:sz w:val="18"/>
                <w:szCs w:val="18"/>
              </w:rPr>
            </w:pPr>
            <w:r>
              <w:rPr>
                <w:rFonts w:ascii="宋体" w:hAnsi="宋体" w:cs="宋体" w:eastAsia="宋体" w:hint="default"/>
                <w:sz w:val="18"/>
                <w:szCs w:val="18"/>
              </w:rPr>
              <w:t>（天津） 有限公</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2,745,28</w:t>
            </w:r>
          </w:p>
          <w:p>
            <w:pPr>
              <w:pStyle w:val="TableParagraph"/>
              <w:spacing w:line="240" w:lineRule="auto" w:before="106"/>
              <w:ind w:left="62" w:right="0"/>
              <w:jc w:val="left"/>
              <w:rPr>
                <w:rFonts w:ascii="Times New Roman" w:hAnsi="Times New Roman" w:cs="Times New Roman" w:eastAsia="Times New Roman" w:hint="default"/>
                <w:sz w:val="18"/>
                <w:szCs w:val="18"/>
              </w:rPr>
            </w:pPr>
            <w:r>
              <w:rPr>
                <w:rFonts w:ascii="Times New Roman"/>
                <w:sz w:val="18"/>
              </w:rPr>
              <w:t>9,902.19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177,971,</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082.32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2,923,26</w:t>
            </w:r>
          </w:p>
          <w:p>
            <w:pPr>
              <w:pStyle w:val="TableParagraph"/>
              <w:spacing w:line="240" w:lineRule="auto" w:before="106"/>
              <w:ind w:left="73" w:right="0"/>
              <w:jc w:val="left"/>
              <w:rPr>
                <w:rFonts w:ascii="Times New Roman" w:hAnsi="Times New Roman" w:cs="Times New Roman" w:eastAsia="Times New Roman" w:hint="default"/>
                <w:sz w:val="18"/>
                <w:szCs w:val="18"/>
              </w:rPr>
            </w:pPr>
            <w:r>
              <w:rPr>
                <w:rFonts w:ascii="Times New Roman"/>
                <w:sz w:val="18"/>
              </w:rPr>
              <w:t>0,984.51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1,748,40</w:t>
            </w:r>
          </w:p>
          <w:p>
            <w:pPr>
              <w:pStyle w:val="TableParagraph"/>
              <w:spacing w:line="240" w:lineRule="auto" w:before="106"/>
              <w:ind w:left="74" w:right="0"/>
              <w:jc w:val="left"/>
              <w:rPr>
                <w:rFonts w:ascii="Times New Roman" w:hAnsi="Times New Roman" w:cs="Times New Roman" w:eastAsia="Times New Roman" w:hint="default"/>
                <w:sz w:val="18"/>
                <w:szCs w:val="18"/>
              </w:rPr>
            </w:pPr>
            <w:r>
              <w:rPr>
                <w:rFonts w:ascii="Times New Roman"/>
                <w:sz w:val="18"/>
              </w:rPr>
              <w:t>6,574.86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323,038,</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710.39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2,071,44</w:t>
            </w:r>
          </w:p>
          <w:p>
            <w:pPr>
              <w:pStyle w:val="TableParagraph"/>
              <w:spacing w:line="240" w:lineRule="auto" w:before="106"/>
              <w:ind w:left="71" w:right="0"/>
              <w:jc w:val="left"/>
              <w:rPr>
                <w:rFonts w:ascii="Times New Roman" w:hAnsi="Times New Roman" w:cs="Times New Roman" w:eastAsia="Times New Roman" w:hint="default"/>
                <w:sz w:val="18"/>
                <w:szCs w:val="18"/>
              </w:rPr>
            </w:pPr>
            <w:r>
              <w:rPr>
                <w:rFonts w:ascii="Times New Roman"/>
                <w:sz w:val="18"/>
              </w:rPr>
              <w:t>5,285.25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2,254,67</w:t>
            </w:r>
          </w:p>
          <w:p>
            <w:pPr>
              <w:pStyle w:val="TableParagraph"/>
              <w:spacing w:line="240" w:lineRule="auto" w:before="106"/>
              <w:ind w:left="71" w:right="0"/>
              <w:jc w:val="left"/>
              <w:rPr>
                <w:rFonts w:ascii="Times New Roman" w:hAnsi="Times New Roman" w:cs="Times New Roman" w:eastAsia="Times New Roman" w:hint="default"/>
                <w:sz w:val="18"/>
                <w:szCs w:val="18"/>
              </w:rPr>
            </w:pPr>
            <w:r>
              <w:rPr>
                <w:rFonts w:ascii="Times New Roman"/>
                <w:sz w:val="18"/>
              </w:rPr>
              <w:t>4,745.13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206,389,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775.89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2,461,06</w:t>
            </w:r>
          </w:p>
          <w:p>
            <w:pPr>
              <w:pStyle w:val="TableParagraph"/>
              <w:spacing w:line="240" w:lineRule="auto" w:before="106"/>
              <w:ind w:left="71" w:right="0"/>
              <w:jc w:val="left"/>
              <w:rPr>
                <w:rFonts w:ascii="Times New Roman" w:hAnsi="Times New Roman" w:cs="Times New Roman" w:eastAsia="Times New Roman" w:hint="default"/>
                <w:sz w:val="18"/>
                <w:szCs w:val="18"/>
              </w:rPr>
            </w:pPr>
            <w:r>
              <w:rPr>
                <w:rFonts w:ascii="Times New Roman"/>
                <w:sz w:val="18"/>
              </w:rPr>
              <w:t>4,521.02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1,407,61</w:t>
            </w:r>
          </w:p>
          <w:p>
            <w:pPr>
              <w:pStyle w:val="TableParagraph"/>
              <w:spacing w:line="240" w:lineRule="auto" w:before="106"/>
              <w:ind w:left="74" w:right="0"/>
              <w:jc w:val="left"/>
              <w:rPr>
                <w:rFonts w:ascii="Times New Roman" w:hAnsi="Times New Roman" w:cs="Times New Roman" w:eastAsia="Times New Roman" w:hint="default"/>
                <w:sz w:val="18"/>
                <w:szCs w:val="18"/>
              </w:rPr>
            </w:pPr>
            <w:r>
              <w:rPr>
                <w:rFonts w:ascii="Times New Roman"/>
                <w:sz w:val="18"/>
              </w:rPr>
              <w:t>1,687.62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317,387,</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081.05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1,724,99</w:t>
            </w:r>
          </w:p>
          <w:p>
            <w:pPr>
              <w:pStyle w:val="TableParagraph"/>
              <w:spacing w:line="240" w:lineRule="auto" w:before="106"/>
              <w:ind w:left="73" w:right="0"/>
              <w:jc w:val="left"/>
              <w:rPr>
                <w:rFonts w:ascii="Times New Roman" w:hAnsi="Times New Roman" w:cs="Times New Roman" w:eastAsia="Times New Roman" w:hint="default"/>
                <w:sz w:val="18"/>
                <w:szCs w:val="18"/>
              </w:rPr>
            </w:pPr>
            <w:r>
              <w:rPr>
                <w:rFonts w:ascii="Times New Roman"/>
                <w:sz w:val="18"/>
              </w:rPr>
              <w:t>8,768.67</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衡水沐 禾节水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137,154,</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910.98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3,270,11</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2.04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140,425,</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023.02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93,963,5</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45.31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-58,992.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93,904,5</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53.30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151,583,</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332.39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5,537,54</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9.75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157,120,</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882.14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98,724,0</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45.87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-69,480.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98,654,5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65.70</w:t>
            </w:r>
          </w:p>
        </w:tc>
      </w:tr>
      <w:tr>
        <w:trPr>
          <w:trHeight w:val="1299"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翁牛特 旗沐禾 生态环 境治理</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74" w:right="0"/>
              <w:jc w:val="left"/>
              <w:rPr>
                <w:rFonts w:ascii="Times New Roman" w:hAnsi="Times New Roman" w:cs="Times New Roman" w:eastAsia="Times New Roman" w:hint="default"/>
                <w:sz w:val="18"/>
                <w:szCs w:val="18"/>
              </w:rPr>
            </w:pPr>
            <w:r>
              <w:rPr>
                <w:rFonts w:ascii="Times New Roman"/>
                <w:sz w:val="18"/>
              </w:rPr>
              <w:t>34,934,9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12.56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50" w:right="0"/>
              <w:jc w:val="center"/>
              <w:rPr>
                <w:rFonts w:ascii="Times New Roman" w:hAnsi="Times New Roman" w:cs="Times New Roman" w:eastAsia="Times New Roman" w:hint="default"/>
                <w:sz w:val="18"/>
                <w:szCs w:val="18"/>
              </w:rPr>
            </w:pPr>
            <w:r>
              <w:rPr>
                <w:rFonts w:ascii="Times New Roman"/>
                <w:sz w:val="18"/>
              </w:rPr>
              <w:t>120,600,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168.16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50" w:right="0"/>
              <w:jc w:val="center"/>
              <w:rPr>
                <w:rFonts w:ascii="Times New Roman" w:hAnsi="Times New Roman" w:cs="Times New Roman" w:eastAsia="Times New Roman" w:hint="default"/>
                <w:sz w:val="18"/>
                <w:szCs w:val="18"/>
              </w:rPr>
            </w:pPr>
            <w:r>
              <w:rPr>
                <w:rFonts w:ascii="Times New Roman"/>
                <w:sz w:val="18"/>
              </w:rPr>
              <w:t>155,535,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080.72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74" w:right="0"/>
              <w:jc w:val="left"/>
              <w:rPr>
                <w:rFonts w:ascii="Times New Roman" w:hAnsi="Times New Roman" w:cs="Times New Roman" w:eastAsia="Times New Roman" w:hint="default"/>
                <w:sz w:val="18"/>
                <w:szCs w:val="18"/>
              </w:rPr>
            </w:pPr>
            <w:r>
              <w:rPr>
                <w:rFonts w:ascii="Times New Roman"/>
                <w:sz w:val="18"/>
              </w:rPr>
              <w:t>61,917,3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45.87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72" w:right="0"/>
              <w:jc w:val="left"/>
              <w:rPr>
                <w:rFonts w:ascii="Times New Roman" w:hAnsi="Times New Roman" w:cs="Times New Roman" w:eastAsia="Times New Roman" w:hint="default"/>
                <w:sz w:val="18"/>
                <w:szCs w:val="18"/>
              </w:rPr>
            </w:pPr>
            <w:r>
              <w:rPr>
                <w:rFonts w:ascii="Times New Roman"/>
                <w:sz w:val="18"/>
              </w:rPr>
              <w:t>5,062,28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71" w:right="0"/>
              <w:jc w:val="left"/>
              <w:rPr>
                <w:rFonts w:ascii="Times New Roman" w:hAnsi="Times New Roman" w:cs="Times New Roman" w:eastAsia="Times New Roman" w:hint="default"/>
                <w:sz w:val="18"/>
                <w:szCs w:val="18"/>
              </w:rPr>
            </w:pPr>
            <w:r>
              <w:rPr>
                <w:rFonts w:ascii="Times New Roman"/>
                <w:sz w:val="18"/>
              </w:rPr>
              <w:t>66,979,6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32.65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71" w:right="0"/>
              <w:jc w:val="left"/>
              <w:rPr>
                <w:rFonts w:ascii="Times New Roman" w:hAnsi="Times New Roman" w:cs="Times New Roman" w:eastAsia="Times New Roman" w:hint="default"/>
                <w:sz w:val="18"/>
                <w:szCs w:val="18"/>
              </w:rPr>
            </w:pPr>
            <w:r>
              <w:rPr>
                <w:rFonts w:ascii="Times New Roman"/>
                <w:sz w:val="18"/>
              </w:rPr>
              <w:t>76,750,6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70.22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48" w:right="0"/>
              <w:jc w:val="center"/>
              <w:rPr>
                <w:rFonts w:ascii="Times New Roman" w:hAnsi="Times New Roman" w:cs="Times New Roman" w:eastAsia="Times New Roman" w:hint="default"/>
                <w:sz w:val="18"/>
                <w:szCs w:val="18"/>
              </w:rPr>
            </w:pPr>
            <w:r>
              <w:rPr>
                <w:rFonts w:ascii="Times New Roman"/>
                <w:sz w:val="18"/>
              </w:rPr>
              <w:t>147,151,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916.75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49" w:right="0"/>
              <w:jc w:val="center"/>
              <w:rPr>
                <w:rFonts w:ascii="Times New Roman" w:hAnsi="Times New Roman" w:cs="Times New Roman" w:eastAsia="Times New Roman" w:hint="default"/>
                <w:sz w:val="18"/>
                <w:szCs w:val="18"/>
              </w:rPr>
            </w:pPr>
            <w:r>
              <w:rPr>
                <w:rFonts w:ascii="Times New Roman"/>
                <w:sz w:val="18"/>
              </w:rPr>
              <w:t>223,902,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586.97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51" w:right="0"/>
              <w:jc w:val="center"/>
              <w:rPr>
                <w:rFonts w:ascii="Times New Roman" w:hAnsi="Times New Roman" w:cs="Times New Roman" w:eastAsia="Times New Roman" w:hint="default"/>
                <w:sz w:val="18"/>
                <w:szCs w:val="18"/>
              </w:rPr>
            </w:pPr>
            <w:r>
              <w:rPr>
                <w:rFonts w:ascii="Times New Roman"/>
                <w:sz w:val="18"/>
              </w:rPr>
              <w:t>126,140,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507.77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74" w:right="0"/>
              <w:jc w:val="left"/>
              <w:rPr>
                <w:rFonts w:ascii="Times New Roman" w:hAnsi="Times New Roman" w:cs="Times New Roman" w:eastAsia="Times New Roman" w:hint="default"/>
                <w:sz w:val="18"/>
                <w:szCs w:val="18"/>
              </w:rPr>
            </w:pPr>
            <w:r>
              <w:rPr>
                <w:rFonts w:ascii="Times New Roman"/>
                <w:sz w:val="18"/>
              </w:rPr>
              <w:t>7,563,00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7.81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50" w:right="0"/>
              <w:jc w:val="center"/>
              <w:rPr>
                <w:rFonts w:ascii="Times New Roman" w:hAnsi="Times New Roman" w:cs="Times New Roman" w:eastAsia="Times New Roman" w:hint="default"/>
                <w:sz w:val="18"/>
                <w:szCs w:val="18"/>
              </w:rPr>
            </w:pPr>
            <w:r>
              <w:rPr>
                <w:rFonts w:ascii="Times New Roman"/>
                <w:sz w:val="18"/>
              </w:rPr>
              <w:t>133,703,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515.58</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67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京蓝北方园 </w:t>
            </w:r>
            <w:r>
              <w:rPr>
                <w:rFonts w:ascii="宋体" w:hAnsi="宋体" w:cs="宋体" w:eastAsia="宋体" w:hint="default"/>
                <w:spacing w:val="-19"/>
                <w:sz w:val="18"/>
                <w:szCs w:val="18"/>
              </w:rPr>
              <w:t>林（天津）有</w:t>
            </w:r>
            <w:r>
              <w:rPr>
                <w:rFonts w:ascii="宋体" w:hAnsi="宋体" w:cs="宋体" w:eastAsia="宋体" w:hint="default"/>
                <w:spacing w:val="-38"/>
                <w:sz w:val="18"/>
                <w:szCs w:val="18"/>
              </w:rPr>
              <w:t> </w:t>
            </w:r>
            <w:r>
              <w:rPr>
                <w:rFonts w:ascii="宋体" w:hAnsi="宋体" w:cs="宋体" w:eastAsia="宋体" w:hint="default"/>
                <w:sz w:val="18"/>
                <w:szCs w:val="18"/>
              </w:rPr>
              <w:t>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872,502,214.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115,599,946.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115,599,946.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-473,653,727.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539,699,899.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133,274,232.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133,274,232.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6,796,142.19</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衡水沐禾节 水科技有限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1,001,150.55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-11,945,846.7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-11,945,846.7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-973,926.31</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48,748,576.4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-8,459,265.24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-8,459,265.24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-9,046,326.57</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翁牛特旗沐 禾生态环境 治理有限公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17,577,905.8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-1,643,623.32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-1,643,623.32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-4,390,667.31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21,151,500.7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147,209.08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147,209.08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-39,179,495.0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使用企业集团资产和清偿企业集团债务的重大限制" w:id="422"/>
      <w:bookmarkEnd w:id="422"/>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5）向纳入合并财务报表范围的结构化主体提供的财务支持或其他支持" w:id="423"/>
      <w:bookmarkEnd w:id="423"/>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在子公司的所有者权益份额发生变化且仍控制子公司的交易" w:id="424"/>
      <w:bookmarkEnd w:id="424"/>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在子公司所有者权益份额发生变化的情况说明" w:id="425"/>
      <w:bookmarkEnd w:id="425"/>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交易对于少数股东权益及归属于母公司所有者权益的影响" w:id="426"/>
      <w:bookmarkEnd w:id="426"/>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799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799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799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799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group>
          </v:group>
        </w:pict>
      </w:r>
      <w:r>
        <w:rPr>
          <w:rFonts w:ascii="宋体" w:hAnsi="宋体" w:cs="宋体" w:eastAsia="宋体" w:hint="default"/>
          <w:position w:val="-7"/>
          <w:sz w:val="20"/>
          <w:szCs w:val="20"/>
        </w:rPr>
      </w:r>
    </w:p>
    <w:p>
      <w:pPr>
        <w:spacing w:before="46"/>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在合营安排或联营企业中的权益" w:id="427"/>
      <w:bookmarkEnd w:id="427"/>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重要的合营企业或联营企业" w:id="428"/>
      <w:bookmarkEnd w:id="428"/>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沈阳金丰春航空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沈阳市沈河区市 场监督管理局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研究和试验发展</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24.00%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重要合营企业的主要财务信息" w:id="429"/>
      <w:bookmarkEnd w:id="429"/>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9"/>
        <w:gridCol w:w="3191"/>
        <w:gridCol w:w="3179"/>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重要联营企业的主要财务信息" w:id="430"/>
      <w:bookmarkEnd w:id="430"/>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left="421" w:right="0"/>
              <w:jc w:val="left"/>
              <w:rPr>
                <w:rFonts w:ascii="宋体" w:hAnsi="宋体" w:cs="宋体" w:eastAsia="宋体" w:hint="default"/>
                <w:sz w:val="18"/>
                <w:szCs w:val="18"/>
              </w:rPr>
            </w:pPr>
            <w:r>
              <w:rPr>
                <w:rFonts w:ascii="宋体" w:hAnsi="宋体" w:cs="宋体" w:eastAsia="宋体" w:hint="default"/>
                <w:sz w:val="18"/>
                <w:szCs w:val="18"/>
              </w:rPr>
              <w:t>沈阳金丰春航空科技有限公司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19" w:right="0"/>
              <w:jc w:val="left"/>
              <w:rPr>
                <w:rFonts w:ascii="宋体" w:hAnsi="宋体" w:cs="宋体" w:eastAsia="宋体" w:hint="default"/>
                <w:sz w:val="18"/>
                <w:szCs w:val="18"/>
              </w:rPr>
            </w:pPr>
            <w:r>
              <w:rPr>
                <w:rFonts w:ascii="宋体" w:hAnsi="宋体" w:cs="宋体" w:eastAsia="宋体" w:hint="default"/>
                <w:sz w:val="18"/>
                <w:szCs w:val="18"/>
              </w:rPr>
              <w:t>沈阳金丰春航空科技有限公司</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2,196,387.67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2,780,665.72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4,124,674.81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3,014,130.54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6,321,062.48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5,794,796.26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424,165.38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-13,872.48</w:t>
            </w:r>
            <w:r>
              <w:rPr>
                <w:rFonts w:ascii="Times New Roman"/>
                <w:sz w:val="18"/>
              </w:rPr>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424,165.38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-13,872.48</w:t>
            </w:r>
            <w:r>
              <w:rPr>
                <w:rFonts w:ascii="Times New Roman"/>
                <w:sz w:val="18"/>
              </w:rPr>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5,896,897.10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5,808,668.74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1,415,255.30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1,394,080.50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3,259,036.92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3,259,036.92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3,259,036.92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3,259,036.92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4,674,292.22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4,653,117.42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2,088,835.38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1,588,881.81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-141,771.64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-2,367,662.90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-141,771.64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-2,367,662.90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right="0"/>
        <w:jc w:val="left"/>
      </w:pPr>
      <w:r>
        <w:rPr/>
        <w:t>联营企业财务数据未经审计。</w:t>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bookmarkStart w:name="（4）不重要的合营企业和联营企业的汇总财务信息" w:id="431"/>
      <w:bookmarkEnd w:id="431"/>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合营企业或联营企业向本公司转移资金的能力存在重大限制的说明" w:id="432"/>
      <w:bookmarkEnd w:id="432"/>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6）合营企业或联营企业发生的超额亏损" w:id="433"/>
      <w:bookmarkEnd w:id="433"/>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与合营企业投资相关的未确认承诺" w:id="434"/>
      <w:bookmarkEnd w:id="434"/>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8）与合营企业或联营企业投资相关的或有负债" w:id="435"/>
      <w:bookmarkEnd w:id="435"/>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重要的共同经营" w:id="436"/>
      <w:bookmarkEnd w:id="436"/>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0" w:lineRule="auto" w:before="51"/>
        <w:ind w:left="154" w:right="5532"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在未纳入合并财务报表范围的结构化主体中的权益" w:id="437"/>
      <w:bookmarkEnd w:id="437"/>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其他" w:id="438"/>
      <w:bookmarkEnd w:id="438"/>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0"/>
        <w:jc w:val="left"/>
        <w:rPr>
          <w:b w:val="0"/>
          <w:bCs w:val="0"/>
        </w:rPr>
      </w:pPr>
      <w:bookmarkStart w:name="十、与金融工具相关的风险" w:id="439"/>
      <w:bookmarkEnd w:id="439"/>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023" w:firstLine="370"/>
        <w:jc w:val="left"/>
      </w:pPr>
      <w:r>
        <w:rPr/>
        <w:t>本公司的主要金融工具包括应收账款、应付账款、应付票据等，各项金融工具的详细情况说明见本附 </w:t>
      </w:r>
      <w:r>
        <w:rPr>
          <w:spacing w:val="-3"/>
        </w:rPr>
        <w:t>注五相关项目。与这些金融工具有关的风险，以及本公司为降低这些风险所采取的风险管理政策如下所述。</w:t>
      </w:r>
      <w:r>
        <w:rPr>
          <w:spacing w:val="-92"/>
        </w:rPr>
        <w:t> </w:t>
      </w:r>
      <w:r>
        <w:rPr>
          <w:spacing w:val="-92"/>
        </w:rPr>
      </w:r>
      <w:r>
        <w:rPr/>
        <w:t>本公司管理层对这些风险敞口进行管理和监控以确保将上述风险控制在限定的范围之内。</w:t>
      </w:r>
    </w:p>
    <w:p>
      <w:pPr>
        <w:spacing w:line="240" w:lineRule="auto" w:before="2"/>
        <w:rPr>
          <w:rFonts w:ascii="宋体" w:hAnsi="宋体" w:cs="宋体" w:eastAsia="宋体" w:hint="default"/>
          <w:sz w:val="17"/>
          <w:szCs w:val="17"/>
        </w:rPr>
      </w:pPr>
    </w:p>
    <w:p>
      <w:pPr>
        <w:pStyle w:val="BodyText"/>
        <w:spacing w:line="273" w:lineRule="auto"/>
        <w:ind w:right="1131" w:firstLine="370"/>
        <w:jc w:val="both"/>
      </w:pPr>
      <w:r>
        <w:rPr/>
        <w:t>本公司采用敏感性分析技术分析风险变量的合理、可能变化对当期损益或股东权益可能产生的影响。 </w:t>
      </w:r>
      <w:r>
        <w:rPr>
          <w:spacing w:val="-1"/>
        </w:rPr>
        <w:t>由于任何风险变量很少孤立地发生变化，而变量之间存在的相关性对某一风险变量的变化的最终影响金额</w:t>
      </w:r>
      <w:r>
        <w:rPr>
          <w:spacing w:val="-81"/>
        </w:rPr>
        <w:t> </w:t>
      </w:r>
      <w:r>
        <w:rPr>
          <w:spacing w:val="-81"/>
        </w:rPr>
      </w:r>
      <w:r>
        <w:rPr/>
        <w:t>将产生重大作用，因此下述内容是在假设每一变量的变化是在独立的情况下进行的。</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524" w:right="0"/>
        <w:jc w:val="left"/>
      </w:pPr>
      <w:r>
        <w:rPr/>
        <w:t>风险管理目标和政策</w:t>
      </w:r>
    </w:p>
    <w:p>
      <w:pPr>
        <w:spacing w:line="240" w:lineRule="auto" w:before="5"/>
        <w:rPr>
          <w:rFonts w:ascii="宋体" w:hAnsi="宋体" w:cs="宋体" w:eastAsia="宋体" w:hint="default"/>
          <w:sz w:val="19"/>
          <w:szCs w:val="19"/>
        </w:rPr>
      </w:pPr>
    </w:p>
    <w:p>
      <w:pPr>
        <w:pStyle w:val="BodyText"/>
        <w:spacing w:line="273" w:lineRule="auto"/>
        <w:ind w:right="1131" w:firstLine="370"/>
        <w:jc w:val="both"/>
      </w:pPr>
      <w:r>
        <w:rPr/>
        <w:t>本公司从事风险管理的目标是在风险和收益之间取得适当的平衡，将风险对本公司经营业绩的负面影 </w:t>
      </w:r>
      <w:r>
        <w:rPr>
          <w:spacing w:val="-1"/>
        </w:rPr>
        <w:t>响降低到最低水平，使股东及其其他权益投资者的利益最大化。基于该风险管理目标，本公司风险管理的</w:t>
      </w:r>
      <w:r>
        <w:rPr>
          <w:spacing w:val="-83"/>
        </w:rPr>
        <w:t> </w:t>
      </w:r>
      <w:r>
        <w:rPr>
          <w:spacing w:val="-83"/>
        </w:rPr>
      </w:r>
      <w:r>
        <w:rPr>
          <w:spacing w:val="-1"/>
        </w:rPr>
        <w:t>基本策略是确定和分析本公司所面临的各种风险，建立适当的风险承受底线和进行风险管理，并及时可靠</w:t>
      </w:r>
      <w:r>
        <w:rPr>
          <w:spacing w:val="-81"/>
        </w:rPr>
        <w:t> </w:t>
      </w:r>
      <w:r>
        <w:rPr>
          <w:spacing w:val="-81"/>
        </w:rPr>
      </w:r>
      <w:r>
        <w:rPr/>
        <w:t>地对各种风险进行监督，将风险控制在限定的范围之内。</w:t>
      </w:r>
    </w:p>
    <w:p>
      <w:pPr>
        <w:spacing w:line="240" w:lineRule="auto" w:before="1"/>
        <w:rPr>
          <w:rFonts w:ascii="宋体" w:hAnsi="宋体" w:cs="宋体" w:eastAsia="宋体" w:hint="default"/>
          <w:sz w:val="17"/>
          <w:szCs w:val="17"/>
        </w:rPr>
      </w:pPr>
    </w:p>
    <w:p>
      <w:pPr>
        <w:pStyle w:val="BodyText"/>
        <w:spacing w:line="240" w:lineRule="auto"/>
        <w:ind w:left="524" w:right="0"/>
        <w:jc w:val="left"/>
      </w:pPr>
      <w:r>
        <w:rPr>
          <w:rFonts w:ascii="Times New Roman" w:hAnsi="Times New Roman" w:cs="Times New Roman" w:eastAsia="Times New Roman" w:hint="default"/>
        </w:rPr>
        <w:t>1</w:t>
      </w:r>
      <w:r>
        <w:rPr/>
        <w:t>、市场风险</w:t>
      </w:r>
    </w:p>
    <w:p>
      <w:pPr>
        <w:spacing w:line="240" w:lineRule="auto" w:before="2"/>
        <w:rPr>
          <w:rFonts w:ascii="宋体" w:hAnsi="宋体" w:cs="宋体" w:eastAsia="宋体" w:hint="default"/>
          <w:sz w:val="18"/>
          <w:szCs w:val="18"/>
        </w:rPr>
      </w:pPr>
    </w:p>
    <w:p>
      <w:pPr>
        <w:pStyle w:val="BodyText"/>
        <w:spacing w:line="436" w:lineRule="auto"/>
        <w:ind w:left="524" w:right="4292"/>
        <w:jc w:val="left"/>
      </w:pPr>
      <w:r>
        <w:rPr/>
        <w:t>（</w:t>
      </w:r>
      <w:r>
        <w:rPr>
          <w:rFonts w:ascii="Times New Roman" w:hAnsi="Times New Roman" w:cs="Times New Roman" w:eastAsia="Times New Roman" w:hint="default"/>
        </w:rPr>
        <w:t>1</w:t>
      </w:r>
      <w:r>
        <w:rPr/>
        <w:t>）外汇风险 公司经营在中国，结算货币全部为人民币。因此不存在外汇风险。</w:t>
      </w:r>
    </w:p>
    <w:p>
      <w:pPr>
        <w:pStyle w:val="BodyText"/>
        <w:spacing w:line="240" w:lineRule="auto" w:before="81"/>
        <w:ind w:left="524" w:right="0"/>
        <w:jc w:val="left"/>
      </w:pPr>
      <w:r>
        <w:rPr/>
        <w:t>（</w:t>
      </w:r>
      <w:r>
        <w:rPr>
          <w:rFonts w:ascii="Times New Roman" w:hAnsi="Times New Roman" w:cs="Times New Roman" w:eastAsia="Times New Roman" w:hint="default"/>
        </w:rPr>
        <w:t>2</w:t>
      </w:r>
      <w:r>
        <w:rPr/>
        <w:t>）利率风险</w:t>
      </w:r>
    </w:p>
    <w:p>
      <w:pPr>
        <w:spacing w:line="240" w:lineRule="auto" w:before="2"/>
        <w:rPr>
          <w:rFonts w:ascii="宋体" w:hAnsi="宋体" w:cs="宋体" w:eastAsia="宋体" w:hint="default"/>
          <w:sz w:val="18"/>
          <w:szCs w:val="18"/>
        </w:rPr>
      </w:pPr>
    </w:p>
    <w:p>
      <w:pPr>
        <w:pStyle w:val="BodyText"/>
        <w:spacing w:line="273" w:lineRule="auto"/>
        <w:ind w:right="1131" w:firstLine="370"/>
        <w:jc w:val="both"/>
      </w:pPr>
      <w:r>
        <w:rPr/>
        <w:t>本公司面临的利率风险主要来源于银行短长期借款。公司通过建立良好的银企关系，对授信额度、授 </w:t>
      </w:r>
      <w:r>
        <w:rPr>
          <w:spacing w:val="-1"/>
        </w:rPr>
        <w:t>信品种以及授信期限进行合理的设计，保障银行授信额度充足，满足公司各类短期融资需求。并且通过缩</w:t>
      </w:r>
      <w:r>
        <w:rPr>
          <w:spacing w:val="-83"/>
        </w:rPr>
        <w:t> </w:t>
      </w:r>
      <w:r>
        <w:rPr>
          <w:spacing w:val="-83"/>
        </w:rPr>
      </w:r>
      <w:r>
        <w:rPr/>
        <w:t>短单笔借款的期限，特别约定提前还款条款，合理降低利率波动风险。</w:t>
      </w:r>
    </w:p>
    <w:p>
      <w:pPr>
        <w:spacing w:line="240" w:lineRule="auto" w:before="1"/>
        <w:rPr>
          <w:rFonts w:ascii="宋体" w:hAnsi="宋体" w:cs="宋体" w:eastAsia="宋体" w:hint="default"/>
          <w:sz w:val="17"/>
          <w:szCs w:val="17"/>
        </w:rPr>
      </w:pPr>
    </w:p>
    <w:p>
      <w:pPr>
        <w:pStyle w:val="BodyText"/>
        <w:spacing w:line="256" w:lineRule="auto"/>
        <w:ind w:right="1128" w:firstLine="370"/>
        <w:jc w:val="both"/>
      </w:pP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日，在其他变量保持不变的情况下，如果以浮动利率计算的借款利率上升或下降</w:t>
      </w:r>
      <w:r>
        <w:rPr>
          <w:rFonts w:ascii="Times New Roman" w:hAnsi="Times New Roman" w:cs="Times New Roman" w:eastAsia="Times New Roman" w:hint="default"/>
        </w:rPr>
        <w:t>50</w:t>
      </w:r>
      <w:r>
        <w:rPr/>
        <w:t>个 基点，则本公司的净利润将减少或增加</w:t>
      </w:r>
      <w:r>
        <w:rPr>
          <w:rFonts w:ascii="Times New Roman" w:hAnsi="Times New Roman" w:cs="Times New Roman" w:eastAsia="Times New Roman" w:hint="default"/>
        </w:rPr>
        <w:t>1,406.50</w:t>
      </w:r>
      <w:r>
        <w:rPr/>
        <w:t>万元。</w:t>
      </w:r>
    </w:p>
    <w:p>
      <w:pPr>
        <w:pStyle w:val="BodyText"/>
        <w:spacing w:line="528" w:lineRule="exact" w:before="44"/>
        <w:ind w:left="524" w:right="0"/>
        <w:jc w:val="left"/>
      </w:pPr>
      <w:r>
        <w:rPr/>
        <w:t>（</w:t>
      </w:r>
      <w:r>
        <w:rPr>
          <w:rFonts w:ascii="Times New Roman" w:hAnsi="Times New Roman" w:cs="Times New Roman" w:eastAsia="Times New Roman" w:hint="default"/>
        </w:rPr>
        <w:t>3</w:t>
      </w:r>
      <w:r>
        <w:rPr/>
        <w:t>）价格风险 公司所销售的产品依赖境内的电子产品、工程施工、节水材料、苗木等，公司存在价格的波动导致公</w:t>
      </w:r>
    </w:p>
    <w:p>
      <w:pPr>
        <w:pStyle w:val="BodyText"/>
        <w:spacing w:line="236" w:lineRule="exact"/>
        <w:ind w:right="0"/>
        <w:jc w:val="left"/>
      </w:pPr>
      <w:r>
        <w:rPr/>
        <w:t>司营业收入波动的风险。</w:t>
      </w:r>
    </w:p>
    <w:p>
      <w:pPr>
        <w:spacing w:line="240" w:lineRule="auto" w:before="5"/>
        <w:rPr>
          <w:rFonts w:ascii="宋体" w:hAnsi="宋体" w:cs="宋体" w:eastAsia="宋体" w:hint="default"/>
          <w:sz w:val="19"/>
          <w:szCs w:val="19"/>
        </w:rPr>
      </w:pPr>
    </w:p>
    <w:p>
      <w:pPr>
        <w:pStyle w:val="BodyText"/>
        <w:spacing w:line="240" w:lineRule="auto"/>
        <w:ind w:left="524" w:right="0"/>
        <w:jc w:val="left"/>
      </w:pPr>
      <w:r>
        <w:rPr>
          <w:rFonts w:ascii="Times New Roman" w:hAnsi="Times New Roman" w:cs="Times New Roman" w:eastAsia="Times New Roman" w:hint="default"/>
        </w:rPr>
        <w:t>2</w:t>
      </w:r>
      <w:r>
        <w:rPr/>
        <w:t>、信用风险</w:t>
      </w:r>
    </w:p>
    <w:p>
      <w:pPr>
        <w:spacing w:line="240" w:lineRule="auto" w:before="2"/>
        <w:rPr>
          <w:rFonts w:ascii="宋体" w:hAnsi="宋体" w:cs="宋体" w:eastAsia="宋体" w:hint="default"/>
          <w:sz w:val="18"/>
          <w:szCs w:val="18"/>
        </w:rPr>
      </w:pPr>
    </w:p>
    <w:p>
      <w:pPr>
        <w:pStyle w:val="BodyText"/>
        <w:spacing w:line="256" w:lineRule="auto"/>
        <w:ind w:right="1132" w:firstLine="37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日，可能引起本公司财务损失的最大信用风险敞口主要来自于合同另一方未能履行义务 而导致本公司金融资产产生的损失。</w:t>
      </w:r>
    </w:p>
    <w:p>
      <w:pPr>
        <w:spacing w:line="240" w:lineRule="auto" w:before="3"/>
        <w:rPr>
          <w:rFonts w:ascii="宋体" w:hAnsi="宋体" w:cs="宋体" w:eastAsia="宋体" w:hint="default"/>
          <w:sz w:val="18"/>
          <w:szCs w:val="18"/>
        </w:rPr>
      </w:pPr>
    </w:p>
    <w:p>
      <w:pPr>
        <w:pStyle w:val="BodyText"/>
        <w:spacing w:line="273" w:lineRule="auto"/>
        <w:ind w:right="1131" w:firstLine="370"/>
        <w:jc w:val="both"/>
      </w:pPr>
      <w:r>
        <w:rPr/>
        <w:t>公司主要面临工程结算应收款项未能按合同约定及时收回产生的客户信用风险。为降低信用风险，公 </w:t>
      </w:r>
      <w:r>
        <w:rPr>
          <w:spacing w:val="-1"/>
        </w:rPr>
        <w:t>司优先选择财政状况良好的地方政府、实力雄厚和信誉良好的大型企业等优质客户，并通过对已有客户信</w:t>
      </w:r>
      <w:r>
        <w:rPr>
          <w:spacing w:val="-81"/>
        </w:rPr>
        <w:t> </w:t>
      </w:r>
      <w:r>
        <w:rPr>
          <w:spacing w:val="-81"/>
        </w:rPr>
      </w:r>
      <w:r>
        <w:rPr/>
        <w:t>用监控以及通过账龄分析来对应收账款进行持续监控，确保公司的整体信用风险在可控的范围。</w:t>
      </w:r>
    </w:p>
    <w:p>
      <w:pPr>
        <w:spacing w:line="240" w:lineRule="auto" w:before="1"/>
        <w:rPr>
          <w:rFonts w:ascii="宋体" w:hAnsi="宋体" w:cs="宋体" w:eastAsia="宋体" w:hint="default"/>
          <w:sz w:val="17"/>
          <w:szCs w:val="17"/>
        </w:rPr>
      </w:pPr>
    </w:p>
    <w:p>
      <w:pPr>
        <w:pStyle w:val="BodyText"/>
        <w:spacing w:line="273" w:lineRule="auto"/>
        <w:ind w:right="1110" w:firstLine="370"/>
        <w:jc w:val="both"/>
      </w:pPr>
      <w:r>
        <w:rPr/>
        <w:t>为降低信用风险，本公司成立了一个小组负责确定信用额度、进行信用审批，并执行其他监控程序以 确保采取必要的措施回收过期债权。此外，本公司于每个资产负债表日审核每一单项应收款的回收情况， </w:t>
      </w:r>
      <w:r>
        <w:rPr>
          <w:spacing w:val="-1"/>
        </w:rPr>
        <w:t>以确保就无法回收的款项计提充分的坏账准备。因此，本公司管理层认为本公司所承担的信用风险已经大</w:t>
      </w:r>
      <w:r>
        <w:rPr>
          <w:spacing w:val="-81"/>
        </w:rPr>
        <w:t> </w:t>
      </w:r>
      <w:r>
        <w:rPr>
          <w:spacing w:val="-81"/>
        </w:rPr>
      </w:r>
      <w:r>
        <w:rPr/>
        <w:t>为降低。</w:t>
      </w:r>
    </w:p>
    <w:p>
      <w:pPr>
        <w:pStyle w:val="BodyText"/>
        <w:spacing w:line="510" w:lineRule="atLeast" w:before="4"/>
        <w:ind w:left="524" w:right="1118"/>
        <w:jc w:val="left"/>
      </w:pPr>
      <w:r>
        <w:rPr>
          <w:rFonts w:ascii="Times New Roman" w:hAnsi="Times New Roman" w:cs="Times New Roman" w:eastAsia="Times New Roman" w:hint="default"/>
        </w:rPr>
        <w:t>3</w:t>
      </w:r>
      <w:r>
        <w:rPr/>
        <w:t>、流动风险 管理流动风险时，本公司保持管理层认为充分的现金及现金等价物并对其进行监控，以满足本公司经</w:t>
      </w:r>
    </w:p>
    <w:p>
      <w:pPr>
        <w:pStyle w:val="BodyText"/>
        <w:spacing w:line="240" w:lineRule="auto" w:before="37"/>
        <w:ind w:right="0"/>
        <w:jc w:val="left"/>
      </w:pPr>
      <w:r>
        <w:rPr/>
        <w:t>营需要，并降低现金流量波动的影响。</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一、公允价值的披露" w:id="440"/>
      <w:bookmarkEnd w:id="440"/>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以公允价值计量的资产和负债的期末公允价值" w:id="441"/>
      <w:bookmarkEnd w:id="441"/>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持续和非持续第一层次公允价值计量项目市价的确定依据" w:id="442"/>
      <w:bookmarkEnd w:id="442"/>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持续和非持续第二层次公允价值计量项目，采用的估值技术和重要参数的定性及定量信" w:id="443"/>
      <w:bookmarkEnd w:id="443"/>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持续和非持续第三层次公允价值计量项目，采用的估值技术和重要参数的定性及定量信" w:id="444"/>
      <w:bookmarkEnd w:id="444"/>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持续的第三层次公允价值计量项目，期初与期末账面价值间的调节信息及不可观察参数" w:id="445"/>
      <w:bookmarkEnd w:id="445"/>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6、持续的公允价值计量项目，本期内发生各层级之间转换的，转换的原因及确定转换时点" w:id="446"/>
      <w:bookmarkEnd w:id="446"/>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7、本期内发生的估值技术变更及变更原因" w:id="447"/>
      <w:bookmarkEnd w:id="447"/>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8、不以公允价值计量的金融资产和金融负债的公允价值情况" w:id="448"/>
      <w:bookmarkEnd w:id="448"/>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692" w:firstLine="0"/>
        <w:jc w:val="left"/>
        <w:rPr>
          <w:rFonts w:ascii="宋体" w:hAnsi="宋体" w:cs="宋体" w:eastAsia="宋体" w:hint="default"/>
          <w:sz w:val="21"/>
          <w:szCs w:val="21"/>
        </w:rPr>
      </w:pPr>
      <w:bookmarkStart w:name="9、其他" w:id="449"/>
      <w:bookmarkEnd w:id="449"/>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50"/>
      <w:bookmarkEnd w:id="450"/>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51"/>
      <w:bookmarkEnd w:id="451"/>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北京杨树蓝天投资 中心（有限合伙）</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投资管理、资产管 理；投资咨询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33"/>
              <w:jc w:val="right"/>
              <w:rPr>
                <w:rFonts w:ascii="宋体" w:hAnsi="宋体" w:cs="宋体" w:eastAsia="宋体" w:hint="default"/>
                <w:sz w:val="18"/>
                <w:szCs w:val="18"/>
              </w:rPr>
            </w:pPr>
            <w:r>
              <w:rPr>
                <w:rFonts w:ascii="Times New Roman" w:hAnsi="Times New Roman" w:cs="Times New Roman" w:eastAsia="Times New Roman" w:hint="default"/>
                <w:sz w:val="18"/>
                <w:szCs w:val="18"/>
              </w:rPr>
              <w:t>96,100.00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19.48%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19.48%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line="240" w:lineRule="auto" w:before="1"/>
        <w:rPr>
          <w:rFonts w:ascii="宋体" w:hAnsi="宋体" w:cs="宋体" w:eastAsia="宋体" w:hint="default"/>
          <w:sz w:val="13"/>
          <w:szCs w:val="13"/>
        </w:rPr>
      </w:pPr>
    </w:p>
    <w:p>
      <w:pPr>
        <w:pStyle w:val="BodyText"/>
        <w:tabs>
          <w:tab w:pos="4481" w:val="left" w:leader="none"/>
        </w:tabs>
        <w:spacing w:line="240" w:lineRule="auto"/>
        <w:ind w:right="0"/>
        <w:jc w:val="left"/>
      </w:pPr>
      <w:r>
        <w:rPr/>
        <w:t>报告期内，母公司注册资本变化如下：</w:t>
        <w:tab/>
        <w:t>单位：万元</w:t>
      </w:r>
    </w:p>
    <w:p>
      <w:pPr>
        <w:spacing w:line="240" w:lineRule="auto" w:before="6"/>
        <w:rPr>
          <w:rFonts w:ascii="宋体" w:hAnsi="宋体" w:cs="宋体" w:eastAsia="宋体" w:hint="default"/>
          <w:sz w:val="20"/>
          <w:szCs w:val="20"/>
        </w:rPr>
      </w:pPr>
    </w:p>
    <w:tbl>
      <w:tblPr>
        <w:tblW w:w="0" w:type="auto"/>
        <w:jc w:val="left"/>
        <w:tblInd w:w="146" w:type="dxa"/>
        <w:tblLayout w:type="fixed"/>
        <w:tblCellMar>
          <w:top w:w="0" w:type="dxa"/>
          <w:left w:w="0" w:type="dxa"/>
          <w:bottom w:w="0" w:type="dxa"/>
          <w:right w:w="0" w:type="dxa"/>
        </w:tblCellMar>
        <w:tblLook w:val="01E0"/>
      </w:tblPr>
      <w:tblGrid>
        <w:gridCol w:w="2430"/>
        <w:gridCol w:w="1839"/>
        <w:gridCol w:w="1522"/>
        <w:gridCol w:w="1456"/>
        <w:gridCol w:w="1842"/>
      </w:tblGrid>
      <w:tr>
        <w:trPr>
          <w:trHeight w:val="355" w:hRule="exact"/>
        </w:trPr>
        <w:tc>
          <w:tcPr>
            <w:tcW w:w="2430"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left="439" w:right="0"/>
              <w:jc w:val="left"/>
              <w:rPr>
                <w:rFonts w:ascii="Times New Roman" w:hAnsi="Times New Roman" w:cs="Times New Roman" w:eastAsia="Times New Roman" w:hint="default"/>
                <w:sz w:val="21"/>
                <w:szCs w:val="21"/>
              </w:rPr>
            </w:pPr>
            <w:r>
              <w:rPr>
                <w:rFonts w:ascii="Times New Roman"/>
                <w:b/>
                <w:sz w:val="21"/>
              </w:rPr>
              <w:t>2017.12.31</w:t>
            </w:r>
            <w:r>
              <w:rPr>
                <w:rFonts w:ascii="Times New Roman"/>
                <w:sz w:val="21"/>
              </w:rPr>
            </w:r>
          </w:p>
        </w:tc>
        <w:tc>
          <w:tcPr>
            <w:tcW w:w="152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331"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456"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84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7"/>
              <w:ind w:left="440" w:right="0"/>
              <w:jc w:val="left"/>
              <w:rPr>
                <w:rFonts w:ascii="Times New Roman" w:hAnsi="Times New Roman" w:cs="Times New Roman" w:eastAsia="Times New Roman" w:hint="default"/>
                <w:sz w:val="21"/>
                <w:szCs w:val="21"/>
              </w:rPr>
            </w:pPr>
            <w:r>
              <w:rPr>
                <w:rFonts w:ascii="Times New Roman"/>
                <w:b/>
                <w:sz w:val="21"/>
              </w:rPr>
              <w:t>2018.12.31</w:t>
            </w:r>
            <w:r>
              <w:rPr>
                <w:rFonts w:ascii="Times New Roman"/>
                <w:sz w:val="21"/>
              </w:rPr>
            </w:r>
          </w:p>
        </w:tc>
      </w:tr>
      <w:tr>
        <w:trPr>
          <w:trHeight w:val="353" w:hRule="exact"/>
        </w:trPr>
        <w:tc>
          <w:tcPr>
            <w:tcW w:w="243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实缴出资额</w:t>
            </w:r>
          </w:p>
        </w:tc>
        <w:tc>
          <w:tcPr>
            <w:tcW w:w="18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980" w:right="0"/>
              <w:jc w:val="left"/>
              <w:rPr>
                <w:rFonts w:ascii="Times New Roman" w:hAnsi="Times New Roman" w:cs="Times New Roman" w:eastAsia="Times New Roman" w:hint="default"/>
                <w:sz w:val="21"/>
                <w:szCs w:val="21"/>
              </w:rPr>
            </w:pPr>
            <w:r>
              <w:rPr>
                <w:rFonts w:ascii="Times New Roman"/>
                <w:sz w:val="21"/>
              </w:rPr>
              <w:t>54,800.00</w:t>
            </w:r>
          </w:p>
        </w:tc>
        <w:tc>
          <w:tcPr>
            <w:tcW w:w="15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664" w:right="0"/>
              <w:jc w:val="left"/>
              <w:rPr>
                <w:rFonts w:ascii="Times New Roman" w:hAnsi="Times New Roman" w:cs="Times New Roman" w:eastAsia="Times New Roman" w:hint="default"/>
                <w:sz w:val="21"/>
                <w:szCs w:val="21"/>
              </w:rPr>
            </w:pPr>
            <w:r>
              <w:rPr>
                <w:rFonts w:ascii="Times New Roman"/>
                <w:sz w:val="21"/>
              </w:rPr>
              <w:t>41,300.00</w:t>
            </w:r>
          </w:p>
        </w:tc>
        <w:tc>
          <w:tcPr>
            <w:tcW w:w="1456" w:type="dxa"/>
            <w:tcBorders>
              <w:top w:val="single" w:sz="12" w:space="0" w:color="000000"/>
              <w:left w:val="single" w:sz="6" w:space="0" w:color="000000"/>
              <w:bottom w:val="single" w:sz="12" w:space="0" w:color="000000"/>
              <w:right w:val="single" w:sz="6" w:space="0" w:color="000000"/>
            </w:tcBorders>
          </w:tcPr>
          <w:p>
            <w:pPr/>
          </w:p>
        </w:tc>
        <w:tc>
          <w:tcPr>
            <w:tcW w:w="18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983" w:right="0"/>
              <w:jc w:val="left"/>
              <w:rPr>
                <w:rFonts w:ascii="Times New Roman" w:hAnsi="Times New Roman" w:cs="Times New Roman" w:eastAsia="Times New Roman" w:hint="default"/>
                <w:sz w:val="21"/>
                <w:szCs w:val="21"/>
              </w:rPr>
            </w:pPr>
            <w:r>
              <w:rPr>
                <w:rFonts w:ascii="Times New Roman"/>
                <w:sz w:val="21"/>
              </w:rPr>
              <w:t>96,100.00</w:t>
            </w:r>
          </w:p>
        </w:tc>
      </w:tr>
    </w:tbl>
    <w:p>
      <w:pPr>
        <w:spacing w:after="0" w:line="240" w:lineRule="auto"/>
        <w:jc w:val="left"/>
        <w:rPr>
          <w:rFonts w:ascii="Times New Roman" w:hAnsi="Times New Roman" w:cs="Times New Roman" w:eastAsia="Times New Roman"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line="360"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本企业最终控制方是郭绍增。 其他说明：</w:t>
      </w:r>
    </w:p>
    <w:p>
      <w:pPr>
        <w:spacing w:line="240" w:lineRule="auto" w:before="12"/>
        <w:rPr>
          <w:rFonts w:ascii="宋体" w:hAnsi="宋体" w:cs="宋体" w:eastAsia="宋体" w:hint="default"/>
          <w:sz w:val="19"/>
          <w:szCs w:val="19"/>
        </w:rPr>
      </w:pPr>
    </w:p>
    <w:p>
      <w:pPr>
        <w:spacing w:line="547" w:lineRule="auto" w:before="0"/>
        <w:ind w:left="154" w:right="6792" w:firstLine="0"/>
        <w:jc w:val="left"/>
        <w:rPr>
          <w:rFonts w:ascii="宋体" w:hAnsi="宋体" w:cs="宋体" w:eastAsia="宋体" w:hint="default"/>
          <w:sz w:val="21"/>
          <w:szCs w:val="21"/>
        </w:rPr>
      </w:pPr>
      <w:bookmarkStart w:name="2、本企业的子公司情况" w:id="452"/>
      <w:bookmarkEnd w:id="45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bookmarkStart w:name="3、本企业合营和联营企业情况" w:id="453"/>
      <w:bookmarkEnd w:id="453"/>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38" w:lineRule="auto" w:before="51"/>
        <w:ind w:left="154" w:right="2292"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w:t>
      </w:r>
      <w:r>
        <w:rPr>
          <w:rFonts w:ascii="Times New Roman" w:hAnsi="Times New Roman" w:cs="Times New Roman" w:eastAsia="Times New Roman" w:hint="default"/>
          <w:sz w:val="18"/>
          <w:szCs w:val="18"/>
        </w:rPr>
        <w:t>3</w:t>
      </w:r>
      <w:r>
        <w:rPr>
          <w:rFonts w:ascii="宋体" w:hAnsi="宋体" w:cs="宋体" w:eastAsia="宋体" w:hint="default"/>
          <w:sz w:val="18"/>
          <w:szCs w:val="18"/>
        </w:rPr>
        <w:t>。 本期与本公司发生关联方交易，或前期与本公司发生关联方交易形成余额的其他合营或联营企业情况如下：</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沈阳金丰春航空科技有限公司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投资的联营企业</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其他关联方情况" w:id="454"/>
      <w:bookmarkEnd w:id="454"/>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北京杨树嘉业投资中心（有限合伙）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持股公司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以上的股东、实际控制人控制的公司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持股公司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以上的股东、实际控制人控制的公司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半丁（厦门）资产管理合伙企业（有限合伙）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持股公司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以上的股东、实际控制人控制的公司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融通资本（固安）投资管理有限公司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九通基业科技发展有限公司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张家港保税区京蓝智享资产管理合伙企业（有限合伙）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本公司实际控制人郭绍增配偶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科瑞特投资管理（北京）有限公司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实际控制人的配偶持有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杨树时代投资（北京）有限公司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本公司董事长杨仁贵担任执行董事及经理的公司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天津北方创业市政工程集团有限公司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本公司高管高学刚控制的公司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天津北方创业小额贷款有限责任公司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本公司高管高学刚控制的公司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天津市北方创业物业管理有限公司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本公司高管高学刚控制的公司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九洲天美环保科技（天津）有限公司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本公司高管高学刚控制的公司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天津市兴北房地产开发有限公司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本公司高管高学刚控制的公司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天津北方创业控股集团有限公司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本公司高管高学刚控制的公司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天津东明阁餐饮有限公司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本公司高管高学刚控制的公司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内蒙古辽河工程局股份有限公司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本公司董事、副总裁、董事会秘书刘欣任职董事的公司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中科鼎实环境工程股份有限公司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以上股份的公司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杨仁贵</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吴春军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董事、首席执行官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韩志权</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董事、常务副总裁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阎涛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郭绍全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刘欣</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董事、副总裁、董事会秘书</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陈方清</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聂兴凯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尹洲澄</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张世玉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姜俐赜</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郭源源</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副总裁、财务负责人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李文明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冯玉禄</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乌力吉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持股公司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以上的股东、副总裁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金慧君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乌力吉的配偶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高学刚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离任十二个月内的高管</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张菁桦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离任十二个月内的高管</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蒋琳媛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离任十二个月内的高管</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关联交易情况" w:id="455"/>
      <w:bookmarkEnd w:id="455"/>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购销商品、提供和接受劳务的关联交易" w:id="456"/>
      <w:bookmarkEnd w:id="456"/>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天津市北方创业物 业管理有限公司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743,300.97</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756,623.78</w:t>
            </w:r>
          </w:p>
        </w:tc>
      </w:tr>
      <w:tr>
        <w:trPr>
          <w:trHeight w:val="71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65"/>
              <w:jc w:val="left"/>
              <w:rPr>
                <w:rFonts w:ascii="宋体" w:hAnsi="宋体" w:cs="宋体" w:eastAsia="宋体" w:hint="default"/>
                <w:sz w:val="18"/>
                <w:szCs w:val="18"/>
              </w:rPr>
            </w:pPr>
            <w:r>
              <w:rPr>
                <w:rFonts w:ascii="宋体" w:hAnsi="宋体" w:cs="宋体" w:eastAsia="宋体" w:hint="default"/>
                <w:sz w:val="18"/>
                <w:szCs w:val="18"/>
              </w:rPr>
              <w:t>天津东明阁餐饮有 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餐饮服务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287,130.00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491,724.00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天津北方创业控股集团有限公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工程</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74,872,727.27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53,759,482.88</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天津北方创业控股集团有限公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设计费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1,726,289.62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关联受托管理/承包及委托管理/出包情况" w:id="457"/>
      <w:bookmarkEnd w:id="457"/>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338" w:lineRule="auto" w:before="52"/>
        <w:ind w:left="154" w:right="-2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45" w:space="628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3）关联租赁情况" w:id="458"/>
      <w:bookmarkEnd w:id="458"/>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天津北方创业市政工程集团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2,982,857.14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3,235,998.42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郭绍全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2,132,271.63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2,107,625.96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关联担保情况" w:id="459"/>
      <w:bookmarkEnd w:id="459"/>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高学刚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京蓝控股有限公司、杨 仁贵</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京蓝控股有限公司、杨 仁贵</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京蓝控股有限公司、杨 仁贵</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京蓝控股有限公司、杨 仁贵</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杨树时代投资（北京）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关联方资金拆借" w:id="460"/>
      <w:bookmarkEnd w:id="460"/>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郭绍全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无息借入</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九通基业科技发展有限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无息借入</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关联方资产转让、债务重组情况" w:id="461"/>
      <w:bookmarkEnd w:id="461"/>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254" w:right="1117"/>
        <w:jc w:val="left"/>
        <w:rPr>
          <w:b w:val="0"/>
          <w:bCs w:val="0"/>
        </w:rPr>
      </w:pPr>
      <w:bookmarkStart w:name="（7）关键管理人员报酬" w:id="462"/>
      <w:bookmarkEnd w:id="462"/>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关键管理人员报酬（单位：万元）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971.95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578.76</w:t>
            </w:r>
          </w:p>
        </w:tc>
      </w:tr>
    </w:tbl>
    <w:p>
      <w:pPr>
        <w:spacing w:line="240" w:lineRule="auto" w:before="2"/>
        <w:rPr>
          <w:rFonts w:ascii="宋体" w:hAnsi="宋体" w:cs="宋体" w:eastAsia="宋体" w:hint="default"/>
          <w:sz w:val="19"/>
          <w:szCs w:val="19"/>
        </w:rPr>
      </w:pPr>
    </w:p>
    <w:p>
      <w:pPr>
        <w:pStyle w:val="Heading4"/>
        <w:spacing w:line="240" w:lineRule="auto" w:before="35"/>
        <w:ind w:left="254" w:right="1117"/>
        <w:jc w:val="left"/>
        <w:rPr>
          <w:b w:val="0"/>
          <w:bCs w:val="0"/>
        </w:rPr>
      </w:pPr>
      <w:bookmarkStart w:name="（8） 其他关联交易" w:id="463"/>
      <w:bookmarkEnd w:id="463"/>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3738"/>
        <w:gridCol w:w="2128"/>
        <w:gridCol w:w="2002"/>
        <w:gridCol w:w="2002"/>
      </w:tblGrid>
      <w:tr>
        <w:trPr>
          <w:trHeight w:val="459" w:hRule="exact"/>
        </w:trPr>
        <w:tc>
          <w:tcPr>
            <w:tcW w:w="373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0"/>
              <w:ind w:left="19"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关联方</w:t>
            </w:r>
            <w:r>
              <w:rPr>
                <w:rFonts w:ascii="Microsoft JhengHei" w:hAnsi="Microsoft JhengHei" w:cs="Microsoft JhengHei" w:eastAsia="Microsoft JhengHei" w:hint="default"/>
                <w:sz w:val="18"/>
                <w:szCs w:val="18"/>
              </w:rPr>
            </w:r>
          </w:p>
        </w:tc>
        <w:tc>
          <w:tcPr>
            <w:tcW w:w="21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0"/>
              <w:ind w:left="51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关联交易内容</w:t>
            </w:r>
            <w:r>
              <w:rPr>
                <w:rFonts w:ascii="Microsoft JhengHei" w:hAnsi="Microsoft JhengHei" w:cs="Microsoft JhengHei" w:eastAsia="Microsoft JhengHei" w:hint="default"/>
                <w:sz w:val="18"/>
                <w:szCs w:val="18"/>
              </w:rPr>
            </w:r>
          </w:p>
        </w:tc>
        <w:tc>
          <w:tcPr>
            <w:tcW w:w="20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0"/>
              <w:ind w:left="502" w:right="0"/>
              <w:jc w:val="left"/>
              <w:rPr>
                <w:rFonts w:ascii="Microsoft JhengHei" w:hAnsi="Microsoft JhengHei" w:cs="Microsoft JhengHei" w:eastAsia="Microsoft JhengHei" w:hint="default"/>
                <w:sz w:val="18"/>
                <w:szCs w:val="18"/>
              </w:rPr>
            </w:pPr>
            <w:r>
              <w:rPr>
                <w:rFonts w:ascii="Arial Narrow" w:hAnsi="Arial Narrow" w:cs="Arial Narrow" w:eastAsia="Arial Narrow" w:hint="default"/>
                <w:b/>
                <w:bCs/>
                <w:sz w:val="18"/>
                <w:szCs w:val="18"/>
              </w:rPr>
              <w:t>2018</w:t>
            </w:r>
            <w:r>
              <w:rPr>
                <w:rFonts w:ascii="Microsoft JhengHei" w:hAnsi="Microsoft JhengHei" w:cs="Microsoft JhengHei" w:eastAsia="Microsoft JhengHei" w:hint="default"/>
                <w:b/>
                <w:bCs/>
                <w:sz w:val="18"/>
                <w:szCs w:val="18"/>
              </w:rPr>
              <w:t>年</w:t>
            </w:r>
            <w:r>
              <w:rPr>
                <w:rFonts w:ascii="Arial Narrow" w:hAnsi="Arial Narrow" w:cs="Arial Narrow" w:eastAsia="Arial Narrow" w:hint="default"/>
                <w:b/>
                <w:bCs/>
                <w:sz w:val="18"/>
                <w:szCs w:val="18"/>
              </w:rPr>
              <w:t>1-12</w:t>
            </w:r>
            <w:r>
              <w:rPr>
                <w:rFonts w:ascii="Microsoft JhengHei" w:hAnsi="Microsoft JhengHei" w:cs="Microsoft JhengHei" w:eastAsia="Microsoft JhengHei" w:hint="default"/>
                <w:b/>
                <w:bCs/>
                <w:sz w:val="18"/>
                <w:szCs w:val="18"/>
              </w:rPr>
              <w:t>月</w:t>
            </w:r>
            <w:r>
              <w:rPr>
                <w:rFonts w:ascii="Microsoft JhengHei" w:hAnsi="Microsoft JhengHei" w:cs="Microsoft JhengHei" w:eastAsia="Microsoft JhengHei" w:hint="default"/>
                <w:sz w:val="18"/>
                <w:szCs w:val="18"/>
              </w:rPr>
            </w:r>
          </w:p>
        </w:tc>
        <w:tc>
          <w:tcPr>
            <w:tcW w:w="200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0"/>
              <w:ind w:left="502" w:right="0"/>
              <w:jc w:val="left"/>
              <w:rPr>
                <w:rFonts w:ascii="Microsoft JhengHei" w:hAnsi="Microsoft JhengHei" w:cs="Microsoft JhengHei" w:eastAsia="Microsoft JhengHei" w:hint="default"/>
                <w:sz w:val="18"/>
                <w:szCs w:val="18"/>
              </w:rPr>
            </w:pPr>
            <w:r>
              <w:rPr>
                <w:rFonts w:ascii="Arial Narrow" w:hAnsi="Arial Narrow" w:cs="Arial Narrow" w:eastAsia="Arial Narrow" w:hint="default"/>
                <w:b/>
                <w:bCs/>
                <w:sz w:val="18"/>
                <w:szCs w:val="18"/>
              </w:rPr>
              <w:t>2017</w:t>
            </w:r>
            <w:r>
              <w:rPr>
                <w:rFonts w:ascii="Microsoft JhengHei" w:hAnsi="Microsoft JhengHei" w:cs="Microsoft JhengHei" w:eastAsia="Microsoft JhengHei" w:hint="default"/>
                <w:b/>
                <w:bCs/>
                <w:sz w:val="18"/>
                <w:szCs w:val="18"/>
              </w:rPr>
              <w:t>年</w:t>
            </w:r>
            <w:r>
              <w:rPr>
                <w:rFonts w:ascii="Arial Narrow" w:hAnsi="Arial Narrow" w:cs="Arial Narrow" w:eastAsia="Arial Narrow" w:hint="default"/>
                <w:b/>
                <w:bCs/>
                <w:sz w:val="18"/>
                <w:szCs w:val="18"/>
              </w:rPr>
              <w:t>1-12</w:t>
            </w:r>
            <w:r>
              <w:rPr>
                <w:rFonts w:ascii="Microsoft JhengHei" w:hAnsi="Microsoft JhengHei" w:cs="Microsoft JhengHei" w:eastAsia="Microsoft JhengHei" w:hint="default"/>
                <w:b/>
                <w:bCs/>
                <w:sz w:val="18"/>
                <w:szCs w:val="18"/>
              </w:rPr>
              <w:t>月</w:t>
            </w:r>
            <w:r>
              <w:rPr>
                <w:rFonts w:ascii="Microsoft JhengHei" w:hAnsi="Microsoft JhengHei" w:cs="Microsoft JhengHei" w:eastAsia="Microsoft JhengHei" w:hint="default"/>
                <w:sz w:val="18"/>
                <w:szCs w:val="18"/>
              </w:rPr>
            </w:r>
          </w:p>
        </w:tc>
      </w:tr>
      <w:tr>
        <w:trPr>
          <w:trHeight w:val="724" w:hRule="exact"/>
        </w:trPr>
        <w:tc>
          <w:tcPr>
            <w:tcW w:w="37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天津市北方创业市政工程集团有限公司</w:t>
            </w:r>
          </w:p>
        </w:tc>
        <w:tc>
          <w:tcPr>
            <w:tcW w:w="2128"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52"/>
              <w:ind w:left="101" w:right="214"/>
              <w:jc w:val="left"/>
              <w:rPr>
                <w:rFonts w:ascii="宋体" w:hAnsi="宋体" w:cs="宋体" w:eastAsia="宋体" w:hint="default"/>
                <w:sz w:val="18"/>
                <w:szCs w:val="18"/>
              </w:rPr>
            </w:pPr>
            <w:r>
              <w:rPr>
                <w:rFonts w:ascii="宋体" w:hAnsi="宋体" w:cs="宋体" w:eastAsia="宋体" w:hint="default"/>
                <w:sz w:val="18"/>
                <w:szCs w:val="18"/>
              </w:rPr>
              <w:t>分期收款股权转让款及 项目保证金</w:t>
            </w:r>
          </w:p>
        </w:tc>
        <w:tc>
          <w:tcPr>
            <w:tcW w:w="20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left="862" w:right="0"/>
              <w:jc w:val="left"/>
              <w:rPr>
                <w:rFonts w:ascii="Arial Narrow" w:hAnsi="Arial Narrow" w:cs="Arial Narrow" w:eastAsia="Arial Narrow" w:hint="default"/>
                <w:sz w:val="18"/>
                <w:szCs w:val="18"/>
              </w:rPr>
            </w:pPr>
            <w:r>
              <w:rPr>
                <w:rFonts w:ascii="Arial Narrow"/>
                <w:sz w:val="18"/>
              </w:rPr>
              <w:t>187,800,000.00</w:t>
            </w:r>
          </w:p>
        </w:tc>
        <w:tc>
          <w:tcPr>
            <w:tcW w:w="200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z w:val="18"/>
              </w:rPr>
              <w:t>-</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pStyle w:val="Heading4"/>
        <w:spacing w:line="240" w:lineRule="auto" w:before="35"/>
        <w:ind w:left="254" w:right="1117"/>
        <w:jc w:val="left"/>
        <w:rPr>
          <w:b w:val="0"/>
          <w:bCs w:val="0"/>
        </w:rPr>
      </w:pPr>
      <w:bookmarkStart w:name="6、关联方应收应付款项" w:id="464"/>
      <w:bookmarkEnd w:id="464"/>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254" w:right="1117"/>
        <w:jc w:val="left"/>
        <w:rPr>
          <w:b w:val="0"/>
          <w:bCs w:val="0"/>
        </w:rPr>
      </w:pPr>
      <w:bookmarkStart w:name="（1）应收项目" w:id="465"/>
      <w:bookmarkEnd w:id="465"/>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郭绍全</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888,446.50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朱锦</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878,177.46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天津北方创业市政 工程集团有限公司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7" w:right="0"/>
              <w:jc w:val="left"/>
              <w:rPr>
                <w:rFonts w:ascii="Times New Roman" w:hAnsi="Times New Roman" w:cs="Times New Roman" w:eastAsia="Times New Roman" w:hint="default"/>
                <w:sz w:val="18"/>
                <w:szCs w:val="18"/>
              </w:rPr>
            </w:pPr>
            <w:r>
              <w:rPr>
                <w:rFonts w:ascii="Times New Roman"/>
                <w:sz w:val="18"/>
              </w:rPr>
              <w:t>187,800,000.00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254" w:right="1117"/>
        <w:jc w:val="left"/>
        <w:rPr>
          <w:b w:val="0"/>
          <w:bCs w:val="0"/>
        </w:rPr>
      </w:pPr>
      <w:bookmarkStart w:name="（2）应付项目" w:id="466"/>
      <w:bookmarkEnd w:id="466"/>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2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乌力吉</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18,233,419.40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22,953,952.12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天津市北方创业物业管理有 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134,200.00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天津北方创业市政工程集团 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537,980.63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8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7、关联方承诺" w:id="467"/>
      <w:bookmarkEnd w:id="467"/>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8750" w:firstLine="0"/>
        <w:jc w:val="left"/>
        <w:rPr>
          <w:rFonts w:ascii="宋体" w:hAnsi="宋体" w:cs="宋体" w:eastAsia="宋体" w:hint="default"/>
          <w:sz w:val="21"/>
          <w:szCs w:val="21"/>
        </w:rPr>
      </w:pPr>
      <w:bookmarkStart w:name="8、其他" w:id="468"/>
      <w:bookmarkEnd w:id="46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69"/>
      <w:bookmarkEnd w:id="469"/>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70"/>
      <w:bookmarkEnd w:id="47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8"/>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以权益结算的股份支付情况" w:id="471"/>
      <w:bookmarkEnd w:id="471"/>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以现金结算的股份支付情况" w:id="472"/>
      <w:bookmarkEnd w:id="472"/>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股份支付的修改、终止情况" w:id="473"/>
      <w:bookmarkEnd w:id="473"/>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8412" w:firstLine="0"/>
        <w:jc w:val="left"/>
        <w:rPr>
          <w:rFonts w:ascii="宋体" w:hAnsi="宋体" w:cs="宋体" w:eastAsia="宋体" w:hint="default"/>
          <w:sz w:val="21"/>
          <w:szCs w:val="21"/>
        </w:rPr>
      </w:pPr>
      <w:bookmarkStart w:name="5、其他" w:id="474"/>
      <w:bookmarkEnd w:id="47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75"/>
      <w:bookmarkEnd w:id="475"/>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76"/>
      <w:bookmarkEnd w:id="476"/>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8"/>
        <w:ind w:left="154"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spacing w:line="240" w:lineRule="auto" w:before="6"/>
        <w:rPr>
          <w:rFonts w:ascii="宋体" w:hAnsi="宋体" w:cs="宋体" w:eastAsia="宋体" w:hint="default"/>
          <w:sz w:val="18"/>
          <w:szCs w:val="18"/>
        </w:rPr>
      </w:pPr>
    </w:p>
    <w:p>
      <w:pPr>
        <w:pStyle w:val="BodyText"/>
        <w:spacing w:line="240" w:lineRule="auto"/>
        <w:ind w:left="524"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日，本公司无需要披露的重大承诺事项。</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bookmarkStart w:name="2、或有事项" w:id="477"/>
      <w:bookmarkEnd w:id="477"/>
      <w:r>
        <w:rPr>
          <w:b w:val="0"/>
          <w:bCs w:val="0"/>
        </w:rPr>
      </w:r>
      <w:r>
        <w:rPr>
          <w:rFonts w:ascii="Times New Roman" w:hAnsi="Times New Roman" w:cs="Times New Roman" w:eastAsia="Times New Roman" w:hint="default"/>
        </w:rPr>
        <w:t>2</w:t>
      </w:r>
      <w:r>
        <w:rPr/>
        <w:t>、或有事项</w:t>
      </w:r>
      <w:r>
        <w:rPr>
          <w:b w:val="0"/>
          <w:bCs w:val="0"/>
        </w:rPr>
      </w:r>
    </w:p>
    <w:p>
      <w:pPr>
        <w:spacing w:line="610" w:lineRule="atLeast" w:before="3"/>
        <w:ind w:left="524" w:right="0" w:hanging="371"/>
        <w:jc w:val="left"/>
        <w:rPr>
          <w:rFonts w:ascii="宋体" w:hAnsi="宋体" w:cs="宋体" w:eastAsia="宋体" w:hint="default"/>
          <w:sz w:val="21"/>
          <w:szCs w:val="21"/>
        </w:rPr>
      </w:pPr>
      <w:bookmarkStart w:name="（1）资产负债表日存在的重要或有事项" w:id="478"/>
      <w:bookmarkEnd w:id="47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pacing w:val="-2"/>
          <w:sz w:val="21"/>
          <w:szCs w:val="21"/>
        </w:rPr>
        <w:t>为保障凉城县卧佛山生态治理</w:t>
      </w:r>
      <w:r>
        <w:rPr>
          <w:rFonts w:ascii="Times New Roman" w:hAnsi="Times New Roman" w:cs="Times New Roman" w:eastAsia="Times New Roman" w:hint="default"/>
          <w:spacing w:val="-2"/>
          <w:sz w:val="21"/>
          <w:szCs w:val="21"/>
        </w:rPr>
        <w:t>PPP</w:t>
      </w:r>
      <w:r>
        <w:rPr>
          <w:rFonts w:ascii="宋体" w:hAnsi="宋体" w:cs="宋体" w:eastAsia="宋体" w:hint="default"/>
          <w:spacing w:val="-2"/>
          <w:sz w:val="21"/>
          <w:szCs w:val="21"/>
        </w:rPr>
        <w:t>项目正常开展，</w:t>
      </w:r>
      <w:r>
        <w:rPr>
          <w:rFonts w:ascii="Times New Roman" w:hAnsi="Times New Roman" w:cs="Times New Roman" w:eastAsia="Times New Roman" w:hint="default"/>
          <w:spacing w:val="-2"/>
          <w:sz w:val="21"/>
          <w:szCs w:val="21"/>
        </w:rPr>
        <w:t>PPP</w:t>
      </w:r>
      <w:r>
        <w:rPr>
          <w:rFonts w:ascii="宋体" w:hAnsi="宋体" w:cs="宋体" w:eastAsia="宋体" w:hint="default"/>
          <w:spacing w:val="-2"/>
          <w:sz w:val="21"/>
          <w:szCs w:val="21"/>
        </w:rPr>
        <w:t>项目公司乌兰察布市京蓝生态科技有限公司分别</w:t>
      </w:r>
    </w:p>
    <w:p>
      <w:pPr>
        <w:pStyle w:val="BodyText"/>
        <w:spacing w:line="264" w:lineRule="auto" w:before="21"/>
        <w:ind w:right="1132"/>
        <w:jc w:val="both"/>
      </w:pPr>
      <w:r>
        <w:rPr>
          <w:spacing w:val="3"/>
        </w:rPr>
        <w:t>向浙江浙银金融租赁股份有限公司、北京市文化科技融资租赁股份有限公司以融资租赁方式借款，截至</w:t>
      </w:r>
      <w:r>
        <w:rPr>
          <w:spacing w:val="-81"/>
        </w:rPr>
        <w:t> </w:t>
      </w:r>
      <w:r>
        <w:rPr>
          <w:spacing w:val="-81"/>
        </w:rPr>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日借款余额为</w:t>
      </w:r>
      <w:r>
        <w:rPr>
          <w:rFonts w:ascii="Times New Roman" w:hAnsi="Times New Roman" w:cs="Times New Roman" w:eastAsia="Times New Roman" w:hint="default"/>
          <w:spacing w:val="-2"/>
        </w:rPr>
        <w:t>152,082,387.33</w:t>
      </w:r>
      <w:r>
        <w:rPr>
          <w:spacing w:val="-2"/>
        </w:rPr>
        <w:t>元，根据协议本公司之子公司京蓝沐禾节水装备有限公司对上述</w:t>
      </w:r>
      <w:r>
        <w:rPr>
          <w:spacing w:val="-71"/>
        </w:rPr>
        <w:t> </w:t>
      </w:r>
      <w:r>
        <w:rPr>
          <w:spacing w:val="-71"/>
        </w:rPr>
      </w:r>
      <w:r>
        <w:rPr/>
        <w:t>借款也负有偿还义务，同时本公司对京蓝沐禾的偿还义务承担保证责任。</w:t>
      </w:r>
    </w:p>
    <w:p>
      <w:pPr>
        <w:spacing w:line="240" w:lineRule="auto" w:before="10"/>
        <w:rPr>
          <w:rFonts w:ascii="宋体" w:hAnsi="宋体" w:cs="宋体" w:eastAsia="宋体" w:hint="default"/>
          <w:sz w:val="17"/>
          <w:szCs w:val="17"/>
        </w:rPr>
      </w:pPr>
    </w:p>
    <w:p>
      <w:pPr>
        <w:pStyle w:val="BodyText"/>
        <w:spacing w:line="240" w:lineRule="auto"/>
        <w:ind w:left="524"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日，除上述事项外，本公司无需要披露的重大或有事项。</w:t>
      </w:r>
    </w:p>
    <w:p>
      <w:pPr>
        <w:spacing w:line="240" w:lineRule="auto" w:before="9"/>
        <w:rPr>
          <w:rFonts w:ascii="宋体" w:hAnsi="宋体" w:cs="宋体" w:eastAsia="宋体" w:hint="default"/>
          <w:sz w:val="24"/>
          <w:szCs w:val="24"/>
        </w:rPr>
      </w:pPr>
    </w:p>
    <w:p>
      <w:pPr>
        <w:pStyle w:val="Heading4"/>
        <w:spacing w:line="240" w:lineRule="auto"/>
        <w:ind w:right="0"/>
        <w:jc w:val="left"/>
        <w:rPr>
          <w:b w:val="0"/>
          <w:bCs w:val="0"/>
        </w:rPr>
      </w:pPr>
      <w:bookmarkStart w:name="（2）公司没有需要披露的重要或有事项，也应予以说明" w:id="479"/>
      <w:bookmarkEnd w:id="479"/>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487" w:lineRule="auto" w:before="35"/>
        <w:ind w:left="154" w:right="7692" w:firstLine="0"/>
        <w:jc w:val="left"/>
        <w:rPr>
          <w:rFonts w:ascii="宋体" w:hAnsi="宋体" w:cs="宋体" w:eastAsia="宋体" w:hint="default"/>
          <w:sz w:val="21"/>
          <w:szCs w:val="21"/>
        </w:rPr>
      </w:pPr>
      <w:bookmarkStart w:name="3、其他" w:id="480"/>
      <w:bookmarkEnd w:id="48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81"/>
      <w:bookmarkEnd w:id="481"/>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82"/>
      <w:bookmarkEnd w:id="482"/>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利润分配情况" w:id="483"/>
      <w:bookmarkEnd w:id="483"/>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24"/>
          <w:szCs w:val="24"/>
        </w:rPr>
      </w:pPr>
    </w:p>
    <w:p>
      <w:pPr>
        <w:pStyle w:val="Heading4"/>
        <w:spacing w:line="240" w:lineRule="auto" w:before="35"/>
        <w:ind w:right="0"/>
        <w:jc w:val="left"/>
        <w:rPr>
          <w:b w:val="0"/>
          <w:bCs w:val="0"/>
        </w:rPr>
      </w:pPr>
      <w:bookmarkStart w:name="3、销售退回" w:id="484"/>
      <w:bookmarkEnd w:id="484"/>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4、其他资产负债表日后事项说明" w:id="485"/>
      <w:bookmarkEnd w:id="485"/>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4"/>
          <w:szCs w:val="24"/>
        </w:rPr>
      </w:pPr>
    </w:p>
    <w:p>
      <w:pPr>
        <w:pStyle w:val="BodyText"/>
        <w:spacing w:line="261" w:lineRule="auto"/>
        <w:ind w:right="1129" w:firstLine="370"/>
        <w:jc w:val="both"/>
      </w:pP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2018</w:t>
      </w:r>
      <w:r>
        <w:rPr>
          <w:spacing w:val="-5"/>
        </w:rPr>
        <w:t>年公司先以支付现金方式完成了对中科鼎实环境工程股份有限公司（以下简称</w:t>
      </w:r>
      <w:r>
        <w:rPr>
          <w:rFonts w:ascii="Times New Roman" w:hAnsi="Times New Roman" w:cs="Times New Roman" w:eastAsia="Times New Roman" w:hint="default"/>
          <w:spacing w:val="-5"/>
        </w:rPr>
        <w:t>“</w:t>
      </w:r>
      <w:r>
        <w:rPr>
          <w:spacing w:val="-5"/>
        </w:rPr>
        <w:t>中科鼎实</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21%</w:t>
      </w:r>
      <w:r>
        <w:rPr>
          <w:rFonts w:ascii="Times New Roman" w:hAnsi="Times New Roman" w:cs="Times New Roman" w:eastAsia="Times New Roman" w:hint="default"/>
        </w:rPr>
        <w:t> </w:t>
      </w:r>
      <w:r>
        <w:rPr/>
        <w:t>股权的收购，同时公司进行以发行股份方式收购中科鼎实</w:t>
      </w:r>
      <w:r>
        <w:rPr>
          <w:rFonts w:ascii="Times New Roman" w:hAnsi="Times New Roman" w:cs="Times New Roman" w:eastAsia="Times New Roman" w:hint="default"/>
        </w:rPr>
        <w:t>56.7152%</w:t>
      </w:r>
      <w:r>
        <w:rPr/>
        <w:t>股权并募集配套资金事宜。</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 </w:t>
      </w:r>
      <w:r>
        <w:rPr>
          <w:rFonts w:ascii="Times New Roman" w:hAnsi="Times New Roman" w:cs="Times New Roman" w:eastAsia="Times New Roman" w:hint="default"/>
          <w:spacing w:val="-1"/>
        </w:rPr>
        <w:t>21</w:t>
      </w:r>
      <w:r>
        <w:rPr>
          <w:spacing w:val="-1"/>
        </w:rPr>
        <w:t>日，殷晓东等</w:t>
      </w:r>
      <w:r>
        <w:rPr>
          <w:rFonts w:ascii="Times New Roman" w:hAnsi="Times New Roman" w:cs="Times New Roman" w:eastAsia="Times New Roman" w:hint="default"/>
          <w:spacing w:val="-1"/>
        </w:rPr>
        <w:t>37</w:t>
      </w:r>
      <w:r>
        <w:rPr>
          <w:spacing w:val="-1"/>
        </w:rPr>
        <w:t>名中科鼎实自然人股东合计持有的中科鼎实</w:t>
      </w:r>
      <w:r>
        <w:rPr>
          <w:rFonts w:ascii="Times New Roman" w:hAnsi="Times New Roman" w:cs="Times New Roman" w:eastAsia="Times New Roman" w:hint="default"/>
          <w:spacing w:val="-1"/>
        </w:rPr>
        <w:t>56.7152%</w:t>
      </w:r>
      <w:r>
        <w:rPr>
          <w:spacing w:val="-1"/>
        </w:rPr>
        <w:t>股权已过户至本公司名下，北京市</w:t>
      </w:r>
      <w:r>
        <w:rPr>
          <w:spacing w:val="-97"/>
        </w:rPr>
        <w:t> </w:t>
      </w:r>
      <w:r>
        <w:rPr>
          <w:spacing w:val="-97"/>
        </w:rPr>
      </w:r>
      <w:r>
        <w:rPr>
          <w:spacing w:val="-1"/>
        </w:rPr>
        <w:t>工商行政管理局西城分局为此进行了工商变更登记手续，并向中科鼎实核发了变更后的《营业执照》，至</w:t>
      </w:r>
      <w:r>
        <w:rPr>
          <w:spacing w:val="-83"/>
        </w:rPr>
        <w:t> </w:t>
      </w:r>
      <w:r>
        <w:rPr>
          <w:spacing w:val="-83"/>
        </w:rPr>
      </w:r>
      <w:r>
        <w:rPr/>
        <w:t>此，标的资产过户手续已办理完成。截至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日止，本公司共计持有中科鼎实</w:t>
      </w:r>
      <w:r>
        <w:rPr>
          <w:rFonts w:ascii="Times New Roman" w:hAnsi="Times New Roman" w:cs="Times New Roman" w:eastAsia="Times New Roman" w:hint="default"/>
        </w:rPr>
        <w:t>77.7152%</w:t>
      </w:r>
      <w:r>
        <w:rPr/>
        <w:t>股权，于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日纳入合并范围。</w:t>
      </w:r>
    </w:p>
    <w:p>
      <w:pPr>
        <w:spacing w:line="240" w:lineRule="auto" w:before="7"/>
        <w:rPr>
          <w:rFonts w:ascii="宋体" w:hAnsi="宋体" w:cs="宋体" w:eastAsia="宋体" w:hint="default"/>
          <w:sz w:val="16"/>
          <w:szCs w:val="16"/>
        </w:rPr>
      </w:pPr>
    </w:p>
    <w:p>
      <w:pPr>
        <w:pStyle w:val="BodyText"/>
        <w:spacing w:line="256" w:lineRule="auto"/>
        <w:ind w:right="1118" w:firstLine="423"/>
        <w:jc w:val="left"/>
      </w:pPr>
      <w:r>
        <w:rPr>
          <w:rFonts w:ascii="Times New Roman" w:hAnsi="Times New Roman" w:cs="Times New Roman" w:eastAsia="Times New Roman" w:hint="default"/>
        </w:rPr>
        <w:t>2</w:t>
      </w:r>
      <w:r>
        <w:rPr/>
        <w:t>、报告期内，京蓝若水产业投资有限公司（以下简称</w:t>
      </w:r>
      <w:r>
        <w:rPr>
          <w:rFonts w:ascii="Times New Roman" w:hAnsi="Times New Roman" w:cs="Times New Roman" w:eastAsia="Times New Roman" w:hint="default"/>
        </w:rPr>
        <w:t>“</w:t>
      </w:r>
      <w:r>
        <w:rPr/>
        <w:t>京蓝若水</w:t>
      </w:r>
      <w:r>
        <w:rPr>
          <w:rFonts w:ascii="Times New Roman" w:hAnsi="Times New Roman" w:cs="Times New Roman" w:eastAsia="Times New Roman" w:hint="default"/>
        </w:rPr>
        <w:t>”</w:t>
      </w:r>
      <w:r>
        <w:rPr/>
        <w:t>）为本公司的全资子公司，公司持 </w:t>
      </w:r>
      <w:r>
        <w:rPr>
          <w:spacing w:val="-2"/>
        </w:rPr>
        <w:t>有其</w:t>
      </w:r>
      <w:r>
        <w:rPr>
          <w:rFonts w:ascii="Times New Roman" w:hAnsi="Times New Roman" w:cs="Times New Roman" w:eastAsia="Times New Roman" w:hint="default"/>
          <w:spacing w:val="-2"/>
        </w:rPr>
        <w:t>100%</w:t>
      </w:r>
      <w:r>
        <w:rPr>
          <w:spacing w:val="-2"/>
        </w:rPr>
        <w:t>的股权。后根据公司整体战略规划及业务布局，公司将所持有的京蓝若水</w:t>
      </w:r>
      <w:r>
        <w:rPr>
          <w:rFonts w:ascii="Times New Roman" w:hAnsi="Times New Roman" w:cs="Times New Roman" w:eastAsia="Times New Roman" w:hint="default"/>
          <w:spacing w:val="-2"/>
        </w:rPr>
        <w:t>51%</w:t>
      </w:r>
      <w:r>
        <w:rPr>
          <w:spacing w:val="-2"/>
        </w:rPr>
        <w:t>股权转让给杨树常</w:t>
      </w:r>
      <w:r>
        <w:rPr>
          <w:spacing w:val="-68"/>
        </w:rPr>
        <w:t> </w:t>
      </w:r>
      <w:r>
        <w:rPr>
          <w:spacing w:val="-68"/>
        </w:rPr>
      </w:r>
      <w:r>
        <w:rPr>
          <w:spacing w:val="-2"/>
        </w:rPr>
        <w:t>青投资管理有限公司，</w:t>
      </w:r>
      <w:r>
        <w:rPr>
          <w:rFonts w:ascii="Times New Roman" w:hAnsi="Times New Roman" w:cs="Times New Roman" w:eastAsia="Times New Roman" w:hint="default"/>
          <w:spacing w:val="-2"/>
        </w:rPr>
        <w:t>49%</w:t>
      </w:r>
      <w:r>
        <w:rPr>
          <w:spacing w:val="-2"/>
        </w:rPr>
        <w:t>股权转让给明志企业管理咨询（固安）有限公司，本次交易总作价为</w:t>
      </w:r>
      <w:r>
        <w:rPr>
          <w:rFonts w:ascii="Times New Roman" w:hAnsi="Times New Roman" w:cs="Times New Roman" w:eastAsia="Times New Roman" w:hint="default"/>
          <w:spacing w:val="-2"/>
        </w:rPr>
        <w:t>2</w:t>
      </w:r>
      <w:r>
        <w:rPr>
          <w:spacing w:val="-2"/>
        </w:rPr>
        <w:t>元，杨树</w:t>
      </w:r>
      <w:r>
        <w:rPr/>
        <w:t> </w:t>
      </w:r>
      <w:r>
        <w:rPr>
          <w:spacing w:val="-1"/>
        </w:rPr>
        <w:t>长青、明志企管分别向公司支付</w:t>
      </w:r>
      <w:r>
        <w:rPr>
          <w:rFonts w:ascii="Times New Roman" w:hAnsi="Times New Roman" w:cs="Times New Roman" w:eastAsia="Times New Roman" w:hint="default"/>
          <w:spacing w:val="-1"/>
        </w:rPr>
        <w:t>1</w:t>
      </w:r>
      <w:r>
        <w:rPr>
          <w:spacing w:val="-1"/>
        </w:rPr>
        <w:t>元，转让完成后公司不再持有京蓝若水股权。本次交易已于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32"/>
        </w:rPr>
        <w:t> </w:t>
      </w:r>
      <w:r>
        <w:rPr/>
        <w:t>日完成工商变更。</w:t>
      </w:r>
    </w:p>
    <w:p>
      <w:pPr>
        <w:spacing w:line="240" w:lineRule="auto" w:before="3"/>
        <w:rPr>
          <w:rFonts w:ascii="宋体" w:hAnsi="宋体" w:cs="宋体" w:eastAsia="宋体" w:hint="default"/>
          <w:sz w:val="18"/>
          <w:szCs w:val="18"/>
        </w:rPr>
      </w:pPr>
    </w:p>
    <w:p>
      <w:pPr>
        <w:pStyle w:val="BodyText"/>
        <w:spacing w:line="256" w:lineRule="auto"/>
        <w:ind w:right="1023" w:firstLine="370"/>
        <w:jc w:val="left"/>
      </w:pPr>
      <w:r>
        <w:rPr>
          <w:rFonts w:ascii="Times New Roman" w:hAnsi="Times New Roman" w:cs="Times New Roman" w:eastAsia="Times New Roman" w:hint="default"/>
        </w:rPr>
        <w:t>3</w:t>
      </w:r>
      <w:r>
        <w:rPr/>
        <w:t>、根据公司整体战略规划及业务布局，公司将所持京蓝云智物联网技术有限公司（以下简称</w:t>
      </w:r>
      <w:r>
        <w:rPr>
          <w:rFonts w:ascii="Times New Roman" w:hAnsi="Times New Roman" w:cs="Times New Roman" w:eastAsia="Times New Roman" w:hint="default"/>
        </w:rPr>
        <w:t>“</w:t>
      </w:r>
      <w:r>
        <w:rPr/>
        <w:t>京蓝物 联网</w:t>
      </w:r>
      <w:r>
        <w:rPr>
          <w:rFonts w:ascii="Times New Roman" w:hAnsi="Times New Roman" w:cs="Times New Roman" w:eastAsia="Times New Roman" w:hint="default"/>
        </w:rPr>
        <w:t>”</w:t>
      </w:r>
      <w:r>
        <w:rPr/>
        <w:t>）</w:t>
      </w:r>
      <w:r>
        <w:rPr>
          <w:rFonts w:ascii="Times New Roman" w:hAnsi="Times New Roman" w:cs="Times New Roman" w:eastAsia="Times New Roman" w:hint="default"/>
        </w:rPr>
        <w:t>1%</w:t>
      </w:r>
      <w:r>
        <w:rPr/>
        <w:t>股权转让给京蓝若水产业投资有限公司，交易作价为人民币</w:t>
      </w:r>
      <w:r>
        <w:rPr>
          <w:rFonts w:ascii="Times New Roman" w:hAnsi="Times New Roman" w:cs="Times New Roman" w:eastAsia="Times New Roman" w:hint="default"/>
        </w:rPr>
        <w:t>2,008,606.36</w:t>
      </w:r>
      <w:r>
        <w:rPr/>
        <w:t>元。本次交易的同时， 公司以京蓝物联网</w:t>
      </w:r>
      <w:r>
        <w:rPr>
          <w:rFonts w:ascii="Times New Roman" w:hAnsi="Times New Roman" w:cs="Times New Roman" w:eastAsia="Times New Roman" w:hint="default"/>
        </w:rPr>
        <w:t>99%</w:t>
      </w:r>
      <w:r>
        <w:rPr/>
        <w:t>股权出资与京蓝若水拟共同设立北京京蓝云商科技合伙企业（有限合伙）（以下简 </w:t>
      </w:r>
      <w:r>
        <w:rPr>
          <w:spacing w:val="-3"/>
        </w:rPr>
        <w:t>称</w:t>
      </w:r>
      <w:r>
        <w:rPr>
          <w:rFonts w:ascii="Times New Roman" w:hAnsi="Times New Roman" w:cs="Times New Roman" w:eastAsia="Times New Roman" w:hint="default"/>
          <w:spacing w:val="-3"/>
        </w:rPr>
        <w:t>“</w:t>
      </w:r>
      <w:r>
        <w:rPr>
          <w:spacing w:val="-3"/>
        </w:rPr>
        <w:t>京蓝云商科技</w:t>
      </w:r>
      <w:r>
        <w:rPr>
          <w:rFonts w:ascii="Times New Roman" w:hAnsi="Times New Roman" w:cs="Times New Roman" w:eastAsia="Times New Roman" w:hint="default"/>
          <w:spacing w:val="-3"/>
        </w:rPr>
        <w:t>”</w:t>
      </w:r>
      <w:r>
        <w:rPr>
          <w:spacing w:val="-3"/>
        </w:rPr>
        <w:t>）（最终名称以工商注册为准），公司出资后，京蓝云商科技即成为京蓝物联网的股东，</w:t>
      </w:r>
      <w:r>
        <w:rPr>
          <w:spacing w:val="-69"/>
        </w:rPr>
        <w:t> </w:t>
      </w:r>
      <w:r>
        <w:rPr>
          <w:spacing w:val="-69"/>
        </w:rPr>
      </w:r>
      <w:r>
        <w:rPr/>
        <w:t>享有京蓝物联网</w:t>
      </w:r>
      <w:r>
        <w:rPr>
          <w:rFonts w:ascii="Times New Roman" w:hAnsi="Times New Roman" w:cs="Times New Roman" w:eastAsia="Times New Roman" w:hint="default"/>
        </w:rPr>
        <w:t>99%</w:t>
      </w:r>
      <w:r>
        <w:rPr/>
        <w:t>的股权及其收益。因此，本次交易完成后，公司不再直接持有京蓝物联网股权，京蓝 物联网将不再纳入公司的合并报表范围。本次交易已于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日经公司</w:t>
      </w:r>
      <w:r>
        <w:rPr>
          <w:rFonts w:ascii="Times New Roman" w:hAnsi="Times New Roman" w:cs="Times New Roman" w:eastAsia="Times New Roman" w:hint="default"/>
        </w:rPr>
        <w:t>2019</w:t>
      </w:r>
      <w:r>
        <w:rPr/>
        <w:t>年第三次临时股东大会 批准通过。</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六、其他重要事项" w:id="486"/>
      <w:bookmarkEnd w:id="486"/>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前期会计差错更正" w:id="487"/>
      <w:bookmarkEnd w:id="487"/>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追溯重述法" w:id="488"/>
      <w:bookmarkEnd w:id="488"/>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未来适用法" w:id="489"/>
      <w:bookmarkEnd w:id="489"/>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债务重组" w:id="490"/>
      <w:bookmarkEnd w:id="490"/>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资产置换" w:id="491"/>
      <w:bookmarkEnd w:id="491"/>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非货币性资产交换" w:id="492"/>
      <w:bookmarkEnd w:id="492"/>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2）其他资产置换" w:id="493"/>
      <w:bookmarkEnd w:id="493"/>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4、年金计划" w:id="494"/>
      <w:bookmarkEnd w:id="494"/>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终止经营" w:id="495"/>
      <w:bookmarkEnd w:id="495"/>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分部信息" w:id="496"/>
      <w:bookmarkEnd w:id="496"/>
      <w:r>
        <w:rPr>
          <w:b w:val="0"/>
          <w:bCs w:val="0"/>
        </w:rPr>
      </w:r>
      <w:r>
        <w:rPr>
          <w:rFonts w:ascii="Times New Roman" w:hAnsi="Times New Roman" w:cs="Times New Roman" w:eastAsia="Times New Roman" w:hint="default"/>
        </w:rPr>
        <w:t>6</w:t>
      </w:r>
      <w:r>
        <w:rPr/>
        <w:t>、分部信息</w:t>
      </w:r>
      <w:r>
        <w:rPr>
          <w:b w:val="0"/>
          <w:bCs w:val="0"/>
        </w:rPr>
      </w:r>
    </w:p>
    <w:p>
      <w:pPr>
        <w:spacing w:line="590" w:lineRule="atLeast" w:before="24"/>
        <w:ind w:left="574" w:right="0" w:hanging="420"/>
        <w:jc w:val="left"/>
        <w:rPr>
          <w:rFonts w:ascii="宋体" w:hAnsi="宋体" w:cs="宋体" w:eastAsia="宋体" w:hint="default"/>
          <w:sz w:val="21"/>
          <w:szCs w:val="21"/>
        </w:rPr>
      </w:pPr>
      <w:bookmarkStart w:name="（1）报告分部的确定依据与会计政策" w:id="497"/>
      <w:bookmarkEnd w:id="4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spacing w:val="-1"/>
          <w:sz w:val="21"/>
          <w:szCs w:val="21"/>
        </w:rPr>
        <w:t>生态节水运营服务业务分部：主要从事节水灌溉等业务，主要经营主体为京蓝生态科技有限公司及下</w:t>
      </w:r>
    </w:p>
    <w:p>
      <w:pPr>
        <w:pStyle w:val="BodyText"/>
        <w:spacing w:line="240" w:lineRule="auto" w:before="37"/>
        <w:ind w:right="0"/>
        <w:jc w:val="left"/>
      </w:pPr>
      <w:r>
        <w:rPr/>
        <w:t>属京蓝沐禾节水装备有限公司等。</w:t>
      </w:r>
    </w:p>
    <w:p>
      <w:pPr>
        <w:pStyle w:val="BodyText"/>
        <w:spacing w:line="273" w:lineRule="auto" w:before="157"/>
        <w:ind w:right="1142" w:firstLine="370"/>
        <w:jc w:val="left"/>
      </w:pPr>
      <w:r>
        <w:rPr/>
        <w:t>园林环境科技服务业务分部：主要从事园林、市政服务综合服务等业务，主要经营主体为京蓝北方园 林（天津）有限公司及其下属子公司等。</w:t>
      </w:r>
    </w:p>
    <w:p>
      <w:pPr>
        <w:spacing w:after="0" w:line="273"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报告分部的财务信息" w:id="498"/>
      <w:bookmarkEnd w:id="498"/>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2"/>
              <w:ind w:left="444" w:right="71" w:hanging="360"/>
              <w:jc w:val="left"/>
              <w:rPr>
                <w:rFonts w:ascii="宋体" w:hAnsi="宋体" w:cs="宋体" w:eastAsia="宋体" w:hint="default"/>
                <w:sz w:val="18"/>
                <w:szCs w:val="18"/>
              </w:rPr>
            </w:pPr>
            <w:r>
              <w:rPr>
                <w:rFonts w:ascii="宋体" w:hAnsi="宋体" w:cs="宋体" w:eastAsia="宋体" w:hint="default"/>
                <w:sz w:val="18"/>
                <w:szCs w:val="18"/>
              </w:rPr>
              <w:t>生态节水运营服务 业务分部</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2"/>
              <w:ind w:left="431" w:right="70" w:hanging="360"/>
              <w:jc w:val="left"/>
              <w:rPr>
                <w:rFonts w:ascii="宋体" w:hAnsi="宋体" w:cs="宋体" w:eastAsia="宋体" w:hint="default"/>
                <w:sz w:val="18"/>
                <w:szCs w:val="18"/>
              </w:rPr>
            </w:pPr>
            <w:r>
              <w:rPr>
                <w:rFonts w:ascii="宋体" w:hAnsi="宋体" w:cs="宋体" w:eastAsia="宋体" w:hint="default"/>
                <w:sz w:val="18"/>
                <w:szCs w:val="18"/>
              </w:rPr>
              <w:t>园林环境科技服务 业务分部</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其他分部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1,553,177,537.18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869,925,071.73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31,175,793.87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-15,649,897.32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2,438,628,505.46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1,118,236,503.26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626,206,895.07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17,500,515.34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-15,614,593.68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1,746,329,319.99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70,660,704.98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69,017,680.39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111,370,025.35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-16,386,528.19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234,661,882.53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116,819,020.48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38,151,918.39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42,433,060.68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25,926,080.49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223,330,080.04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207,026,401.43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137,179,457.88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-141,874,727.67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-13,284,761.61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189,046,370.03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167,555,744.59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115,599,946.91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-165,234,230.50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-11,830,362.99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106,091,098.01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6,128,345,676.25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2,923,260,984.51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3,595,386,173.49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-1,652,053,889.50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10,994,938,944.75</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3,380,729,694.34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2,071,445,285.25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1,458,794,720.33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-405,153,259.32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6,505,816,440.60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公司无报告分部的，或者不能披露各报告分部的资产总额和负债总额的，应说明原因" w:id="499"/>
      <w:bookmarkEnd w:id="499"/>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其他说明" w:id="500"/>
      <w:bookmarkEnd w:id="500"/>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7、其他对投资者决策有影响的重要交易和事项" w:id="501"/>
      <w:bookmarkEnd w:id="501"/>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9"/>
        <w:rPr>
          <w:rFonts w:ascii="宋体" w:hAnsi="宋体" w:cs="宋体" w:eastAsia="宋体" w:hint="default"/>
          <w:b/>
          <w:bCs/>
          <w:sz w:val="24"/>
          <w:szCs w:val="24"/>
        </w:rPr>
      </w:pPr>
    </w:p>
    <w:p>
      <w:pPr>
        <w:spacing w:line="487" w:lineRule="auto" w:before="0"/>
        <w:ind w:left="154" w:right="6897" w:firstLine="0"/>
        <w:jc w:val="left"/>
        <w:rPr>
          <w:rFonts w:ascii="宋体" w:hAnsi="宋体" w:cs="宋体" w:eastAsia="宋体" w:hint="default"/>
          <w:sz w:val="21"/>
          <w:szCs w:val="21"/>
        </w:rPr>
      </w:pPr>
      <w:bookmarkStart w:name="8、其他" w:id="502"/>
      <w:bookmarkEnd w:id="502"/>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503"/>
      <w:bookmarkEnd w:id="503"/>
      <w:r>
        <w:rPr>
          <w:rFonts w:ascii="宋体" w:hAnsi="宋体" w:cs="宋体" w:eastAsia="宋体" w:hint="default"/>
          <w:b/>
          <w:bCs/>
          <w:spacing w:val="1"/>
          <w:w w:val="99"/>
          <w:sz w:val="21"/>
          <w:szCs w:val="21"/>
        </w:rPr>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bookmarkStart w:name="1、应收票据及应收账款" w:id="504"/>
      <w:bookmarkEnd w:id="50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18,383,412.96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19,738,877.36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26,383,412.96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19,738,877.36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票据" w:id="505"/>
      <w:bookmarkEnd w:id="505"/>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期末公司因出票人未履约而将其转应收账款的票据" w:id="506"/>
      <w:bookmarkEnd w:id="506"/>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应收账款" w:id="507"/>
      <w:bookmarkEnd w:id="507"/>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5"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18,383,4</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12.96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18,383,41</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2.96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19,738,</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877.36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19,738,877.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36</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18,383,4</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12.96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18,383,41</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2.96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19,738,</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877.36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19,738,877.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36</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5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4" w:right="8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line="338" w:lineRule="auto" w:before="43"/>
        <w:ind w:left="154" w:right="5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组合中，采用余额百分比法计提坏账准备的应收账款：</w:t>
      </w:r>
    </w:p>
    <w:p>
      <w:pPr>
        <w:spacing w:line="348" w:lineRule="auto"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 本期计提坏账准备金额元；本期收回或转回坏账准备金额元。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015" w:space="381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3119"/>
        <w:gridCol w:w="1559"/>
        <w:gridCol w:w="1202"/>
        <w:gridCol w:w="3150"/>
      </w:tblGrid>
      <w:tr>
        <w:trPr>
          <w:trHeight w:val="445" w:hRule="exact"/>
        </w:trPr>
        <w:tc>
          <w:tcPr>
            <w:tcW w:w="31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20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3150" w:type="dxa"/>
            <w:tcBorders>
              <w:top w:val="single" w:sz="6" w:space="0" w:color="000000"/>
              <w:left w:val="single" w:sz="6" w:space="0" w:color="000000"/>
              <w:bottom w:val="single" w:sz="12" w:space="0" w:color="000000"/>
              <w:right w:val="nil" w:sz="6" w:space="0" w:color="auto"/>
            </w:tcBorders>
          </w:tcPr>
          <w:p>
            <w:pPr>
              <w:pStyle w:val="TableParagraph"/>
              <w:spacing w:line="287" w:lineRule="exact"/>
              <w:ind w:left="197" w:right="0"/>
              <w:jc w:val="left"/>
              <w:rPr>
                <w:rFonts w:ascii="宋体" w:hAnsi="宋体" w:cs="宋体" w:eastAsia="宋体" w:hint="default"/>
                <w:sz w:val="21"/>
                <w:szCs w:val="21"/>
              </w:rPr>
            </w:pPr>
            <w:r>
              <w:rPr>
                <w:rFonts w:ascii="宋体" w:hAnsi="宋体" w:cs="宋体" w:eastAsia="宋体" w:hint="default"/>
                <w:b/>
                <w:bCs/>
                <w:sz w:val="21"/>
                <w:szCs w:val="21"/>
              </w:rPr>
              <w:t>占应收账款总额的比例（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42" w:hRule="exact"/>
        </w:trPr>
        <w:tc>
          <w:tcPr>
            <w:tcW w:w="3119"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浙江京蓝得韬投资有限公司</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14,150,943.40</w:t>
            </w:r>
          </w:p>
        </w:tc>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4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315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z w:val="21"/>
              </w:rPr>
              <w:t>76.98</w:t>
            </w:r>
          </w:p>
        </w:tc>
      </w:tr>
      <w:tr>
        <w:trPr>
          <w:trHeight w:val="443" w:hRule="exact"/>
        </w:trPr>
        <w:tc>
          <w:tcPr>
            <w:tcW w:w="3119"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京蓝北方园林（天津）有限公司</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3,600,000.00</w:t>
            </w:r>
          </w:p>
        </w:tc>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4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315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z w:val="21"/>
              </w:rPr>
              <w:t>19.58</w:t>
            </w:r>
          </w:p>
        </w:tc>
      </w:tr>
      <w:tr>
        <w:trPr>
          <w:trHeight w:val="442" w:hRule="exact"/>
        </w:trPr>
        <w:tc>
          <w:tcPr>
            <w:tcW w:w="3119"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固安京蓝云科技有限公司</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632,469.56</w:t>
            </w:r>
          </w:p>
        </w:tc>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4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315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3.44</w:t>
            </w:r>
          </w:p>
        </w:tc>
      </w:tr>
      <w:tr>
        <w:trPr>
          <w:trHeight w:val="442" w:hRule="exact"/>
        </w:trPr>
        <w:tc>
          <w:tcPr>
            <w:tcW w:w="3119"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b/>
                <w:sz w:val="21"/>
              </w:rPr>
              <w:t>18,383,412.96</w:t>
            </w:r>
            <w:r>
              <w:rPr>
                <w:rFonts w:ascii="Times New Roman"/>
                <w:sz w:val="21"/>
              </w:rPr>
            </w:r>
          </w:p>
        </w:tc>
        <w:tc>
          <w:tcPr>
            <w:tcW w:w="1202" w:type="dxa"/>
            <w:tcBorders>
              <w:top w:val="single" w:sz="12" w:space="0" w:color="000000"/>
              <w:left w:val="single" w:sz="6" w:space="0" w:color="000000"/>
              <w:bottom w:val="single" w:sz="12" w:space="0" w:color="000000"/>
              <w:right w:val="single" w:sz="6" w:space="0" w:color="000000"/>
            </w:tcBorders>
          </w:tcPr>
          <w:p>
            <w:pPr/>
          </w:p>
        </w:tc>
        <w:tc>
          <w:tcPr>
            <w:tcW w:w="315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7"/>
              <w:jc w:val="righ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bl>
    <w:p>
      <w:pPr>
        <w:spacing w:line="240" w:lineRule="auto" w:before="5"/>
        <w:rPr>
          <w:rFonts w:ascii="宋体" w:hAnsi="宋体" w:cs="宋体" w:eastAsia="宋体" w:hint="default"/>
          <w:sz w:val="24"/>
          <w:szCs w:val="24"/>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p>
    <w:p>
      <w:pPr>
        <w:spacing w:line="338" w:lineRule="auto" w:before="103"/>
        <w:ind w:left="154" w:right="68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2、其他应收款" w:id="508"/>
      <w:bookmarkEnd w:id="508"/>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1,477,379,933.56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2,368,774,756.79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1,477,379,933.56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2,368,774,756.79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利息" w:id="509"/>
      <w:bookmarkEnd w:id="509"/>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w:t>
      </w:r>
    </w:p>
    <w:p>
      <w:pPr>
        <w:spacing w:before="10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应收股利" w:id="510"/>
      <w:bookmarkEnd w:id="510"/>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重要的账龄超过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年的应收股利</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其他应收款" w:id="511"/>
      <w:bookmarkEnd w:id="511"/>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1,477,45</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1,586.26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71,652.7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1,477,379</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,933.56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2,369,3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12,102.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537,345.4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2,368,774,7</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56.79</w:t>
            </w:r>
          </w:p>
        </w:tc>
      </w:tr>
      <w:tr>
        <w:trPr>
          <w:trHeight w:val="318"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1,477,45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1,586.26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71,652.7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0.00%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1,477,379</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,933.56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2,369,3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12,102.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537,345.4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2,368,774,7</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56.79</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8"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6"/>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0"/>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3,965,269.27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39,652.70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3,965,269.27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39,652.70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4,265,269.27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71,652.70</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360" w:lineRule="auto" w:before="51"/>
        <w:ind w:left="154" w:right="205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54" w:right="24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20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20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03"/>
        <w:ind w:left="154" w:right="-16"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12,198.75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477,891.47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725" w:space="210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before="52"/>
        <w:ind w:left="154" w:right="-2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before="11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825" w:space="600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1,473,186,316.99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2,367,249,690.05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118,171.41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1,028,275.22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3,278,894.50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894,237.33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868,203.36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139,899.61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1,477,451,586.26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2,369,312,102.21</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29"/>
              <w:jc w:val="left"/>
              <w:rPr>
                <w:rFonts w:ascii="宋体" w:hAnsi="宋体" w:cs="宋体" w:eastAsia="宋体" w:hint="default"/>
                <w:sz w:val="18"/>
                <w:szCs w:val="18"/>
              </w:rPr>
            </w:pPr>
            <w:r>
              <w:rPr>
                <w:rFonts w:ascii="宋体" w:hAnsi="宋体" w:cs="宋体" w:eastAsia="宋体" w:hint="default"/>
                <w:sz w:val="18"/>
                <w:szCs w:val="18"/>
              </w:rPr>
              <w:t>浙江京蓝得韬投资有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sz w:val="18"/>
              </w:rPr>
              <w:t>985,139,000.00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66.68%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1"/>
              <w:jc w:val="left"/>
              <w:rPr>
                <w:rFonts w:ascii="宋体" w:hAnsi="宋体" w:cs="宋体" w:eastAsia="宋体" w:hint="default"/>
                <w:sz w:val="18"/>
                <w:szCs w:val="18"/>
              </w:rPr>
            </w:pPr>
            <w:r>
              <w:rPr>
                <w:rFonts w:ascii="宋体" w:hAnsi="宋体" w:cs="宋体" w:eastAsia="宋体" w:hint="default"/>
                <w:spacing w:val="-10"/>
                <w:sz w:val="18"/>
                <w:szCs w:val="18"/>
              </w:rPr>
              <w:t>京蓝北方园林（天津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2"/>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p>
            <w:pPr>
              <w:pStyle w:val="TableParagraph"/>
              <w:spacing w:line="559" w:lineRule="exact"/>
              <w:ind w:right="-36"/>
              <w:jc w:val="left"/>
              <w:rPr>
                <w:rFonts w:ascii="宋体" w:hAnsi="宋体" w:cs="宋体" w:eastAsia="宋体" w:hint="default"/>
                <w:sz w:val="20"/>
                <w:szCs w:val="20"/>
              </w:rPr>
            </w:pPr>
            <w:r>
              <w:rPr>
                <w:rFonts w:ascii="宋体" w:hAnsi="宋体" w:cs="宋体" w:eastAsia="宋体" w:hint="default"/>
                <w:position w:val="-10"/>
                <w:sz w:val="20"/>
                <w:szCs w:val="20"/>
              </w:rPr>
              <w:pict>
                <v:group style="width:77.1pt;height:28pt;mso-position-horizontal-relative:char;mso-position-vertical-relative:line" coordorigin="0,0" coordsize="1542,560">
                  <v:group style="position:absolute;left:0;top:0;width:1542;height:156" coordorigin="0,0" coordsize="1542,156">
                    <v:shape style="position:absolute;left:0;top:0;width:1542;height:156" coordorigin="0,0" coordsize="1542,156" path="m0,156l1542,156,1542,0,0,0,0,156xe" filled="true" fillcolor="#ffffff" stroked="false">
                      <v:path arrowok="t"/>
                      <v:fill type="solid"/>
                    </v:shape>
                  </v:group>
                  <v:group style="position:absolute;left:12;top:156;width:2;height:392" coordorigin="12,156" coordsize="2,392">
                    <v:shape style="position:absolute;left:12;top:156;width:2;height:392" coordorigin="12,156" coordsize="0,392" path="m12,156l12,547e" filled="false" stroked="true" strokeweight="1.2pt" strokecolor="#ffffff">
                      <v:path arrowok="t"/>
                    </v:shape>
                  </v:group>
                  <v:group style="position:absolute;left:24;top:156;width:1494;height:392" coordorigin="24,156" coordsize="1494,392">
                    <v:shape style="position:absolute;left:24;top:156;width:1494;height:392" coordorigin="24,156" coordsize="1494,392" path="m24,547l1518,547,1518,156,24,156,24,547xe" filled="true" fillcolor="#ffffff" stroked="false">
                      <v:path arrowok="t"/>
                      <v:fill type="solid"/>
                    </v:shape>
                  </v:group>
                </v:group>
              </w:pict>
            </w:r>
            <w:r>
              <w:rPr>
                <w:rFonts w:ascii="宋体" w:hAnsi="宋体" w:cs="宋体" w:eastAsia="宋体" w:hint="default"/>
                <w:position w:val="-10"/>
                <w:sz w:val="20"/>
                <w:szCs w:val="20"/>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sz w:val="18"/>
              </w:rPr>
              <w:t>199,433,566.30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13.50%</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京蓝生态科技有限公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本部</w:t>
            </w:r>
            <w:r>
              <w:rPr>
                <w:rFonts w:ascii="Times New Roman" w:hAnsi="Times New Roman" w:cs="Times New Roman" w:eastAsia="Times New Roman" w:hint="default"/>
                <w:sz w:val="18"/>
                <w:szCs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104,889,663.37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京蓝沐禾节水装备有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88,560,509.50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京蓝有道创业投资有 限公司（本部）</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49,096,932.89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1,427,119,672.06</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96.59%</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5"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before="5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因金融资产转移而终止确认的其他应收款</w:t>
      </w:r>
    </w:p>
    <w:p>
      <w:pPr>
        <w:spacing w:line="340" w:lineRule="auto" w:before="102"/>
        <w:ind w:left="154" w:right="66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3、长期股权投资" w:id="512"/>
      <w:bookmarkEnd w:id="512"/>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1,655,526,338.93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1,655,526,338.93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1,025,492,502.17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1,025,492,502.17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1,655,526,338.93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1,655,526,338.93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1,025,492,502.17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1,025,492,502.17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对子公司投资" w:id="513"/>
      <w:bookmarkEnd w:id="513"/>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京蓝云智物联网 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23,704,008.62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18,228,478.76</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41,932,487.38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京蓝生态科技有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94,060,000.00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604,700,000.00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698,760,000.00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京蓝有道创业投 资有限公司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京蓝时代科技（北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京）有限公司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京蓝资源科技有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66,850,000.00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pacing w:val="-7"/>
                <w:sz w:val="18"/>
                <w:szCs w:val="18"/>
              </w:rPr>
              <w:t>京蓝北方园林（天</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720,878,493.55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15,858.00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720,894,351.55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津）有限公司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京蓝环境科技有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3,639,500.00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3,639,500.00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浙江京蓝得韬投 资有限公司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1,025,492,502.17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630,033,836.76</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1,655,526,338.93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对联营、合营企业投资" w:id="514"/>
      <w:bookmarkEnd w:id="514"/>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其他说明" w:id="515"/>
      <w:bookmarkEnd w:id="515"/>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营业收入和营业成本" w:id="516"/>
      <w:bookmarkEnd w:id="516"/>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23,041,726.74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18,508,018.91</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23,041,726.74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18,508,018.91</w:t>
            </w: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投资收益" w:id="517"/>
      <w:bookmarkEnd w:id="517"/>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购买理财产品取得的投资收益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426,821.92</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426,821.92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6、其他" w:id="518"/>
      <w:bookmarkEnd w:id="518"/>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519"/>
      <w:bookmarkEnd w:id="519"/>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520"/>
      <w:bookmarkEnd w:id="520"/>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1" w:hRule="exact"/>
        </w:trPr>
        <w:tc>
          <w:tcPr>
            <w:tcW w:w="330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71"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6" w:right="0"/>
              <w:jc w:val="left"/>
              <w:rPr>
                <w:rFonts w:ascii="Times New Roman" w:hAnsi="Times New Roman" w:cs="Times New Roman" w:eastAsia="Times New Roman" w:hint="default"/>
                <w:sz w:val="18"/>
                <w:szCs w:val="18"/>
              </w:rPr>
            </w:pPr>
            <w:r>
              <w:rPr>
                <w:rFonts w:ascii="Times New Roman"/>
                <w:sz w:val="18"/>
              </w:rPr>
              <w:t>14,984,143.92</w:t>
            </w:r>
          </w:p>
        </w:tc>
        <w:tc>
          <w:tcPr>
            <w:tcW w:w="3186"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长期股权投资及固定资产出售、报废损 失</w:t>
            </w:r>
          </w:p>
        </w:tc>
      </w:tr>
      <w:tr>
        <w:trPr>
          <w:trHeight w:val="392" w:hRule="exact"/>
        </w:trPr>
        <w:tc>
          <w:tcPr>
            <w:tcW w:w="33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vMerge/>
            <w:tcBorders>
              <w:left w:val="single" w:sz="9" w:space="0" w:color="D2D2D2"/>
              <w:right w:val="single" w:sz="4" w:space="0" w:color="000000"/>
            </w:tcBorders>
          </w:tcPr>
          <w:p>
            <w:pPr/>
          </w:p>
        </w:tc>
        <w:tc>
          <w:tcPr>
            <w:tcW w:w="3186" w:type="dxa"/>
            <w:vMerge/>
            <w:tcBorders>
              <w:left w:val="single" w:sz="4" w:space="0" w:color="000000"/>
              <w:right w:val="single" w:sz="4" w:space="0" w:color="000000"/>
            </w:tcBorders>
          </w:tcPr>
          <w:p>
            <w:pPr/>
          </w:p>
        </w:tc>
      </w:tr>
      <w:tr>
        <w:trPr>
          <w:trHeight w:val="161" w:hRule="exact"/>
        </w:trPr>
        <w:tc>
          <w:tcPr>
            <w:tcW w:w="330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71" w:type="dxa"/>
            <w:vMerge/>
            <w:tcBorders>
              <w:left w:val="single" w:sz="9" w:space="0" w:color="D2D2D2"/>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6,120,463.44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15,087,337.48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-1,958,642.37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捐赠支出等</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65,469.52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代扣代缴个人所得税手续费返还</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4,970,883.34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1,257,471.61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28,070,417.04</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94"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65,469.52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代扣代缴个人所得税手续费返还</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净资产收益率及每股收益" w:id="521"/>
      <w:bookmarkEnd w:id="521"/>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5"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5"/>
        <w:ind w:right="0"/>
        <w:jc w:val="left"/>
        <w:rPr>
          <w:b w:val="0"/>
          <w:bCs w:val="0"/>
        </w:rPr>
      </w:pPr>
      <w:bookmarkStart w:name="3、境内外会计准则下会计数据差异" w:id="522"/>
      <w:bookmarkEnd w:id="522"/>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中国会计准则披露的财务报告中净利润和净资产差异情况" w:id="523"/>
      <w:bookmarkEnd w:id="523"/>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同时按照境外会计准则与按中国会计准则披露的财务报告中净利润和净资产差异情况" w:id="524"/>
      <w:bookmarkEnd w:id="524"/>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59" w:lineRule="auto"/>
        <w:ind w:right="0"/>
        <w:jc w:val="left"/>
        <w:rPr>
          <w:b w:val="0"/>
          <w:bCs w:val="0"/>
        </w:rPr>
      </w:pPr>
      <w:bookmarkStart w:name="（3）境内外会计准则下会计数据差异原因说明，对已经境外审计机构审计的数据进行差异" w:id="525"/>
      <w:bookmarkEnd w:id="525"/>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其他" w:id="526"/>
      <w:bookmarkEnd w:id="526"/>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第十二节 备查文件目录" w:id="527"/>
      <w:bookmarkEnd w:id="527"/>
      <w:r>
        <w:rPr>
          <w:b w:val="0"/>
          <w:bCs w:val="0"/>
        </w:rPr>
      </w:r>
      <w:bookmarkStart w:name="_bookmark10" w:id="528"/>
      <w:bookmarkEnd w:id="528"/>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（一）载有公司负责人、主管会计工作负责人、会计机构负责人（会计主管人员）签名并盖章的财务报表。</w:t>
      </w:r>
    </w:p>
    <w:p>
      <w:pPr>
        <w:spacing w:before="77"/>
        <w:ind w:left="154" w:right="0" w:firstLine="0"/>
        <w:jc w:val="left"/>
        <w:rPr>
          <w:rFonts w:ascii="宋体" w:hAnsi="宋体" w:cs="宋体" w:eastAsia="宋体" w:hint="default"/>
          <w:sz w:val="18"/>
          <w:szCs w:val="18"/>
        </w:rPr>
      </w:pPr>
      <w:r>
        <w:rPr>
          <w:rFonts w:ascii="宋体" w:hAnsi="宋体" w:cs="宋体" w:eastAsia="宋体" w:hint="default"/>
          <w:sz w:val="18"/>
          <w:szCs w:val="18"/>
        </w:rPr>
        <w:t>（二）载有会计师事务所盖章、注册会计师签名并盖章的审计报告原件。</w:t>
      </w:r>
    </w:p>
    <w:p>
      <w:pPr>
        <w:spacing w:before="76"/>
        <w:ind w:left="154" w:right="0" w:firstLine="0"/>
        <w:jc w:val="left"/>
        <w:rPr>
          <w:rFonts w:ascii="宋体" w:hAnsi="宋体" w:cs="宋体" w:eastAsia="宋体" w:hint="default"/>
          <w:sz w:val="18"/>
          <w:szCs w:val="18"/>
        </w:rPr>
      </w:pPr>
      <w:r>
        <w:rPr>
          <w:rFonts w:ascii="宋体" w:hAnsi="宋体" w:cs="宋体" w:eastAsia="宋体" w:hint="default"/>
          <w:sz w:val="18"/>
          <w:szCs w:val="18"/>
        </w:rPr>
        <w:t>（三）报告期内在中国证监会指定网站上公开披露过的所有公司文件的正本及公告的原稿。</w:t>
      </w:r>
    </w:p>
    <w:p>
      <w:pPr>
        <w:spacing w:before="76"/>
        <w:ind w:left="154" w:right="0" w:firstLine="0"/>
        <w:jc w:val="left"/>
        <w:rPr>
          <w:rFonts w:ascii="宋体" w:hAnsi="宋体" w:cs="宋体" w:eastAsia="宋体" w:hint="default"/>
          <w:sz w:val="18"/>
          <w:szCs w:val="18"/>
        </w:rPr>
      </w:pPr>
      <w:r>
        <w:rPr>
          <w:rFonts w:ascii="宋体" w:hAnsi="宋体" w:cs="宋体" w:eastAsia="宋体" w:hint="default"/>
          <w:sz w:val="18"/>
          <w:szCs w:val="18"/>
        </w:rPr>
        <w:t>（四）在其他证券市场公布的年度报告。</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41584" type="#_x0000_t75" stroked="false">
          <v:imagedata r:id="rId1" o:title=""/>
        </v:shape>
      </w:pict>
    </w:r>
    <w:r>
      <w:rPr/>
      <w:pict>
        <v:shape style="position:absolute;margin-left:533.179993pt;margin-top:795.517944pt;width:6.5pt;height:11pt;mso-position-horizontal-relative:page;mso-position-vertical-relative:page;z-index:-15415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41536" type="#_x0000_t75" stroked="false">
          <v:imagedata r:id="rId1" o:title=""/>
        </v:shape>
      </w:pict>
    </w:r>
    <w:r>
      <w:rPr/>
      <w:pict>
        <v:shape style="position:absolute;margin-left:527.679993pt;margin-top:781.957947pt;width:13pt;height:11pt;mso-position-horizontal-relative:page;mso-position-vertical-relative:page;z-index:-1541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41488" type="#_x0000_t75" stroked="false">
          <v:imagedata r:id="rId1" o:title=""/>
        </v:shape>
      </w:pict>
    </w:r>
    <w:r>
      <w:rPr/>
      <w:pict>
        <v:shape style="position:absolute;margin-left:524.179993pt;margin-top:781.957947pt;width:15.5pt;height:11pt;mso-position-horizontal-relative:page;mso-position-vertical-relative:page;z-index:-15414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41440" type="#_x0000_t75" stroked="false">
          <v:imagedata r:id="rId1" o:title=""/>
        </v:shape>
      </w:pict>
    </w:r>
    <w:r>
      <w:rPr/>
      <w:pict>
        <v:shape style="position:absolute;margin-left:523.179993pt;margin-top:781.957947pt;width:17.5pt;height:11pt;mso-position-horizontal-relative:page;mso-position-vertical-relative:page;z-index:-1541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41392" type="#_x0000_t75" stroked="false">
          <v:imagedata r:id="rId1" o:title=""/>
        </v:shape>
      </w:pict>
    </w:r>
    <w:r>
      <w:rPr/>
      <w:pict>
        <v:shape style="position:absolute;margin-left:523.179993pt;margin-top:781.957947pt;width:17.5pt;height:11pt;mso-position-horizontal-relative:page;mso-position-vertical-relative:page;z-index:-1541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41344" type="#_x0000_t75" stroked="false">
          <v:imagedata r:id="rId1" o:title=""/>
        </v:shape>
      </w:pict>
    </w:r>
    <w:r>
      <w:rPr/>
      <w:pict>
        <v:shape style="position:absolute;margin-left:524.179993pt;margin-top:781.957947pt;width:15.5pt;height:11pt;mso-position-horizontal-relative:page;mso-position-vertical-relative:page;z-index:-15413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41296" type="#_x0000_t75" stroked="false">
          <v:imagedata r:id="rId1" o:title=""/>
        </v:shape>
      </w:pict>
    </w:r>
    <w:r>
      <w:rPr/>
      <w:pict>
        <v:shape style="position:absolute;margin-left:523.179993pt;margin-top:781.957947pt;width:17.5pt;height:11pt;mso-position-horizontal-relative:page;mso-position-vertical-relative:page;z-index:-1541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160004pt;margin-top:36.325607pt;width:177.55pt;height:11.5pt;mso-position-horizontal-relative:page;mso-position-vertical-relative:page;z-index:-15416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京蓝科技股份有限公司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TOC2" w:type="paragraph">
    <w:name w:val="TOC 2"/>
    <w:basedOn w:val="Normal"/>
    <w:uiPriority w:val="1"/>
    <w:qFormat/>
    <w:pPr>
      <w:ind w:left="154"/>
    </w:pPr>
    <w:rPr>
      <w:rFonts w:ascii="Times New Roman" w:hAnsi="Times New Roman" w:eastAsia="Times New Roman"/>
      <w:b/>
      <w:bCs/>
      <w:i/>
    </w:rPr>
  </w:style>
  <w:style w:styleId="BodyText" w:type="paragraph">
    <w:name w:val="Body Text"/>
    <w:basedOn w:val="Normal"/>
    <w:uiPriority w:val="1"/>
    <w:qFormat/>
    <w:pPr>
      <w:ind w:left="154"/>
    </w:pPr>
    <w:rPr>
      <w:rFonts w:ascii="宋体" w:hAnsi="宋体" w:eastAsia="宋体"/>
      <w:sz w:val="21"/>
      <w:szCs w:val="21"/>
    </w:rPr>
  </w:style>
  <w:style w:styleId="Heading1" w:type="paragraph">
    <w:name w:val="Heading 1"/>
    <w:basedOn w:val="Normal"/>
    <w:uiPriority w:val="1"/>
    <w:qFormat/>
    <w:pPr>
      <w:spacing w:before="1"/>
      <w:ind w:left="61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spacing w:before="156"/>
      <w:ind w:left="154"/>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kinglandgroup.com/" TargetMode="External"/><Relationship Id="rId10" Type="http://schemas.openxmlformats.org/officeDocument/2006/relationships/hyperlink" Target="mailto:securities@kinglandgroup.com" TargetMode="External"/><Relationship Id="rId11" Type="http://schemas.openxmlformats.org/officeDocument/2006/relationships/hyperlink" Target="http://www.cninfo.com.cn/"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king-709</dc:creator>
  <dcterms:created xsi:type="dcterms:W3CDTF">2020-05-05T02:29:03Z</dcterms:created>
  <dcterms:modified xsi:type="dcterms:W3CDTF">2020-05-05T02:29:03Z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2019-04-24T00:00:00Z</vt:filetime>
  </property>
  <property fmtid="{D5CDD505-2E9C-101B-9397-08002B2CF9AE}" pid="3" name="Creator">
    <vt:lpwstr>Microsoft® Office Word 2007</vt:lpwstr>
  </property>
  <property fmtid="{D5CDD505-2E9C-101B-9397-08002B2CF9AE}" pid="4" name="LastSaved">
    <vt:filetime>2020-05-04T00:00:00Z</vt:filetime>
  </property>
</Properties>
</file>