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Default Extension="png" ContentType="image/png"/>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600" w:lineRule="exact"/>
        <w:ind w:left="36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625802" cy="10165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25802" cy="1016507"/>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3" w:right="2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240" w:lineRule="auto" w:before="162"/>
        <w:ind w:left="715"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552"/>
        <w:gridCol w:w="2268"/>
        <w:gridCol w:w="2834"/>
        <w:gridCol w:w="1913"/>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李慧中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因与其他工作安排时间冲突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李志勇</w:t>
            </w:r>
          </w:p>
        </w:tc>
      </w:tr>
    </w:tbl>
    <w:p>
      <w:pPr>
        <w:spacing w:line="240" w:lineRule="auto" w:before="2"/>
        <w:rPr>
          <w:rFonts w:ascii="宋体" w:hAnsi="宋体" w:cs="宋体" w:eastAsia="宋体" w:hint="default"/>
          <w:b/>
          <w:bCs/>
          <w:sz w:val="13"/>
          <w:szCs w:val="13"/>
        </w:rPr>
      </w:pPr>
    </w:p>
    <w:p>
      <w:pPr>
        <w:pStyle w:val="Heading2"/>
        <w:spacing w:line="408" w:lineRule="auto" w:before="13"/>
        <w:ind w:left="153" w:right="0" w:firstLine="561"/>
        <w:jc w:val="left"/>
        <w:rPr>
          <w:b w:val="0"/>
          <w:bCs w:val="0"/>
        </w:rPr>
      </w:pPr>
      <w:r>
        <w:rPr>
          <w:spacing w:val="32"/>
        </w:rPr>
        <w:t>公司经本次董事会审议通过的利润分配预案为：以公司目前总股本</w:t>
      </w:r>
      <w:r>
        <w:rPr>
          <w:spacing w:val="-107"/>
        </w:rPr>
        <w:t> </w:t>
      </w:r>
      <w:r>
        <w:rPr>
          <w:w w:val="99"/>
        </w:rPr>
        <w:t>2,051,228,683</w:t>
      </w:r>
      <w:r>
        <w:rPr>
          <w:spacing w:val="-61"/>
          <w:w w:val="99"/>
        </w:rPr>
        <w:t> </w:t>
      </w:r>
      <w:r>
        <w:rPr>
          <w:w w:val="99"/>
        </w:rPr>
        <w:t>股为基数，向全体股东每</w:t>
      </w:r>
      <w:r>
        <w:rPr>
          <w:spacing w:val="-63"/>
          <w:w w:val="99"/>
        </w:rPr>
        <w:t> </w:t>
      </w:r>
      <w:r>
        <w:rPr>
          <w:w w:val="99"/>
        </w:rPr>
        <w:t>10</w:t>
      </w:r>
      <w:r>
        <w:rPr>
          <w:spacing w:val="-62"/>
          <w:w w:val="99"/>
        </w:rPr>
        <w:t> </w:t>
      </w:r>
      <w:r>
        <w:rPr>
          <w:w w:val="99"/>
        </w:rPr>
        <w:t>股派发现金红利</w:t>
      </w:r>
      <w:r>
        <w:rPr>
          <w:spacing w:val="-63"/>
          <w:w w:val="99"/>
        </w:rPr>
        <w:t> </w:t>
      </w:r>
      <w:r>
        <w:rPr>
          <w:w w:val="99"/>
        </w:rPr>
        <w:t>0.50</w:t>
      </w:r>
      <w:r>
        <w:rPr>
          <w:spacing w:val="-61"/>
          <w:w w:val="99"/>
        </w:rPr>
        <w:t> </w:t>
      </w:r>
      <w:r>
        <w:rPr>
          <w:spacing w:val="-23"/>
          <w:w w:val="99"/>
        </w:rPr>
        <w:t>元（含税），</w:t>
      </w:r>
      <w:r>
        <w:rPr>
          <w:b w:val="0"/>
          <w:bCs w:val="0"/>
          <w:spacing w:val="-23"/>
        </w:rPr>
      </w:r>
    </w:p>
    <w:p>
      <w:pPr>
        <w:pStyle w:val="Heading2"/>
        <w:spacing w:line="472" w:lineRule="auto" w:before="63"/>
        <w:ind w:left="715" w:right="0" w:hanging="562"/>
        <w:jc w:val="left"/>
        <w:rPr>
          <w:b w:val="0"/>
          <w:bCs w:val="0"/>
        </w:rPr>
      </w:pPr>
      <w:r>
        <w:rPr>
          <w:w w:val="99"/>
        </w:rPr>
        <w:t>送红股</w:t>
      </w:r>
      <w:r>
        <w:rPr>
          <w:spacing w:val="-70"/>
          <w:w w:val="99"/>
        </w:rPr>
        <w:t> </w:t>
      </w:r>
      <w:r>
        <w:rPr>
          <w:w w:val="99"/>
        </w:rPr>
        <w:t>0</w:t>
      </w:r>
      <w:r>
        <w:rPr>
          <w:spacing w:val="-69"/>
          <w:w w:val="99"/>
        </w:rPr>
        <w:t> </w:t>
      </w:r>
      <w:r>
        <w:rPr>
          <w:spacing w:val="-8"/>
          <w:w w:val="99"/>
        </w:rPr>
        <w:t>股（含税），不以公积金转增股本。</w:t>
      </w:r>
      <w:r>
        <w:rPr>
          <w:spacing w:val="-135"/>
          <w:w w:val="99"/>
        </w:rPr>
        <w:t> </w:t>
      </w:r>
      <w:r>
        <w:rPr>
          <w:spacing w:val="-135"/>
          <w:w w:val="99"/>
        </w:rPr>
      </w:r>
      <w:r>
        <w:rPr>
          <w:w w:val="95"/>
        </w:rPr>
        <w:t>公司负责人温子健、主管会计工作负责人金伯富及会计机构负责人</w:t>
      </w:r>
      <w:r>
        <w:rPr>
          <w:rFonts w:ascii="Times New Roman" w:hAnsi="Times New Roman" w:cs="Times New Roman" w:eastAsia="Times New Roman" w:hint="default"/>
          <w:w w:val="95"/>
        </w:rPr>
        <w:t>(</w:t>
      </w:r>
      <w:r>
        <w:rPr>
          <w:w w:val="95"/>
        </w:rPr>
        <w:t>会计主</w:t>
      </w:r>
      <w:r>
        <w:rPr>
          <w:b w:val="0"/>
          <w:bCs w:val="0"/>
        </w:rPr>
      </w:r>
    </w:p>
    <w:p>
      <w:pPr>
        <w:pStyle w:val="Heading2"/>
        <w:spacing w:line="324" w:lineRule="exact"/>
        <w:ind w:right="0"/>
        <w:jc w:val="left"/>
        <w:rPr>
          <w:b w:val="0"/>
          <w:bCs w:val="0"/>
        </w:rPr>
      </w:pPr>
      <w:r>
        <w:rPr/>
        <w:t>管人员</w:t>
      </w:r>
      <w:r>
        <w:rPr>
          <w:rFonts w:ascii="Times New Roman" w:hAnsi="Times New Roman" w:cs="Times New Roman" w:eastAsia="Times New Roman" w:hint="default"/>
        </w:rPr>
        <w:t>)</w:t>
      </w:r>
      <w:r>
        <w:rPr/>
        <w:t>刘秀菊声明：保证年度报告中财务报告的真实、准确、完整。</w:t>
      </w:r>
      <w:r>
        <w:rPr>
          <w:b w:val="0"/>
          <w:bCs w:val="0"/>
        </w:rPr>
      </w:r>
    </w:p>
    <w:p>
      <w:pPr>
        <w:spacing w:line="240" w:lineRule="auto" w:before="8"/>
        <w:rPr>
          <w:rFonts w:ascii="宋体" w:hAnsi="宋体" w:cs="宋体" w:eastAsia="宋体" w:hint="default"/>
          <w:b/>
          <w:bCs/>
          <w:sz w:val="25"/>
          <w:szCs w:val="25"/>
        </w:rPr>
      </w:pPr>
    </w:p>
    <w:p>
      <w:pPr>
        <w:pStyle w:val="Heading2"/>
        <w:spacing w:line="410" w:lineRule="auto"/>
        <w:ind w:right="0" w:firstLine="561"/>
        <w:jc w:val="left"/>
        <w:rPr>
          <w:b w:val="0"/>
          <w:bCs w:val="0"/>
        </w:rPr>
      </w:pPr>
      <w:r>
        <w:rPr>
          <w:spacing w:val="-1"/>
          <w:w w:val="95"/>
        </w:rPr>
        <w:t>本年度报告涉及未来计划等前瞻性陈述，不构成公司对投资者的实质承诺，</w:t>
      </w:r>
      <w:r>
        <w:rPr>
          <w:spacing w:val="1"/>
          <w:w w:val="99"/>
        </w:rPr>
        <w:t> </w:t>
      </w:r>
      <w:r>
        <w:rPr/>
        <w:t>请投资者注意投资风险。</w:t>
      </w:r>
      <w:r>
        <w:rPr>
          <w:b w:val="0"/>
          <w:bCs w:val="0"/>
        </w:rPr>
      </w:r>
    </w:p>
    <w:p>
      <w:pPr>
        <w:spacing w:after="0" w:line="410" w:lineRule="auto"/>
        <w:jc w:val="left"/>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 公司简介</w:t>
            </w:r>
            <w:r>
              <w:rPr>
                <w:rFonts w:ascii="Times New Roman" w:hAnsi="Times New Roman" w:cs="Times New Roman" w:eastAsia="Times New Roman" w:hint="default"/>
              </w:rPr>
              <w:tab/>
              <w:t>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9">
            <w:r>
              <w:rPr/>
              <w:t>第三节 会计数据和财务指标摘要</w:t>
            </w:r>
            <w:r>
              <w:rPr>
                <w:rFonts w:ascii="Times New Roman" w:hAnsi="Times New Roman" w:cs="Times New Roman" w:eastAsia="Times New Roman" w:hint="default"/>
              </w:rPr>
              <w:tab/>
              <w:t>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 重要事项</w:t>
            </w:r>
            <w:r>
              <w:rPr>
                <w:rFonts w:ascii="Times New Roman" w:hAnsi="Times New Roman" w:cs="Times New Roman" w:eastAsia="Times New Roman" w:hint="default"/>
              </w:rPr>
              <w:tab/>
              <w:t>45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 股份变动及股东情况</w:t>
            </w:r>
            <w:r>
              <w:rPr>
                <w:rFonts w:ascii="Times New Roman" w:hAnsi="Times New Roman" w:cs="Times New Roman" w:eastAsia="Times New Roman" w:hint="default"/>
              </w:rPr>
              <w:tab/>
              <w:t>66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 优先股相关情况</w:t>
            </w:r>
            <w:r>
              <w:rPr>
                <w:rFonts w:ascii="Times New Roman" w:hAnsi="Times New Roman" w:cs="Times New Roman" w:eastAsia="Times New Roman" w:hint="default"/>
              </w:rPr>
              <w:tab/>
              <w:t>77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 董事、监事、高级管理人员和员工情况</w:t>
            </w:r>
            <w:r>
              <w:rPr>
                <w:rFonts w:ascii="Times New Roman" w:hAnsi="Times New Roman" w:cs="Times New Roman" w:eastAsia="Times New Roman" w:hint="default"/>
              </w:rPr>
              <w:tab/>
              <w:t>78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第九节 公司治理</w:t>
            </w:r>
            <w:r>
              <w:rPr>
                <w:rFonts w:ascii="Times New Roman" w:hAnsi="Times New Roman" w:cs="Times New Roman" w:eastAsia="Times New Roman" w:hint="default"/>
              </w:rPr>
              <w:tab/>
              <w:t>85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 内部控制</w:t>
            </w:r>
            <w:r>
              <w:rPr>
                <w:rFonts w:ascii="Times New Roman" w:hAnsi="Times New Roman" w:cs="Times New Roman" w:eastAsia="Times New Roman" w:hint="default"/>
              </w:rPr>
              <w:tab/>
              <w:t>90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92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216</w:t>
            </w:r>
          </w:hyperlink>
        </w:p>
        <w:p>
          <w:pPr/>
          <w:r>
            <w:fldChar w:fldCharType="end"/>
          </w:r>
        </w:p>
      </w:sdtContent>
    </w:sdt>
    <w:p>
      <w:pPr>
        <w:spacing w:after="0"/>
        <w:sectPr>
          <w:pgSz w:w="11910" w:h="16840"/>
          <w:pgMar w:header="747" w:footer="982" w:top="1060" w:bottom="1180" w:left="980" w:right="980"/>
        </w:sectPr>
      </w:pPr>
    </w:p>
    <w:p>
      <w:pPr>
        <w:spacing w:before="970"/>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本公司、公司或华闻传媒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国广环球资产管理有限公司，原名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上海渝富资产管理有限公司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中国国际广播电台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无锡区资委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无锡市滨湖区区有资产管理委员会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海南新海岸置业股份有限公司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华闻世纪影视投资控股（北京）有限责任公司，原名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北京中视映画 传媒文化有限公司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长流公司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海南民生长流油气储运有限公司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r>
      <w:tr>
        <w:trPr>
          <w:trHeight w:val="10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华商传媒八家附属公司的少数股东权益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3"/>
              <w:jc w:val="both"/>
              <w:rPr>
                <w:rFonts w:ascii="宋体" w:hAnsi="宋体" w:cs="宋体" w:eastAsia="宋体" w:hint="default"/>
                <w:sz w:val="18"/>
                <w:szCs w:val="18"/>
              </w:rPr>
            </w:pPr>
            <w:r>
              <w:rPr>
                <w:rFonts w:ascii="宋体" w:hAnsi="宋体" w:cs="宋体" w:eastAsia="宋体" w:hint="default"/>
                <w:sz w:val="18"/>
                <w:szCs w:val="18"/>
              </w:rPr>
              <w:t>华商数码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20.40%</w:t>
            </w:r>
            <w:r>
              <w:rPr>
                <w:rFonts w:ascii="宋体" w:hAnsi="宋体" w:cs="宋体" w:eastAsia="宋体" w:hint="default"/>
                <w:sz w:val="18"/>
                <w:szCs w:val="18"/>
              </w:rPr>
              <w:t>股份、陕西黄马甲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49.375%</w:t>
            </w:r>
            <w:r>
              <w:rPr>
                <w:rFonts w:ascii="宋体" w:hAnsi="宋体" w:cs="宋体" w:eastAsia="宋体" w:hint="default"/>
                <w:sz w:val="18"/>
                <w:szCs w:val="18"/>
              </w:rPr>
              <w:t>股份、华商网络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 </w:t>
            </w:r>
            <w:r>
              <w:rPr>
                <w:rFonts w:ascii="宋体" w:hAnsi="宋体" w:cs="宋体" w:eastAsia="宋体" w:hint="default"/>
                <w:sz w:val="18"/>
                <w:szCs w:val="18"/>
              </w:rPr>
              <w:t>股权、华商卓越文化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股权、重庆华博传媒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宋体" w:hAnsi="宋体" w:cs="宋体" w:eastAsia="宋体" w:hint="default"/>
                <w:sz w:val="18"/>
                <w:szCs w:val="18"/>
              </w:rPr>
              <w:t>股权、吉林 华商传媒</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15.00%</w:t>
            </w:r>
            <w:r>
              <w:rPr>
                <w:rFonts w:ascii="宋体" w:hAnsi="宋体" w:cs="宋体" w:eastAsia="宋体" w:hint="default"/>
                <w:spacing w:val="-3"/>
                <w:sz w:val="18"/>
                <w:szCs w:val="18"/>
              </w:rPr>
              <w:t>股权、辽宁盈丰传媒</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w:t>
            </w:r>
            <w:r>
              <w:rPr>
                <w:rFonts w:ascii="宋体" w:hAnsi="宋体" w:cs="宋体" w:eastAsia="宋体" w:hint="default"/>
                <w:sz w:val="18"/>
                <w:szCs w:val="18"/>
              </w:rPr>
              <w:t>股权和华商广告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股权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陕西华商豪盛置业有限公司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90.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上海大黎资产管理有限公司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上海常喜投资有限公司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新疆锐盈股权投资合伙企业（有限合伙），原名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西安锐盈企业管理咨</w:t>
                        </w:r>
                        <w:r>
                          <w:rPr>
                            <w:rFonts w:ascii="宋体" w:hAnsi="宋体" w:cs="宋体" w:eastAsia="宋体" w:hint="default"/>
                            <w:spacing w:val="-74"/>
                            <w:sz w:val="18"/>
                            <w:szCs w:val="18"/>
                          </w:rPr>
                          <w:t> </w:t>
                        </w:r>
                        <w:r>
                          <w:rPr>
                            <w:rFonts w:ascii="宋体" w:hAnsi="宋体" w:cs="宋体" w:eastAsia="宋体" w:hint="default"/>
                            <w:sz w:val="18"/>
                            <w:szCs w:val="18"/>
                          </w:rPr>
                          <w:t>询有限公司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拉萨澄怀管理咨询有限公司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拉萨观道管理咨询有限公司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新疆锐聚股权投资合伙企业（有限合伙）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广州市邦富软件有限公司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广州漫友文化科技发展有限公司，原名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广州漫友文化科技股份有限 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德清精视投资发展有限公司，原名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上海精视投资发展有限公司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上海莫昂投资合伙企业（有限合伙）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长沙传怡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长沙传怡合盛股权投资合伙企业（有限合伙）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湖南富坤文化传媒投资中心（有限合伙）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北京中技富坤创业投资中心（有限合伙）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广东粤文投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广东粤文投一号文化产业投资合伙企业（有限合伙）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广州漫时代</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广州漫时代投资管理中心（有限合伙）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卓信大华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北京卓信大华资产评估有限公司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中国证监会海南监管局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巨潮网、指定网站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指定报刊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公司的信息披露指定报</w:t>
                        </w:r>
                        <w:r>
                          <w:rPr>
                            <w:rFonts w:ascii="宋体" w:hAnsi="宋体" w:cs="宋体" w:eastAsia="宋体" w:hint="default"/>
                            <w:spacing w:val="-41"/>
                            <w:sz w:val="18"/>
                            <w:szCs w:val="18"/>
                          </w:rPr>
                          <w:t>刊</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《上海证券报</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16"/>
                            <w:sz w:val="18"/>
                            <w:szCs w:val="18"/>
                          </w:rPr>
                          <w:t>公司的信息披露指定媒体《证券时报》、《中国证券报》、《上海证券报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和巨潮网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4009"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Heading2"/>
        <w:spacing w:line="410" w:lineRule="auto" w:before="223"/>
        <w:ind w:left="153" w:right="0" w:firstLine="561"/>
        <w:jc w:val="left"/>
        <w:rPr>
          <w:b w:val="0"/>
          <w:bCs w:val="0"/>
        </w:rPr>
      </w:pPr>
      <w:r>
        <w:rPr>
          <w:spacing w:val="4"/>
          <w:w w:val="95"/>
        </w:rPr>
        <w:t>公司已在本报告中详细描述公司存在的风险因素，敬请查阅董事会报告中</w:t>
      </w:r>
      <w:r>
        <w:rPr>
          <w:spacing w:val="4"/>
          <w:w w:val="99"/>
        </w:rPr>
        <w:t> </w:t>
      </w:r>
      <w:r>
        <w:rPr/>
        <w:t>关于公司未来发展的展望中可能面对的风险因素和对策部分的内容。</w:t>
      </w:r>
      <w:r>
        <w:rPr>
          <w:b w:val="0"/>
          <w:bCs w:val="0"/>
        </w:rPr>
      </w:r>
    </w:p>
    <w:p>
      <w:pPr>
        <w:spacing w:after="0" w:line="410" w:lineRule="auto"/>
        <w:jc w:val="lef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38pt;margin-top:269.760010pt;width:396.9pt;height:19.6pt;mso-position-horizontal-relative:page;mso-position-vertical-relative:page;z-index:-12186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421"/>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000793</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Huawen Media Investment</w:t>
            </w:r>
            <w:r>
              <w:rPr>
                <w:rFonts w:ascii="Times New Roman"/>
                <w:spacing w:val="-2"/>
                <w:sz w:val="18"/>
              </w:rPr>
              <w:t> </w:t>
            </w:r>
            <w:r>
              <w:rPr>
                <w:rFonts w:ascii="Times New Roman"/>
                <w:sz w:val="18"/>
              </w:rPr>
              <w:t>Corporation</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Huawen</w:t>
            </w:r>
            <w:r>
              <w:rPr>
                <w:rFonts w:ascii="Times New Roman"/>
                <w:spacing w:val="-1"/>
                <w:sz w:val="18"/>
              </w:rPr>
              <w:t> </w:t>
            </w:r>
            <w:r>
              <w:rPr>
                <w:rFonts w:ascii="Times New Roman"/>
                <w:sz w:val="18"/>
              </w:rPr>
              <w:t>Media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温子健</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570208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570208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http://www.000793.com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hwm@000793.com</w:t>
              </w:r>
            </w:hyperlink>
          </w:p>
        </w:tc>
      </w:tr>
    </w:tbl>
    <w:p>
      <w:pPr>
        <w:spacing w:line="240" w:lineRule="auto" w:before="2"/>
        <w:rPr>
          <w:rFonts w:ascii="宋体" w:hAnsi="宋体" w:cs="宋体" w:eastAsia="宋体" w:hint="default"/>
          <w:b/>
          <w:bCs/>
          <w:sz w:val="18"/>
          <w:szCs w:val="18"/>
        </w:rPr>
      </w:pPr>
    </w:p>
    <w:p>
      <w:pPr>
        <w:pStyle w:val="Heading4"/>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邱小妹</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0898-66254650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0898-66196060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0898-66254650    66255636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0898-66254650    66255636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board@000793.com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board@000793.com</w:t>
              </w:r>
            </w:hyperlink>
          </w:p>
        </w:tc>
      </w:tr>
    </w:tbl>
    <w:p>
      <w:pPr>
        <w:spacing w:line="240" w:lineRule="auto" w:before="2"/>
        <w:rPr>
          <w:rFonts w:ascii="宋体" w:hAnsi="宋体" w:cs="宋体" w:eastAsia="宋体" w:hint="default"/>
          <w:b/>
          <w:bCs/>
          <w:sz w:val="18"/>
          <w:szCs w:val="18"/>
        </w:rPr>
      </w:pPr>
    </w:p>
    <w:p>
      <w:pPr>
        <w:pStyle w:val="Heading4"/>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44"/>
        <w:ind w:left="0" w:right="159" w:firstLine="0"/>
        <w:jc w:val="right"/>
        <w:rPr>
          <w:rFonts w:ascii="宋体" w:hAnsi="宋体" w:cs="宋体" w:eastAsia="宋体" w:hint="default"/>
          <w:sz w:val="18"/>
          <w:szCs w:val="18"/>
        </w:rPr>
      </w:pPr>
      <w:r>
        <w:rPr/>
        <w:pict>
          <v:shape style="position:absolute;margin-left:56.459999pt;margin-top:-139.148041pt;width:479.05pt;height:25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海南省工商行政管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20125021-7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460100201250217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20125021-7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海南省工商行政管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460000000090645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460100201250217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20125021-7</w:t>
                        </w:r>
                      </w:p>
                    </w:tc>
                  </w:tr>
                  <w:tr>
                    <w:trPr>
                      <w:trHeight w:val="941"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月，公司上市，主营业务以城市燃气的经营管理为主；</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年起，公司</w:t>
                        </w:r>
                        <w:r>
                          <w:rPr>
                            <w:rFonts w:ascii="宋体" w:hAnsi="宋体" w:cs="宋体" w:eastAsia="宋体" w:hint="default"/>
                            <w:sz w:val="18"/>
                            <w:szCs w:val="18"/>
                          </w:rPr>
                          <w:t> 投资建设徽杭高速公路</w:t>
                        </w:r>
                        <w:r>
                          <w:rPr>
                            <w:rFonts w:ascii="Times New Roman" w:hAnsi="Times New Roman" w:cs="Times New Roman" w:eastAsia="Times New Roman" w:hint="default"/>
                            <w:sz w:val="18"/>
                            <w:szCs w:val="18"/>
                          </w:rPr>
                          <w:t>(</w:t>
                        </w:r>
                        <w:r>
                          <w:rPr>
                            <w:rFonts w:ascii="宋体" w:hAnsi="宋体" w:cs="宋体" w:eastAsia="宋体" w:hint="default"/>
                            <w:sz w:val="18"/>
                            <w:szCs w:val="18"/>
                          </w:rPr>
                          <w:t>安徽段</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，主营业务以城市燃气和高速公路的经营管理及 </w:t>
                        </w:r>
                        <w:r>
                          <w:rPr>
                            <w:rFonts w:ascii="宋体" w:hAnsi="宋体" w:cs="宋体" w:eastAsia="宋体" w:hint="default"/>
                            <w:spacing w:val="-4"/>
                            <w:sz w:val="18"/>
                            <w:szCs w:val="18"/>
                          </w:rPr>
                          <w:t>相关业务为主；</w:t>
                        </w:r>
                        <w:r>
                          <w:rPr>
                            <w:rFonts w:ascii="Times New Roman" w:hAnsi="Times New Roman" w:cs="Times New Roman" w:eastAsia="Times New Roman" w:hint="default"/>
                            <w:spacing w:val="-4"/>
                            <w:sz w:val="18"/>
                            <w:szCs w:val="18"/>
                          </w:rPr>
                          <w:t>2006 </w:t>
                        </w:r>
                        <w:r>
                          <w:rPr>
                            <w:rFonts w:ascii="宋体" w:hAnsi="宋体" w:cs="宋体" w:eastAsia="宋体" w:hint="default"/>
                            <w:spacing w:val="-3"/>
                            <w:sz w:val="18"/>
                            <w:szCs w:val="18"/>
                          </w:rPr>
                          <w:t>年起，公司相继收购传媒资产，主营业务以传播与文化产业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燃气生产和供应业为主；</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年，公司购买合并澄怀科技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股权、国广光荣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股权，新增了留学咨询服务业、广播广告业；</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年，公司购买合并国视上 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股权、掌视亿通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股权、精视文化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股权、邦富软件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漫友文化</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85.61%</w:t>
                        </w:r>
                        <w:r>
                          <w:rPr>
                            <w:rFonts w:ascii="宋体" w:hAnsi="宋体" w:cs="宋体" w:eastAsia="宋体" w:hint="default"/>
                            <w:spacing w:val="-6"/>
                            <w:sz w:val="18"/>
                            <w:szCs w:val="18"/>
                          </w:rPr>
                          <w:t>股权，新增了手机音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视频服务业、楼宇广告业、舆情监测服务业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漫画动漫服务业。</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4" w:space="0" w:color="000000"/>
                          <w:right w:val="single" w:sz="4" w:space="0" w:color="000000"/>
                        </w:tcBorders>
                      </w:tcPr>
                      <w:p>
                        <w:pPr/>
                      </w:p>
                    </w:tc>
                  </w:tr>
                  <w:tr>
                    <w:trPr>
                      <w:trHeight w:val="941"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4" w:space="0" w:color="000000"/>
                          <w:bottom w:val="single" w:sz="4" w:space="0" w:color="000000"/>
                          <w:right w:val="single" w:sz="4" w:space="0" w:color="000000"/>
                        </w:tcBorders>
                      </w:tcPr>
                      <w:p>
                        <w:pP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高敏、谢晖</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外经贸大厦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万伟、韩昆仑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号民生金融中心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臧晨曦、施健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33"/>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right="133"/>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360"/>
        <w:gridCol w:w="1334"/>
        <w:gridCol w:w="850"/>
        <w:gridCol w:w="1420"/>
        <w:gridCol w:w="1416"/>
      </w:tblGrid>
      <w:tr>
        <w:trPr>
          <w:trHeight w:val="161"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69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vMerge/>
            <w:tcBorders>
              <w:left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1"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3,952,851,471.75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3,749,558,004.83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3,749,558,004.83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4,095,420,022.65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4,251,402,066.36</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983,541,318.63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527,007,386.67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525,875,568.17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269,446,811.85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293,478,207.77</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657,868,882.22</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275,582,321.07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275,582,321.07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138.72%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245,663,731.53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245,663,731.53</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799,167,052.23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931,544,095.49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930,547,942.69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185,951,922.87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177,166,999.67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0.2158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0.2158</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0.22</w:t>
            </w:r>
          </w:p>
          <w:p>
            <w:pPr>
              <w:pStyle w:val="TableParagraph"/>
              <w:spacing w:line="240" w:lineRule="auto" w:before="64"/>
              <w:ind w:left="59"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10.29%</w:t>
            </w:r>
          </w:p>
        </w:tc>
      </w:tr>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69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vMerge/>
            <w:tcBorders>
              <w:left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10,836,931,355.89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7,177,477,248.38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7,157,588,678.75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6,064,701,982.33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6,233,515,834.57</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6,912,243,639.69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4,426,380,254.90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4,406,148,438.88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3,009,123,560.58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3,053,889,525.81</w:t>
            </w:r>
          </w:p>
        </w:tc>
      </w:tr>
    </w:tbl>
    <w:p>
      <w:pPr>
        <w:pStyle w:val="BodyText"/>
        <w:spacing w:line="273" w:lineRule="auto" w:before="26"/>
        <w:ind w:right="269" w:firstLine="420"/>
        <w:jc w:val="both"/>
      </w:pPr>
      <w:r>
        <w:rPr/>
        <w:t>注：公司于</w:t>
      </w:r>
      <w:r>
        <w:rPr>
          <w:spacing w:val="-60"/>
        </w:rPr>
        <w:t> </w:t>
      </w:r>
      <w:r>
        <w:rPr/>
        <w:t>2014</w:t>
      </w:r>
      <w:r>
        <w:rPr>
          <w:spacing w:val="-59"/>
        </w:rPr>
        <w:t> </w:t>
      </w:r>
      <w:r>
        <w:rPr/>
        <w:t>年</w:t>
      </w:r>
      <w:r>
        <w:rPr>
          <w:spacing w:val="-61"/>
        </w:rPr>
        <w:t> </w:t>
      </w:r>
      <w:r>
        <w:rPr/>
        <w:t>8</w:t>
      </w:r>
      <w:r>
        <w:rPr>
          <w:spacing w:val="-59"/>
        </w:rPr>
        <w:t> </w:t>
      </w:r>
      <w:r>
        <w:rPr/>
        <w:t>月完成了购买国视上海</w:t>
      </w:r>
      <w:r>
        <w:rPr>
          <w:spacing w:val="-60"/>
        </w:rPr>
        <w:t> </w:t>
      </w:r>
      <w:r>
        <w:rPr/>
        <w:t>100%股权和北京国广视讯新媒体科技有限公司（以下简</w:t>
      </w:r>
      <w:r>
        <w:rPr>
          <w:spacing w:val="-1"/>
        </w:rPr>
        <w:t> </w:t>
      </w:r>
      <w:r>
        <w:rPr>
          <w:spacing w:val="-3"/>
        </w:rPr>
        <w:t>称“国广视讯”）100%股权的工作，国视上海和国广视讯原为公司实际控制人国广控股下属公司的控股子</w:t>
      </w:r>
      <w:r>
        <w:rPr>
          <w:spacing w:val="-68"/>
        </w:rPr>
        <w:t> </w:t>
      </w:r>
      <w:r>
        <w:rPr>
          <w:spacing w:val="-68"/>
        </w:rPr>
      </w:r>
      <w:r>
        <w:rPr>
          <w:spacing w:val="-1"/>
        </w:rPr>
        <w:t>公司，故形成同一控制下的企业合并，在编制比较会计报表时，公司对上年同期数和上年期末数进行了调</w:t>
      </w:r>
      <w:r>
        <w:rPr>
          <w:spacing w:val="-83"/>
        </w:rPr>
        <w:t> </w:t>
      </w:r>
      <w:r>
        <w:rPr>
          <w:spacing w:val="-83"/>
        </w:rPr>
      </w:r>
      <w:r>
        <w:rPr/>
        <w:t>整。</w:t>
      </w:r>
    </w:p>
    <w:p>
      <w:pPr>
        <w:spacing w:line="240" w:lineRule="auto" w:before="0"/>
        <w:rPr>
          <w:rFonts w:ascii="宋体" w:hAnsi="宋体" w:cs="宋体" w:eastAsia="宋体" w:hint="default"/>
          <w:sz w:val="20"/>
          <w:szCs w:val="20"/>
        </w:rPr>
      </w:pPr>
    </w:p>
    <w:p>
      <w:pPr>
        <w:spacing w:line="319" w:lineRule="auto" w:before="161"/>
        <w:ind w:left="154" w:right="133"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6"/>
          <w:szCs w:val="6"/>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505;top:14;width:23;height:393" coordorigin="4505,14" coordsize="23,393">
              <v:shape style="position:absolute;left:4505;top:14;width:23;height:393" coordorigin="4505,14" coordsize="23,393" path="m4505,407l4528,407,4528,14,4505,14,450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468;height:393" coordorigin="37,14" coordsize="4468,393">
              <v:shape style="position:absolute;left:37;top:14;width:4468;height:393" coordorigin="37,14" coordsize="4468,393" path="m37,407l4505,407,450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523;height:2" coordorigin="5,412" coordsize="4523,2">
              <v:shape style="position:absolute;left:5;top:412;width:4523;height:2" coordorigin="5,412" coordsize="4523,0" path="m5,412l4528,412e" filled="false" stroked="true" strokeweight=".47998pt" strokecolor="#000000">
                <v:path arrowok="t"/>
              </v:shape>
            </v:group>
            <v:group style="position:absolute;left:4532;top:14;width:2;height:402" coordorigin="4532,14" coordsize="2,402">
              <v:shape style="position:absolute;left:4532;top:14;width:2;height:402" coordorigin="4532,14" coordsize="0,402" path="m4532,14l4532,416e" filled="false" stroked="true" strokeweight=".48001pt" strokecolor="#000000">
                <v:path arrowok="t"/>
              </v:shape>
            </v:group>
            <v:group style="position:absolute;left:4537;top:412;width:5036;height:2" coordorigin="4537,412" coordsize="5036,2">
              <v:shape style="position:absolute;left:4537;top:412;width:5036;height:2" coordorigin="4537,412" coordsize="5036,0" path="m4537,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523;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4;top:129;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0.4795</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860"/>
        </w:sectPr>
      </w:pP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sz w:val="18"/>
              </w:rPr>
              <w:t>225,513,617.59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sz w:val="18"/>
              </w:rPr>
              <w:t>99,658,658.68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sz w:val="18"/>
              </w:rPr>
              <w:t>16,552,313.58</w:t>
            </w:r>
          </w:p>
        </w:tc>
        <w:tc>
          <w:tcPr>
            <w:tcW w:w="171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年主要是公司转 让长流公司</w:t>
            </w:r>
            <w:r>
              <w:rPr>
                <w:rFonts w:ascii="宋体" w:hAnsi="宋体" w:cs="宋体" w:eastAsia="宋体" w:hint="default"/>
                <w:spacing w:val="-57"/>
                <w:sz w:val="18"/>
                <w:szCs w:val="18"/>
              </w:rPr>
              <w:t> </w:t>
            </w:r>
            <w:r>
              <w:rPr>
                <w:rFonts w:ascii="宋体" w:hAnsi="宋体" w:cs="宋体" w:eastAsia="宋体" w:hint="default"/>
                <w:sz w:val="18"/>
                <w:szCs w:val="18"/>
              </w:rPr>
              <w:t>100%股权</w:t>
            </w:r>
            <w:r>
              <w:rPr>
                <w:rFonts w:ascii="宋体" w:hAnsi="宋体" w:cs="宋体" w:eastAsia="宋体" w:hint="default"/>
                <w:sz w:val="18"/>
                <w:szCs w:val="18"/>
              </w:rPr>
              <w:t> 获得投资收益</w:t>
            </w:r>
          </w:p>
        </w:tc>
      </w:tr>
      <w:tr>
        <w:trPr>
          <w:trHeight w:val="704"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16,231,416.68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10,824,039.70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6,159,731.67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15,629,584.77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3,899,547.93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47,120,384.16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98,801,316.84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316,547,228.52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23,359,999.08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3,009,314.94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2,846,950.10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5,133,488.49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20,843,207.99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69,253,939.44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7,832,647.39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12,669,606.42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114,229,238.39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42,678,793.35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325,672,436.41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250,293,247.10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47,814,476.24</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6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94"/>
        <w:jc w:val="left"/>
        <w:rPr>
          <w:b w:val="0"/>
          <w:bCs w:val="0"/>
        </w:rPr>
      </w:pPr>
      <w:r>
        <w:rPr/>
        <w:t>一、概述</w:t>
      </w:r>
      <w:r>
        <w:rPr>
          <w:b w:val="0"/>
          <w:bCs w:val="0"/>
        </w:rPr>
      </w:r>
    </w:p>
    <w:p>
      <w:pPr>
        <w:spacing w:line="240" w:lineRule="auto" w:before="10"/>
        <w:rPr>
          <w:rFonts w:ascii="宋体" w:hAnsi="宋体" w:cs="宋体" w:eastAsia="宋体" w:hint="default"/>
          <w:b/>
          <w:bCs/>
          <w:sz w:val="28"/>
          <w:szCs w:val="28"/>
        </w:rPr>
      </w:pPr>
    </w:p>
    <w:p>
      <w:pPr>
        <w:pStyle w:val="Heading5"/>
        <w:spacing w:line="304" w:lineRule="auto" w:before="0"/>
        <w:ind w:right="94" w:firstLine="482"/>
        <w:jc w:val="left"/>
      </w:pPr>
      <w:r>
        <w:rPr>
          <w:spacing w:val="-3"/>
        </w:rPr>
        <w:t>报告期内，公司按照年初确立的“加强内部管理，强化风险防控；深挖潜力，做精存量；</w:t>
      </w:r>
      <w:r>
        <w:rPr/>
        <w:t> </w:t>
      </w:r>
      <w:r>
        <w:rPr>
          <w:spacing w:val="-3"/>
        </w:rPr>
        <w:t>把握机遇，推进互联网与内容资源平台融合；加快转型升级步伐，积极尝试新业态、新模式，</w:t>
      </w:r>
      <w:r>
        <w:rPr>
          <w:spacing w:val="-81"/>
        </w:rPr>
        <w:t> </w:t>
      </w:r>
      <w:r>
        <w:rPr>
          <w:spacing w:val="-81"/>
        </w:rPr>
      </w:r>
      <w:r>
        <w:rPr/>
        <w:t>发掘新的增长点，提高可持续发展水平，增强公司核心竞争力、盈利能力和抗风险能力，努</w:t>
      </w:r>
      <w:r>
        <w:rPr>
          <w:spacing w:val="-83"/>
        </w:rPr>
        <w:t> </w:t>
      </w:r>
      <w:r>
        <w:rPr>
          <w:spacing w:val="-83"/>
        </w:rPr>
      </w:r>
      <w:r>
        <w:rPr/>
        <w:t>力打造互联网平台型传媒集团”的经营管理思路，继续深入挖掘行业潜力，拓展传媒、管道</w:t>
      </w:r>
      <w:r>
        <w:rPr>
          <w:spacing w:val="-83"/>
        </w:rPr>
        <w:t> </w:t>
      </w:r>
      <w:r>
        <w:rPr>
          <w:spacing w:val="-83"/>
        </w:rPr>
      </w:r>
      <w:r>
        <w:rPr/>
        <w:t>燃气业务，推进股权投资，稳住发展，增强了核心竞争力和持续经营能力。</w:t>
      </w:r>
    </w:p>
    <w:p>
      <w:pPr>
        <w:pStyle w:val="Heading5"/>
        <w:spacing w:line="304" w:lineRule="auto"/>
        <w:ind w:right="228" w:firstLine="482"/>
        <w:jc w:val="both"/>
      </w:pPr>
      <w:r>
        <w:rPr/>
        <w:t>目前公司的经营范围为：传播与文化产业的投资、开发、管理及咨询服务；信息集成、</w:t>
      </w:r>
      <w:r>
        <w:rPr>
          <w:spacing w:val="1"/>
        </w:rPr>
        <w:t> </w:t>
      </w:r>
      <w:r>
        <w:rPr/>
        <w:t>多媒体内容制作与经营，广告策划、制作和经营，多媒体技术开发和投资，电子商务；燃气</w:t>
      </w:r>
      <w:r>
        <w:rPr>
          <w:spacing w:val="-83"/>
        </w:rPr>
        <w:t> </w:t>
      </w:r>
      <w:r>
        <w:rPr>
          <w:spacing w:val="-83"/>
        </w:rPr>
      </w:r>
      <w:r>
        <w:rPr/>
        <w:t>开发、经营、管理及燃气设备销售；高科技风险投资；贸易及贸易代理。（凡需行政许可的</w:t>
      </w:r>
      <w:r>
        <w:rPr>
          <w:spacing w:val="-83"/>
        </w:rPr>
        <w:t> </w:t>
      </w:r>
      <w:r>
        <w:rPr>
          <w:spacing w:val="-83"/>
        </w:rPr>
      </w:r>
      <w:r>
        <w:rPr/>
        <w:t>项目凭许可证经营）</w:t>
      </w:r>
    </w:p>
    <w:p>
      <w:pPr>
        <w:pStyle w:val="Heading5"/>
        <w:spacing w:line="304" w:lineRule="auto"/>
        <w:ind w:right="228" w:firstLine="482"/>
        <w:jc w:val="both"/>
      </w:pPr>
      <w:r>
        <w:rPr/>
        <w:t>（一）公司控股子公司时报传媒的经营范围包括经济信息咨询、企业形象策划、投资咨</w:t>
      </w:r>
      <w:r>
        <w:rPr>
          <w:spacing w:val="1"/>
        </w:rPr>
        <w:t> </w:t>
      </w:r>
      <w:r>
        <w:rPr/>
        <w:t>询、投资者关系管理专业咨询、企业管理信息咨询、广告业务、新闻出版所需的技术设备、</w:t>
      </w:r>
      <w:r>
        <w:rPr>
          <w:spacing w:val="-83"/>
        </w:rPr>
        <w:t> </w:t>
      </w:r>
      <w:r>
        <w:rPr>
          <w:spacing w:val="-83"/>
        </w:rPr>
      </w:r>
      <w:r>
        <w:rPr>
          <w:spacing w:val="-2"/>
        </w:rPr>
        <w:t>文化用品、印刷用品、纸制品、通讯器材的销售等。时报传媒于2006年7月31日与证券时报社</w:t>
      </w:r>
      <w:r>
        <w:rPr>
          <w:spacing w:val="-116"/>
        </w:rPr>
        <w:t> </w:t>
      </w:r>
      <w:r>
        <w:rPr>
          <w:spacing w:val="-116"/>
        </w:rPr>
      </w:r>
      <w:r>
        <w:rPr/>
        <w:t>签订了《经营业务授权协议》。根据该协议，证券时报社授予时报传媒有关《证券时报》的</w:t>
      </w:r>
      <w:r>
        <w:rPr>
          <w:spacing w:val="-83"/>
        </w:rPr>
        <w:t> </w:t>
      </w:r>
      <w:r>
        <w:rPr>
          <w:spacing w:val="-83"/>
        </w:rPr>
      </w:r>
      <w:r>
        <w:rPr/>
        <w:t>商业广告、财经信息的咨询策划、设计制作与代理发布等相关业务（统称为“《证券时报》</w:t>
      </w:r>
      <w:r>
        <w:rPr>
          <w:spacing w:val="-83"/>
        </w:rPr>
        <w:t> </w:t>
      </w:r>
      <w:r>
        <w:rPr>
          <w:spacing w:val="-83"/>
        </w:rPr>
      </w:r>
      <w:r>
        <w:rPr>
          <w:spacing w:val="-2"/>
        </w:rPr>
        <w:t>经营业务”）的独家经营权。独家经营权期限为期三十年，自2006年8月1日起至2036年7月31</w:t>
      </w:r>
      <w:r>
        <w:rPr>
          <w:spacing w:val="-110"/>
        </w:rPr>
        <w:t> </w:t>
      </w:r>
      <w:r>
        <w:rPr>
          <w:spacing w:val="-110"/>
        </w:rPr>
      </w:r>
      <w:r>
        <w:rPr/>
        <w:t>日止，时报传媒于期限届满前36个月向证券时报社提出续约请求的，证券时报社应予同意，</w:t>
      </w:r>
      <w:r>
        <w:rPr>
          <w:spacing w:val="-101"/>
        </w:rPr>
        <w:t> </w:t>
      </w:r>
      <w:r>
        <w:rPr>
          <w:spacing w:val="-101"/>
        </w:rPr>
      </w:r>
      <w:r>
        <w:rPr/>
        <w:t>该协议可自动续期。</w:t>
      </w:r>
    </w:p>
    <w:p>
      <w:pPr>
        <w:pStyle w:val="Heading5"/>
        <w:spacing w:line="304" w:lineRule="auto"/>
        <w:ind w:right="94" w:firstLine="482"/>
        <w:jc w:val="left"/>
      </w:pPr>
      <w:r>
        <w:rPr>
          <w:spacing w:val="-3"/>
        </w:rPr>
        <w:t>（二）公司控股子公司华商传媒主营范围为传媒信息业的投资、开发、管理及咨询服务，</w:t>
      </w:r>
      <w:r>
        <w:rPr/>
        <w:t> 目前已经取得独家代理经营《华商报》、《新文化报》、《华商晨报》、《重庆时报》经营</w:t>
      </w:r>
      <w:r>
        <w:rPr>
          <w:spacing w:val="-83"/>
        </w:rPr>
        <w:t> </w:t>
      </w:r>
      <w:r>
        <w:rPr>
          <w:spacing w:val="-83"/>
        </w:rPr>
      </w:r>
      <w:r>
        <w:rPr/>
        <w:t>性业务的权利：</w:t>
      </w:r>
    </w:p>
    <w:p>
      <w:pPr>
        <w:pStyle w:val="Heading5"/>
        <w:spacing w:line="304" w:lineRule="auto"/>
        <w:ind w:right="228" w:firstLine="482"/>
        <w:jc w:val="both"/>
      </w:pPr>
      <w:r>
        <w:rPr>
          <w:spacing w:val="-5"/>
        </w:rPr>
        <w:t>1．华商传媒控股子公司华商广告、华商数码于2007年1月15日分别与华商报社签订了《广</w:t>
      </w:r>
      <w:r>
        <w:rPr/>
        <w:t> 告业务协议》、《发行业务协议》、《印刷业务协议》，华商报社授予华商传媒控股子公司</w:t>
      </w:r>
      <w:r>
        <w:rPr>
          <w:spacing w:val="-83"/>
        </w:rPr>
        <w:t> </w:t>
      </w:r>
      <w:r>
        <w:rPr>
          <w:spacing w:val="-83"/>
        </w:rPr>
      </w:r>
      <w:r>
        <w:rPr/>
        <w:t>有关《华商报》的广告设计制作与代理发布、报纸印刷、纸张采购及报纸发行等相关业务的</w:t>
      </w:r>
      <w:r>
        <w:rPr>
          <w:spacing w:val="-83"/>
        </w:rPr>
        <w:t> </w:t>
      </w:r>
      <w:r>
        <w:rPr>
          <w:spacing w:val="-83"/>
        </w:rPr>
      </w:r>
      <w:r>
        <w:rPr/>
        <w:t>独家经营权，独家经营权期限为期三十年，自2007年1月1日起至2036年12月31日止。</w:t>
      </w:r>
    </w:p>
    <w:p>
      <w:pPr>
        <w:pStyle w:val="Heading5"/>
        <w:spacing w:line="304" w:lineRule="auto"/>
        <w:ind w:right="228" w:firstLine="482"/>
        <w:jc w:val="both"/>
      </w:pPr>
      <w:r>
        <w:rPr/>
        <w:t>2．华商传媒控股子公司吉林华商传媒于2007年1月20日与新文化报社签订了《经营性业 务授权协议》，新文化报社将《新文化报》的广告、发行、印刷与纸张采购在内的全部经营</w:t>
      </w:r>
      <w:r>
        <w:rPr>
          <w:spacing w:val="-83"/>
        </w:rPr>
        <w:t> </w:t>
      </w:r>
      <w:r>
        <w:rPr>
          <w:spacing w:val="-83"/>
        </w:rPr>
      </w:r>
      <w:r>
        <w:rPr/>
        <w:t>性业务授权给吉林华商传媒独家经营，独家经营权包括在协议有效期内独家经营及获取相应</w:t>
      </w:r>
      <w:r>
        <w:rPr>
          <w:spacing w:val="-83"/>
        </w:rPr>
        <w:t> </w:t>
      </w:r>
      <w:r>
        <w:rPr>
          <w:spacing w:val="-83"/>
        </w:rPr>
      </w:r>
      <w:r>
        <w:rPr/>
        <w:t>收益的权利，独家经营权期限为期三十年，自2007年1月1日起至2036年12月31日止。</w:t>
      </w:r>
    </w:p>
    <w:p>
      <w:pPr>
        <w:pStyle w:val="Heading5"/>
        <w:spacing w:line="240" w:lineRule="auto" w:before="22"/>
        <w:ind w:left="636" w:right="94"/>
        <w:jc w:val="left"/>
      </w:pPr>
      <w:r>
        <w:rPr/>
        <w:t>3．华商传媒控股子公司辽宁盈丰于2007年11月25日与华商晨报社签订了《经营性业务授</w:t>
      </w:r>
    </w:p>
    <w:p>
      <w:pPr>
        <w:spacing w:after="0" w:line="240"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228"/>
        <w:jc w:val="both"/>
      </w:pPr>
      <w:r>
        <w:rPr/>
        <w:t>权协议》，华商晨报社将《华商晨报》的广告、发行、印刷与纸张采购在内的全部经营性业</w:t>
      </w:r>
      <w:r>
        <w:rPr>
          <w:spacing w:val="-83"/>
        </w:rPr>
        <w:t> </w:t>
      </w:r>
      <w:r>
        <w:rPr>
          <w:spacing w:val="-83"/>
        </w:rPr>
      </w:r>
      <w:r>
        <w:rPr/>
        <w:t>务授权给辽宁盈丰独家经营，独家经营权包括在协议有效期内独家经营及获取相应收益的权</w:t>
      </w:r>
      <w:r>
        <w:rPr>
          <w:spacing w:val="-83"/>
        </w:rPr>
        <w:t> </w:t>
      </w:r>
      <w:r>
        <w:rPr>
          <w:spacing w:val="-83"/>
        </w:rPr>
      </w:r>
      <w:r>
        <w:rPr/>
        <w:t>利。独家经营权期限为期三十年，自2008年1月1日起至2037年12月31日止。</w:t>
      </w:r>
    </w:p>
    <w:p>
      <w:pPr>
        <w:pStyle w:val="Heading5"/>
        <w:spacing w:line="304" w:lineRule="auto"/>
        <w:ind w:right="228" w:firstLine="482"/>
        <w:jc w:val="both"/>
      </w:pPr>
      <w:r>
        <w:rPr>
          <w:spacing w:val="-2"/>
        </w:rPr>
        <w:t>4．华商传媒控股子公司重庆华博于2007年11月25日与重庆时报社签订了《经营性业务授</w:t>
      </w:r>
      <w:r>
        <w:rPr/>
        <w:t> 权协议》，重庆时报社将《重庆时报》的广告、发行、印刷与纸张采购在内的全部经营性业</w:t>
      </w:r>
      <w:r>
        <w:rPr>
          <w:spacing w:val="-83"/>
        </w:rPr>
        <w:t> </w:t>
      </w:r>
      <w:r>
        <w:rPr>
          <w:spacing w:val="-83"/>
        </w:rPr>
      </w:r>
      <w:r>
        <w:rPr/>
        <w:t>务授权给重庆华博独家经营，独家经营权包括在协议有效期内独家经营及获取相应收益的权</w:t>
      </w:r>
      <w:r>
        <w:rPr>
          <w:spacing w:val="-83"/>
        </w:rPr>
        <w:t> </w:t>
      </w:r>
      <w:r>
        <w:rPr>
          <w:spacing w:val="-83"/>
        </w:rPr>
      </w:r>
      <w:r>
        <w:rPr/>
        <w:t>利。独家经营权期限为期三十年，自2008年1月1日起至2037年12月31日止。</w:t>
      </w:r>
    </w:p>
    <w:p>
      <w:pPr>
        <w:pStyle w:val="Heading5"/>
        <w:spacing w:line="304" w:lineRule="auto"/>
        <w:ind w:right="94" w:firstLine="482"/>
        <w:jc w:val="left"/>
      </w:pPr>
      <w:r>
        <w:rPr/>
        <w:t>（三）公司控股子公司国广光荣的经营范围包括设计、制作、发布、代理广告；技术开</w:t>
      </w:r>
      <w:r>
        <w:rPr>
          <w:spacing w:val="1"/>
        </w:rPr>
        <w:t> </w:t>
      </w:r>
      <w:r>
        <w:rPr/>
        <w:t>发、技术服务、技术转让、技术咨询；资产管理；投资咨询；企业管理；组织文化艺术交流</w:t>
      </w:r>
      <w:r>
        <w:rPr>
          <w:spacing w:val="-83"/>
        </w:rPr>
        <w:t> </w:t>
      </w:r>
      <w:r>
        <w:rPr>
          <w:spacing w:val="-83"/>
        </w:rPr>
      </w:r>
      <w:r>
        <w:rPr/>
        <w:t>活动（演出除外）；承办展览展示；影视策划；企业形象策划；市场营销策划。国广光荣于</w:t>
      </w:r>
      <w:r>
        <w:rPr>
          <w:spacing w:val="-83"/>
        </w:rPr>
        <w:t> </w:t>
      </w:r>
      <w:r>
        <w:rPr>
          <w:spacing w:val="-83"/>
        </w:rPr>
      </w:r>
      <w:r>
        <w:rPr/>
        <w:t>2011年1月1日与国广控股签订《经营业务授权协议》，国广控股授予国广光荣有关国际台在</w:t>
      </w:r>
      <w:r>
        <w:rPr>
          <w:spacing w:val="-102"/>
        </w:rPr>
        <w:t> </w:t>
      </w:r>
      <w:r>
        <w:rPr>
          <w:spacing w:val="-102"/>
        </w:rPr>
      </w:r>
      <w:r>
        <w:rPr/>
        <w:t>中国境内所有广播频率商业广告的咨询策划、设计制作与代理发布等业务（以下统称为“国</w:t>
      </w:r>
      <w:r>
        <w:rPr>
          <w:spacing w:val="-83"/>
        </w:rPr>
        <w:t> </w:t>
      </w:r>
      <w:r>
        <w:rPr>
          <w:spacing w:val="-83"/>
        </w:rPr>
      </w:r>
      <w:r>
        <w:rPr/>
        <w:t>际台国内广播频率广告经营业务”）的独家经营权，授权期限为30年（即自2011年1月1日起</w:t>
      </w:r>
      <w:r>
        <w:rPr>
          <w:spacing w:val="-98"/>
        </w:rPr>
        <w:t> </w:t>
      </w:r>
      <w:r>
        <w:rPr>
          <w:spacing w:val="-98"/>
        </w:rPr>
      </w:r>
      <w:r>
        <w:rPr/>
        <w:t>至2040年12月31日止）。截止目前，国广光荣正在经营的广播频率资源有9个，包括：环球资</w:t>
      </w:r>
      <w:r>
        <w:rPr/>
        <w:t> 讯广播北京FM90.5、天津FM105.4、重庆FM91.7、深圳（广州）FM107.1，劲曲调频（HIT</w:t>
      </w:r>
      <w:r>
        <w:rPr>
          <w:spacing w:val="-83"/>
        </w:rPr>
        <w:t> </w:t>
      </w:r>
      <w:r>
        <w:rPr/>
        <w:t>FM）</w:t>
      </w:r>
      <w:r>
        <w:rPr/>
        <w:t> </w:t>
      </w:r>
      <w:r>
        <w:rPr>
          <w:spacing w:val="-3"/>
        </w:rPr>
        <w:t>北京FM88.7、上海FM87.9、广州FM88.5，轻松调频（EZ</w:t>
      </w:r>
      <w:r>
        <w:rPr>
          <w:spacing w:val="-38"/>
        </w:rPr>
        <w:t> </w:t>
      </w:r>
      <w:r>
        <w:rPr>
          <w:spacing w:val="-3"/>
        </w:rPr>
        <w:t>FM）北京FM91.5、重庆FM89.8，其中：</w:t>
      </w:r>
      <w:r>
        <w:rPr>
          <w:spacing w:val="-116"/>
        </w:rPr>
        <w:t> </w:t>
      </w:r>
      <w:r>
        <w:rPr>
          <w:spacing w:val="-116"/>
        </w:rPr>
      </w:r>
      <w:r>
        <w:rPr/>
        <w:t>环球资讯广播天津FM105.4和轻松调频重庆FM89.8为2014年新增频率。</w:t>
      </w:r>
    </w:p>
    <w:p>
      <w:pPr>
        <w:pStyle w:val="Heading5"/>
        <w:spacing w:line="304" w:lineRule="auto" w:before="22"/>
        <w:ind w:right="228" w:firstLine="482"/>
        <w:jc w:val="both"/>
      </w:pPr>
      <w:r>
        <w:rPr>
          <w:spacing w:val="-5"/>
        </w:rPr>
        <w:t>（四）公司控股子公司澄怀科技的主营业务为留学咨询服务，多年来成功服务超过20,000</w:t>
      </w:r>
      <w:r>
        <w:rPr/>
        <w:t> 名留学生，在高端留学咨询领域拥有一定的知名度和品牌声誉。澄怀科技旗下“太傻网”是</w:t>
      </w:r>
      <w:r>
        <w:rPr>
          <w:spacing w:val="-83"/>
        </w:rPr>
        <w:t> </w:t>
      </w:r>
      <w:r>
        <w:rPr>
          <w:spacing w:val="-83"/>
        </w:rPr>
      </w:r>
      <w:r>
        <w:rPr>
          <w:spacing w:val="-2"/>
        </w:rPr>
        <w:t>中国较大的留学及考试教育在线社区。目前，网站注册用户已超过260万人，每年新增注册用</w:t>
      </w:r>
      <w:r>
        <w:rPr/>
        <w:t> </w:t>
      </w:r>
      <w:r>
        <w:rPr>
          <w:spacing w:val="-2"/>
        </w:rPr>
        <w:t>户超过50万人，独立IP访问量超过2200万/年，网站的用户访问量超过3亿次/年。“太傻网”</w:t>
      </w:r>
      <w:r>
        <w:rPr>
          <w:spacing w:val="-112"/>
        </w:rPr>
        <w:t> </w:t>
      </w:r>
      <w:r>
        <w:rPr>
          <w:spacing w:val="-112"/>
        </w:rPr>
      </w:r>
      <w:r>
        <w:rPr>
          <w:spacing w:val="-2"/>
        </w:rPr>
        <w:t>平台覆盖全国上百所重点高校在校学生，并定期在学校举办推广活动，在16-26岁青年学生中</w:t>
      </w:r>
      <w:r>
        <w:rPr>
          <w:spacing w:val="-116"/>
        </w:rPr>
        <w:t> </w:t>
      </w:r>
      <w:r>
        <w:rPr>
          <w:spacing w:val="-116"/>
        </w:rPr>
      </w:r>
      <w:r>
        <w:rPr/>
        <w:t>有很好的品牌认可度。</w:t>
      </w:r>
    </w:p>
    <w:p>
      <w:pPr>
        <w:pStyle w:val="Heading5"/>
        <w:spacing w:line="304" w:lineRule="auto" w:before="22"/>
        <w:ind w:right="228" w:firstLine="482"/>
        <w:jc w:val="both"/>
      </w:pPr>
      <w:r>
        <w:rPr>
          <w:spacing w:val="-7"/>
        </w:rPr>
        <w:t>（五）公司控股子公司国视上海的经营范围包括通讯设备、计算机、软件及辅助设备（除</w:t>
      </w:r>
      <w:r>
        <w:rPr>
          <w:spacing w:val="-1"/>
        </w:rPr>
        <w:t> </w:t>
      </w:r>
      <w:r>
        <w:rPr/>
        <w:t>计算机信息系统安全专用产品）的销售，软件开发，计算机系统集成服务，信息科技领域内</w:t>
      </w:r>
      <w:r>
        <w:rPr>
          <w:spacing w:val="-83"/>
        </w:rPr>
        <w:t> </w:t>
      </w:r>
      <w:r>
        <w:rPr>
          <w:spacing w:val="-83"/>
        </w:rPr>
      </w:r>
      <w:r>
        <w:rPr>
          <w:spacing w:val="-2"/>
        </w:rPr>
        <w:t>的技术咨询、技术开发、技术服务，计算机科技领域内的技术开发、技术服务。根据2014年1</w:t>
      </w:r>
      <w:r>
        <w:rPr/>
        <w:t> 月1日国视上海与国视北京签署的《运营管理服务协议》，除手机音/视频内容审核管理事项</w:t>
      </w:r>
      <w:r>
        <w:rPr>
          <w:spacing w:val="-98"/>
        </w:rPr>
        <w:t> </w:t>
      </w:r>
      <w:r>
        <w:rPr>
          <w:spacing w:val="-98"/>
        </w:rPr>
      </w:r>
      <w:r>
        <w:rPr>
          <w:spacing w:val="-3"/>
        </w:rPr>
        <w:t>外，国视上海向国视北京提供全面的手机音/视频业务的内容集成、产品维护、业务营销管理</w:t>
      </w:r>
      <w:r>
        <w:rPr>
          <w:spacing w:val="-81"/>
        </w:rPr>
        <w:t> </w:t>
      </w:r>
      <w:r>
        <w:rPr>
          <w:spacing w:val="-81"/>
        </w:rPr>
      </w:r>
      <w:r>
        <w:rPr>
          <w:spacing w:val="-2"/>
        </w:rPr>
        <w:t>及内容技术性筛选服务。即国视北京保留了手机音/视频内容审核及管理业务，国视上海通过</w:t>
      </w:r>
    </w:p>
    <w:p>
      <w:pPr>
        <w:pStyle w:val="Heading5"/>
        <w:spacing w:line="304" w:lineRule="auto" w:before="22"/>
        <w:ind w:right="227"/>
        <w:jc w:val="both"/>
      </w:pPr>
      <w:r>
        <w:rPr>
          <w:spacing w:val="3"/>
        </w:rPr>
        <w:t>《运营管理服务协议》承接了国视北京除手机音/视频内容审核及管理以外的所有经营性业</w:t>
      </w:r>
      <w:r>
        <w:rPr>
          <w:spacing w:val="-101"/>
        </w:rPr>
        <w:t> </w:t>
      </w:r>
      <w:r>
        <w:rPr>
          <w:spacing w:val="-101"/>
        </w:rPr>
      </w:r>
      <w:r>
        <w:rPr/>
        <w:t>务。</w:t>
      </w:r>
    </w:p>
    <w:p>
      <w:pPr>
        <w:pStyle w:val="Heading5"/>
        <w:spacing w:line="304" w:lineRule="auto"/>
        <w:ind w:right="228" w:firstLine="482"/>
        <w:jc w:val="both"/>
      </w:pPr>
      <w:r>
        <w:rPr/>
        <w:t>（六）公司控股子公司掌视亿通的经营范围包括信息技术推广服务，基础软件服务，计</w:t>
      </w:r>
      <w:r>
        <w:rPr>
          <w:spacing w:val="1"/>
        </w:rPr>
        <w:t> </w:t>
      </w:r>
      <w:r>
        <w:rPr/>
        <w:t>算机系统服务，设计、制作、代理、发布广告。掌视亿通拥有先进的移动视频压缩及编码技</w:t>
      </w:r>
      <w:r>
        <w:rPr>
          <w:spacing w:val="-83"/>
        </w:rPr>
        <w:t> </w:t>
      </w:r>
      <w:r>
        <w:rPr>
          <w:spacing w:val="-83"/>
        </w:rPr>
      </w:r>
      <w:r>
        <w:rPr/>
        <w:t>术、丰富的渠道资源和管理经验，是国内领先的运营商视频内容营销与推广平台，也是国视</w:t>
      </w:r>
    </w:p>
    <w:p>
      <w:pPr>
        <w:spacing w:after="0" w:line="304"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228"/>
        <w:jc w:val="both"/>
      </w:pPr>
      <w:r>
        <w:rPr/>
        <w:t>上海最大的运营商视频内容营销及推广伙伴。掌视亿通具有自主知识产权的媒资管理平台、</w:t>
      </w:r>
      <w:r>
        <w:rPr>
          <w:spacing w:val="-83"/>
        </w:rPr>
        <w:t> </w:t>
      </w:r>
      <w:r>
        <w:rPr>
          <w:spacing w:val="-83"/>
        </w:rPr>
      </w:r>
      <w:r>
        <w:rPr/>
        <w:t>渠道策略平台、渠道数据查询平台具备较强的数据管理和分析能力。</w:t>
      </w:r>
    </w:p>
    <w:p>
      <w:pPr>
        <w:pStyle w:val="Heading5"/>
        <w:spacing w:line="304" w:lineRule="auto" w:before="22"/>
        <w:ind w:right="228" w:firstLine="482"/>
        <w:jc w:val="both"/>
      </w:pPr>
      <w:r>
        <w:rPr/>
        <w:t>（七）公司控股子公司精视文化的经营范围包括文化艺术交流与策划，企业形象策划，</w:t>
      </w:r>
      <w:r>
        <w:rPr>
          <w:spacing w:val="1"/>
        </w:rPr>
        <w:t> </w:t>
      </w:r>
      <w:r>
        <w:rPr/>
        <w:t>设计、制作、代理各类广告，利用自有媒体发布广告等。精视文化是国内第二大楼宇电梯广</w:t>
      </w:r>
      <w:r>
        <w:rPr>
          <w:spacing w:val="-83"/>
        </w:rPr>
        <w:t> </w:t>
      </w:r>
      <w:r>
        <w:rPr>
          <w:spacing w:val="-83"/>
        </w:rPr>
      </w:r>
      <w:r>
        <w:rPr>
          <w:spacing w:val="-3"/>
        </w:rPr>
        <w:t>告提供商，在杭州、成都、南京、济南等充满经济发展活力的二线城市中心地带，拥有8万多</w:t>
      </w:r>
      <w:r>
        <w:rPr>
          <w:spacing w:val="-81"/>
        </w:rPr>
        <w:t> </w:t>
      </w:r>
      <w:r>
        <w:rPr>
          <w:spacing w:val="-81"/>
        </w:rPr>
      </w:r>
      <w:r>
        <w:rPr/>
        <w:t>个楼宇电梯广告点位资源。</w:t>
      </w:r>
    </w:p>
    <w:p>
      <w:pPr>
        <w:pStyle w:val="Heading5"/>
        <w:spacing w:line="304" w:lineRule="auto"/>
        <w:ind w:right="228" w:firstLine="482"/>
        <w:jc w:val="both"/>
      </w:pPr>
      <w:r>
        <w:rPr/>
        <w:t>（八）公司控股子公司邦富软件的主营业务为提供互联网舆情管理解决方案。邦富软件</w:t>
      </w:r>
      <w:r>
        <w:rPr>
          <w:spacing w:val="1"/>
        </w:rPr>
        <w:t> </w:t>
      </w:r>
      <w:r>
        <w:rPr/>
        <w:t>是国内领先的舆情监测解决方案供应商。在舆情监测软件平台方面，邦富软件在宣传领域处</w:t>
      </w:r>
      <w:r>
        <w:rPr>
          <w:spacing w:val="-83"/>
        </w:rPr>
        <w:t> </w:t>
      </w:r>
      <w:r>
        <w:rPr>
          <w:spacing w:val="-83"/>
        </w:rPr>
      </w:r>
      <w:r>
        <w:rPr/>
        <w:t>于领先地位。邦富软件的主要客户集中于各级宣传主管部门和公安部门，收入源自软件和硬</w:t>
      </w:r>
      <w:r>
        <w:rPr>
          <w:spacing w:val="-83"/>
        </w:rPr>
        <w:t> </w:t>
      </w:r>
      <w:r>
        <w:rPr>
          <w:spacing w:val="-83"/>
        </w:rPr>
      </w:r>
      <w:r>
        <w:rPr/>
        <w:t>件的销售和服务费用。</w:t>
      </w:r>
    </w:p>
    <w:p>
      <w:pPr>
        <w:pStyle w:val="Heading5"/>
        <w:spacing w:line="304" w:lineRule="auto"/>
        <w:ind w:right="110" w:firstLine="482"/>
        <w:jc w:val="both"/>
      </w:pPr>
      <w:r>
        <w:rPr/>
        <w:t>（九）公司控股子公司漫友文化的主营业务为漫画期刊和漫画图书的策划与发行、漫画</w:t>
      </w:r>
      <w:r>
        <w:rPr>
          <w:spacing w:val="1"/>
        </w:rPr>
        <w:t> </w:t>
      </w:r>
      <w:r>
        <w:rPr/>
        <w:t>创作和生产、手机动漫以及相关动漫会展、动漫营销与广告等服务。漫友文化是中国动漫行</w:t>
      </w:r>
      <w:r>
        <w:rPr>
          <w:spacing w:val="-83"/>
        </w:rPr>
        <w:t> </w:t>
      </w:r>
      <w:r>
        <w:rPr>
          <w:spacing w:val="-83"/>
        </w:rPr>
      </w:r>
      <w:r>
        <w:rPr>
          <w:spacing w:val="-9"/>
        </w:rPr>
        <w:t>业的龙头企业之一，系国内第一原创漫画品牌。目前，漫友文化旗下拥有《漫友》（半月刊）、</w:t>
      </w:r>
    </w:p>
    <w:p>
      <w:pPr>
        <w:pStyle w:val="Heading5"/>
        <w:spacing w:line="307" w:lineRule="auto"/>
        <w:ind w:right="231"/>
        <w:jc w:val="both"/>
      </w:pPr>
      <w:r>
        <w:rPr/>
        <w:t>《漫画世界》（周刊）等知名漫画期刊品牌，推出了销量4500万册的《乌龙院》及3800万册 的《爆笑校园》等过千种漫画，目前出品频率为“3天1本期刊，1.5天1本漫画”。</w:t>
      </w:r>
    </w:p>
    <w:p>
      <w:pPr>
        <w:pStyle w:val="Heading5"/>
        <w:spacing w:line="304" w:lineRule="auto" w:before="18"/>
        <w:ind w:right="93" w:firstLine="482"/>
        <w:jc w:val="left"/>
      </w:pPr>
      <w:r>
        <w:rPr>
          <w:spacing w:val="-3"/>
        </w:rPr>
        <w:t>（十）公司控股子公司民生燃气是海南省重点基础设施建设单位,是海口市实施《海口市</w:t>
      </w:r>
      <w:r>
        <w:rPr/>
        <w:t> 煤气规划》的唯一承担者，海口市管道燃气的唯一经营者，拥有海口市管道燃气供应体系。</w:t>
      </w:r>
      <w:r>
        <w:rPr>
          <w:spacing w:val="-83"/>
        </w:rPr>
        <w:t> </w:t>
      </w:r>
      <w:r>
        <w:rPr>
          <w:spacing w:val="-83"/>
        </w:rPr>
      </w:r>
      <w:r>
        <w:rPr/>
        <w:t>2006年12月21日，民生燃气依法获得海口市管道燃气特许经营权，负责海口市现行行政管辖</w:t>
      </w:r>
      <w:r>
        <w:rPr>
          <w:spacing w:val="-97"/>
        </w:rPr>
        <w:t> </w:t>
      </w:r>
      <w:r>
        <w:rPr>
          <w:spacing w:val="-97"/>
        </w:rPr>
      </w:r>
      <w:r>
        <w:rPr>
          <w:spacing w:val="-2"/>
        </w:rPr>
        <w:t>区域内的管道燃气经营（包括以管道输送形式向用户供应天然气、仿天然气及其他气体燃料，</w:t>
      </w:r>
      <w:r>
        <w:rPr/>
        <w:t> 并提供相关管道燃气设施的维护、运行、抢修抢险业务等）和管道燃气的建设工程，特许经</w:t>
      </w:r>
      <w:r>
        <w:rPr>
          <w:spacing w:val="-83"/>
        </w:rPr>
        <w:t> </w:t>
      </w:r>
      <w:r>
        <w:rPr>
          <w:spacing w:val="-83"/>
        </w:rPr>
      </w:r>
      <w:r>
        <w:rPr/>
        <w:t>营权有效期限为25年，自2007年1月1日起至2031年12月31日止。</w:t>
      </w:r>
    </w:p>
    <w:p>
      <w:pPr>
        <w:spacing w:line="240" w:lineRule="auto" w:before="8"/>
        <w:rPr>
          <w:rFonts w:ascii="宋体" w:hAnsi="宋体" w:cs="宋体" w:eastAsia="宋体" w:hint="default"/>
          <w:sz w:val="18"/>
          <w:szCs w:val="18"/>
        </w:rPr>
      </w:pPr>
    </w:p>
    <w:p>
      <w:pPr>
        <w:pStyle w:val="Heading4"/>
        <w:spacing w:line="240" w:lineRule="auto" w:before="0"/>
        <w:ind w:left="153" w:right="0"/>
        <w:jc w:val="both"/>
        <w:rPr>
          <w:b w:val="0"/>
          <w:bCs w:val="0"/>
        </w:rPr>
      </w:pPr>
      <w:r>
        <w:rPr/>
        <w:t>二、主营业务分析</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153"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7"/>
          <w:szCs w:val="27"/>
        </w:rPr>
      </w:pPr>
    </w:p>
    <w:p>
      <w:pPr>
        <w:pStyle w:val="Heading5"/>
        <w:spacing w:line="240" w:lineRule="auto" w:before="0"/>
        <w:ind w:left="636" w:right="94"/>
        <w:jc w:val="left"/>
      </w:pPr>
      <w:r>
        <w:rPr>
          <w:spacing w:val="-9"/>
        </w:rPr>
        <w:t>报告期内，公司继续独家承担《证券时报》、《华商报》、《新文化报》、《华商晨报》、</w:t>
      </w:r>
    </w:p>
    <w:p>
      <w:pPr>
        <w:pStyle w:val="Heading5"/>
        <w:spacing w:line="304" w:lineRule="auto" w:before="85"/>
        <w:ind w:right="228"/>
        <w:jc w:val="both"/>
      </w:pPr>
      <w:r>
        <w:rPr/>
        <w:t>《重庆时报》等经营业务的经营管理，独家承担国际台国内广播频率广告经营业务，提供留</w:t>
      </w:r>
      <w:r>
        <w:rPr>
          <w:spacing w:val="-83"/>
        </w:rPr>
        <w:t> </w:t>
      </w:r>
      <w:r>
        <w:rPr>
          <w:spacing w:val="-83"/>
        </w:rPr>
      </w:r>
      <w:r>
        <w:rPr/>
        <w:t>学咨询服务业务，独家承担海口市燃气管道施工和管道燃气供应，从事城市燃气相关业务及</w:t>
      </w:r>
      <w:r>
        <w:rPr>
          <w:spacing w:val="-83"/>
        </w:rPr>
        <w:t> </w:t>
      </w:r>
      <w:r>
        <w:rPr>
          <w:spacing w:val="-83"/>
        </w:rPr>
      </w:r>
      <w:r>
        <w:rPr/>
        <w:t>产品的经营。此外，报告期内，公司2014年4月购买国视上海100%股权，新增了手机音/视频</w:t>
      </w:r>
      <w:r>
        <w:rPr/>
        <w:t> 业务运营管理服务业务；2014年10月购买合并掌视亿通100%股权，新增了运营商视频的内容</w:t>
      </w:r>
      <w:r>
        <w:rPr>
          <w:spacing w:val="-103"/>
        </w:rPr>
        <w:t> </w:t>
      </w:r>
      <w:r>
        <w:rPr>
          <w:spacing w:val="-103"/>
        </w:rPr>
      </w:r>
      <w:r>
        <w:rPr>
          <w:spacing w:val="-2"/>
        </w:rPr>
        <w:t>分销及推广业务，购买合并精视文化60%股权，新增了楼宇电梯广告服务业务，购买合并邦富</w:t>
      </w:r>
      <w:r>
        <w:rPr/>
        <w:t> 软件100%股权，新增了舆情监测、舆情管理服务业务，2014年11月购买合并漫友文化85.61% 股权，新增了动漫产品销售及动漫服务业务。</w:t>
      </w:r>
    </w:p>
    <w:p>
      <w:pPr>
        <w:pStyle w:val="Heading5"/>
        <w:spacing w:line="304" w:lineRule="auto" w:before="22"/>
        <w:ind w:left="154" w:right="225" w:firstLine="482"/>
        <w:jc w:val="both"/>
      </w:pPr>
      <w:r>
        <w:rPr/>
        <w:t>报告期内，公司规范经营，传媒及燃气业务的主营业务收入保持基本稳定。2014年度， </w:t>
      </w:r>
      <w:r>
        <w:rPr>
          <w:spacing w:val="2"/>
        </w:rPr>
        <w:t>公司实现营业收入395,285.15万元，比上年增长5.42%；实现归属于母公司所有者的净利润</w:t>
      </w:r>
      <w:r>
        <w:rPr/>
      </w:r>
    </w:p>
    <w:p>
      <w:pPr>
        <w:spacing w:after="0" w:line="304"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547"/>
        <w:jc w:val="both"/>
      </w:pPr>
      <w:r>
        <w:rPr>
          <w:spacing w:val="-2"/>
        </w:rPr>
        <w:t>98,354.13万元，比上年增长87.03%，主要原因为公司2013年重组并购的华商传媒少数股东权</w:t>
      </w:r>
      <w:r>
        <w:rPr>
          <w:spacing w:val="-102"/>
        </w:rPr>
        <w:t> </w:t>
      </w:r>
      <w:r>
        <w:rPr>
          <w:spacing w:val="-102"/>
        </w:rPr>
      </w:r>
      <w:r>
        <w:rPr>
          <w:spacing w:val="-2"/>
        </w:rPr>
        <w:t>益、澄怀科技100%股权及2014年重组并购的相关资产等增加了公司的利润,以及公司对外转让</w:t>
      </w:r>
      <w:r>
        <w:rPr>
          <w:spacing w:val="-112"/>
        </w:rPr>
        <w:t> </w:t>
      </w:r>
      <w:r>
        <w:rPr>
          <w:spacing w:val="-112"/>
        </w:rPr>
      </w:r>
      <w:r>
        <w:rPr/>
        <w:t>了长流公司100%股权获得投资收益。2014年度的经营总成本为216,386.85万元，比上年减少</w:t>
      </w:r>
      <w:r>
        <w:rPr>
          <w:spacing w:val="-102"/>
        </w:rPr>
        <w:t> </w:t>
      </w:r>
      <w:r>
        <w:rPr>
          <w:spacing w:val="-102"/>
        </w:rPr>
      </w:r>
      <w:r>
        <w:rPr/>
        <w:t>2.10%。</w:t>
      </w:r>
    </w:p>
    <w:p>
      <w:pPr>
        <w:pStyle w:val="Heading5"/>
        <w:spacing w:line="304" w:lineRule="auto"/>
        <w:ind w:right="427" w:firstLine="482"/>
        <w:jc w:val="left"/>
      </w:pPr>
      <w:r>
        <w:rPr/>
        <w:t>报告期内，公司发行股份购买相关资产。根据《上市公司重大资产重组管理办法》的要</w:t>
      </w:r>
      <w:r>
        <w:rPr>
          <w:spacing w:val="1"/>
        </w:rPr>
        <w:t> </w:t>
      </w:r>
      <w:r>
        <w:rPr>
          <w:spacing w:val="-5"/>
        </w:rPr>
        <w:t>求，公司编制并于2014年5月30日在巨潮网上披露了《2014年度备考合并盈利预测审核报告》。</w:t>
      </w:r>
      <w:r>
        <w:rPr>
          <w:spacing w:val="-89"/>
        </w:rPr>
        <w:t> </w:t>
      </w:r>
      <w:r>
        <w:rPr>
          <w:spacing w:val="-89"/>
        </w:rPr>
      </w:r>
      <w:r>
        <w:rPr/>
        <w:t>根据立信所出具的《发行股份及支付现金购买资产并募集配套资金事项之2014年度备考合并</w:t>
      </w:r>
      <w:r>
        <w:rPr>
          <w:spacing w:val="-101"/>
        </w:rPr>
        <w:t> </w:t>
      </w:r>
      <w:r>
        <w:rPr>
          <w:spacing w:val="-101"/>
        </w:rPr>
      </w:r>
      <w:r>
        <w:rPr/>
        <w:t>盈利预测实现情况》，公司2014年度实现的备考合并净利润122,644.86万元，预测的备考合</w:t>
      </w:r>
      <w:r>
        <w:rPr>
          <w:spacing w:val="-84"/>
        </w:rPr>
        <w:t> </w:t>
      </w:r>
      <w:r>
        <w:rPr>
          <w:spacing w:val="-84"/>
        </w:rPr>
      </w:r>
      <w:r>
        <w:rPr>
          <w:spacing w:val="-6"/>
        </w:rPr>
        <w:t>并净利润114,496.99万元，实现数高于盈利预测数8,147.87万元，实现率为107.12%；公司2014</w:t>
      </w:r>
      <w:r>
        <w:rPr>
          <w:spacing w:val="-105"/>
        </w:rPr>
        <w:t> </w:t>
      </w:r>
      <w:r>
        <w:rPr>
          <w:spacing w:val="-105"/>
        </w:rPr>
      </w:r>
      <w:r>
        <w:rPr/>
        <w:t>年度实现的备考合并归属于母公司股东的净利润113,811.54万元，预测的备考合并归属于母</w:t>
      </w:r>
      <w:r>
        <w:rPr>
          <w:spacing w:val="-110"/>
        </w:rPr>
        <w:t> </w:t>
      </w:r>
      <w:r>
        <w:rPr>
          <w:spacing w:val="-110"/>
        </w:rPr>
      </w:r>
      <w:r>
        <w:rPr>
          <w:spacing w:val="-4"/>
        </w:rPr>
        <w:t>公司股东的净利润111,356.91万元，实现数高于盈利预测数2,454.63万元，实现率为102.20%。</w:t>
      </w:r>
      <w:r>
        <w:rPr>
          <w:spacing w:val="-106"/>
        </w:rPr>
        <w:t> </w:t>
      </w:r>
      <w:r>
        <w:rPr>
          <w:spacing w:val="-106"/>
        </w:rPr>
      </w:r>
      <w:r>
        <w:rPr/>
        <w:t>公司2014年度备考合并盈利预测已经实现。</w:t>
      </w:r>
    </w:p>
    <w:p>
      <w:pPr>
        <w:pStyle w:val="Heading5"/>
        <w:spacing w:line="240" w:lineRule="auto"/>
        <w:ind w:left="636" w:right="427"/>
        <w:jc w:val="left"/>
      </w:pPr>
      <w:r>
        <w:rPr/>
        <w:t>2014年度，公司营业收入、营业利润、净利润及同比变动情况如下表：</w:t>
      </w:r>
    </w:p>
    <w:p>
      <w:pPr>
        <w:pStyle w:val="Heading5"/>
        <w:spacing w:line="240" w:lineRule="auto" w:before="85"/>
        <w:ind w:left="0" w:right="551"/>
        <w:jc w:val="right"/>
      </w:pPr>
      <w:r>
        <w:rPr/>
        <w:t>单位：万元</w:t>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080"/>
        <w:gridCol w:w="1180"/>
        <w:gridCol w:w="1260"/>
        <w:gridCol w:w="900"/>
        <w:gridCol w:w="900"/>
        <w:gridCol w:w="1160"/>
        <w:gridCol w:w="3586"/>
      </w:tblGrid>
      <w:tr>
        <w:trPr>
          <w:trHeight w:val="971"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财务指标</w:t>
            </w:r>
          </w:p>
        </w:tc>
        <w:tc>
          <w:tcPr>
            <w:tcW w:w="11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auto"/>
              <w:ind w:left="22" w:right="20"/>
              <w:jc w:val="center"/>
              <w:rPr>
                <w:rFonts w:ascii="宋体" w:hAnsi="宋体" w:cs="宋体" w:eastAsia="宋体" w:hint="default"/>
                <w:sz w:val="21"/>
                <w:szCs w:val="21"/>
              </w:rPr>
            </w:pPr>
            <w:r>
              <w:rPr>
                <w:rFonts w:ascii="宋体" w:hAnsi="宋体" w:cs="宋体" w:eastAsia="宋体" w:hint="default"/>
                <w:sz w:val="21"/>
                <w:szCs w:val="21"/>
              </w:rPr>
              <w:t>本年比上 年增减</w:t>
            </w:r>
          </w:p>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auto"/>
              <w:ind w:left="22" w:right="20"/>
              <w:jc w:val="both"/>
              <w:rPr>
                <w:rFonts w:ascii="宋体" w:hAnsi="宋体" w:cs="宋体" w:eastAsia="宋体" w:hint="default"/>
                <w:sz w:val="21"/>
                <w:szCs w:val="21"/>
              </w:rPr>
            </w:pPr>
            <w:r>
              <w:rPr>
                <w:rFonts w:ascii="宋体" w:hAnsi="宋体" w:cs="宋体" w:eastAsia="宋体" w:hint="default"/>
                <w:sz w:val="21"/>
                <w:szCs w:val="21"/>
              </w:rPr>
              <w:t>本年占利 润总额比 例（%）</w:t>
            </w:r>
          </w:p>
        </w:tc>
        <w:tc>
          <w:tcPr>
            <w:tcW w:w="11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auto"/>
              <w:ind w:left="47" w:right="47"/>
              <w:jc w:val="both"/>
              <w:rPr>
                <w:rFonts w:ascii="宋体" w:hAnsi="宋体" w:cs="宋体" w:eastAsia="宋体" w:hint="default"/>
                <w:sz w:val="21"/>
                <w:szCs w:val="21"/>
              </w:rPr>
            </w:pPr>
            <w:r>
              <w:rPr>
                <w:rFonts w:ascii="宋体" w:hAnsi="宋体" w:cs="宋体" w:eastAsia="宋体" w:hint="default"/>
                <w:sz w:val="21"/>
                <w:szCs w:val="21"/>
              </w:rPr>
              <w:t>本年占利润 总额比例比 上年增减</w:t>
            </w:r>
          </w:p>
        </w:tc>
        <w:tc>
          <w:tcPr>
            <w:tcW w:w="35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69" w:hRule="exact"/>
        </w:trPr>
        <w:tc>
          <w:tcPr>
            <w:tcW w:w="1080" w:type="dxa"/>
            <w:tcBorders>
              <w:top w:val="single" w:sz="6" w:space="0" w:color="000000"/>
              <w:left w:val="single" w:sz="6" w:space="0" w:color="000000"/>
              <w:bottom w:val="nil" w:sz="6" w:space="0" w:color="auto"/>
              <w:right w:val="single" w:sz="6" w:space="0" w:color="000000"/>
            </w:tcBorders>
            <w:shd w:val="clear" w:color="auto" w:fill="CCCCCC"/>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3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2" w:right="-29"/>
              <w:jc w:val="left"/>
              <w:rPr>
                <w:rFonts w:ascii="宋体" w:hAnsi="宋体" w:cs="宋体" w:eastAsia="宋体" w:hint="default"/>
                <w:sz w:val="21"/>
                <w:szCs w:val="21"/>
              </w:rPr>
            </w:pPr>
            <w:r>
              <w:rPr>
                <w:rFonts w:ascii="宋体" w:hAnsi="宋体" w:cs="宋体" w:eastAsia="宋体" w:hint="default"/>
                <w:spacing w:val="21"/>
                <w:sz w:val="21"/>
                <w:szCs w:val="21"/>
              </w:rPr>
              <w:t>主要是</w:t>
            </w:r>
            <w:r>
              <w:rPr>
                <w:rFonts w:ascii="宋体" w:hAnsi="宋体" w:cs="宋体" w:eastAsia="宋体" w:hint="default"/>
                <w:spacing w:val="-74"/>
                <w:sz w:val="21"/>
                <w:szCs w:val="21"/>
              </w:rPr>
              <w:t> </w:t>
            </w:r>
            <w:r>
              <w:rPr>
                <w:rFonts w:ascii="宋体" w:hAnsi="宋体" w:cs="宋体" w:eastAsia="宋体" w:hint="default"/>
                <w:spacing w:val="16"/>
                <w:sz w:val="21"/>
                <w:szCs w:val="21"/>
              </w:rPr>
              <w:t>公司</w:t>
            </w:r>
            <w:r>
              <w:rPr>
                <w:rFonts w:ascii="宋体" w:hAnsi="宋体" w:cs="宋体" w:eastAsia="宋体" w:hint="default"/>
                <w:spacing w:val="-74"/>
                <w:sz w:val="21"/>
                <w:szCs w:val="21"/>
              </w:rPr>
              <w:t> </w:t>
            </w:r>
            <w:r>
              <w:rPr>
                <w:rFonts w:ascii="宋体" w:hAnsi="宋体" w:cs="宋体" w:eastAsia="宋体" w:hint="default"/>
                <w:sz w:val="21"/>
                <w:szCs w:val="21"/>
              </w:rPr>
              <w:t>2013</w:t>
            </w:r>
            <w:r>
              <w:rPr>
                <w:rFonts w:ascii="宋体" w:hAnsi="宋体" w:cs="宋体" w:eastAsia="宋体" w:hint="default"/>
                <w:spacing w:val="-74"/>
                <w:sz w:val="21"/>
                <w:szCs w:val="21"/>
              </w:rPr>
              <w:t> </w:t>
            </w:r>
            <w:r>
              <w:rPr>
                <w:rFonts w:ascii="宋体" w:hAnsi="宋体" w:cs="宋体" w:eastAsia="宋体" w:hint="default"/>
                <w:spacing w:val="16"/>
                <w:sz w:val="21"/>
                <w:szCs w:val="21"/>
              </w:rPr>
              <w:t>年并</w:t>
            </w:r>
            <w:r>
              <w:rPr>
                <w:rFonts w:ascii="宋体" w:hAnsi="宋体" w:cs="宋体" w:eastAsia="宋体" w:hint="default"/>
                <w:spacing w:val="-74"/>
                <w:sz w:val="21"/>
                <w:szCs w:val="21"/>
              </w:rPr>
              <w:t> </w:t>
            </w:r>
            <w:r>
              <w:rPr>
                <w:rFonts w:ascii="宋体" w:hAnsi="宋体" w:cs="宋体" w:eastAsia="宋体" w:hint="default"/>
                <w:sz w:val="21"/>
                <w:szCs w:val="21"/>
              </w:rPr>
              <w:t>购</w:t>
            </w:r>
            <w:r>
              <w:rPr>
                <w:rFonts w:ascii="宋体" w:hAnsi="宋体" w:cs="宋体" w:eastAsia="宋体" w:hint="default"/>
                <w:spacing w:val="-74"/>
                <w:sz w:val="21"/>
                <w:szCs w:val="21"/>
              </w:rPr>
              <w:t> </w:t>
            </w:r>
            <w:r>
              <w:rPr>
                <w:rFonts w:ascii="宋体" w:hAnsi="宋体" w:cs="宋体" w:eastAsia="宋体" w:hint="default"/>
                <w:spacing w:val="21"/>
                <w:sz w:val="21"/>
                <w:szCs w:val="21"/>
              </w:rPr>
              <w:t>澄怀科</w:t>
            </w:r>
            <w:r>
              <w:rPr>
                <w:rFonts w:ascii="宋体" w:hAnsi="宋体" w:cs="宋体" w:eastAsia="宋体" w:hint="default"/>
                <w:spacing w:val="-74"/>
                <w:sz w:val="21"/>
                <w:szCs w:val="21"/>
              </w:rPr>
              <w:t> </w:t>
            </w:r>
            <w:r>
              <w:rPr>
                <w:rFonts w:ascii="宋体" w:hAnsi="宋体" w:cs="宋体" w:eastAsia="宋体" w:hint="default"/>
                <w:spacing w:val="16"/>
                <w:sz w:val="21"/>
                <w:szCs w:val="21"/>
              </w:rPr>
              <w:t>技和</w:t>
            </w:r>
            <w:r>
              <w:rPr>
                <w:rFonts w:ascii="宋体" w:hAnsi="宋体" w:cs="宋体" w:eastAsia="宋体" w:hint="default"/>
                <w:spacing w:val="-73"/>
                <w:sz w:val="21"/>
                <w:szCs w:val="21"/>
              </w:rPr>
              <w:t> </w:t>
            </w:r>
            <w:r>
              <w:rPr>
                <w:rFonts w:ascii="宋体" w:hAnsi="宋体" w:cs="宋体" w:eastAsia="宋体" w:hint="default"/>
                <w:sz w:val="21"/>
                <w:szCs w:val="21"/>
              </w:rPr>
            </w:r>
          </w:p>
        </w:tc>
      </w:tr>
      <w:tr>
        <w:trPr>
          <w:trHeight w:val="313"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126,315.24</w:t>
            </w:r>
            <w:r>
              <w:rPr>
                <w:rFonts w:ascii="宋体"/>
                <w:sz w:val="21"/>
              </w:rPr>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103,244.48</w:t>
            </w:r>
            <w:r>
              <w:rPr>
                <w:rFonts w:ascii="宋体"/>
                <w:sz w:val="21"/>
              </w:rPr>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w w:val="95"/>
                <w:sz w:val="21"/>
              </w:rPr>
              <w:t>22.35</w:t>
            </w:r>
            <w:r>
              <w:rPr>
                <w:rFonts w:ascii="宋体"/>
                <w:w w:val="95"/>
                <w:sz w:val="21"/>
              </w:rPr>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35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11"/>
                <w:sz w:val="21"/>
                <w:szCs w:val="21"/>
              </w:rPr>
              <w:t>2014年并购重组标的资产增加本年利</w:t>
            </w:r>
          </w:p>
        </w:tc>
      </w:tr>
      <w:tr>
        <w:trPr>
          <w:trHeight w:val="369" w:hRule="exact"/>
        </w:trPr>
        <w:tc>
          <w:tcPr>
            <w:tcW w:w="1080" w:type="dxa"/>
            <w:tcBorders>
              <w:top w:val="nil" w:sz="6" w:space="0" w:color="auto"/>
              <w:left w:val="single" w:sz="6" w:space="0" w:color="000000"/>
              <w:bottom w:val="single" w:sz="6" w:space="0" w:color="000000"/>
              <w:right w:val="single" w:sz="6" w:space="0" w:color="000000"/>
            </w:tcBorders>
            <w:shd w:val="clear" w:color="auto" w:fill="CCCCCC"/>
          </w:tcPr>
          <w:p>
            <w:pPr/>
          </w:p>
        </w:tc>
        <w:tc>
          <w:tcPr>
            <w:tcW w:w="11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358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润</w:t>
            </w:r>
          </w:p>
        </w:tc>
      </w:tr>
      <w:tr>
        <w:trPr>
          <w:trHeight w:val="1050"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395,285.15</w:t>
            </w:r>
            <w:r>
              <w:rPr>
                <w:rFonts w:ascii="宋体"/>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374,955.80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z w:val="21"/>
              </w:rPr>
              <w:t>5.42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z w:val="21"/>
              </w:rPr>
              <w:t>312.94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减少50.24</w:t>
            </w:r>
          </w:p>
          <w:p>
            <w:pPr>
              <w:pStyle w:val="TableParagraph"/>
              <w:spacing w:line="240" w:lineRule="auto" w:before="38"/>
              <w:ind w:left="15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0"/>
              <w:jc w:val="both"/>
              <w:rPr>
                <w:rFonts w:ascii="宋体" w:hAnsi="宋体" w:cs="宋体" w:eastAsia="宋体" w:hint="default"/>
                <w:sz w:val="21"/>
                <w:szCs w:val="21"/>
              </w:rPr>
            </w:pPr>
            <w:r>
              <w:rPr>
                <w:rFonts w:ascii="宋体" w:hAnsi="宋体" w:cs="宋体" w:eastAsia="宋体" w:hint="default"/>
                <w:spacing w:val="9"/>
                <w:sz w:val="21"/>
                <w:szCs w:val="21"/>
              </w:rPr>
              <w:t>主要是2013年并购澄怀科技和2014年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并购重组标的资产增加本年收入且本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年利润增长较大</w:t>
            </w:r>
          </w:p>
        </w:tc>
      </w:tr>
      <w:tr>
        <w:trPr>
          <w:trHeight w:val="1051"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124,048.92</w:t>
            </w:r>
            <w:r>
              <w:rPr>
                <w:rFonts w:ascii="宋体"/>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94,749.37</w:t>
            </w:r>
            <w:r>
              <w:rPr>
                <w:rFonts w:ascii="宋体"/>
                <w:sz w:val="21"/>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w w:val="95"/>
                <w:sz w:val="21"/>
              </w:rPr>
              <w:t>30.92</w:t>
            </w:r>
            <w:r>
              <w:rPr>
                <w:rFonts w:ascii="宋体"/>
                <w:w w:val="95"/>
                <w:sz w:val="21"/>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98.21</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153" w:right="44" w:hanging="106"/>
              <w:jc w:val="left"/>
              <w:rPr>
                <w:rFonts w:ascii="宋体" w:hAnsi="宋体" w:cs="宋体" w:eastAsia="宋体" w:hint="default"/>
                <w:sz w:val="21"/>
                <w:szCs w:val="21"/>
              </w:rPr>
            </w:pPr>
            <w:r>
              <w:rPr>
                <w:rFonts w:ascii="宋体" w:hAnsi="宋体" w:cs="宋体" w:eastAsia="宋体" w:hint="default"/>
                <w:sz w:val="21"/>
                <w:szCs w:val="21"/>
              </w:rPr>
              <w:t>增加6.43个 个百分点</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9"/>
              <w:jc w:val="both"/>
              <w:rPr>
                <w:rFonts w:ascii="宋体" w:hAnsi="宋体" w:cs="宋体" w:eastAsia="宋体" w:hint="default"/>
                <w:sz w:val="21"/>
                <w:szCs w:val="21"/>
              </w:rPr>
            </w:pPr>
            <w:r>
              <w:rPr>
                <w:rFonts w:ascii="宋体" w:hAnsi="宋体" w:cs="宋体" w:eastAsia="宋体" w:hint="default"/>
                <w:spacing w:val="21"/>
                <w:sz w:val="21"/>
                <w:szCs w:val="21"/>
              </w:rPr>
              <w:t>主要是</w:t>
            </w:r>
            <w:r>
              <w:rPr>
                <w:rFonts w:ascii="宋体" w:hAnsi="宋体" w:cs="宋体" w:eastAsia="宋体" w:hint="default"/>
                <w:spacing w:val="-74"/>
                <w:sz w:val="21"/>
                <w:szCs w:val="21"/>
              </w:rPr>
              <w:t> </w:t>
            </w:r>
            <w:r>
              <w:rPr>
                <w:rFonts w:ascii="宋体" w:hAnsi="宋体" w:cs="宋体" w:eastAsia="宋体" w:hint="default"/>
                <w:spacing w:val="16"/>
                <w:sz w:val="21"/>
                <w:szCs w:val="21"/>
              </w:rPr>
              <w:t>公司</w:t>
            </w:r>
            <w:r>
              <w:rPr>
                <w:rFonts w:ascii="宋体" w:hAnsi="宋体" w:cs="宋体" w:eastAsia="宋体" w:hint="default"/>
                <w:spacing w:val="-74"/>
                <w:sz w:val="21"/>
                <w:szCs w:val="21"/>
              </w:rPr>
              <w:t> </w:t>
            </w:r>
            <w:r>
              <w:rPr>
                <w:rFonts w:ascii="宋体" w:hAnsi="宋体" w:cs="宋体" w:eastAsia="宋体" w:hint="default"/>
                <w:sz w:val="21"/>
                <w:szCs w:val="21"/>
              </w:rPr>
              <w:t>2013</w:t>
            </w:r>
            <w:r>
              <w:rPr>
                <w:rFonts w:ascii="宋体" w:hAnsi="宋体" w:cs="宋体" w:eastAsia="宋体" w:hint="default"/>
                <w:spacing w:val="-74"/>
                <w:sz w:val="21"/>
                <w:szCs w:val="21"/>
              </w:rPr>
              <w:t> </w:t>
            </w:r>
            <w:r>
              <w:rPr>
                <w:rFonts w:ascii="宋体" w:hAnsi="宋体" w:cs="宋体" w:eastAsia="宋体" w:hint="default"/>
                <w:spacing w:val="16"/>
                <w:sz w:val="21"/>
                <w:szCs w:val="21"/>
              </w:rPr>
              <w:t>年并</w:t>
            </w:r>
            <w:r>
              <w:rPr>
                <w:rFonts w:ascii="宋体" w:hAnsi="宋体" w:cs="宋体" w:eastAsia="宋体" w:hint="default"/>
                <w:spacing w:val="-74"/>
                <w:sz w:val="21"/>
                <w:szCs w:val="21"/>
              </w:rPr>
              <w:t> </w:t>
            </w:r>
            <w:r>
              <w:rPr>
                <w:rFonts w:ascii="宋体" w:hAnsi="宋体" w:cs="宋体" w:eastAsia="宋体" w:hint="default"/>
                <w:sz w:val="21"/>
                <w:szCs w:val="21"/>
              </w:rPr>
              <w:t>购</w:t>
            </w:r>
            <w:r>
              <w:rPr>
                <w:rFonts w:ascii="宋体" w:hAnsi="宋体" w:cs="宋体" w:eastAsia="宋体" w:hint="default"/>
                <w:spacing w:val="-74"/>
                <w:sz w:val="21"/>
                <w:szCs w:val="21"/>
              </w:rPr>
              <w:t> </w:t>
            </w:r>
            <w:r>
              <w:rPr>
                <w:rFonts w:ascii="宋体" w:hAnsi="宋体" w:cs="宋体" w:eastAsia="宋体" w:hint="default"/>
                <w:spacing w:val="21"/>
                <w:sz w:val="21"/>
                <w:szCs w:val="21"/>
              </w:rPr>
              <w:t>澄怀科</w:t>
            </w:r>
            <w:r>
              <w:rPr>
                <w:rFonts w:ascii="宋体" w:hAnsi="宋体" w:cs="宋体" w:eastAsia="宋体" w:hint="default"/>
                <w:spacing w:val="-74"/>
                <w:sz w:val="21"/>
                <w:szCs w:val="21"/>
              </w:rPr>
              <w:t> </w:t>
            </w:r>
            <w:r>
              <w:rPr>
                <w:rFonts w:ascii="宋体" w:hAnsi="宋体" w:cs="宋体" w:eastAsia="宋体" w:hint="default"/>
                <w:spacing w:val="16"/>
                <w:sz w:val="21"/>
                <w:szCs w:val="21"/>
              </w:rPr>
              <w:t>技和</w:t>
            </w:r>
            <w:r>
              <w:rPr>
                <w:rFonts w:ascii="宋体" w:hAnsi="宋体" w:cs="宋体" w:eastAsia="宋体" w:hint="default"/>
                <w:spacing w:val="-73"/>
                <w:sz w:val="21"/>
                <w:szCs w:val="21"/>
              </w:rPr>
              <w:t> </w:t>
            </w:r>
            <w:r>
              <w:rPr>
                <w:rFonts w:ascii="宋体" w:hAnsi="宋体" w:cs="宋体" w:eastAsia="宋体" w:hint="default"/>
                <w:spacing w:val="11"/>
                <w:sz w:val="21"/>
                <w:szCs w:val="21"/>
              </w:rPr>
              <w:t>2014年并购重组标的资产增加本年收</w:t>
            </w:r>
            <w:r>
              <w:rPr>
                <w:rFonts w:ascii="宋体" w:hAnsi="宋体" w:cs="宋体" w:eastAsia="宋体" w:hint="default"/>
                <w:sz w:val="21"/>
                <w:szCs w:val="21"/>
              </w:rPr>
              <w:t> 入</w:t>
            </w:r>
          </w:p>
        </w:tc>
      </w:tr>
      <w:tr>
        <w:trPr>
          <w:trHeight w:val="739"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39,755.49</w:t>
            </w:r>
            <w:r>
              <w:rPr>
                <w:rFonts w:ascii="宋体"/>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41,652.62</w:t>
            </w:r>
            <w:r>
              <w:rPr>
                <w:rFonts w:ascii="宋体"/>
                <w:sz w:val="21"/>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w w:val="95"/>
                <w:sz w:val="21"/>
              </w:rPr>
              <w:t>-4.55</w:t>
            </w:r>
            <w:r>
              <w:rPr>
                <w:rFonts w:ascii="宋体"/>
                <w:w w:val="95"/>
                <w:sz w:val="21"/>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31.47</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58" w:right="44" w:hanging="210"/>
              <w:jc w:val="left"/>
              <w:rPr>
                <w:rFonts w:ascii="宋体" w:hAnsi="宋体" w:cs="宋体" w:eastAsia="宋体" w:hint="default"/>
                <w:sz w:val="21"/>
                <w:szCs w:val="21"/>
              </w:rPr>
            </w:pPr>
            <w:r>
              <w:rPr>
                <w:rFonts w:ascii="宋体" w:hAnsi="宋体" w:cs="宋体" w:eastAsia="宋体" w:hint="default"/>
                <w:sz w:val="21"/>
                <w:szCs w:val="21"/>
              </w:rPr>
              <w:t>减少8.87个 百分点</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left"/>
              <w:rPr>
                <w:rFonts w:ascii="宋体" w:hAnsi="宋体" w:cs="宋体" w:eastAsia="宋体" w:hint="default"/>
                <w:sz w:val="21"/>
                <w:szCs w:val="21"/>
              </w:rPr>
            </w:pPr>
            <w:r>
              <w:rPr>
                <w:rFonts w:ascii="宋体" w:hAnsi="宋体" w:cs="宋体" w:eastAsia="宋体" w:hint="default"/>
                <w:spacing w:val="12"/>
                <w:sz w:val="21"/>
                <w:szCs w:val="21"/>
              </w:rPr>
              <w:t>主要是上年华商传媒处置其持有的三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六五网股份6,209,316股获得投资收益</w:t>
            </w:r>
          </w:p>
        </w:tc>
      </w:tr>
      <w:tr>
        <w:trPr>
          <w:trHeight w:val="369" w:hRule="exact"/>
        </w:trPr>
        <w:tc>
          <w:tcPr>
            <w:tcW w:w="1080" w:type="dxa"/>
            <w:tcBorders>
              <w:top w:val="single" w:sz="6" w:space="0" w:color="000000"/>
              <w:left w:val="single" w:sz="6" w:space="0" w:color="000000"/>
              <w:bottom w:val="nil" w:sz="6" w:space="0" w:color="auto"/>
              <w:right w:val="single" w:sz="6" w:space="0" w:color="000000"/>
            </w:tcBorders>
            <w:shd w:val="clear" w:color="auto" w:fill="CCCCCC"/>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3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pacing w:val="12"/>
                <w:sz w:val="21"/>
                <w:szCs w:val="21"/>
              </w:rPr>
              <w:t>主要是本年收到的政府补助减少以及</w:t>
            </w:r>
          </w:p>
        </w:tc>
      </w:tr>
      <w:tr>
        <w:trPr>
          <w:trHeight w:val="625"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180"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2,591.90</w:t>
            </w:r>
            <w:r>
              <w:rPr>
                <w:rFonts w:ascii="宋体"/>
                <w:sz w:val="21"/>
              </w:rPr>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9,000.66</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z w:val="21"/>
              </w:rPr>
              <w:t>-71.20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z w:val="21"/>
              </w:rPr>
              <w:t>2.05</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减少6.67个</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百分点</w:t>
            </w:r>
          </w:p>
        </w:tc>
        <w:tc>
          <w:tcPr>
            <w:tcW w:w="35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12"/>
                <w:sz w:val="21"/>
                <w:szCs w:val="21"/>
              </w:rPr>
              <w:t>上年港航控股因征收长流油气码头所</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pacing w:val="12"/>
                <w:sz w:val="21"/>
                <w:szCs w:val="21"/>
              </w:rPr>
              <w:t>在的海域对长流公司和中油管道给予</w:t>
            </w:r>
          </w:p>
        </w:tc>
      </w:tr>
      <w:tr>
        <w:trPr>
          <w:trHeight w:val="369" w:hRule="exact"/>
        </w:trPr>
        <w:tc>
          <w:tcPr>
            <w:tcW w:w="1080" w:type="dxa"/>
            <w:tcBorders>
              <w:top w:val="nil" w:sz="6" w:space="0" w:color="auto"/>
              <w:left w:val="single" w:sz="6" w:space="0" w:color="000000"/>
              <w:bottom w:val="single" w:sz="6" w:space="0" w:color="000000"/>
              <w:right w:val="single" w:sz="6" w:space="0" w:color="000000"/>
            </w:tcBorders>
            <w:shd w:val="clear" w:color="auto" w:fill="CCCCCC"/>
          </w:tcPr>
          <w:p>
            <w:pPr/>
          </w:p>
        </w:tc>
        <w:tc>
          <w:tcPr>
            <w:tcW w:w="11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358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拆迁资产补偿金及经济补偿金</w:t>
            </w:r>
          </w:p>
        </w:tc>
      </w:tr>
      <w:tr>
        <w:trPr>
          <w:trHeight w:val="1363"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7" w:right="6"/>
              <w:jc w:val="center"/>
              <w:rPr>
                <w:rFonts w:ascii="宋体" w:hAnsi="宋体" w:cs="宋体" w:eastAsia="宋体" w:hint="default"/>
                <w:sz w:val="21"/>
                <w:szCs w:val="21"/>
              </w:rPr>
            </w:pPr>
            <w:r>
              <w:rPr>
                <w:rFonts w:ascii="宋体" w:hAnsi="宋体" w:cs="宋体" w:eastAsia="宋体" w:hint="default"/>
                <w:sz w:val="21"/>
                <w:szCs w:val="21"/>
              </w:rPr>
              <w:t>归属于母公 司所有者的 净利润</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98,354.13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52,587.56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87.03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77.86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增加26.93</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9"/>
              <w:jc w:val="both"/>
              <w:rPr>
                <w:rFonts w:ascii="宋体" w:hAnsi="宋体" w:cs="宋体" w:eastAsia="宋体" w:hint="default"/>
                <w:sz w:val="21"/>
                <w:szCs w:val="21"/>
              </w:rPr>
            </w:pPr>
            <w:r>
              <w:rPr>
                <w:rFonts w:ascii="宋体" w:hAnsi="宋体" w:cs="宋体" w:eastAsia="宋体" w:hint="default"/>
                <w:spacing w:val="11"/>
                <w:sz w:val="21"/>
                <w:szCs w:val="21"/>
              </w:rPr>
              <w:t>主要是公司2013年购买华商传媒少数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股东权益、并购澄怀科技和2014年并购</w:t>
            </w:r>
            <w:r>
              <w:rPr>
                <w:rFonts w:ascii="宋体" w:hAnsi="宋体" w:cs="宋体" w:eastAsia="宋体" w:hint="default"/>
                <w:sz w:val="21"/>
                <w:szCs w:val="21"/>
              </w:rPr>
              <w:t> </w:t>
            </w:r>
            <w:r>
              <w:rPr>
                <w:rFonts w:ascii="宋体" w:hAnsi="宋体" w:cs="宋体" w:eastAsia="宋体" w:hint="default"/>
                <w:spacing w:val="12"/>
                <w:sz w:val="21"/>
                <w:szCs w:val="21"/>
              </w:rPr>
              <w:t>重组标的资产增加本年利润,</w:t>
            </w:r>
            <w:r>
              <w:rPr>
                <w:rFonts w:ascii="宋体" w:hAnsi="宋体" w:cs="宋体" w:eastAsia="宋体" w:hint="default"/>
                <w:spacing w:val="15"/>
                <w:sz w:val="21"/>
                <w:szCs w:val="21"/>
              </w:rPr>
              <w:t> </w:t>
            </w:r>
            <w:r>
              <w:rPr>
                <w:rFonts w:ascii="宋体" w:hAnsi="宋体" w:cs="宋体" w:eastAsia="宋体" w:hint="default"/>
                <w:spacing w:val="9"/>
                <w:sz w:val="21"/>
                <w:szCs w:val="21"/>
              </w:rPr>
              <w:t>对外转</w:t>
            </w:r>
            <w:r>
              <w:rPr>
                <w:rFonts w:ascii="宋体" w:hAnsi="宋体" w:cs="宋体" w:eastAsia="宋体" w:hint="default"/>
                <w:sz w:val="21"/>
                <w:szCs w:val="21"/>
              </w:rPr>
              <w:t> 让长流公司100%股权获得投资收益</w:t>
            </w:r>
          </w:p>
        </w:tc>
      </w:tr>
    </w:tbl>
    <w:p>
      <w:pPr>
        <w:spacing w:after="0" w:line="273" w:lineRule="auto"/>
        <w:jc w:val="both"/>
        <w:rPr>
          <w:rFonts w:ascii="宋体" w:hAnsi="宋体" w:cs="宋体" w:eastAsia="宋体" w:hint="default"/>
          <w:sz w:val="21"/>
          <w:szCs w:val="21"/>
        </w:rPr>
        <w:sectPr>
          <w:pgSz w:w="11910" w:h="16840"/>
          <w:pgMar w:header="747" w:footer="982" w:top="1060" w:bottom="1180" w:left="98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28" w:lineRule="auto" w:before="163"/>
        <w:ind w:left="636" w:right="94" w:hanging="483"/>
        <w:jc w:val="left"/>
        <w:rPr>
          <w:rFonts w:ascii="宋体" w:hAnsi="宋体" w:cs="宋体" w:eastAsia="宋体" w:hint="default"/>
          <w:sz w:val="24"/>
          <w:szCs w:val="24"/>
        </w:rPr>
      </w:pP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近几年来，受新媒体冲击，传统纸媒业务持续下滑。2014年1月～11月，国内传统媒体广</w:t>
      </w:r>
    </w:p>
    <w:p>
      <w:pPr>
        <w:pStyle w:val="Heading5"/>
        <w:spacing w:line="304" w:lineRule="auto" w:before="0"/>
        <w:ind w:right="97"/>
        <w:jc w:val="left"/>
      </w:pPr>
      <w:r>
        <w:rPr/>
        <w:t>告累计从零增长转为下降0.9%。面对严峻的经营形势，公司上下坚持求真务实，负重拼搏，</w:t>
      </w:r>
      <w:r>
        <w:rPr>
          <w:spacing w:val="-102"/>
        </w:rPr>
        <w:t> </w:t>
      </w:r>
      <w:r>
        <w:rPr>
          <w:spacing w:val="-102"/>
        </w:rPr>
      </w:r>
      <w:r>
        <w:rPr/>
        <w:t>锐意攻坚，紧密围绕年度中心工作和重点任务，加快推进资产重组和战略转型，促进资源优</w:t>
      </w:r>
      <w:r>
        <w:rPr>
          <w:spacing w:val="-83"/>
        </w:rPr>
        <w:t> </w:t>
      </w:r>
      <w:r>
        <w:rPr>
          <w:spacing w:val="-83"/>
        </w:rPr>
      </w:r>
      <w:r>
        <w:rPr/>
        <w:t>化配置，确保主业持续发展。报告期内，公司成功购买国视上海100%股权，涉足手机音/视频</w:t>
      </w:r>
      <w:r>
        <w:rPr/>
        <w:t> 领域；做好长流公司100%股权转让工作，获得较好的投资收益；成功发行2014年度第一期中</w:t>
      </w:r>
      <w:r>
        <w:rPr>
          <w:spacing w:val="-96"/>
        </w:rPr>
        <w:t> </w:t>
      </w:r>
      <w:r>
        <w:rPr>
          <w:spacing w:val="-96"/>
        </w:rPr>
      </w:r>
      <w:r>
        <w:rPr>
          <w:spacing w:val="-3"/>
        </w:rPr>
        <w:t>期票据7亿元，有效降低公司融资成本；如期完成资产重组，进军移动视频、楼宇广告、舆情</w:t>
      </w:r>
      <w:r>
        <w:rPr>
          <w:spacing w:val="-82"/>
        </w:rPr>
        <w:t> </w:t>
      </w:r>
      <w:r>
        <w:rPr>
          <w:spacing w:val="-82"/>
        </w:rPr>
      </w:r>
      <w:r>
        <w:rPr>
          <w:spacing w:val="-2"/>
        </w:rPr>
        <w:t>监测、动漫行业，提升核心竞争力；继续开展内控建设，使用NC财务系统，更新OA办公系统，</w:t>
      </w:r>
      <w:r>
        <w:rPr/>
        <w:t> 加强风险防控。公司的各项经营管理工作都取得了较好的成绩，保持了公司持续、稳健、和</w:t>
      </w:r>
      <w:r>
        <w:rPr>
          <w:spacing w:val="-83"/>
        </w:rPr>
        <w:t> </w:t>
      </w:r>
      <w:r>
        <w:rPr>
          <w:spacing w:val="-83"/>
        </w:rPr>
      </w:r>
      <w:r>
        <w:rPr/>
        <w:t>谐发展的局面。</w:t>
      </w:r>
    </w:p>
    <w:p>
      <w:pPr>
        <w:pStyle w:val="Heading5"/>
        <w:spacing w:line="304" w:lineRule="auto" w:before="22"/>
        <w:ind w:left="154" w:right="228" w:firstLine="482"/>
        <w:jc w:val="both"/>
      </w:pPr>
      <w:r>
        <w:rPr/>
        <w:t>（1）时报传媒力克不利因素保持信息披露常年合作率进一步提升，实现IPO、再融资信 息披露和宣传业务较高合作率，基金业务信息披露收入再创新高；通过参股公司发展专业资</w:t>
      </w:r>
      <w:r>
        <w:rPr>
          <w:spacing w:val="-83"/>
        </w:rPr>
        <w:t> </w:t>
      </w:r>
      <w:r>
        <w:rPr>
          <w:spacing w:val="-83"/>
        </w:rPr>
      </w:r>
      <w:r>
        <w:rPr/>
        <w:t>产管理业务，开发新产品、新服务。</w:t>
      </w:r>
    </w:p>
    <w:p>
      <w:pPr>
        <w:pStyle w:val="Heading5"/>
        <w:spacing w:line="304" w:lineRule="auto" w:before="22"/>
        <w:ind w:left="154" w:right="94" w:firstLine="482"/>
        <w:jc w:val="left"/>
      </w:pPr>
      <w:r>
        <w:rPr>
          <w:spacing w:val="-3"/>
        </w:rPr>
        <w:t>（2）华商传媒努力巩固市场地位，《华商报》、《新文化报》、《华商晨报》、《重庆</w:t>
      </w:r>
      <w:r>
        <w:rPr/>
        <w:t> </w:t>
      </w:r>
      <w:r>
        <w:rPr>
          <w:spacing w:val="-3"/>
        </w:rPr>
        <w:t>时报》广告面积市场稳中有升，发行市场份额均居区域首位；积极应对市场变化，整合资源，</w:t>
      </w:r>
      <w:r>
        <w:rPr>
          <w:spacing w:val="-81"/>
        </w:rPr>
        <w:t> </w:t>
      </w:r>
      <w:r>
        <w:rPr>
          <w:spacing w:val="-81"/>
        </w:rPr>
      </w:r>
      <w:r>
        <w:rPr/>
        <w:t>深度开发品牌价值，积极拓展版外收入，有效弥补广告下滑；继续保持精品级印刷，推进商</w:t>
      </w:r>
      <w:r>
        <w:rPr>
          <w:spacing w:val="-83"/>
        </w:rPr>
        <w:t> </w:t>
      </w:r>
      <w:r>
        <w:rPr>
          <w:spacing w:val="-83"/>
        </w:rPr>
      </w:r>
      <w:r>
        <w:rPr/>
        <w:t>业印刷试点；文化创意产业发展平台不断壮大，车展收入创历史新高；把握转型发展趋势，</w:t>
      </w:r>
      <w:r>
        <w:rPr>
          <w:spacing w:val="-83"/>
        </w:rPr>
        <w:t> </w:t>
      </w:r>
      <w:r>
        <w:rPr>
          <w:spacing w:val="-83"/>
        </w:rPr>
      </w:r>
      <w:r>
        <w:rPr/>
        <w:t>推进和布局物流快递、O2O、商贸业务平台和互联网金融等领域。</w:t>
      </w:r>
    </w:p>
    <w:p>
      <w:pPr>
        <w:pStyle w:val="Heading5"/>
        <w:spacing w:line="304" w:lineRule="auto"/>
        <w:ind w:left="154" w:right="228" w:firstLine="482"/>
        <w:jc w:val="both"/>
      </w:pPr>
      <w:r>
        <w:rPr>
          <w:spacing w:val="-3"/>
        </w:rPr>
        <w:t>（3）民生燃气采取积极措施，努力协调与上游供应商良好的合作关系，力争气源的稳定</w:t>
      </w:r>
      <w:r>
        <w:rPr/>
        <w:t> 供应；多措并举发展新用户，紧密跟踪介入大项目；签订外接检验项目，举办技能培训班，</w:t>
      </w:r>
      <w:r>
        <w:rPr>
          <w:spacing w:val="-83"/>
        </w:rPr>
        <w:t> </w:t>
      </w:r>
      <w:r>
        <w:rPr>
          <w:spacing w:val="-83"/>
        </w:rPr>
      </w:r>
      <w:r>
        <w:rPr>
          <w:spacing w:val="-2"/>
        </w:rPr>
        <w:t>与岛外公司搭建长期合作关系；完善Cordys平台系统功能，研发GIS系统新功能；落实年度安</w:t>
      </w:r>
      <w:r>
        <w:rPr>
          <w:spacing w:val="-114"/>
        </w:rPr>
        <w:t> </w:t>
      </w:r>
      <w:r>
        <w:rPr>
          <w:spacing w:val="-114"/>
        </w:rPr>
      </w:r>
      <w:r>
        <w:rPr/>
        <w:t>全生产工作目标，完善安全管理机制，保障管网安全稳定运行；全面推行优质服务；在台风</w:t>
      </w:r>
      <w:r>
        <w:rPr>
          <w:spacing w:val="-83"/>
        </w:rPr>
        <w:t> </w:t>
      </w:r>
      <w:r>
        <w:rPr>
          <w:spacing w:val="-83"/>
        </w:rPr>
      </w:r>
      <w:r>
        <w:rPr/>
        <w:t>灾害期间，确保海口市管道燃气的正常供应。</w:t>
      </w:r>
    </w:p>
    <w:p>
      <w:pPr>
        <w:pStyle w:val="Heading5"/>
        <w:spacing w:line="304" w:lineRule="auto"/>
        <w:ind w:left="154" w:right="228" w:firstLine="482"/>
        <w:jc w:val="both"/>
      </w:pPr>
      <w:r>
        <w:rPr>
          <w:spacing w:val="-3"/>
        </w:rPr>
        <w:t>（4）上海鸿立根据公司的战略定位，广泛搜寻传媒文化行业项目，主导了华闻传媒2014</w:t>
      </w:r>
      <w:r>
        <w:rPr/>
        <w:t> 年战略并购工作；对传媒文化产业链上的成长期项目进行了投资和孵化；加强了对过去投资</w:t>
      </w:r>
      <w:r>
        <w:rPr>
          <w:spacing w:val="-83"/>
        </w:rPr>
        <w:t> </w:t>
      </w:r>
      <w:r>
        <w:rPr>
          <w:spacing w:val="-83"/>
        </w:rPr>
      </w:r>
      <w:r>
        <w:rPr/>
        <w:t>项目的管理和退出工作。</w:t>
      </w:r>
    </w:p>
    <w:p>
      <w:pPr>
        <w:pStyle w:val="Heading5"/>
        <w:spacing w:line="307" w:lineRule="auto" w:before="60"/>
        <w:ind w:left="154" w:right="94" w:firstLine="480"/>
        <w:jc w:val="left"/>
      </w:pPr>
      <w:r>
        <w:rPr>
          <w:spacing w:val="-6"/>
        </w:rPr>
        <w:t>（5）新海岸置业做好“新海岸壹号”的景观园林工程及会所装修设计、房屋销售及推广，</w:t>
      </w:r>
      <w:r>
        <w:rPr/>
        <w:t> 海南澄迈华侨农场项目开发的前期准备工作。</w:t>
      </w:r>
    </w:p>
    <w:p>
      <w:pPr>
        <w:pStyle w:val="Heading5"/>
        <w:spacing w:line="304" w:lineRule="auto" w:before="58"/>
        <w:ind w:left="154" w:right="92" w:firstLine="482"/>
        <w:jc w:val="left"/>
      </w:pPr>
      <w:r>
        <w:rPr/>
        <w:t>（6）国广光荣获得国际台环球资讯广播天津落地频率和轻松调频（EZ</w:t>
      </w:r>
      <w:r>
        <w:rPr>
          <w:spacing w:val="11"/>
        </w:rPr>
        <w:t> </w:t>
      </w:r>
      <w:r>
        <w:rPr/>
        <w:t>FM）重庆落地频</w:t>
      </w:r>
      <w:r>
        <w:rPr/>
        <w:t> 率的广告经营资源，着手筹建公司自营销售团队，做好新开发的频率资源的经营和代理，并</w:t>
      </w:r>
      <w:r>
        <w:rPr>
          <w:spacing w:val="-83"/>
        </w:rPr>
        <w:t> </w:t>
      </w:r>
      <w:r>
        <w:rPr>
          <w:spacing w:val="-83"/>
        </w:rPr>
      </w:r>
      <w:r>
        <w:rPr>
          <w:spacing w:val="-3"/>
        </w:rPr>
        <w:t>加强公司媒介、客户服务部门与签约代理商的对接服务工作，全力确保存量收入。（7）澄怀</w:t>
      </w:r>
      <w:r>
        <w:rPr>
          <w:spacing w:val="-82"/>
        </w:rPr>
        <w:t> </w:t>
      </w:r>
      <w:r>
        <w:rPr>
          <w:spacing w:val="-82"/>
        </w:rPr>
      </w:r>
      <w:r>
        <w:rPr>
          <w:spacing w:val="-2"/>
        </w:rPr>
        <w:t>科技新增三个销售服务中心，在香港成立了子公司开拓业务，短期实习及游学项目效果显著，</w:t>
      </w:r>
      <w:r>
        <w:rPr/>
        <w:t> 客户服务质量提升；大幅度改版太傻网及太傻论坛，《太傻Goer》杂志发展平稳；互联网及</w:t>
      </w:r>
    </w:p>
    <w:p>
      <w:pPr>
        <w:spacing w:after="0" w:line="304"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5"/>
        <w:spacing w:line="240" w:lineRule="auto" w:before="26"/>
        <w:ind w:left="154" w:right="94"/>
        <w:jc w:val="left"/>
      </w:pPr>
      <w:r>
        <w:rPr/>
        <w:t>电视广告业务实现突破和进展。</w:t>
      </w:r>
    </w:p>
    <w:p>
      <w:pPr>
        <w:pStyle w:val="Heading5"/>
        <w:spacing w:line="304" w:lineRule="auto" w:before="85"/>
        <w:ind w:right="228" w:firstLine="482"/>
        <w:jc w:val="both"/>
      </w:pPr>
      <w:r>
        <w:rPr/>
        <w:t>（8）国视上海有效提升CRI手机电视品牌业务渠道推广能力；持续提高分省资源综合利</w:t>
      </w:r>
      <w:r>
        <w:rPr>
          <w:spacing w:val="1"/>
        </w:rPr>
        <w:t> </w:t>
      </w:r>
      <w:r>
        <w:rPr/>
        <w:t>用能力；影视运营和对外合作取得成效；自制内容数量和质量持续提高，自然流量收入比重</w:t>
      </w:r>
      <w:r>
        <w:rPr>
          <w:spacing w:val="-83"/>
        </w:rPr>
        <w:t> </w:t>
      </w:r>
      <w:r>
        <w:rPr>
          <w:spacing w:val="-83"/>
        </w:rPr>
      </w:r>
      <w:r>
        <w:rPr/>
        <w:t>增加。</w:t>
      </w:r>
    </w:p>
    <w:p>
      <w:pPr>
        <w:pStyle w:val="Heading5"/>
        <w:spacing w:line="304" w:lineRule="auto"/>
        <w:ind w:right="94" w:firstLine="482"/>
        <w:jc w:val="left"/>
      </w:pPr>
      <w:r>
        <w:rPr/>
        <w:t>（9）掌视亿通获取到7个软件著作权证书、办理“广播电视节目制作许可证”、接入中</w:t>
      </w:r>
      <w:r>
        <w:rPr>
          <w:spacing w:val="1"/>
        </w:rPr>
        <w:t> </w:t>
      </w:r>
      <w:r>
        <w:rPr>
          <w:spacing w:val="-5"/>
        </w:rPr>
        <w:t>国移动动漫基地CP；新增视频业务包月用户559万，推广按次信息费持续增长；版权内容引入、</w:t>
      </w:r>
      <w:r>
        <w:rPr>
          <w:spacing w:val="-104"/>
        </w:rPr>
        <w:t> </w:t>
      </w:r>
      <w:r>
        <w:rPr>
          <w:spacing w:val="-104"/>
        </w:rPr>
      </w:r>
      <w:r>
        <w:rPr/>
        <w:t>全年制作更新量、全平台储备保有量稳步增长。</w:t>
      </w:r>
    </w:p>
    <w:p>
      <w:pPr>
        <w:pStyle w:val="Heading5"/>
        <w:spacing w:line="304" w:lineRule="auto"/>
        <w:ind w:left="154" w:right="228" w:firstLine="482"/>
        <w:jc w:val="both"/>
      </w:pPr>
      <w:r>
        <w:rPr/>
        <w:t>（10）精视文化整体销售执行额呈增长趋势，尤其在家电、卖场等行业增长比较明显；</w:t>
      </w:r>
      <w:r>
        <w:rPr>
          <w:spacing w:val="1"/>
        </w:rPr>
        <w:t> </w:t>
      </w:r>
      <w:r>
        <w:rPr/>
        <w:t>采用了科学的信息化管理系统，对各城市的版位、销售、收款管理等都归集在信息系统里，</w:t>
      </w:r>
      <w:r>
        <w:rPr>
          <w:spacing w:val="-83"/>
        </w:rPr>
        <w:t> </w:t>
      </w:r>
      <w:r>
        <w:rPr>
          <w:spacing w:val="-83"/>
        </w:rPr>
      </w:r>
      <w:r>
        <w:rPr/>
        <w:t>做好所有合同统一审核、备案，资金的统一归集。</w:t>
      </w:r>
    </w:p>
    <w:p>
      <w:pPr>
        <w:pStyle w:val="Heading5"/>
        <w:spacing w:line="304" w:lineRule="auto"/>
        <w:ind w:left="154" w:right="111" w:firstLine="482"/>
        <w:jc w:val="both"/>
      </w:pPr>
      <w:r>
        <w:rPr/>
        <w:t>（11）邦富软件建立了新的情报收集途径和分析方法，建立新的业务接口支持，开发出</w:t>
      </w:r>
      <w:r>
        <w:rPr>
          <w:spacing w:val="1"/>
        </w:rPr>
        <w:t> </w:t>
      </w:r>
      <w:r>
        <w:rPr/>
        <w:t>新一代的舆情产品，对原有的系统做了版本升级；调整销售策略和强化服务队伍，以符合新</w:t>
      </w:r>
      <w:r>
        <w:rPr>
          <w:spacing w:val="-83"/>
        </w:rPr>
        <w:t> </w:t>
      </w:r>
      <w:r>
        <w:rPr>
          <w:spacing w:val="-83"/>
        </w:rPr>
      </w:r>
      <w:r>
        <w:rPr>
          <w:spacing w:val="-2"/>
        </w:rPr>
        <w:t>的市场状态和用户需求；维护原有的宣传和公安的客户关系，强化对非政府客户的市场拓展。</w:t>
      </w:r>
    </w:p>
    <w:p>
      <w:pPr>
        <w:pStyle w:val="Heading5"/>
        <w:spacing w:line="304" w:lineRule="auto"/>
        <w:ind w:left="154" w:right="228" w:firstLine="482"/>
        <w:jc w:val="both"/>
      </w:pPr>
      <w:r>
        <w:rPr/>
        <w:t>（12）漫友文化力保平面出版收入和盈利规模持续领跑地位，首次推出知识型漫画，与</w:t>
      </w:r>
      <w:r>
        <w:rPr>
          <w:spacing w:val="1"/>
        </w:rPr>
        <w:t> </w:t>
      </w:r>
      <w:r>
        <w:rPr/>
        <w:t>网络流行作品《暴走漫画》合作，通过互联网手段建立起产品社区；紧密围绕“动漫服务提</w:t>
      </w:r>
      <w:r>
        <w:rPr>
          <w:spacing w:val="-83"/>
        </w:rPr>
        <w:t> </w:t>
      </w:r>
      <w:r>
        <w:rPr>
          <w:spacing w:val="-83"/>
        </w:rPr>
      </w:r>
      <w:r>
        <w:rPr/>
        <w:t>供商”实施产业转型，切入相关领域，进行多元化业务发展，承办中国国际漫画节，运营动</w:t>
      </w:r>
      <w:r>
        <w:rPr>
          <w:spacing w:val="-83"/>
        </w:rPr>
        <w:t> </w:t>
      </w:r>
      <w:r>
        <w:rPr>
          <w:spacing w:val="-83"/>
        </w:rPr>
      </w:r>
      <w:r>
        <w:rPr>
          <w:spacing w:val="-2"/>
        </w:rPr>
        <w:t>漫游戏展览展会，提供动漫公关定制服务，动漫内容数字出版业务，推出手机应用APP，拓展</w:t>
      </w:r>
      <w:r>
        <w:rPr/>
        <w:t> 动漫培训项目，合作改编手机游戏。</w:t>
      </w:r>
    </w:p>
    <w:p>
      <w:pPr>
        <w:pStyle w:val="Heading5"/>
        <w:spacing w:line="304" w:lineRule="auto"/>
        <w:ind w:left="154" w:right="228" w:firstLine="482"/>
        <w:jc w:val="both"/>
      </w:pPr>
      <w:r>
        <w:rPr/>
        <w:t>（13）华闻影视主要是做好已投资项目的跟踪工作，与央视电视剧制作中心合作的《英</w:t>
      </w:r>
      <w:r>
        <w:rPr>
          <w:spacing w:val="1"/>
        </w:rPr>
        <w:t> </w:t>
      </w:r>
      <w:r>
        <w:rPr/>
        <w:t>雄时代——炎黄大帝》已经入后期制作阶段，争取在央视播出；与央视电视剧制作中心合作</w:t>
      </w:r>
      <w:r>
        <w:rPr>
          <w:spacing w:val="-83"/>
        </w:rPr>
        <w:t> </w:t>
      </w:r>
      <w:r>
        <w:rPr>
          <w:spacing w:val="-83"/>
        </w:rPr>
      </w:r>
      <w:r>
        <w:rPr/>
        <w:t>的《进错门的女人》已拍摄完成并报送央视审片；3D魔幻历史电影《远古大帝》（现名《远</w:t>
      </w:r>
      <w:r>
        <w:rPr>
          <w:spacing w:val="-82"/>
        </w:rPr>
        <w:t> </w:t>
      </w:r>
      <w:r>
        <w:rPr>
          <w:spacing w:val="-82"/>
        </w:rPr>
      </w:r>
      <w:r>
        <w:rPr/>
        <w:t>古魔咒》）已完成后期制作，将争取早日上映。</w:t>
      </w:r>
    </w:p>
    <w:p>
      <w:pPr>
        <w:spacing w:line="240" w:lineRule="auto" w:before="4"/>
        <w:rPr>
          <w:rFonts w:ascii="宋体" w:hAnsi="宋体" w:cs="宋体" w:eastAsia="宋体" w:hint="default"/>
          <w:sz w:val="29"/>
          <w:szCs w:val="29"/>
        </w:rPr>
      </w:pPr>
    </w:p>
    <w:p>
      <w:pPr>
        <w:pStyle w:val="Heading5"/>
        <w:spacing w:line="240" w:lineRule="auto" w:before="0"/>
        <w:ind w:left="154" w:right="94"/>
        <w:jc w:val="left"/>
      </w:pPr>
      <w:r>
        <w:rPr/>
        <w:t>公司实际经营业绩较曾公开披露过的本年度盈利预测低于或高于</w:t>
      </w:r>
      <w:r>
        <w:rPr>
          <w:spacing w:val="-60"/>
        </w:rPr>
        <w:t> </w:t>
      </w:r>
      <w:r>
        <w:rPr>
          <w:rFonts w:ascii="Times New Roman" w:hAnsi="Times New Roman" w:cs="Times New Roman" w:eastAsia="Times New Roman" w:hint="default"/>
        </w:rPr>
        <w:t>20%</w:t>
      </w:r>
      <w:r>
        <w:rPr/>
        <w:t>以上的差异原因</w:t>
      </w:r>
    </w:p>
    <w:p>
      <w:pPr>
        <w:pStyle w:val="Heading5"/>
        <w:spacing w:line="254" w:lineRule="auto" w:before="19"/>
        <w:ind w:left="154" w:right="7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主要经营模式的变化情况</w:t>
      </w:r>
    </w:p>
    <w:p>
      <w:pPr>
        <w:pStyle w:val="Heading5"/>
        <w:spacing w:line="240" w:lineRule="auto" w:before="23"/>
        <w:ind w:left="154"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21"/>
          <w:szCs w:val="21"/>
        </w:rPr>
      </w:pPr>
    </w:p>
    <w:p>
      <w:pPr>
        <w:pStyle w:val="Heading4"/>
        <w:spacing w:line="240" w:lineRule="auto" w:before="0"/>
        <w:ind w:right="9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6"/>
        <w:rPr>
          <w:rFonts w:ascii="宋体" w:hAnsi="宋体" w:cs="宋体" w:eastAsia="宋体" w:hint="default"/>
          <w:b/>
          <w:bCs/>
          <w:sz w:val="19"/>
          <w:szCs w:val="19"/>
        </w:rPr>
      </w:pPr>
    </w:p>
    <w:p>
      <w:pPr>
        <w:pStyle w:val="Heading5"/>
        <w:spacing w:line="240" w:lineRule="auto" w:before="26"/>
        <w:ind w:left="154" w:right="94"/>
        <w:jc w:val="left"/>
      </w:pPr>
      <w:r>
        <w:rPr/>
        <w:t>说明</w:t>
      </w:r>
    </w:p>
    <w:p>
      <w:pPr>
        <w:pStyle w:val="Heading5"/>
        <w:spacing w:line="240" w:lineRule="auto" w:before="115"/>
        <w:ind w:left="636" w:right="94"/>
        <w:jc w:val="left"/>
      </w:pPr>
      <w:r>
        <w:rPr/>
        <w:t>报告期内，公司实现营业收入395,285.15万元，同比增长5.42%。其中：传播与文化产业</w:t>
      </w:r>
    </w:p>
    <w:p>
      <w:pPr>
        <w:pStyle w:val="Heading5"/>
        <w:spacing w:line="304" w:lineRule="auto" w:before="86"/>
        <w:ind w:left="154" w:right="228"/>
        <w:jc w:val="both"/>
      </w:pPr>
      <w:r>
        <w:rPr/>
        <w:t>实现营业收入300,559.44万元，同比增长</w:t>
      </w:r>
      <w:r>
        <w:rPr>
          <w:spacing w:val="-76"/>
        </w:rPr>
        <w:t> </w:t>
      </w:r>
      <w:r>
        <w:rPr/>
        <w:t>4.30%；燃气生产和供应业实现营业收入62,227.41</w:t>
      </w:r>
      <w:r>
        <w:rPr/>
        <w:t> 万元，同比增长5.11%；公司新增数字内容服务业实现营业收入22,393.89万元，新增网络与</w:t>
      </w:r>
      <w:r>
        <w:rPr>
          <w:spacing w:val="-92"/>
        </w:rPr>
        <w:t> </w:t>
      </w:r>
      <w:r>
        <w:rPr>
          <w:spacing w:val="-92"/>
        </w:rPr>
      </w:r>
      <w:r>
        <w:rPr/>
        <w:t>信息安全服务业实现营业收入3,765.63万元，新增动漫产品及动漫服务业营业收入2,418.69</w:t>
      </w:r>
      <w:r>
        <w:rPr>
          <w:spacing w:val="-88"/>
        </w:rPr>
        <w:t> </w:t>
      </w:r>
      <w:r>
        <w:rPr>
          <w:spacing w:val="-88"/>
        </w:rPr>
      </w:r>
      <w:r>
        <w:rPr/>
        <w:t>万元。</w:t>
      </w:r>
    </w:p>
    <w:p>
      <w:pPr>
        <w:spacing w:after="0" w:line="304" w:lineRule="auto"/>
        <w:jc w:val="both"/>
        <w:sectPr>
          <w:pgSz w:w="11910" w:h="16840"/>
          <w:pgMar w:header="747"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3"/>
        <w:ind w:left="154" w:right="0"/>
        <w:jc w:val="left"/>
      </w:pPr>
      <w:r>
        <w:rPr/>
        <w:t>公司实物销售收入是否大于劳务收入</w:t>
      </w:r>
    </w:p>
    <w:p>
      <w:pPr>
        <w:pStyle w:val="Heading5"/>
        <w:spacing w:line="254" w:lineRule="auto" w:before="38"/>
        <w:ind w:right="71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公司重大的在手订单情况</w:t>
      </w:r>
    </w:p>
    <w:p>
      <w:pPr>
        <w:pStyle w:val="Heading5"/>
        <w:spacing w:line="254" w:lineRule="auto" w:before="23"/>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公司报告期内产品或服务发生重大变化或调整有关情况</w:t>
      </w:r>
    </w:p>
    <w:p>
      <w:pPr>
        <w:pStyle w:val="Heading5"/>
        <w:spacing w:line="254" w:lineRule="auto" w:before="23"/>
        <w:ind w:right="73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公司主要销售客户情况</w:t>
      </w:r>
    </w:p>
    <w:p>
      <w:pPr>
        <w:spacing w:line="240" w:lineRule="auto" w:before="1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653,003,077.16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w:t>
            </w:r>
          </w:p>
        </w:tc>
      </w:tr>
    </w:tbl>
    <w:p>
      <w:pPr>
        <w:pStyle w:val="Heading5"/>
        <w:spacing w:line="240" w:lineRule="auto" w:before="1"/>
        <w:ind w:left="154" w:right="0"/>
        <w:jc w:val="left"/>
      </w:pPr>
      <w:r>
        <w:rPr/>
        <w:t>公司前</w:t>
      </w:r>
      <w:r>
        <w:rPr>
          <w:spacing w:val="-60"/>
        </w:rPr>
        <w:t> </w:t>
      </w:r>
      <w:r>
        <w:rPr>
          <w:rFonts w:ascii="Times New Roman" w:hAnsi="Times New Roman" w:cs="Times New Roman" w:eastAsia="Times New Roman" w:hint="default"/>
        </w:rPr>
        <w:t>5 </w:t>
      </w:r>
      <w:r>
        <w:rPr/>
        <w:t>大客户资料</w:t>
      </w: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254,623,943.36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202,167,227.80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94,249,426.06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西安民盛广告有限责任公司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51,735,550.94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陕西巨象广告有限责任公司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50,226,929.00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653,003,077.16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w:t>
            </w:r>
          </w:p>
        </w:tc>
      </w:tr>
    </w:tbl>
    <w:p>
      <w:pPr>
        <w:pStyle w:val="Heading5"/>
        <w:spacing w:line="240" w:lineRule="auto" w:before="1"/>
        <w:ind w:left="154" w:right="0"/>
        <w:jc w:val="left"/>
      </w:pPr>
      <w:r>
        <w:rPr/>
        <w:t>主要客户其他情况说明</w:t>
      </w:r>
    </w:p>
    <w:p>
      <w:pPr>
        <w:pStyle w:val="Heading5"/>
        <w:spacing w:line="309" w:lineRule="auto" w:before="38"/>
        <w:ind w:left="636" w:right="168" w:hanging="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公司与前五名客户不存在关联关系，公司董事、监事、高级管理人员、核心技术人员、</w:t>
      </w:r>
    </w:p>
    <w:p>
      <w:pPr>
        <w:pStyle w:val="Heading5"/>
        <w:spacing w:line="240" w:lineRule="auto" w:before="17"/>
        <w:ind w:left="154" w:right="0"/>
        <w:jc w:val="left"/>
      </w:pPr>
      <w:r>
        <w:rPr/>
        <w:t>持股</w:t>
      </w:r>
      <w:r>
        <w:rPr>
          <w:rFonts w:ascii="Times New Roman" w:hAnsi="Times New Roman" w:cs="Times New Roman" w:eastAsia="Times New Roman" w:hint="default"/>
        </w:rPr>
        <w:t>5%</w:t>
      </w:r>
      <w:r>
        <w:rPr/>
        <w:t>以上股东、实际控制人和其他关联方在主要客户中未直接或者间接拥有权益。</w:t>
      </w:r>
    </w:p>
    <w:p>
      <w:pPr>
        <w:spacing w:line="240" w:lineRule="auto" w:before="3"/>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980"/>
        </w:sectPr>
      </w:pPr>
    </w:p>
    <w:p>
      <w:pPr>
        <w:pStyle w:val="Heading5"/>
        <w:spacing w:line="240" w:lineRule="auto" w:before="26"/>
        <w:ind w:left="154" w:right="-20"/>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115" w:space="78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203,324,909.70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280,135,067.03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652,362,831.72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633,545,492.36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275,906,583.06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162,112,319.49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101,128,028.46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110,312,579.32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22,964,164.73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32,326,236.66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39,999,744.29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32,314,007.82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171,664,699.63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234,840,160.29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传播与文化产业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1,467,350,961.59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1,485,585,862.97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452,056,042.76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423,758,636.74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34,153,819.53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23,308,826.98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34,726,233.99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30,068,184.13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1,046,260.06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511,611.07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521,982,356.34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477,647,258.92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能源、材料和机 械电子设备批发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252,896,867.22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内容成本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147,286,212.03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953,963.36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6,117,681.77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点播成本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158,787.79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634,956.75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阅读成本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数字内容服务业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154,198,997.84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953,963.36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2,536,207.89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650,463.29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387,063.66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467,309.26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310,176.45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7,951,220.55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6,242,759.16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
              <w:jc w:val="center"/>
              <w:rPr>
                <w:rFonts w:ascii="宋体" w:hAnsi="宋体" w:cs="宋体" w:eastAsia="宋体" w:hint="default"/>
                <w:sz w:val="18"/>
                <w:szCs w:val="18"/>
              </w:rPr>
            </w:pPr>
            <w:r>
              <w:rPr>
                <w:rFonts w:ascii="宋体" w:hAnsi="宋体" w:cs="宋体" w:eastAsia="宋体" w:hint="default"/>
                <w:sz w:val="18"/>
                <w:szCs w:val="18"/>
              </w:rPr>
              <w:t>动漫产品及动漫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563,379.71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3,259,493.43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版税支出成本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1,262,875.60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稿费支出成本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753,766.82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编审劳务支出成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145,750.45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329,140.81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12,557,165.98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2,164,040,702.30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2,217,083,952.47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-2.45%</w:t>
            </w:r>
          </w:p>
        </w:tc>
      </w:tr>
    </w:tbl>
    <w:p>
      <w:pPr>
        <w:pStyle w:val="Heading5"/>
        <w:spacing w:line="240" w:lineRule="auto" w:before="1"/>
        <w:ind w:left="154" w:right="0"/>
        <w:jc w:val="left"/>
      </w:pPr>
      <w:r>
        <w:rPr/>
        <w:t>说明</w:t>
      </w:r>
    </w:p>
    <w:p>
      <w:pPr>
        <w:pStyle w:val="Heading5"/>
        <w:spacing w:line="268" w:lineRule="auto" w:before="37"/>
        <w:ind w:right="3291" w:firstLine="480"/>
        <w:jc w:val="left"/>
      </w:pPr>
      <w:r>
        <w:rPr/>
        <w:t>上表所列成本为主营业务成本与其他业务成本的合计数。 公司主要供应商情况</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656,646,673.42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30.34%</w:t>
            </w:r>
          </w:p>
        </w:tc>
      </w:tr>
    </w:tbl>
    <w:p>
      <w:pPr>
        <w:pStyle w:val="Heading5"/>
        <w:spacing w:line="240" w:lineRule="auto" w:before="1"/>
        <w:ind w:left="154" w:right="0"/>
        <w:jc w:val="left"/>
      </w:pPr>
      <w:r>
        <w:rPr/>
        <w:t>公司前</w:t>
      </w:r>
      <w:r>
        <w:rPr>
          <w:spacing w:val="-60"/>
        </w:rPr>
        <w:t> </w:t>
      </w:r>
      <w:r>
        <w:rPr>
          <w:rFonts w:ascii="Times New Roman" w:hAnsi="Times New Roman" w:cs="Times New Roman" w:eastAsia="Times New Roman" w:hint="default"/>
        </w:rPr>
        <w:t>5 </w:t>
      </w:r>
      <w:r>
        <w:rPr/>
        <w:t>名供应商资料</w:t>
      </w:r>
    </w:p>
    <w:p>
      <w:pPr>
        <w:pStyle w:val="Heading5"/>
        <w:spacing w:line="240" w:lineRule="auto" w:before="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35"/>
        <w:gridCol w:w="3601"/>
        <w:gridCol w:w="2552"/>
        <w:gridCol w:w="2479"/>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254,716,982.01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108,231,832.35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中海石油气电集团有限公司海南贸易分公司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130,541,886.30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中国石化销售有限公司海南石油分公司杨浦 油库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100,704,674.44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山西宝通新闻出版纸张有限公司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62,451,298.32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656,646,673.42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636" w:right="0"/>
        <w:jc w:val="left"/>
      </w:pPr>
      <w:r>
        <w:rPr/>
        <w:t>报告期公司销售费用、管理费用、财务费用、所得税等财务数据及变动情况如下：</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34"/>
        <w:gridCol w:w="1702"/>
        <w:gridCol w:w="1842"/>
        <w:gridCol w:w="1982"/>
        <w:gridCol w:w="2988"/>
      </w:tblGrid>
      <w:tr>
        <w:trPr>
          <w:trHeight w:val="329" w:hRule="exact"/>
        </w:trPr>
        <w:tc>
          <w:tcPr>
            <w:tcW w:w="11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8" w:lineRule="exact"/>
              <w:ind w:right="138"/>
              <w:jc w:val="right"/>
              <w:rPr>
                <w:rFonts w:ascii="宋体" w:hAnsi="宋体" w:cs="宋体" w:eastAsia="宋体" w:hint="default"/>
                <w:sz w:val="21"/>
                <w:szCs w:val="21"/>
              </w:rPr>
            </w:pPr>
            <w:r>
              <w:rPr>
                <w:rFonts w:ascii="宋体" w:hAnsi="宋体" w:cs="宋体" w:eastAsia="宋体" w:hint="default"/>
                <w:sz w:val="21"/>
                <w:szCs w:val="21"/>
              </w:rPr>
              <w:t>财务指标</w:t>
            </w:r>
          </w:p>
        </w:tc>
        <w:tc>
          <w:tcPr>
            <w:tcW w:w="170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84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8" w:lineRule="exact"/>
              <w:ind w:left="598"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98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4" w:lineRule="exact"/>
              <w:ind w:left="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p>
        </w:tc>
        <w:tc>
          <w:tcPr>
            <w:tcW w:w="2988"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32" w:hRule="exact"/>
        </w:trPr>
        <w:tc>
          <w:tcPr>
            <w:tcW w:w="11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40"/>
              <w:ind w:right="138"/>
              <w:jc w:val="right"/>
              <w:rPr>
                <w:rFonts w:ascii="宋体" w:hAnsi="宋体" w:cs="宋体" w:eastAsia="宋体" w:hint="default"/>
                <w:sz w:val="21"/>
                <w:szCs w:val="21"/>
              </w:rPr>
            </w:pPr>
            <w:r>
              <w:rPr>
                <w:rFonts w:ascii="宋体" w:hAnsi="宋体" w:cs="宋体" w:eastAsia="宋体" w:hint="default"/>
                <w:sz w:val="21"/>
                <w:szCs w:val="21"/>
              </w:rPr>
              <w:t>销售费用</w:t>
            </w:r>
          </w:p>
        </w:tc>
        <w:tc>
          <w:tcPr>
            <w:tcW w:w="17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6"/>
              <w:ind w:left="214" w:right="0"/>
              <w:jc w:val="left"/>
              <w:rPr>
                <w:rFonts w:ascii="宋体" w:hAnsi="宋体" w:cs="宋体" w:eastAsia="宋体" w:hint="default"/>
                <w:sz w:val="21"/>
                <w:szCs w:val="21"/>
              </w:rPr>
            </w:pPr>
            <w:r>
              <w:rPr>
                <w:rFonts w:ascii="宋体"/>
                <w:sz w:val="21"/>
              </w:rPr>
              <w:t>534,482,195.50</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6"/>
              <w:ind w:left="356" w:right="0"/>
              <w:jc w:val="left"/>
              <w:rPr>
                <w:rFonts w:ascii="宋体" w:hAnsi="宋体" w:cs="宋体" w:eastAsia="宋体" w:hint="default"/>
                <w:sz w:val="21"/>
                <w:szCs w:val="21"/>
              </w:rPr>
            </w:pPr>
            <w:r>
              <w:rPr>
                <w:rFonts w:ascii="宋体"/>
                <w:sz w:val="21"/>
              </w:rPr>
              <w:t>544,283,238.45</w:t>
            </w:r>
          </w:p>
        </w:tc>
        <w:tc>
          <w:tcPr>
            <w:tcW w:w="19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-1.80</w:t>
            </w:r>
          </w:p>
        </w:tc>
        <w:tc>
          <w:tcPr>
            <w:tcW w:w="2988" w:type="dxa"/>
            <w:tcBorders>
              <w:top w:val="single" w:sz="10" w:space="0" w:color="000000"/>
              <w:left w:val="single" w:sz="6" w:space="0" w:color="000000"/>
              <w:bottom w:val="single" w:sz="6" w:space="0" w:color="000000"/>
              <w:right w:val="single" w:sz="6" w:space="0" w:color="000000"/>
            </w:tcBorders>
          </w:tcPr>
          <w:p>
            <w:pPr>
              <w:pStyle w:val="TableParagraph"/>
              <w:spacing w:line="285" w:lineRule="exact"/>
              <w:ind w:right="14"/>
              <w:jc w:val="center"/>
              <w:rPr>
                <w:rFonts w:ascii="宋体" w:hAnsi="宋体" w:cs="宋体" w:eastAsia="宋体" w:hint="default"/>
                <w:sz w:val="24"/>
                <w:szCs w:val="24"/>
              </w:rPr>
            </w:pPr>
            <w:r>
              <w:rPr>
                <w:rFonts w:ascii="宋体"/>
                <w:sz w:val="24"/>
              </w:rPr>
              <w:t>-</w:t>
            </w:r>
          </w:p>
        </w:tc>
      </w:tr>
    </w:tbl>
    <w:p>
      <w:pPr>
        <w:spacing w:after="0" w:line="285" w:lineRule="exact"/>
        <w:jc w:val="center"/>
        <w:rPr>
          <w:rFonts w:ascii="宋体" w:hAnsi="宋体" w:cs="宋体" w:eastAsia="宋体" w:hint="default"/>
          <w:sz w:val="24"/>
          <w:szCs w:val="24"/>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34"/>
        <w:gridCol w:w="1702"/>
        <w:gridCol w:w="1842"/>
        <w:gridCol w:w="1982"/>
        <w:gridCol w:w="2988"/>
      </w:tblGrid>
      <w:tr>
        <w:trPr>
          <w:trHeight w:val="971" w:hRule="exact"/>
        </w:trPr>
        <w:tc>
          <w:tcPr>
            <w:tcW w:w="11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350,510,560.89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303,241,636.34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15.59</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8"/>
              <w:jc w:val="both"/>
              <w:rPr>
                <w:rFonts w:ascii="宋体" w:hAnsi="宋体" w:cs="宋体" w:eastAsia="宋体" w:hint="default"/>
                <w:sz w:val="21"/>
                <w:szCs w:val="21"/>
              </w:rPr>
            </w:pPr>
            <w:r>
              <w:rPr>
                <w:rFonts w:ascii="宋体" w:hAnsi="宋体" w:cs="宋体" w:eastAsia="宋体" w:hint="default"/>
                <w:sz w:val="21"/>
                <w:szCs w:val="21"/>
              </w:rPr>
              <w:t>主要是2013年重组并购的澄怀科 技及2014年并购的标的公司增加 导致</w:t>
            </w:r>
          </w:p>
        </w:tc>
      </w:tr>
      <w:tr>
        <w:trPr>
          <w:trHeight w:val="659" w:hRule="exact"/>
        </w:trPr>
        <w:tc>
          <w:tcPr>
            <w:tcW w:w="11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宋体" w:hAnsi="宋体" w:cs="宋体" w:eastAsia="宋体" w:hint="default"/>
                <w:sz w:val="21"/>
                <w:szCs w:val="21"/>
              </w:rPr>
            </w:pPr>
            <w:r>
              <w:rPr>
                <w:rFonts w:ascii="宋体"/>
                <w:spacing w:val="-1"/>
                <w:sz w:val="21"/>
              </w:rPr>
              <w:t>31,950,292.54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宋体" w:hAnsi="宋体" w:cs="宋体" w:eastAsia="宋体" w:hint="default"/>
                <w:sz w:val="21"/>
                <w:szCs w:val="21"/>
              </w:rPr>
            </w:pPr>
            <w:r>
              <w:rPr>
                <w:rFonts w:ascii="宋体"/>
                <w:spacing w:val="-1"/>
                <w:sz w:val="21"/>
              </w:rPr>
              <w:t>45,945,792.44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宋体" w:hAnsi="宋体" w:cs="宋体" w:eastAsia="宋体" w:hint="default"/>
                <w:sz w:val="21"/>
                <w:szCs w:val="21"/>
              </w:rPr>
            </w:pPr>
            <w:r>
              <w:rPr>
                <w:rFonts w:ascii="宋体"/>
                <w:spacing w:val="-1"/>
                <w:sz w:val="21"/>
              </w:rPr>
              <w:t>-30.46</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9"/>
              <w:jc w:val="left"/>
              <w:rPr>
                <w:rFonts w:ascii="宋体" w:hAnsi="宋体" w:cs="宋体" w:eastAsia="宋体" w:hint="default"/>
                <w:sz w:val="21"/>
                <w:szCs w:val="21"/>
              </w:rPr>
            </w:pPr>
            <w:r>
              <w:rPr>
                <w:rFonts w:ascii="宋体" w:hAnsi="宋体" w:cs="宋体" w:eastAsia="宋体" w:hint="default"/>
                <w:sz w:val="21"/>
                <w:szCs w:val="21"/>
              </w:rPr>
              <w:t>主要是华商传媒归还银行借款导 致利息支出减少导致</w:t>
            </w:r>
          </w:p>
        </w:tc>
      </w:tr>
      <w:tr>
        <w:trPr>
          <w:trHeight w:val="1284" w:hRule="exact"/>
        </w:trPr>
        <w:tc>
          <w:tcPr>
            <w:tcW w:w="11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213,273,758.43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130,638,869.10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63.25</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9"/>
              <w:jc w:val="both"/>
              <w:rPr>
                <w:rFonts w:ascii="宋体" w:hAnsi="宋体" w:cs="宋体" w:eastAsia="宋体" w:hint="default"/>
                <w:sz w:val="21"/>
                <w:szCs w:val="21"/>
              </w:rPr>
            </w:pPr>
            <w:r>
              <w:rPr>
                <w:rFonts w:ascii="宋体" w:hAnsi="宋体" w:cs="宋体" w:eastAsia="宋体" w:hint="default"/>
                <w:sz w:val="21"/>
                <w:szCs w:val="21"/>
              </w:rPr>
              <w:t>主要是时报传媒和澄怀科技利润 增加，新增2014年并购的标的公 司、华商传媒所得税优惠政策导 致</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7"/>
          <w:szCs w:val="27"/>
        </w:rPr>
      </w:pPr>
    </w:p>
    <w:p>
      <w:pPr>
        <w:pStyle w:val="Heading5"/>
        <w:spacing w:line="304" w:lineRule="auto" w:before="0"/>
        <w:ind w:right="148" w:firstLine="480"/>
        <w:jc w:val="both"/>
      </w:pPr>
      <w:r>
        <w:rPr/>
        <w:t>报告期内，公司新增的开发支出为9,597,457.11元，占2014年度归属于上市公司股东的</w:t>
      </w:r>
      <w:r>
        <w:rPr>
          <w:spacing w:val="1"/>
        </w:rPr>
        <w:t> </w:t>
      </w:r>
      <w:r>
        <w:rPr/>
        <w:t>净资产0.14%，占2014年度归属于上市公司股东的净利润0.98%，主要是澄怀科技用于研发太</w:t>
      </w:r>
      <w:r>
        <w:rPr/>
        <w:t> </w:t>
      </w:r>
      <w:r>
        <w:rPr>
          <w:spacing w:val="-3"/>
        </w:rPr>
        <w:t>傻视界、个性化教学方案、多语言学习平台，目的：（1）基于太傻网的网络资源开发相关互</w:t>
      </w:r>
      <w:r>
        <w:rPr>
          <w:spacing w:val="-116"/>
        </w:rPr>
        <w:t> </w:t>
      </w:r>
      <w:r>
        <w:rPr>
          <w:spacing w:val="-116"/>
        </w:rPr>
      </w:r>
      <w:r>
        <w:rPr>
          <w:spacing w:val="-3"/>
        </w:rPr>
        <w:t>联网资讯及搜索产品；（2）开拓为太傻网的网络用户提供在线教育服务的服务模式而进行的</w:t>
      </w:r>
      <w:r>
        <w:rPr>
          <w:spacing w:val="-81"/>
        </w:rPr>
        <w:t> </w:t>
      </w:r>
      <w:r>
        <w:rPr>
          <w:spacing w:val="-81"/>
        </w:rPr>
      </w:r>
      <w:r>
        <w:rPr/>
        <w:t>在线产品设计和开发。</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4"/>
        <w:spacing w:line="240" w:lineRule="auto" w:before="0"/>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5"/>
          <w:szCs w:val="25"/>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2268"/>
        <w:gridCol w:w="2268"/>
        <w:gridCol w:w="2196"/>
      </w:tblGrid>
      <w:tr>
        <w:trPr>
          <w:trHeight w:val="397"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宋体" w:hAnsi="宋体" w:cs="宋体" w:eastAsia="宋体" w:hint="default"/>
                <w:sz w:val="18"/>
                <w:szCs w:val="18"/>
              </w:rPr>
            </w:pPr>
            <w:r>
              <w:rPr>
                <w:rFonts w:ascii="宋体"/>
                <w:sz w:val="18"/>
              </w:rPr>
              <w:t>4,416,528,496.80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宋体" w:hAnsi="宋体" w:cs="宋体" w:eastAsia="宋体" w:hint="default"/>
                <w:sz w:val="18"/>
                <w:szCs w:val="18"/>
              </w:rPr>
            </w:pPr>
            <w:r>
              <w:rPr>
                <w:rFonts w:ascii="宋体"/>
                <w:sz w:val="18"/>
              </w:rPr>
              <w:t>4,322,899,026.18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18"/>
                <w:szCs w:val="18"/>
              </w:rPr>
            </w:pPr>
            <w:r>
              <w:rPr>
                <w:rFonts w:ascii="宋体"/>
                <w:sz w:val="18"/>
              </w:rPr>
              <w:t>2.17%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3,617,361,444.57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3,392,351,083.49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799,167,052.23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930,547,942.69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-14.12%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3,732,772,015.78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4,600,656,114.14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4,697,294,351.37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4,960,058,191.40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-964,522,335.59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-359,402,077.26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917,509,500.00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1,629,287,656.18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-43.69%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440,605,644.59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1,846,003,068.58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-76.13%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476,903,855.41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-216,715,412.40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301.09%</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311,548,572.05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354,385,080.83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-12.09%</w:t>
            </w:r>
          </w:p>
        </w:tc>
      </w:tr>
    </w:tbl>
    <w:p>
      <w:pPr>
        <w:pStyle w:val="Heading5"/>
        <w:spacing w:line="240" w:lineRule="auto" w:before="1"/>
        <w:ind w:left="154" w:right="0"/>
        <w:jc w:val="left"/>
      </w:pPr>
      <w:r>
        <w:rPr/>
        <w:t>相关数据同比发生变动</w:t>
      </w:r>
      <w:r>
        <w:rPr>
          <w:spacing w:val="-60"/>
        </w:rPr>
        <w:t> </w:t>
      </w:r>
      <w:r>
        <w:rPr>
          <w:rFonts w:ascii="Times New Roman" w:hAnsi="Times New Roman" w:cs="Times New Roman" w:eastAsia="Times New Roman" w:hint="default"/>
        </w:rPr>
        <w:t>30%</w:t>
      </w:r>
      <w:r>
        <w:rPr/>
        <w:t>以上的原因说明</w:t>
      </w:r>
    </w:p>
    <w:p>
      <w:pPr>
        <w:pStyle w:val="Heading5"/>
        <w:spacing w:line="312" w:lineRule="auto" w:before="19"/>
        <w:ind w:left="636" w:right="0" w:hanging="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w:t>
      </w:r>
      <w:r>
        <w:rPr>
          <w:spacing w:val="-3"/>
        </w:rPr>
        <w:t>报告期末，投资活动产生的现金流量净额同比减少</w:t>
      </w:r>
      <w:r>
        <w:rPr>
          <w:rFonts w:ascii="Times New Roman" w:hAnsi="Times New Roman" w:cs="Times New Roman" w:eastAsia="Times New Roman" w:hint="default"/>
          <w:spacing w:val="-3"/>
        </w:rPr>
        <w:t>198.66%</w:t>
      </w:r>
      <w:r>
        <w:rPr>
          <w:spacing w:val="-3"/>
        </w:rPr>
        <w:t>，主要原因是：本期支付购买</w:t>
      </w:r>
    </w:p>
    <w:p>
      <w:pPr>
        <w:pStyle w:val="Heading5"/>
        <w:spacing w:line="302" w:lineRule="exact" w:before="0"/>
        <w:ind w:right="0"/>
        <w:jc w:val="left"/>
      </w:pPr>
      <w:r>
        <w:rPr/>
        <w:t>子公司股权款增加导致。</w:t>
      </w:r>
    </w:p>
    <w:p>
      <w:pPr>
        <w:spacing w:after="0" w:line="302" w:lineRule="exact"/>
        <w:jc w:val="left"/>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5"/>
        <w:spacing w:line="316" w:lineRule="auto" w:before="26"/>
        <w:ind w:left="636" w:right="268"/>
        <w:jc w:val="left"/>
      </w:pPr>
      <w:r>
        <w:rPr/>
        <w:t>筹资活动现金流入小计同比减少</w:t>
      </w:r>
      <w:r>
        <w:rPr>
          <w:rFonts w:ascii="Times New Roman" w:hAnsi="Times New Roman" w:cs="Times New Roman" w:eastAsia="Times New Roman" w:hint="default"/>
        </w:rPr>
        <w:t>43.69%</w:t>
      </w:r>
      <w:r>
        <w:rPr/>
        <w:t>，主要原因是：本期借款减少。 筹资活动现金流出小计同比减少</w:t>
      </w:r>
      <w:r>
        <w:rPr>
          <w:rFonts w:ascii="Times New Roman" w:hAnsi="Times New Roman" w:cs="Times New Roman" w:eastAsia="Times New Roman" w:hint="default"/>
        </w:rPr>
        <w:t>76.13%</w:t>
      </w:r>
      <w:r>
        <w:rPr/>
        <w:t>，主要原因是：本期偿还借款减少。 筹资活动产生的现金流量净额同比增加</w:t>
      </w:r>
      <w:r>
        <w:rPr>
          <w:rFonts w:ascii="Times New Roman" w:hAnsi="Times New Roman" w:cs="Times New Roman" w:eastAsia="Times New Roman" w:hint="default"/>
        </w:rPr>
        <w:t>301.09%</w:t>
      </w:r>
      <w:r>
        <w:rPr/>
        <w:t>，主要原因是本期偿还借款减少导致。</w:t>
      </w:r>
    </w:p>
    <w:p>
      <w:pPr>
        <w:spacing w:line="240" w:lineRule="auto" w:before="9"/>
        <w:rPr>
          <w:rFonts w:ascii="宋体" w:hAnsi="宋体" w:cs="宋体" w:eastAsia="宋体" w:hint="default"/>
          <w:sz w:val="22"/>
          <w:szCs w:val="22"/>
        </w:rPr>
      </w:pPr>
    </w:p>
    <w:p>
      <w:pPr>
        <w:pStyle w:val="Heading5"/>
        <w:spacing w:line="240" w:lineRule="auto" w:before="0"/>
        <w:ind w:right="0"/>
        <w:jc w:val="left"/>
      </w:pPr>
      <w:r>
        <w:rPr/>
        <w:t>报告期内公司经营活动的现金流量与本年度净利润存在重大差异的原因说明</w:t>
      </w:r>
    </w:p>
    <w:p>
      <w:pPr>
        <w:spacing w:line="441" w:lineRule="auto" w:before="38"/>
        <w:ind w:left="153" w:right="736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spacing w:before="14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608"/>
        <w:gridCol w:w="1559"/>
        <w:gridCol w:w="934"/>
        <w:gridCol w:w="1051"/>
        <w:gridCol w:w="1134"/>
        <w:gridCol w:w="1916"/>
      </w:tblGrid>
      <w:tr>
        <w:trPr>
          <w:trHeight w:val="10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营业收入比 上年同期增 减</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营业成本比 上年同期增 减</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毛利率比上年同期增减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3,005,594,361.11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1,455,461,833.66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2.87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燃气生产和供应 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622,274,055.43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515,640,351.78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17.14%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3.39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223,938,907.90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154,198,997.84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网络与信息安全 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37,656,300.49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7,951,220.55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78.88%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24,186,867.98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12,557,165.98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48.08%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1,942,358,267.96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778,443,388.39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4.08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231,825,362.09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167,332,470.32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2.03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448,537,991.28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358,964,392.37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12.64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231,915,382.70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104,203,462.50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7.90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出国留学咨询及 相关业务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150,957,357.08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46,518,120.08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69.18%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358,403,326.99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305,073,646.54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52,326,720.26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36,453,310.08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49,609,346.16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48,448,675.02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1.07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燃气管网施工及 安装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161,934,662.02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125,664,720.14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22.40%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4.30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223,938,907.90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154,198,997.84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销售硬件收入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37,656,300.49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7,951,220.55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漫画图书、期刊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12,107,118.56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9,289,576.85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608"/>
        <w:gridCol w:w="1559"/>
        <w:gridCol w:w="934"/>
        <w:gridCol w:w="1051"/>
        <w:gridCol w:w="1134"/>
        <w:gridCol w:w="1916"/>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及周边产品</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12,079,749.42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3,267,589.13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72.95%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809,989,509.86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588,937,496.63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7.78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350,635,952.73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51,516,071.62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20.47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36,441,835.37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21,971,494.56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39.71%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25.29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1,555,730,217.08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833,121,724.38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6.92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339,090,140.36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187,746,604.40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11.94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544,711,928.49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334,484,308.88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277,050,909.02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128,031,869.34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0.48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pStyle w:val="Heading5"/>
        <w:spacing w:line="312" w:lineRule="exact" w:before="32"/>
        <w:ind w:right="171"/>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1 </w:t>
      </w:r>
      <w:r>
        <w:rPr/>
        <w:t>年按报告期末口径调整 后的主营业务数据</w:t>
      </w:r>
    </w:p>
    <w:p>
      <w:pPr>
        <w:spacing w:line="456" w:lineRule="auto" w:before="10"/>
        <w:ind w:left="153" w:right="70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、资产项目重大变动情况</w:t>
      </w:r>
      <w:r>
        <w:rPr>
          <w:rFonts w:ascii="宋体" w:hAnsi="宋体" w:cs="宋体" w:eastAsia="宋体" w:hint="default"/>
          <w:sz w:val="24"/>
          <w:szCs w:val="24"/>
        </w:rPr>
      </w:r>
    </w:p>
    <w:p>
      <w:pPr>
        <w:spacing w:before="9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751"/>
        <w:gridCol w:w="851"/>
        <w:gridCol w:w="1700"/>
        <w:gridCol w:w="851"/>
        <w:gridCol w:w="1417"/>
        <w:gridCol w:w="163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vMerge/>
            <w:tcBorders>
              <w:left w:val="single" w:sz="4" w:space="0" w:color="000000"/>
              <w:bottom w:val="single" w:sz="4" w:space="0" w:color="000000"/>
              <w:right w:val="single" w:sz="4" w:space="0" w:color="000000"/>
            </w:tcBorders>
            <w:shd w:val="clear" w:color="auto" w:fill="D3D3D3"/>
          </w:tcPr>
          <w:p>
            <w:pPr/>
          </w:p>
        </w:tc>
        <w:tc>
          <w:tcPr>
            <w:tcW w:w="163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1,790,374,016.66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1,467,273,104.68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-3.98%</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624,030,934.13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312,196,981.77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484,574,731.64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232,384,018.99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37,916,614.44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39,885,012.24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-0.21%</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386,456,397.50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344,837,142.50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1,139,300,503.00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1,134,677,121.07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268,731,457.14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142,750,790.59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0.49%</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1"/>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851"/>
        <w:gridCol w:w="1417"/>
        <w:gridCol w:w="851"/>
        <w:gridCol w:w="991"/>
        <w:gridCol w:w="2623"/>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1" w:hRule="exact"/>
        </w:trPr>
        <w:tc>
          <w:tcPr>
            <w:tcW w:w="1368" w:type="dxa"/>
            <w:vMerge/>
            <w:tcBorders>
              <w:left w:val="single" w:sz="4" w:space="0" w:color="000000"/>
              <w:right w:val="single" w:sz="4" w:space="0" w:color="000000"/>
            </w:tcBorders>
            <w:shd w:val="clear" w:color="auto" w:fill="D3D3D3"/>
          </w:tcPr>
          <w:p>
            <w:pPr/>
          </w:p>
        </w:tc>
        <w:tc>
          <w:tcPr>
            <w:tcW w:w="14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1" w:type="dxa"/>
            <w:vMerge/>
            <w:tcBorders>
              <w:left w:val="single" w:sz="4" w:space="0" w:color="000000"/>
              <w:right w:val="single" w:sz="4" w:space="0" w:color="000000"/>
            </w:tcBorders>
            <w:shd w:val="clear" w:color="auto" w:fill="D3D3D3"/>
          </w:tcPr>
          <w:p>
            <w:pPr/>
          </w:p>
        </w:tc>
        <w:tc>
          <w:tcPr>
            <w:tcW w:w="2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76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8"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262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sz w:val="18"/>
              </w:rPr>
              <w:t>30,000,000.00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214,000,000.00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2.99%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sz w:val="18"/>
              </w:rPr>
              <w:t>-2.71%</w:t>
            </w:r>
          </w:p>
        </w:tc>
        <w:tc>
          <w:tcPr>
            <w:tcW w:w="26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851"/>
        <w:gridCol w:w="1417"/>
        <w:gridCol w:w="851"/>
        <w:gridCol w:w="991"/>
        <w:gridCol w:w="2623"/>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sz w:val="18"/>
              </w:rPr>
              <w:t>80,000,000.00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0.74%</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0.74%</w:t>
            </w:r>
          </w:p>
        </w:tc>
        <w:tc>
          <w:tcPr>
            <w:tcW w:w="26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13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860"/>
        </w:sectPr>
      </w:pPr>
    </w:p>
    <w:p>
      <w:pPr>
        <w:pStyle w:val="Heading5"/>
        <w:spacing w:line="240" w:lineRule="auto" w:before="2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pict>
          <v:group style="position:absolute;margin-left:306.179993pt;margin-top:50.712044pt;width:25.6pt;height:15.6pt;mso-position-horizontal-relative:page;mso-position-vertical-relative:paragraph;z-index:-1218496" coordorigin="6124,1014" coordsize="512,312">
            <v:shape style="position:absolute;left:6124;top:1014;width:512;height:312" coordorigin="6124,1014" coordsize="512,312" path="m6124,1326l6635,1326,6635,1014,6124,1014,6124,1326xe" filled="true" fillcolor="#d3d3d3" stroked="false">
              <v:path arrowok="t"/>
              <v:fill type="solid"/>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860"/>
          <w:cols w:num="2" w:equalWidth="0">
            <w:col w:w="1992" w:space="6927"/>
            <w:col w:w="115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1354"/>
        <w:gridCol w:w="1276"/>
        <w:gridCol w:w="1134"/>
        <w:gridCol w:w="568"/>
        <w:gridCol w:w="1416"/>
        <w:gridCol w:w="1428"/>
        <w:gridCol w:w="1408"/>
      </w:tblGrid>
      <w:tr>
        <w:trPr>
          <w:trHeight w:val="1338"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582"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6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42,404,690.64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36,750,887.13</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12,092,769.63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18,484,198.22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72,764,149.18</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-680,317.28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37,508,024.51</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36,827,707.23</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42,404,690.64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36,750,887.13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-680,317.28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49,600,794.14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18,484,198.22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109,591,856.41</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42,404,690.64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36,750,887.13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-680,317.28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49,600,794.14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18,484,198.22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109,591,856.41</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Heading5"/>
        <w:spacing w:line="240" w:lineRule="auto" w:before="1"/>
        <w:ind w:left="154" w:right="0"/>
        <w:jc w:val="both"/>
      </w:pPr>
      <w:r>
        <w:rPr/>
        <w:t>报告期内公司主要资产计量属性是否发生重大变化</w:t>
      </w:r>
    </w:p>
    <w:p>
      <w:pPr>
        <w:spacing w:line="441" w:lineRule="auto" w:before="38"/>
        <w:ind w:left="153" w:right="77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五、核心竞争力分析</w:t>
      </w:r>
      <w:r>
        <w:rPr>
          <w:rFonts w:ascii="宋体" w:hAnsi="宋体" w:cs="宋体" w:eastAsia="宋体" w:hint="default"/>
          <w:sz w:val="24"/>
          <w:szCs w:val="24"/>
        </w:rPr>
      </w:r>
    </w:p>
    <w:p>
      <w:pPr>
        <w:pStyle w:val="Heading5"/>
        <w:spacing w:line="304" w:lineRule="auto" w:before="175"/>
        <w:ind w:left="633" w:right="133"/>
        <w:jc w:val="left"/>
      </w:pPr>
      <w:r>
        <w:rPr/>
        <w:t>报告期内，公司设备状况良好，设备利用情况符合行业标准。 报告期内，公司控股子公司时报传媒拥有有关《证券时报》经营业务的独家经营权，华</w:t>
      </w:r>
    </w:p>
    <w:p>
      <w:pPr>
        <w:pStyle w:val="Heading5"/>
        <w:spacing w:line="304" w:lineRule="auto" w:before="22"/>
        <w:ind w:right="151"/>
        <w:jc w:val="both"/>
      </w:pPr>
      <w:r>
        <w:rPr/>
        <w:t>商传媒保持拥有独家代理经营《华商报》、《新文化报》、《华商晨报》、《重庆时报》等</w:t>
      </w:r>
      <w:r>
        <w:rPr>
          <w:spacing w:val="-83"/>
        </w:rPr>
        <w:t> </w:t>
      </w:r>
      <w:r>
        <w:rPr>
          <w:spacing w:val="-83"/>
        </w:rPr>
      </w:r>
      <w:r>
        <w:rPr/>
        <w:t>报刊经营性业务的权利，国广光荣拥有国际台国内广播频率广告经营业务的独家经营权，澄</w:t>
      </w:r>
      <w:r>
        <w:rPr>
          <w:spacing w:val="-83"/>
        </w:rPr>
        <w:t> </w:t>
      </w:r>
      <w:r>
        <w:rPr>
          <w:spacing w:val="-83"/>
        </w:rPr>
      </w:r>
      <w:r>
        <w:rPr/>
        <w:t>怀科技在高端留学咨询领域拥有较高的知名度和品牌声誉，民生燃气保持拥有海口市管道燃</w:t>
      </w:r>
      <w:r>
        <w:rPr>
          <w:spacing w:val="-83"/>
        </w:rPr>
        <w:t> </w:t>
      </w:r>
      <w:r>
        <w:rPr>
          <w:spacing w:val="-83"/>
        </w:rPr>
      </w:r>
      <w:r>
        <w:rPr/>
        <w:t>气特许经营权，国视上海承接了国视北京除手机音/视频内容审核及管理以外的所有经营性业</w:t>
      </w:r>
      <w:r>
        <w:rPr/>
        <w:t> 务，掌视亿通在手机视频运营领域拥有业界领先的渠道优势，邦富软件在舆情管理服务行业</w:t>
      </w:r>
      <w:r>
        <w:rPr>
          <w:spacing w:val="-83"/>
        </w:rPr>
        <w:t> </w:t>
      </w:r>
      <w:r>
        <w:rPr>
          <w:spacing w:val="-83"/>
        </w:rPr>
      </w:r>
      <w:r>
        <w:rPr>
          <w:spacing w:val="-2"/>
        </w:rPr>
        <w:t>拥有先进的技术和极高的客户口碑，漫友文化拥有巨大的动漫产业链优质IP入口和平台价值。</w:t>
      </w:r>
    </w:p>
    <w:p>
      <w:pPr>
        <w:spacing w:after="0" w:line="304" w:lineRule="auto"/>
        <w:jc w:val="both"/>
        <w:sectPr>
          <w:type w:val="continuous"/>
          <w:pgSz w:w="11910" w:h="16840"/>
          <w:pgMar w:top="1060" w:bottom="1180" w:left="980" w:right="860"/>
        </w:sectPr>
      </w:pPr>
    </w:p>
    <w:p>
      <w:pPr>
        <w:spacing w:line="240" w:lineRule="auto" w:before="9"/>
        <w:rPr>
          <w:rFonts w:ascii="宋体" w:hAnsi="宋体" w:cs="宋体" w:eastAsia="宋体" w:hint="default"/>
          <w:sz w:val="23"/>
          <w:szCs w:val="23"/>
        </w:rPr>
      </w:pPr>
    </w:p>
    <w:p>
      <w:pPr>
        <w:pStyle w:val="Heading4"/>
        <w:spacing w:line="240" w:lineRule="auto"/>
        <w:ind w:right="133"/>
        <w:jc w:val="left"/>
        <w:rPr>
          <w:b w:val="0"/>
          <w:bCs w:val="0"/>
        </w:rPr>
      </w:pPr>
      <w:r>
        <w:rPr/>
        <w:t>六、投资状况分析</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13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6"/>
        <w:rPr>
          <w:rFonts w:ascii="宋体" w:hAnsi="宋体" w:cs="宋体" w:eastAsia="宋体" w:hint="default"/>
          <w:b/>
          <w:bCs/>
          <w:sz w:val="21"/>
          <w:szCs w:val="21"/>
        </w:rPr>
      </w:pPr>
    </w:p>
    <w:p>
      <w:pPr>
        <w:pStyle w:val="Heading4"/>
        <w:spacing w:line="240" w:lineRule="auto" w:before="0"/>
        <w:ind w:right="13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154"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4" w:right="0"/>
              <w:jc w:val="left"/>
              <w:rPr>
                <w:rFonts w:ascii="宋体" w:hAnsi="宋体" w:cs="宋体" w:eastAsia="宋体" w:hint="default"/>
                <w:sz w:val="18"/>
                <w:szCs w:val="18"/>
              </w:rPr>
            </w:pPr>
            <w:r>
              <w:rPr>
                <w:rFonts w:ascii="宋体"/>
                <w:sz w:val="18"/>
              </w:rPr>
              <w:t>386,456,397.50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344,837,142.50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12.07%</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互联网电视业务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36.8171%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国广环球在线文化传媒（北京）有限公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国广环球在线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承担国际在线网站运营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44.18%</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深圳市点石创新投资有限公司（以下简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点石创投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投资管理及相关咨询业务等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华商时代（北京）文化传媒有限公司（以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华商时代</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pacing w:val="-7"/>
                <w:sz w:val="18"/>
                <w:szCs w:val="18"/>
              </w:rPr>
              <w:t>组织文化艺术交流活动（不含演出）；设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计、制作、发布广告等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49.00%</w:t>
            </w:r>
          </w:p>
        </w:tc>
      </w:tr>
    </w:tbl>
    <w:p>
      <w:pPr>
        <w:spacing w:line="240" w:lineRule="auto" w:before="2"/>
        <w:rPr>
          <w:rFonts w:ascii="宋体" w:hAnsi="宋体" w:cs="宋体" w:eastAsia="宋体" w:hint="default"/>
          <w:sz w:val="18"/>
          <w:szCs w:val="18"/>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5"/>
        <w:rPr>
          <w:rFonts w:ascii="宋体" w:hAnsi="宋体" w:cs="宋体" w:eastAsia="宋体" w:hint="default"/>
          <w:b/>
          <w:bCs/>
          <w:sz w:val="21"/>
          <w:szCs w:val="21"/>
        </w:rPr>
      </w:pPr>
    </w:p>
    <w:p>
      <w:pPr>
        <w:pStyle w:val="Heading5"/>
        <w:spacing w:line="254" w:lineRule="auto" w:before="0"/>
        <w:ind w:left="154" w:right="6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公司报告期未持有金融企业股权。</w:t>
      </w:r>
    </w:p>
    <w:p>
      <w:pPr>
        <w:spacing w:line="240" w:lineRule="auto" w:before="10"/>
        <w:rPr>
          <w:rFonts w:ascii="宋体" w:hAnsi="宋体" w:cs="宋体" w:eastAsia="宋体" w:hint="default"/>
          <w:sz w:val="21"/>
          <w:szCs w:val="21"/>
        </w:rPr>
      </w:pPr>
    </w:p>
    <w:p>
      <w:pPr>
        <w:pStyle w:val="Heading4"/>
        <w:spacing w:line="240" w:lineRule="auto" w:before="0"/>
        <w:ind w:left="153" w:right="13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154" w:right="133"/>
        <w:jc w:val="left"/>
      </w:pPr>
      <w:r>
        <w:rPr/>
        <w:pict>
          <v:shape style="position:absolute;margin-left:245.460007pt;margin-top:20.015917pt;width:44.9pt;height:50.85pt;mso-position-horizontal-relative:page;mso-position-vertical-relative:paragraph;z-index:-12184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309.299988pt;margin-top:20.015917pt;width:52pt;height:50.85pt;mso-position-horizontal-relative:page;mso-position-vertical-relative:paragraph;z-index:-1218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68"/>
        <w:gridCol w:w="708"/>
        <w:gridCol w:w="852"/>
        <w:gridCol w:w="1274"/>
        <w:gridCol w:w="851"/>
        <w:gridCol w:w="425"/>
        <w:gridCol w:w="852"/>
        <w:gridCol w:w="566"/>
        <w:gridCol w:w="1276"/>
        <w:gridCol w:w="1134"/>
        <w:gridCol w:w="708"/>
        <w:gridCol w:w="568"/>
      </w:tblGrid>
      <w:tr>
        <w:trPr>
          <w:trHeight w:val="1026"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期初 持股 比例</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9" w:firstLine="37"/>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期末 持股 比例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2301137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利多多月 添利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EB4102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BTA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601318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中国平安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49,999,621.98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1,016,168</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716,168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53,504,911.28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3,505,289.30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right"/>
              <w:rPr>
                <w:rFonts w:ascii="宋体" w:hAnsi="宋体" w:cs="宋体" w:eastAsia="宋体" w:hint="default"/>
                <w:sz w:val="18"/>
                <w:szCs w:val="18"/>
              </w:rPr>
            </w:pPr>
            <w:r>
              <w:rPr>
                <w:rFonts w:ascii="宋体" w:hAnsi="宋体" w:cs="宋体" w:eastAsia="宋体" w:hint="default"/>
                <w:sz w:val="18"/>
                <w:szCs w:val="18"/>
              </w:rPr>
              <w:t>购买</w:t>
            </w:r>
          </w:p>
        </w:tc>
      </w:tr>
      <w:tr>
        <w:trPr>
          <w:trHeight w:val="6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11,836,094.98</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1,191,800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18,878,112.00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7,042,017.02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交易性 金融资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8"/>
        <w:gridCol w:w="708"/>
        <w:gridCol w:w="852"/>
        <w:gridCol w:w="1274"/>
        <w:gridCol w:w="851"/>
        <w:gridCol w:w="425"/>
        <w:gridCol w:w="852"/>
        <w:gridCol w:w="566"/>
        <w:gridCol w:w="1276"/>
        <w:gridCol w:w="1134"/>
        <w:gridCol w:w="708"/>
        <w:gridCol w:w="568"/>
      </w:tblGrid>
      <w:tr>
        <w:trPr>
          <w:trHeight w:val="362"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7"/>
              <w:jc w:val="right"/>
              <w:rPr>
                <w:rFonts w:ascii="宋体" w:hAnsi="宋体" w:cs="宋体" w:eastAsia="宋体" w:hint="default"/>
                <w:sz w:val="18"/>
                <w:szCs w:val="18"/>
              </w:rPr>
            </w:pPr>
            <w:r>
              <w:rPr>
                <w:rFonts w:ascii="宋体" w:hAnsi="宋体" w:cs="宋体" w:eastAsia="宋体" w:hint="default"/>
                <w:sz w:val="18"/>
                <w:szCs w:val="18"/>
              </w:rPr>
              <w:t>产</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华谊兄弟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2,386,014.40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135,569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3,020,885.34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634,870.94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300393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中来股份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243,951.94</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14,857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348,248.08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104,296.14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300410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正业科技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170,859.65</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246,075.90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75,216.25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002736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国信证券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37,895.00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603017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园区设计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29,970.00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13,190.00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603889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新澳股份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214,722,357.95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1,016,168</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2,082,729</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226,133,282.60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11,410,924.65</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113"/>
              <w:jc w:val="left"/>
              <w:rPr>
                <w:rFonts w:ascii="宋体" w:hAnsi="宋体" w:cs="宋体" w:eastAsia="宋体" w:hint="default"/>
                <w:sz w:val="18"/>
                <w:szCs w:val="18"/>
              </w:rPr>
            </w:pPr>
            <w:r>
              <w:rPr>
                <w:rFonts w:ascii="宋体" w:hAnsi="宋体" w:cs="宋体" w:eastAsia="宋体" w:hint="default"/>
                <w:sz w:val="18"/>
                <w:szCs w:val="18"/>
              </w:rPr>
              <w:t>证券投资审批董事会公告 披露日期</w:t>
            </w:r>
          </w:p>
        </w:tc>
        <w:tc>
          <w:tcPr>
            <w:tcW w:w="76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2128" w:type="dxa"/>
            <w:gridSpan w:val="3"/>
            <w:vMerge/>
            <w:tcBorders>
              <w:left w:val="single" w:sz="4" w:space="0" w:color="000000"/>
              <w:bottom w:val="single" w:sz="4" w:space="0" w:color="000000"/>
              <w:right w:val="single" w:sz="4" w:space="0" w:color="000000"/>
            </w:tcBorders>
            <w:shd w:val="clear" w:color="auto" w:fill="D3D3D3"/>
          </w:tcPr>
          <w:p>
            <w:pPr/>
          </w:p>
        </w:tc>
        <w:tc>
          <w:tcPr>
            <w:tcW w:w="76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1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证券投资审批股东大会公 告披露日期（如有</w:t>
            </w:r>
            <w:r>
              <w:rPr>
                <w:rFonts w:ascii="Times New Roman" w:hAnsi="Times New Roman" w:cs="Times New Roman" w:eastAsia="Times New Roman" w:hint="default"/>
                <w:sz w:val="18"/>
                <w:szCs w:val="18"/>
              </w:rPr>
              <w:t>)</w:t>
            </w:r>
          </w:p>
        </w:tc>
        <w:tc>
          <w:tcPr>
            <w:tcW w:w="7654" w:type="dxa"/>
            <w:gridSpan w:val="9"/>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88" w:lineRule="auto" w:before="85"/>
        <w:ind w:left="154" w:right="0" w:firstLine="399"/>
        <w:jc w:val="left"/>
        <w:rPr>
          <w:rFonts w:ascii="宋体" w:hAnsi="宋体" w:cs="宋体" w:eastAsia="宋体" w:hint="default"/>
          <w:sz w:val="20"/>
          <w:szCs w:val="20"/>
        </w:rPr>
      </w:pPr>
      <w:r>
        <w:rPr/>
        <w:pict>
          <v:shape style="position:absolute;margin-left:464.100006pt;margin-top:38.550083pt;width:87.75pt;height:32.2pt;mso-position-horizontal-relative:page;mso-position-vertical-relative:paragraph;z-index:-1218424" type="#_x0000_t202" filled="false" stroked="false">
            <v:textbox inset="0,0,0,0">
              <w:txbxContent>
                <w:p>
                  <w:pPr>
                    <w:spacing w:line="240" w:lineRule="auto" w:before="6"/>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pacing w:val="-1"/>
          <w:sz w:val="20"/>
          <w:szCs w:val="20"/>
        </w:rPr>
        <w:t>报告期内，公司子公司上海鸿立通过财通基金管理有限公司管理的“财通基金—兴业银行—上海鸿立股权</w:t>
      </w:r>
      <w:r>
        <w:rPr>
          <w:rFonts w:ascii="宋体" w:hAnsi="宋体" w:cs="宋体" w:eastAsia="宋体" w:hint="default"/>
          <w:w w:val="100"/>
          <w:sz w:val="20"/>
          <w:szCs w:val="20"/>
        </w:rPr>
        <w:t> </w:t>
      </w:r>
      <w:r>
        <w:rPr>
          <w:rFonts w:ascii="宋体" w:hAnsi="宋体" w:cs="宋体" w:eastAsia="宋体" w:hint="default"/>
          <w:sz w:val="20"/>
          <w:szCs w:val="20"/>
        </w:rPr>
        <w:t>投资有限公司”账户参与认购以下上市公司非公开发行的股份：</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816"/>
        <w:gridCol w:w="1042"/>
        <w:gridCol w:w="1404"/>
        <w:gridCol w:w="992"/>
        <w:gridCol w:w="1260"/>
        <w:gridCol w:w="1418"/>
        <w:gridCol w:w="1315"/>
        <w:gridCol w:w="1662"/>
      </w:tblGrid>
      <w:tr>
        <w:trPr>
          <w:trHeight w:val="658" w:hRule="exact"/>
        </w:trPr>
        <w:tc>
          <w:tcPr>
            <w:tcW w:w="81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104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40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9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20"/>
              <w:ind w:left="128" w:right="37" w:hanging="90"/>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12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期末持股数量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3"/>
                <w:sz w:val="18"/>
                <w:szCs w:val="18"/>
              </w:rPr>
              <w:t>期末账面值（元）</w:t>
            </w:r>
            <w:r>
              <w:rPr>
                <w:rFonts w:ascii="宋体" w:hAnsi="宋体" w:cs="宋体" w:eastAsia="宋体" w:hint="default"/>
                <w:sz w:val="18"/>
                <w:szCs w:val="18"/>
              </w:rPr>
            </w:r>
          </w:p>
        </w:tc>
        <w:tc>
          <w:tcPr>
            <w:tcW w:w="131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8"/>
                <w:sz w:val="18"/>
                <w:szCs w:val="18"/>
              </w:rPr>
              <w:t>报告期损益（元</w:t>
            </w:r>
          </w:p>
        </w:tc>
        <w:tc>
          <w:tcPr>
            <w:tcW w:w="16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会计核算科目</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000555</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神州信息</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4,707,549.00</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142,653.00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4,707,549.00</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600077</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宋都股份</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5,000,002.00</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1,052,632.00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5,013,412.24</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13,410.24</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001896</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豫能控股</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5,000,002.48</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554,324.00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5,000,002.48</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8"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000059</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华锦股份</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5,000,002.88</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664,894.00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5,000,002.88</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9"/>
                <w:szCs w:val="19"/>
              </w:rPr>
            </w:pPr>
            <w:r>
              <w:rPr>
                <w:rFonts w:ascii="宋体"/>
                <w:sz w:val="19"/>
              </w:rPr>
              <w:t>002488</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9"/>
                <w:szCs w:val="19"/>
              </w:rPr>
            </w:pPr>
            <w:r>
              <w:rPr>
                <w:rFonts w:ascii="宋体" w:hAnsi="宋体" w:cs="宋体" w:eastAsia="宋体" w:hint="default"/>
                <w:sz w:val="19"/>
                <w:szCs w:val="19"/>
              </w:rPr>
              <w:t>金固股份</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
              <w:jc w:val="right"/>
              <w:rPr>
                <w:rFonts w:ascii="宋体" w:hAnsi="宋体" w:cs="宋体" w:eastAsia="宋体" w:hint="default"/>
                <w:sz w:val="19"/>
                <w:szCs w:val="19"/>
              </w:rPr>
            </w:pPr>
            <w:r>
              <w:rPr>
                <w:rFonts w:ascii="宋体"/>
                <w:w w:val="95"/>
                <w:sz w:val="19"/>
              </w:rPr>
              <w:t>5,000,004.20</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right"/>
              <w:rPr>
                <w:rFonts w:ascii="宋体" w:hAnsi="宋体" w:cs="宋体" w:eastAsia="宋体" w:hint="default"/>
                <w:sz w:val="19"/>
                <w:szCs w:val="19"/>
              </w:rPr>
            </w:pPr>
            <w:r>
              <w:rPr>
                <w:rFonts w:ascii="宋体"/>
                <w:w w:val="95"/>
                <w:sz w:val="19"/>
              </w:rPr>
              <w:t>184,502.00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
              <w:jc w:val="right"/>
              <w:rPr>
                <w:rFonts w:ascii="宋体" w:hAnsi="宋体" w:cs="宋体" w:eastAsia="宋体" w:hint="default"/>
                <w:sz w:val="19"/>
                <w:szCs w:val="19"/>
              </w:rPr>
            </w:pPr>
            <w:r>
              <w:rPr>
                <w:rFonts w:ascii="宋体"/>
                <w:w w:val="95"/>
                <w:sz w:val="19"/>
              </w:rPr>
              <w:t>4,306,276.68</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宋体" w:hAnsi="宋体" w:cs="宋体" w:eastAsia="宋体" w:hint="default"/>
                <w:sz w:val="19"/>
                <w:szCs w:val="19"/>
              </w:rPr>
            </w:pPr>
            <w:r>
              <w:rPr>
                <w:rFonts w:ascii="宋体"/>
                <w:w w:val="95"/>
                <w:sz w:val="19"/>
              </w:rPr>
              <w:t>-693,727.52</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9"/>
                <w:szCs w:val="19"/>
              </w:rPr>
            </w:pPr>
            <w:r>
              <w:rPr>
                <w:rFonts w:ascii="宋体"/>
                <w:sz w:val="19"/>
              </w:rPr>
              <w:t>000669</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9"/>
                <w:szCs w:val="19"/>
              </w:rPr>
            </w:pPr>
            <w:r>
              <w:rPr>
                <w:rFonts w:ascii="宋体" w:hAnsi="宋体" w:cs="宋体" w:eastAsia="宋体" w:hint="default"/>
                <w:sz w:val="19"/>
                <w:szCs w:val="19"/>
              </w:rPr>
              <w:t>金鸿能源</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
              <w:jc w:val="right"/>
              <w:rPr>
                <w:rFonts w:ascii="宋体" w:hAnsi="宋体" w:cs="宋体" w:eastAsia="宋体" w:hint="default"/>
                <w:sz w:val="19"/>
                <w:szCs w:val="19"/>
              </w:rPr>
            </w:pPr>
            <w:r>
              <w:rPr>
                <w:rFonts w:ascii="宋体"/>
                <w:w w:val="95"/>
                <w:sz w:val="19"/>
              </w:rPr>
              <w:t>5,000,003.70</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right"/>
              <w:rPr>
                <w:rFonts w:ascii="宋体" w:hAnsi="宋体" w:cs="宋体" w:eastAsia="宋体" w:hint="default"/>
                <w:sz w:val="19"/>
                <w:szCs w:val="19"/>
              </w:rPr>
            </w:pPr>
            <w:r>
              <w:rPr>
                <w:rFonts w:ascii="宋体"/>
                <w:w w:val="95"/>
                <w:sz w:val="19"/>
              </w:rPr>
              <w:t>236,967.00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
              <w:jc w:val="right"/>
              <w:rPr>
                <w:rFonts w:ascii="宋体" w:hAnsi="宋体" w:cs="宋体" w:eastAsia="宋体" w:hint="default"/>
                <w:sz w:val="19"/>
                <w:szCs w:val="19"/>
              </w:rPr>
            </w:pPr>
            <w:r>
              <w:rPr>
                <w:rFonts w:ascii="宋体"/>
                <w:w w:val="95"/>
                <w:sz w:val="19"/>
              </w:rPr>
              <w:t>5,000,003.70</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002616</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长青集团</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3,460,456.25</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162,845.00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3,460,456.25</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sz w:val="19"/>
              </w:rPr>
              <w:t>600537</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亿晶光电</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4,340,004.00</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39"/>
              <w:jc w:val="right"/>
              <w:rPr>
                <w:rFonts w:ascii="宋体" w:hAnsi="宋体" w:cs="宋体" w:eastAsia="宋体" w:hint="default"/>
                <w:sz w:val="19"/>
                <w:szCs w:val="19"/>
              </w:rPr>
            </w:pPr>
            <w:r>
              <w:rPr>
                <w:rFonts w:ascii="宋体"/>
                <w:w w:val="99"/>
                <w:sz w:val="19"/>
              </w:rPr>
              <w:t>-</w:t>
            </w:r>
            <w:r>
              <w:rPr>
                <w:rFonts w:ascii="宋体"/>
                <w:sz w:val="19"/>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361,667.00</w:t>
            </w:r>
            <w:r>
              <w:rPr>
                <w:rFonts w:ascii="宋体"/>
                <w:sz w:val="19"/>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right"/>
              <w:rPr>
                <w:rFonts w:ascii="宋体" w:hAnsi="宋体" w:cs="宋体" w:eastAsia="宋体" w:hint="default"/>
                <w:sz w:val="19"/>
                <w:szCs w:val="19"/>
              </w:rPr>
            </w:pPr>
            <w:r>
              <w:rPr>
                <w:rFonts w:ascii="宋体"/>
                <w:w w:val="95"/>
                <w:sz w:val="19"/>
              </w:rPr>
              <w:t>4,340,004.00</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9"/>
                <w:szCs w:val="19"/>
              </w:rPr>
            </w:pPr>
            <w:r>
              <w:rPr>
                <w:rFonts w:ascii="宋体"/>
                <w:w w:val="95"/>
                <w:sz w:val="19"/>
              </w:rPr>
              <w:t>0.00</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9"/>
                <w:szCs w:val="19"/>
              </w:rPr>
            </w:pPr>
            <w:r>
              <w:rPr>
                <w:rFonts w:ascii="宋体" w:hAnsi="宋体" w:cs="宋体" w:eastAsia="宋体" w:hint="default"/>
                <w:sz w:val="19"/>
                <w:szCs w:val="19"/>
              </w:rPr>
              <w:t>可供出售金融资产</w:t>
            </w:r>
          </w:p>
        </w:tc>
      </w:tr>
      <w:tr>
        <w:trPr>
          <w:trHeight w:val="348" w:hRule="exact"/>
        </w:trPr>
        <w:tc>
          <w:tcPr>
            <w:tcW w:w="81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合计</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37,508,024.51</w:t>
            </w:r>
            <w:r>
              <w:rPr>
                <w:rFonts w:ascii="宋体"/>
                <w:sz w:val="19"/>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36,827,707.23</w:t>
            </w:r>
            <w:r>
              <w:rPr>
                <w:rFonts w:ascii="宋体"/>
                <w:sz w:val="19"/>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9"/>
                <w:szCs w:val="19"/>
              </w:rPr>
            </w:pPr>
            <w:r>
              <w:rPr>
                <w:rFonts w:ascii="宋体"/>
                <w:w w:val="95"/>
                <w:sz w:val="19"/>
              </w:rPr>
              <w:t>-680,317.28</w:t>
            </w:r>
            <w:r>
              <w:rPr>
                <w:rFonts w:ascii="宋体"/>
                <w:sz w:val="19"/>
              </w:rPr>
            </w:r>
          </w:p>
        </w:tc>
        <w:tc>
          <w:tcPr>
            <w:tcW w:w="16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740"/>
        </w:sectPr>
      </w:pP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980"/>
        </w:sectPr>
      </w:pPr>
    </w:p>
    <w:p>
      <w:pPr>
        <w:pStyle w:val="Heading5"/>
        <w:spacing w:line="240" w:lineRule="auto" w:before="2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92" w:space="6747"/>
            <w:col w:w="12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8"/>
        <w:gridCol w:w="796"/>
        <w:gridCol w:w="815"/>
        <w:gridCol w:w="797"/>
        <w:gridCol w:w="798"/>
        <w:gridCol w:w="796"/>
        <w:gridCol w:w="798"/>
        <w:gridCol w:w="796"/>
        <w:gridCol w:w="798"/>
        <w:gridCol w:w="797"/>
        <w:gridCol w:w="784"/>
      </w:tblGrid>
      <w:tr>
        <w:trPr>
          <w:trHeight w:val="810"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304" w:right="35"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12"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32" w:right="31"/>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47"/>
              <w:jc w:val="both"/>
              <w:rPr>
                <w:rFonts w:ascii="宋体" w:hAnsi="宋体" w:cs="宋体" w:eastAsia="宋体" w:hint="default"/>
                <w:sz w:val="18"/>
                <w:szCs w:val="18"/>
              </w:rPr>
            </w:pPr>
            <w:r>
              <w:rPr>
                <w:rFonts w:ascii="宋体" w:hAnsi="宋体" w:cs="宋体" w:eastAsia="宋体" w:hint="default"/>
                <w:sz w:val="18"/>
                <w:szCs w:val="18"/>
              </w:rPr>
              <w:t>招商财富 资产管理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60"/>
              <w:jc w:val="left"/>
              <w:rPr>
                <w:rFonts w:ascii="宋体" w:hAnsi="宋体" w:cs="宋体" w:eastAsia="宋体" w:hint="default"/>
                <w:sz w:val="18"/>
                <w:szCs w:val="18"/>
              </w:rPr>
            </w:pPr>
            <w:r>
              <w:rPr>
                <w:rFonts w:ascii="宋体" w:hAnsi="宋体" w:cs="宋体" w:eastAsia="宋体" w:hint="default"/>
                <w:sz w:val="18"/>
                <w:szCs w:val="18"/>
              </w:rPr>
              <w:t>资产管理 计划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3"/>
              <w:jc w:val="right"/>
              <w:rPr>
                <w:rFonts w:ascii="宋体" w:hAnsi="宋体" w:cs="宋体" w:eastAsia="宋体" w:hint="default"/>
                <w:sz w:val="18"/>
                <w:szCs w:val="18"/>
              </w:rPr>
            </w:pPr>
            <w:r>
              <w:rPr>
                <w:rFonts w:ascii="宋体"/>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14"/>
                <w:sz w:val="18"/>
                <w:szCs w:val="18"/>
              </w:rPr>
              <w:t>01月</w:t>
            </w:r>
            <w:r>
              <w:rPr>
                <w:rFonts w:ascii="宋体" w:hAnsi="宋体" w:cs="宋体" w:eastAsia="宋体" w:hint="default"/>
                <w:spacing w:val="-44"/>
                <w:sz w:val="18"/>
                <w:szCs w:val="18"/>
              </w:rPr>
              <w:t> </w:t>
            </w:r>
            <w:r>
              <w:rPr>
                <w:rFonts w:ascii="宋体" w:hAnsi="宋体" w:cs="宋体" w:eastAsia="宋体" w:hint="default"/>
                <w:sz w:val="18"/>
                <w:szCs w:val="18"/>
              </w:rPr>
              <w:t>21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3"/>
              <w:jc w:val="both"/>
              <w:rPr>
                <w:rFonts w:ascii="宋体" w:hAnsi="宋体" w:cs="宋体" w:eastAsia="宋体" w:hint="default"/>
                <w:sz w:val="18"/>
                <w:szCs w:val="18"/>
              </w:rPr>
            </w:pPr>
            <w:r>
              <w:rPr>
                <w:rFonts w:ascii="宋体" w:hAnsi="宋体" w:cs="宋体" w:eastAsia="宋体" w:hint="default"/>
                <w:sz w:val="18"/>
                <w:szCs w:val="18"/>
              </w:rPr>
              <w:t>到期一次 性返还本 金和产品 收益</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3"/>
              <w:jc w:val="right"/>
              <w:rPr>
                <w:rFonts w:ascii="宋体" w:hAnsi="宋体" w:cs="宋体" w:eastAsia="宋体" w:hint="default"/>
                <w:sz w:val="18"/>
                <w:szCs w:val="18"/>
              </w:rPr>
            </w:pPr>
            <w:r>
              <w:rPr>
                <w:rFonts w:ascii="宋体"/>
                <w:sz w:val="18"/>
              </w:rPr>
              <w:t>66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0</w:t>
            </w:r>
          </w:p>
        </w:tc>
      </w:tr>
      <w:tr>
        <w:trPr>
          <w:trHeight w:val="10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47"/>
              <w:jc w:val="both"/>
              <w:rPr>
                <w:rFonts w:ascii="宋体" w:hAnsi="宋体" w:cs="宋体" w:eastAsia="宋体" w:hint="default"/>
                <w:sz w:val="18"/>
                <w:szCs w:val="18"/>
              </w:rPr>
            </w:pPr>
            <w:r>
              <w:rPr>
                <w:rFonts w:ascii="宋体" w:hAnsi="宋体" w:cs="宋体" w:eastAsia="宋体" w:hint="default"/>
                <w:sz w:val="18"/>
                <w:szCs w:val="18"/>
              </w:rPr>
              <w:t>中融国际 信托有限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3"/>
              <w:jc w:val="right"/>
              <w:rPr>
                <w:rFonts w:ascii="宋体" w:hAnsi="宋体" w:cs="宋体" w:eastAsia="宋体" w:hint="default"/>
                <w:sz w:val="18"/>
                <w:szCs w:val="18"/>
              </w:rPr>
            </w:pPr>
            <w:r>
              <w:rPr>
                <w:rFonts w:ascii="宋体"/>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14"/>
                <w:sz w:val="18"/>
                <w:szCs w:val="18"/>
              </w:rPr>
              <w:t>03月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3"/>
              <w:jc w:val="both"/>
              <w:rPr>
                <w:rFonts w:ascii="宋体" w:hAnsi="宋体" w:cs="宋体" w:eastAsia="宋体" w:hint="default"/>
                <w:sz w:val="18"/>
                <w:szCs w:val="18"/>
              </w:rPr>
            </w:pPr>
            <w:r>
              <w:rPr>
                <w:rFonts w:ascii="宋体" w:hAnsi="宋体" w:cs="宋体" w:eastAsia="宋体" w:hint="default"/>
                <w:sz w:val="18"/>
                <w:szCs w:val="18"/>
              </w:rPr>
              <w:t>到期一次 性返还本 金和产品 收益</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3"/>
              <w:jc w:val="right"/>
              <w:rPr>
                <w:rFonts w:ascii="宋体" w:hAnsi="宋体" w:cs="宋体" w:eastAsia="宋体" w:hint="default"/>
                <w:sz w:val="18"/>
                <w:szCs w:val="18"/>
              </w:rPr>
            </w:pPr>
            <w:r>
              <w:rPr>
                <w:rFonts w:ascii="宋体"/>
                <w:sz w:val="18"/>
              </w:rPr>
              <w:t>69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2"/>
        <w:rPr>
          <w:rFonts w:ascii="宋体" w:hAnsi="宋体" w:cs="宋体" w:eastAsia="宋体" w:hint="default"/>
          <w:b/>
          <w:bCs/>
          <w:sz w:val="21"/>
          <w:szCs w:val="21"/>
        </w:rPr>
      </w:pPr>
    </w:p>
    <w:p>
      <w:pPr>
        <w:pStyle w:val="Heading5"/>
        <w:spacing w:line="300" w:lineRule="exact" w:before="0"/>
        <w:ind w:left="154" w:right="6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公司报告期不存在衍生品投资。</w:t>
      </w:r>
    </w:p>
    <w:p>
      <w:pPr>
        <w:spacing w:line="240" w:lineRule="auto" w:before="5"/>
        <w:rPr>
          <w:rFonts w:ascii="宋体" w:hAnsi="宋体" w:cs="宋体" w:eastAsia="宋体" w:hint="default"/>
          <w:sz w:val="19"/>
          <w:szCs w:val="19"/>
        </w:rPr>
      </w:pPr>
    </w:p>
    <w:p>
      <w:pPr>
        <w:pStyle w:val="Heading4"/>
        <w:spacing w:line="240" w:lineRule="auto" w:before="0"/>
        <w:ind w:left="153"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1"/>
          <w:szCs w:val="21"/>
        </w:rPr>
      </w:pPr>
    </w:p>
    <w:p>
      <w:pPr>
        <w:pStyle w:val="Heading5"/>
        <w:spacing w:line="320" w:lineRule="exact" w:before="0"/>
        <w:ind w:left="154" w:right="6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after="0" w:line="320" w:lineRule="exact"/>
        <w:jc w:val="left"/>
        <w:sectPr>
          <w:type w:val="continuous"/>
          <w:pgSz w:w="11910" w:h="16840"/>
          <w:pgMar w:top="1060" w:bottom="1180" w:left="980" w:right="980"/>
        </w:sectPr>
      </w:pPr>
    </w:p>
    <w:p>
      <w:pPr>
        <w:spacing w:before="17"/>
        <w:ind w:left="0" w:right="899"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4"/>
        <w:spacing w:line="240" w:lineRule="auto"/>
        <w:ind w:left="679"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13"/>
          <w:footerReference w:type="default" r:id="rId14"/>
          <w:pgSz w:w="16840" w:h="11910" w:orient="landscape"/>
          <w:pgMar w:header="0" w:footer="0" w:top="800" w:bottom="280" w:left="760" w:right="540"/>
        </w:sectPr>
      </w:pPr>
    </w:p>
    <w:p>
      <w:pPr>
        <w:pStyle w:val="Heading5"/>
        <w:spacing w:line="254" w:lineRule="auto" w:before="26"/>
        <w:ind w:left="679"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before="0"/>
        <w:ind w:left="67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760" w:right="540"/>
          <w:cols w:num="2" w:equalWidth="0">
            <w:col w:w="3560" w:space="9678"/>
            <w:col w:w="2302"/>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52"/>
        <w:gridCol w:w="892"/>
        <w:gridCol w:w="1093"/>
        <w:gridCol w:w="3218"/>
        <w:gridCol w:w="1417"/>
        <w:gridCol w:w="1702"/>
        <w:gridCol w:w="1560"/>
        <w:gridCol w:w="1559"/>
        <w:gridCol w:w="1559"/>
        <w:gridCol w:w="1458"/>
      </w:tblGrid>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3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4"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拥有《证券时报》经营业务的独家经营权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883,287,799.73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443,543,518.43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492,327,814.95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112,336,434.21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82,925,619.66</w:t>
            </w:r>
          </w:p>
        </w:tc>
      </w:tr>
      <w:tr>
        <w:trPr>
          <w:trHeight w:val="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5"/>
                <w:sz w:val="18"/>
                <w:szCs w:val="18"/>
              </w:rPr>
              <w:t>取得独家代理经营《华商报》等媒体的广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告、发行、印刷与纸张采购业务的权利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200,000,000.00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3,043,623,700.38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1,768,677,098.41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2,144,225,654.58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744,420,509.92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454,688,217.82</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燃气供应业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管道燃气的生产和销售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1,181,292,720.62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703,228,108.90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629,677,539.43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45,159,378.15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37,710,412.91</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589,211,616.03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567,170,512.33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11,266,203.40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-572,598.13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1,548,280.40</w:t>
            </w:r>
          </w:p>
        </w:tc>
      </w:tr>
      <w:tr>
        <w:trPr>
          <w:trHeight w:val="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拥有国际台在国内三套广播频率广告经 营业务的独家经营权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193,041,018.73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179,643,058.02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142,435,623.35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90,241,635.85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73,000,008.04</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留学咨询服务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209,382,329.75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145,350,996.65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217,045,074.89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75,073,779.68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64,645,676.09</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117,647,058.80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885,736,460.10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364,502,167.39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476,138,783.86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87,230,239.76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73,800,182.12</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广告的设计、制作、代理、发布等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1,626,314,532.62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800,950,543.46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664,061,564.32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463,905,674.89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344,901,039.75</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视频业务运营管理服务业务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122,097,863.82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49,148,850.59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209,561,259.69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27,259,037.21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20,280,669.09</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运营商视频的内容分销及推广业务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242,435,211.87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231,790,143.97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211,845,326.62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137,874,650.69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103,631,523.68</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楼宇广告服务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150,269,776.12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129,869,213.72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165,518,563.40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61,779,112.34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65,199,442.71</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舆情监测、舆情管理服务业务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121,333,314.95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104,904,907.93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106,619,637.44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58,323,027.96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52,073,685.57</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动漫服务业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动漫产品销售及动漫服务业务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177,974,366.04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137,288,100.71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153,639,036.79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29,376,955.85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32,051,367.61</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互联网电视服务业务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101,840,000.00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139,041,156.99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105,515,104.01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8,790,402.49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-53,104,337.99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-50,060,313.47</w:t>
            </w:r>
          </w:p>
        </w:tc>
      </w:tr>
    </w:tbl>
    <w:p>
      <w:pPr>
        <w:pStyle w:val="Heading5"/>
        <w:spacing w:line="240" w:lineRule="auto" w:before="1"/>
        <w:ind w:left="679" w:right="0"/>
        <w:jc w:val="left"/>
      </w:pPr>
      <w:r>
        <w:rPr/>
        <w:t>主要子公司、参股公司情况说明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76"/>
        <w:ind w:left="0" w:right="899" w:firstLine="0"/>
        <w:jc w:val="right"/>
        <w:rPr>
          <w:rFonts w:ascii="Times New Roman" w:hAnsi="Times New Roman" w:cs="Times New Roman" w:eastAsia="Times New Roman" w:hint="default"/>
          <w:sz w:val="18"/>
          <w:szCs w:val="18"/>
        </w:rPr>
      </w:pPr>
      <w:r>
        <w:rPr>
          <w:rFonts w:ascii="Times New Roman"/>
          <w:sz w:val="18"/>
        </w:rPr>
        <w:t>27</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760" w:right="540"/>
        </w:sectPr>
      </w:pPr>
    </w:p>
    <w:p>
      <w:pPr>
        <w:spacing w:line="240" w:lineRule="auto" w:before="0"/>
        <w:rPr>
          <w:rFonts w:ascii="Times New Roman" w:hAnsi="Times New Roman" w:cs="Times New Roman" w:eastAsia="Times New Roman" w:hint="default"/>
          <w:sz w:val="20"/>
          <w:szCs w:val="20"/>
        </w:rPr>
      </w:pPr>
    </w:p>
    <w:p>
      <w:pPr>
        <w:pStyle w:val="Heading5"/>
        <w:spacing w:line="304" w:lineRule="auto" w:before="183"/>
        <w:ind w:left="154" w:right="133" w:firstLine="480"/>
        <w:jc w:val="left"/>
      </w:pPr>
      <w:r>
        <w:rPr>
          <w:spacing w:val="-6"/>
        </w:rPr>
        <w:t>（1）时报传媒</w:t>
      </w:r>
      <w:r>
        <w:rPr>
          <w:spacing w:val="-59"/>
        </w:rPr>
        <w:t> </w:t>
      </w:r>
      <w:r>
        <w:rPr/>
        <w:t>2014</w:t>
      </w:r>
      <w:r>
        <w:rPr>
          <w:spacing w:val="-59"/>
        </w:rPr>
        <w:t> </w:t>
      </w:r>
      <w:r>
        <w:rPr/>
        <w:t>年度实现合并归属于母公司所有者的净利润为</w:t>
      </w:r>
      <w:r>
        <w:rPr>
          <w:spacing w:val="-59"/>
        </w:rPr>
        <w:t> </w:t>
      </w:r>
      <w:r>
        <w:rPr/>
        <w:t>8,292.56</w:t>
      </w:r>
      <w:r>
        <w:rPr>
          <w:spacing w:val="-59"/>
        </w:rPr>
        <w:t> </w:t>
      </w:r>
      <w:r>
        <w:rPr>
          <w:spacing w:val="-9"/>
        </w:rPr>
        <w:t>万元，同比</w:t>
      </w:r>
      <w:r>
        <w:rPr/>
        <w:t> 增长</w:t>
      </w:r>
      <w:r>
        <w:rPr>
          <w:spacing w:val="-60"/>
        </w:rPr>
        <w:t> </w:t>
      </w:r>
      <w:r>
        <w:rPr/>
        <w:t>54.86%，主要是主板、中小板、创业板新发行及再融资收入增加所致。</w:t>
      </w:r>
    </w:p>
    <w:p>
      <w:pPr>
        <w:pStyle w:val="Heading5"/>
        <w:spacing w:line="240" w:lineRule="auto" w:before="22"/>
        <w:ind w:left="634" w:right="0"/>
        <w:jc w:val="left"/>
      </w:pPr>
      <w:r>
        <w:rPr/>
        <w:t>（2）华商传媒</w:t>
      </w:r>
      <w:r>
        <w:rPr>
          <w:spacing w:val="-51"/>
        </w:rPr>
        <w:t> </w:t>
      </w:r>
      <w:r>
        <w:rPr/>
        <w:t>2014</w:t>
      </w:r>
      <w:r>
        <w:rPr>
          <w:spacing w:val="-51"/>
        </w:rPr>
        <w:t> </w:t>
      </w:r>
      <w:r>
        <w:rPr/>
        <w:t>年度实现合并归属于母公司所有者的净利润为</w:t>
      </w:r>
      <w:r>
        <w:rPr>
          <w:spacing w:val="-51"/>
        </w:rPr>
        <w:t> </w:t>
      </w:r>
      <w:r>
        <w:rPr/>
        <w:t>45,468.82</w:t>
      </w:r>
      <w:r>
        <w:rPr>
          <w:spacing w:val="-51"/>
        </w:rPr>
        <w:t> </w:t>
      </w:r>
      <w:r>
        <w:rPr/>
        <w:t>万元，同</w:t>
      </w:r>
    </w:p>
    <w:p>
      <w:pPr>
        <w:pStyle w:val="Heading5"/>
        <w:spacing w:line="240" w:lineRule="auto" w:before="85"/>
        <w:ind w:left="154" w:right="0"/>
        <w:jc w:val="both"/>
      </w:pPr>
      <w:r>
        <w:rPr/>
        <w:t>比减少</w:t>
      </w:r>
      <w:r>
        <w:rPr>
          <w:spacing w:val="-41"/>
        </w:rPr>
        <w:t> </w:t>
      </w:r>
      <w:r>
        <w:rPr/>
        <w:t>30.04%，主要是</w:t>
      </w:r>
      <w:r>
        <w:rPr>
          <w:spacing w:val="-41"/>
        </w:rPr>
        <w:t> </w:t>
      </w:r>
      <w:r>
        <w:rPr/>
        <w:t>2013</w:t>
      </w:r>
      <w:r>
        <w:rPr>
          <w:spacing w:val="-41"/>
        </w:rPr>
        <w:t> </w:t>
      </w:r>
      <w:r>
        <w:rPr/>
        <w:t>年华商传媒处置其持有的三六五网股份</w:t>
      </w:r>
      <w:r>
        <w:rPr>
          <w:spacing w:val="-41"/>
        </w:rPr>
        <w:t> </w:t>
      </w:r>
      <w:r>
        <w:rPr/>
        <w:t>6,209,316</w:t>
      </w:r>
      <w:r>
        <w:rPr>
          <w:spacing w:val="-41"/>
        </w:rPr>
        <w:t> </w:t>
      </w:r>
      <w:r>
        <w:rPr/>
        <w:t>股获得投资</w:t>
      </w:r>
    </w:p>
    <w:p>
      <w:pPr>
        <w:pStyle w:val="Heading5"/>
        <w:spacing w:line="240" w:lineRule="auto" w:before="85"/>
        <w:ind w:left="154" w:right="0"/>
        <w:jc w:val="both"/>
      </w:pPr>
      <w:r>
        <w:rPr/>
        <w:t>收益</w:t>
      </w:r>
      <w:r>
        <w:rPr>
          <w:spacing w:val="-60"/>
        </w:rPr>
        <w:t> </w:t>
      </w:r>
      <w:r>
        <w:rPr/>
        <w:t>31,279.97</w:t>
      </w:r>
      <w:r>
        <w:rPr>
          <w:spacing w:val="-60"/>
        </w:rPr>
        <w:t> </w:t>
      </w:r>
      <w:r>
        <w:rPr/>
        <w:t>万元。</w:t>
      </w:r>
    </w:p>
    <w:p>
      <w:pPr>
        <w:pStyle w:val="Heading5"/>
        <w:spacing w:line="304" w:lineRule="auto" w:before="86"/>
        <w:ind w:left="154" w:right="133" w:firstLine="480"/>
        <w:jc w:val="left"/>
      </w:pPr>
      <w:r>
        <w:rPr>
          <w:spacing w:val="-6"/>
        </w:rPr>
        <w:t>（3）民生燃气</w:t>
      </w:r>
      <w:r>
        <w:rPr>
          <w:spacing w:val="-59"/>
        </w:rPr>
        <w:t> </w:t>
      </w:r>
      <w:r>
        <w:rPr/>
        <w:t>2014</w:t>
      </w:r>
      <w:r>
        <w:rPr>
          <w:spacing w:val="-59"/>
        </w:rPr>
        <w:t> </w:t>
      </w:r>
      <w:r>
        <w:rPr/>
        <w:t>年度实现合并归属于母公司所有者的净利润为</w:t>
      </w:r>
      <w:r>
        <w:rPr>
          <w:spacing w:val="-59"/>
        </w:rPr>
        <w:t> </w:t>
      </w:r>
      <w:r>
        <w:rPr/>
        <w:t>3,771.04</w:t>
      </w:r>
      <w:r>
        <w:rPr>
          <w:spacing w:val="-59"/>
        </w:rPr>
        <w:t> </w:t>
      </w:r>
      <w:r>
        <w:rPr>
          <w:spacing w:val="-9"/>
        </w:rPr>
        <w:t>万元，同比</w:t>
      </w:r>
      <w:r>
        <w:rPr/>
        <w:t> 减少</w:t>
      </w:r>
      <w:r>
        <w:rPr>
          <w:spacing w:val="-60"/>
        </w:rPr>
        <w:t> </w:t>
      </w:r>
      <w:r>
        <w:rPr/>
        <w:t>32.35%，主要是管道天然气、燃气管网施工及安装成本增加所致。</w:t>
      </w:r>
    </w:p>
    <w:p>
      <w:pPr>
        <w:pStyle w:val="Heading5"/>
        <w:spacing w:line="240" w:lineRule="auto" w:before="60"/>
        <w:ind w:left="634" w:right="0"/>
        <w:jc w:val="left"/>
      </w:pPr>
      <w:r>
        <w:rPr>
          <w:spacing w:val="3"/>
        </w:rPr>
        <w:t>（4）报告期内，国广控股及本公司分别累计同比例对国广东方增资 </w:t>
      </w:r>
      <w:r>
        <w:rPr/>
        <w:t>3,442.20</w:t>
      </w:r>
      <w:r>
        <w:rPr>
          <w:spacing w:val="32"/>
        </w:rPr>
        <w:t> </w:t>
      </w:r>
      <w:r>
        <w:rPr>
          <w:spacing w:val="2"/>
        </w:rPr>
        <w:t>万元及</w:t>
      </w:r>
    </w:p>
    <w:p>
      <w:pPr>
        <w:pStyle w:val="Heading5"/>
        <w:spacing w:line="240" w:lineRule="auto" w:before="86"/>
        <w:ind w:right="0"/>
        <w:jc w:val="both"/>
      </w:pPr>
      <w:r>
        <w:rPr/>
        <w:t>2,724.50</w:t>
      </w:r>
      <w:r>
        <w:rPr>
          <w:spacing w:val="1"/>
        </w:rPr>
        <w:t> 万元，并引入拥有“优酷网</w:t>
      </w:r>
      <w:r>
        <w:rPr>
          <w:spacing w:val="-119"/>
        </w:rPr>
        <w:t>”</w:t>
      </w:r>
      <w:hyperlink r:id="rId16">
        <w:r>
          <w:rPr/>
          <w:t>（http://youku.co</w:t>
        </w:r>
      </w:hyperlink>
      <w:r>
        <w:rPr>
          <w:spacing w:val="1"/>
        </w:rPr>
        <w:t>m）实际经营权和所有权的</w:t>
      </w:r>
      <w:r>
        <w:rPr>
          <w:spacing w:val="2"/>
        </w:rPr>
        <w:t>合一</w:t>
      </w:r>
      <w:r>
        <w:rPr/>
        <w:t>信</w:t>
      </w:r>
    </w:p>
    <w:p>
      <w:pPr>
        <w:pStyle w:val="Heading5"/>
        <w:spacing w:line="304" w:lineRule="auto" w:before="85"/>
        <w:ind w:right="148"/>
        <w:jc w:val="both"/>
      </w:pPr>
      <w:r>
        <w:rPr>
          <w:spacing w:val="-10"/>
        </w:rPr>
        <w:t>息技术（北京）有限公司（以下简称“合一信息”），合一信息累计增资</w:t>
      </w:r>
      <w:r>
        <w:rPr>
          <w:spacing w:val="-58"/>
        </w:rPr>
        <w:t> </w:t>
      </w:r>
      <w:r>
        <w:rPr>
          <w:spacing w:val="-1"/>
        </w:rPr>
        <w:t>5,833.30</w:t>
      </w:r>
      <w:r>
        <w:rPr>
          <w:spacing w:val="-58"/>
        </w:rPr>
        <w:t> </w:t>
      </w:r>
      <w:r>
        <w:rPr>
          <w:spacing w:val="-4"/>
        </w:rPr>
        <w:t>万元，增资</w:t>
      </w:r>
      <w:r>
        <w:rPr>
          <w:spacing w:val="-1"/>
        </w:rPr>
        <w:t> </w:t>
      </w:r>
      <w:r>
        <w:rPr/>
        <w:t>后持股比例为：国广控股占 46.5162%股权,本公司占 36.8171%股权,合一信息占</w:t>
      </w:r>
      <w:r>
        <w:rPr>
          <w:spacing w:val="-84"/>
        </w:rPr>
        <w:t> </w:t>
      </w:r>
      <w:r>
        <w:rPr/>
        <w:t>16.6667%股</w:t>
      </w:r>
      <w:r>
        <w:rPr/>
        <w:t> 权。本次国广东方引进战略投资者合一信息，目的是引进合一信息的战略资源，借力发展，</w:t>
      </w:r>
      <w:r>
        <w:rPr>
          <w:spacing w:val="-83"/>
        </w:rPr>
        <w:t> </w:t>
      </w:r>
      <w:r>
        <w:rPr>
          <w:spacing w:val="-83"/>
        </w:rPr>
      </w:r>
      <w:r>
        <w:rPr/>
        <w:t>强强联合，合作共赢。合一信息将对国广东方现有内容资源和技术能力进行补充，有利于强</w:t>
      </w:r>
      <w:r>
        <w:rPr>
          <w:spacing w:val="-83"/>
        </w:rPr>
        <w:t> </w:t>
      </w:r>
      <w:r>
        <w:rPr>
          <w:spacing w:val="-83"/>
        </w:rPr>
      </w:r>
      <w:r>
        <w:rPr/>
        <w:t>化国广东方产品设计、内容形态和用户运营能力。</w:t>
      </w:r>
    </w:p>
    <w:p>
      <w:pPr>
        <w:spacing w:line="240" w:lineRule="auto" w:before="8"/>
        <w:rPr>
          <w:rFonts w:ascii="宋体" w:hAnsi="宋体" w:cs="宋体" w:eastAsia="宋体" w:hint="default"/>
          <w:sz w:val="25"/>
          <w:szCs w:val="25"/>
        </w:rPr>
      </w:pPr>
    </w:p>
    <w:p>
      <w:pPr>
        <w:pStyle w:val="Heading5"/>
        <w:spacing w:line="240" w:lineRule="auto" w:before="0"/>
        <w:ind w:left="154" w:right="0"/>
        <w:jc w:val="both"/>
      </w:pPr>
      <w:r>
        <w:rPr/>
        <w:t>报告期内取得和处置子公司的情况</w:t>
      </w:r>
    </w:p>
    <w:p>
      <w:pPr>
        <w:pStyle w:val="Heading5"/>
        <w:spacing w:line="240" w:lineRule="auto" w:before="3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94"/>
        <w:gridCol w:w="3402"/>
        <w:gridCol w:w="2693"/>
        <w:gridCol w:w="2392"/>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进一步发展壮大主业，提高公司资产质量与</w:t>
            </w:r>
            <w:r>
              <w:rPr>
                <w:rFonts w:ascii="宋体" w:hAnsi="宋体" w:cs="宋体" w:eastAsia="宋体" w:hint="default"/>
                <w:sz w:val="18"/>
                <w:szCs w:val="18"/>
              </w:rPr>
              <w:t> 价值，增强公司持续盈利能力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以现金购买国视上海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有利于公司在新的媒体领域 的拓展，提高公司的盈利能力</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改善公司的财务状况，提高公司的盈利能力</w:t>
            </w:r>
            <w:r>
              <w:rPr>
                <w:rFonts w:ascii="宋体" w:hAnsi="宋体" w:cs="宋体" w:eastAsia="宋体" w:hint="default"/>
                <w:sz w:val="18"/>
                <w:szCs w:val="18"/>
              </w:rPr>
              <w:t> 与可持续发展能力，实现公司转型战略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以非公开发行股份并支付现金的 方式购买掌视亿通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有利于公司在新的媒体领域 的拓展，提高公司的盈利能力</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改善公司的财务状况，提高公司的盈利能力</w:t>
            </w:r>
            <w:r>
              <w:rPr>
                <w:rFonts w:ascii="宋体" w:hAnsi="宋体" w:cs="宋体" w:eastAsia="宋体" w:hint="default"/>
                <w:sz w:val="18"/>
                <w:szCs w:val="18"/>
              </w:rPr>
              <w:t> 与可持续发展能力，实现公司转型战略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以非公开发行股份并支付现金的 方式购买精视文化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有利于公司在新的媒体领域 的拓展，提高公司的盈利能力</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改善公司的财务状况，提高公司的盈利能力</w:t>
            </w:r>
            <w:r>
              <w:rPr>
                <w:rFonts w:ascii="宋体" w:hAnsi="宋体" w:cs="宋体" w:eastAsia="宋体" w:hint="default"/>
                <w:sz w:val="18"/>
                <w:szCs w:val="18"/>
              </w:rPr>
              <w:t> 与可持续发展能力，实现公司转型战略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以非公开发行股份并支付现金的 方式购买邦富软件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有利于公司在新的媒体领域 的拓展，提高公司的盈利能力</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改善公司的财务状况，提高公司的盈利能力</w:t>
            </w:r>
            <w:r>
              <w:rPr>
                <w:rFonts w:ascii="宋体" w:hAnsi="宋体" w:cs="宋体" w:eastAsia="宋体" w:hint="default"/>
                <w:sz w:val="18"/>
                <w:szCs w:val="18"/>
              </w:rPr>
              <w:t> 与可持续发展能力，实现公司转型战略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以非公开发行股份并支付现金的 方式购买漫友文化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85.61%</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有利于公司在新的媒体领域 的拓展，提高公司的盈利能力</w:t>
            </w:r>
          </w:p>
        </w:tc>
      </w:tr>
      <w:tr>
        <w:trPr>
          <w:trHeight w:val="358" w:hRule="exact"/>
        </w:trPr>
        <w:tc>
          <w:tcPr>
            <w:tcW w:w="99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出售股权对公司业务连续性、</w:t>
            </w:r>
          </w:p>
        </w:tc>
      </w:tr>
      <w:tr>
        <w:trPr>
          <w:trHeight w:val="629"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长流公司</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为了重点发展传媒主业</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公开挂牌转让长流公司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管理层稳定性没有影响，报告 期内获得投资收益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22,551.36</w:t>
            </w:r>
          </w:p>
        </w:tc>
      </w:tr>
      <w:tr>
        <w:trPr>
          <w:trHeight w:val="352" w:hRule="exact"/>
        </w:trPr>
        <w:tc>
          <w:tcPr>
            <w:tcW w:w="99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footerReference w:type="default" r:id="rId15"/>
          <w:pgSz w:w="11910" w:h="16840"/>
          <w:pgMar w:footer="982" w:header="0" w:top="1060" w:bottom="1180" w:left="980" w:right="980"/>
          <w:pgNumType w:start="28"/>
        </w:sectPr>
      </w:pPr>
    </w:p>
    <w:p>
      <w:pPr>
        <w:pStyle w:val="Heading5"/>
        <w:spacing w:line="240" w:lineRule="auto" w:before="2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92" w:space="6747"/>
            <w:col w:w="121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904"/>
        <w:gridCol w:w="1702"/>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8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58" w:hRule="exact"/>
        </w:trPr>
        <w:tc>
          <w:tcPr>
            <w:tcW w:w="119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在巨潮网上披露的</w:t>
            </w:r>
          </w:p>
        </w:tc>
      </w:tr>
      <w:tr>
        <w:trPr>
          <w:trHeight w:val="625"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华商传媒文化 中心项目</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41,175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12,434.92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21,045.79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2" w:right="0"/>
              <w:jc w:val="left"/>
              <w:rPr>
                <w:rFonts w:ascii="宋体" w:hAnsi="宋体" w:cs="宋体" w:eastAsia="宋体" w:hint="default"/>
                <w:sz w:val="18"/>
                <w:szCs w:val="18"/>
              </w:rPr>
            </w:pPr>
            <w:r>
              <w:rPr>
                <w:rFonts w:ascii="宋体"/>
                <w:sz w:val="18"/>
              </w:rPr>
              <w:t>43.62%</w:t>
            </w:r>
          </w:p>
        </w:tc>
        <w:tc>
          <w:tcPr>
            <w:tcW w:w="1196" w:type="dxa"/>
            <w:vMerge/>
            <w:tcBorders>
              <w:left w:val="single" w:sz="4" w:space="0" w:color="000000"/>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《第六届董事会第六 </w:t>
            </w:r>
            <w:r>
              <w:rPr>
                <w:rFonts w:ascii="宋体" w:hAnsi="宋体" w:cs="宋体" w:eastAsia="宋体" w:hint="default"/>
                <w:spacing w:val="-16"/>
                <w:sz w:val="18"/>
                <w:szCs w:val="18"/>
              </w:rPr>
              <w:t>次会议决议公告》（公</w:t>
            </w:r>
          </w:p>
        </w:tc>
      </w:tr>
      <w:tr>
        <w:trPr>
          <w:trHeight w:val="355" w:hRule="exact"/>
        </w:trPr>
        <w:tc>
          <w:tcPr>
            <w:tcW w:w="119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告编号：2013-078）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12,434.92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21,045.79</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4"/>
        <w:spacing w:line="240" w:lineRule="auto"/>
        <w:ind w:right="133"/>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4"/>
        <w:rPr>
          <w:rFonts w:ascii="宋体" w:hAnsi="宋体" w:cs="宋体" w:eastAsia="宋体" w:hint="default"/>
          <w:b/>
          <w:bCs/>
          <w:sz w:val="21"/>
          <w:szCs w:val="21"/>
        </w:rPr>
      </w:pPr>
    </w:p>
    <w:p>
      <w:pPr>
        <w:pStyle w:val="Heading5"/>
        <w:spacing w:line="240" w:lineRule="auto" w:before="0"/>
        <w:ind w:right="291"/>
        <w:jc w:val="left"/>
      </w:pPr>
      <w:r>
        <w:rPr/>
        <w:t>预测年初至下一报告期期末的累计净利润可能为亏损或者与上年同期相比发生大幅度变动的 警示及原因说明</w:t>
      </w:r>
    </w:p>
    <w:p>
      <w:pPr>
        <w:pStyle w:val="Heading5"/>
        <w:spacing w:line="261" w:lineRule="auto" w:before="38"/>
        <w:ind w:right="6531"/>
        <w:jc w:val="left"/>
      </w:pPr>
      <w:r>
        <w:rPr/>
        <w:pict>
          <v:shape style="position:absolute;margin-left:137.700302pt;margin-top:77.175941pt;width:82.05pt;height:19.650pt;mso-position-horizontal-relative:page;mso-position-vertical-relative:paragraph;z-index:-1218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业绩预告情况：同向大幅下降 业绩预告填写数据类型：区间数</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278"/>
        <w:gridCol w:w="988"/>
        <w:gridCol w:w="304"/>
        <w:gridCol w:w="988"/>
        <w:gridCol w:w="1164"/>
        <w:gridCol w:w="1621"/>
        <w:gridCol w:w="961"/>
        <w:gridCol w:w="305"/>
        <w:gridCol w:w="961"/>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r>
      <w:tr>
        <w:trPr>
          <w:trHeight w:val="402" w:hRule="exact"/>
        </w:trPr>
        <w:tc>
          <w:tcPr>
            <w:tcW w:w="227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累计净利润的预计数</w:t>
            </w:r>
          </w:p>
        </w:tc>
        <w:tc>
          <w:tcPr>
            <w:tcW w:w="988"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8,000</w:t>
            </w:r>
          </w:p>
        </w:tc>
        <w:tc>
          <w:tcPr>
            <w:tcW w:w="304" w:type="dxa"/>
            <w:tcBorders>
              <w:top w:val="single" w:sz="4" w:space="0" w:color="000000"/>
              <w:left w:val="single" w:sz="10" w:space="0" w:color="FFFFFF"/>
              <w:bottom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31,198.54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下降</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-74.36%</w:t>
            </w:r>
          </w:p>
        </w:tc>
        <w:tc>
          <w:tcPr>
            <w:tcW w:w="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-61.54%</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0.0390</w:t>
            </w:r>
          </w:p>
        </w:tc>
        <w:tc>
          <w:tcPr>
            <w:tcW w:w="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0.169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下降</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-76.92%</w:t>
            </w:r>
          </w:p>
        </w:tc>
        <w:tc>
          <w:tcPr>
            <w:tcW w:w="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-65.38%</w:t>
            </w:r>
          </w:p>
        </w:tc>
      </w:tr>
      <w:tr>
        <w:trPr>
          <w:trHeight w:val="319" w:hRule="exact"/>
        </w:trPr>
        <w:tc>
          <w:tcPr>
            <w:tcW w:w="2278" w:type="dxa"/>
            <w:tcBorders>
              <w:top w:val="single" w:sz="4" w:space="0" w:color="000000"/>
              <w:left w:val="single" w:sz="4" w:space="0" w:color="000000"/>
              <w:bottom w:val="nil" w:sz="6" w:space="0" w:color="auto"/>
              <w:right w:val="single" w:sz="4" w:space="0" w:color="000000"/>
            </w:tcBorders>
            <w:shd w:val="clear" w:color="auto" w:fill="D3D3D3"/>
          </w:tcPr>
          <w:p>
            <w:pPr/>
          </w:p>
        </w:tc>
        <w:tc>
          <w:tcPr>
            <w:tcW w:w="7291"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4" w:right="0"/>
              <w:jc w:val="left"/>
              <w:rPr>
                <w:rFonts w:ascii="宋体" w:hAnsi="宋体" w:cs="宋体" w:eastAsia="宋体" w:hint="default"/>
                <w:sz w:val="18"/>
                <w:szCs w:val="18"/>
              </w:rPr>
            </w:pPr>
            <w:r>
              <w:rPr>
                <w:rFonts w:ascii="宋体" w:hAnsi="宋体" w:cs="宋体" w:eastAsia="宋体" w:hint="default"/>
                <w:sz w:val="18"/>
                <w:szCs w:val="18"/>
              </w:rPr>
              <w:t>本次业绩预告为公司财务部门初步测算的结果，具体财务数据将在公司</w:t>
            </w:r>
            <w:r>
              <w:rPr>
                <w:rFonts w:ascii="宋体" w:hAnsi="宋体" w:cs="宋体" w:eastAsia="宋体" w:hint="default"/>
                <w:spacing w:val="-74"/>
                <w:sz w:val="18"/>
                <w:szCs w:val="18"/>
              </w:rPr>
              <w:t> </w:t>
            </w:r>
            <w:r>
              <w:rPr>
                <w:rFonts w:ascii="宋体" w:hAnsi="宋体" w:cs="宋体" w:eastAsia="宋体" w:hint="default"/>
                <w:sz w:val="18"/>
                <w:szCs w:val="18"/>
              </w:rPr>
              <w:t>2015</w:t>
            </w:r>
            <w:r>
              <w:rPr>
                <w:rFonts w:ascii="宋体" w:hAnsi="宋体" w:cs="宋体" w:eastAsia="宋体" w:hint="default"/>
                <w:spacing w:val="-74"/>
                <w:sz w:val="18"/>
                <w:szCs w:val="18"/>
              </w:rPr>
              <w:t> </w:t>
            </w:r>
            <w:r>
              <w:rPr>
                <w:rFonts w:ascii="宋体" w:hAnsi="宋体" w:cs="宋体" w:eastAsia="宋体" w:hint="default"/>
                <w:sz w:val="18"/>
                <w:szCs w:val="18"/>
              </w:rPr>
              <w:t>年第一季度报告</w:t>
            </w:r>
          </w:p>
        </w:tc>
      </w:tr>
      <w:tr>
        <w:trPr>
          <w:trHeight w:val="280" w:hRule="exact"/>
        </w:trPr>
        <w:tc>
          <w:tcPr>
            <w:tcW w:w="2278" w:type="dxa"/>
            <w:tcBorders>
              <w:top w:val="nil" w:sz="6" w:space="0" w:color="auto"/>
              <w:left w:val="single" w:sz="4" w:space="0" w:color="000000"/>
              <w:bottom w:val="nil" w:sz="6" w:space="0" w:color="auto"/>
              <w:right w:val="single" w:sz="4" w:space="0" w:color="000000"/>
            </w:tcBorders>
            <w:shd w:val="clear" w:color="auto" w:fill="D3D3D3"/>
          </w:tcPr>
          <w:p>
            <w:pPr/>
          </w:p>
        </w:tc>
        <w:tc>
          <w:tcPr>
            <w:tcW w:w="7291" w:type="dxa"/>
            <w:gridSpan w:val="8"/>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中详细披露。</w:t>
            </w:r>
          </w:p>
        </w:tc>
      </w:tr>
      <w:tr>
        <w:trPr>
          <w:trHeight w:val="560" w:hRule="exact"/>
        </w:trPr>
        <w:tc>
          <w:tcPr>
            <w:tcW w:w="22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291" w:type="dxa"/>
            <w:gridSpan w:val="8"/>
            <w:tcBorders>
              <w:top w:val="nil" w:sz="6" w:space="0" w:color="auto"/>
              <w:left w:val="single" w:sz="4" w:space="0" w:color="000000"/>
              <w:bottom w:val="nil" w:sz="6" w:space="0" w:color="auto"/>
              <w:right w:val="single" w:sz="4" w:space="0" w:color="000000"/>
            </w:tcBorders>
          </w:tcPr>
          <w:p>
            <w:pPr>
              <w:pStyle w:val="TableParagraph"/>
              <w:spacing w:line="266" w:lineRule="auto" w:before="4"/>
              <w:ind w:left="24" w:right="2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年第一季度报告与上年同期业绩相比下降的主要原因为：公司上年同期对外转让了长流</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宋体" w:hAnsi="宋体" w:cs="宋体" w:eastAsia="宋体" w:hint="default"/>
                <w:sz w:val="18"/>
                <w:szCs w:val="18"/>
              </w:rPr>
              <w:t>100%股权获得较多的投资收益。</w:t>
            </w:r>
          </w:p>
        </w:tc>
      </w:tr>
      <w:tr>
        <w:trPr>
          <w:trHeight w:val="280" w:hRule="exact"/>
        </w:trPr>
        <w:tc>
          <w:tcPr>
            <w:tcW w:w="2278" w:type="dxa"/>
            <w:tcBorders>
              <w:top w:val="nil" w:sz="6" w:space="0" w:color="auto"/>
              <w:left w:val="single" w:sz="4" w:space="0" w:color="000000"/>
              <w:bottom w:val="nil" w:sz="6" w:space="0" w:color="auto"/>
              <w:right w:val="single" w:sz="4" w:space="0" w:color="000000"/>
            </w:tcBorders>
            <w:shd w:val="clear" w:color="auto" w:fill="D3D3D3"/>
          </w:tcPr>
          <w:p>
            <w:pPr/>
          </w:p>
        </w:tc>
        <w:tc>
          <w:tcPr>
            <w:tcW w:w="7291"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4"/>
                <w:sz w:val="18"/>
                <w:szCs w:val="18"/>
              </w:rPr>
              <w:t>注：基本每股收益的</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年第一季度报告数按总股本</w:t>
            </w:r>
            <w:r>
              <w:rPr>
                <w:rFonts w:ascii="宋体" w:hAnsi="宋体" w:cs="宋体" w:eastAsia="宋体" w:hint="default"/>
                <w:spacing w:val="-44"/>
                <w:sz w:val="18"/>
                <w:szCs w:val="18"/>
              </w:rPr>
              <w:t> </w:t>
            </w:r>
            <w:r>
              <w:rPr>
                <w:rFonts w:ascii="宋体" w:hAnsi="宋体" w:cs="宋体" w:eastAsia="宋体" w:hint="default"/>
                <w:sz w:val="18"/>
                <w:szCs w:val="18"/>
              </w:rPr>
              <w:t>2,051,228,683</w:t>
            </w:r>
            <w:r>
              <w:rPr>
                <w:rFonts w:ascii="宋体" w:hAnsi="宋体" w:cs="宋体" w:eastAsia="宋体" w:hint="default"/>
                <w:spacing w:val="-44"/>
                <w:sz w:val="18"/>
                <w:szCs w:val="18"/>
              </w:rPr>
              <w:t> </w:t>
            </w:r>
            <w:r>
              <w:rPr>
                <w:rFonts w:ascii="宋体" w:hAnsi="宋体" w:cs="宋体" w:eastAsia="宋体" w:hint="default"/>
                <w:spacing w:val="-3"/>
                <w:sz w:val="18"/>
                <w:szCs w:val="18"/>
              </w:rPr>
              <w:t>股计算，上年同期数按</w:t>
            </w:r>
          </w:p>
        </w:tc>
      </w:tr>
      <w:tr>
        <w:trPr>
          <w:trHeight w:val="292" w:hRule="exact"/>
        </w:trPr>
        <w:tc>
          <w:tcPr>
            <w:tcW w:w="2278" w:type="dxa"/>
            <w:tcBorders>
              <w:top w:val="nil" w:sz="6" w:space="0" w:color="auto"/>
              <w:left w:val="single" w:sz="4" w:space="0" w:color="000000"/>
              <w:bottom w:val="single" w:sz="4" w:space="0" w:color="000000"/>
              <w:right w:val="single" w:sz="4" w:space="0" w:color="000000"/>
            </w:tcBorders>
            <w:shd w:val="clear" w:color="auto" w:fill="D3D3D3"/>
          </w:tcPr>
          <w:p>
            <w:pPr/>
          </w:p>
        </w:tc>
        <w:tc>
          <w:tcPr>
            <w:tcW w:w="7291" w:type="dxa"/>
            <w:gridSpan w:val="8"/>
            <w:tcBorders>
              <w:top w:val="nil" w:sz="6" w:space="0" w:color="auto"/>
              <w:left w:val="single" w:sz="4" w:space="0" w:color="000000"/>
              <w:bottom w:val="single" w:sz="4" w:space="0" w:color="000000"/>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宋体" w:hAnsi="宋体" w:cs="宋体" w:eastAsia="宋体" w:hint="default"/>
                <w:sz w:val="18"/>
                <w:szCs w:val="18"/>
              </w:rPr>
              <w:t>1,846,262,977</w:t>
            </w:r>
            <w:r>
              <w:rPr>
                <w:rFonts w:ascii="宋体" w:hAnsi="宋体" w:cs="宋体" w:eastAsia="宋体" w:hint="default"/>
                <w:spacing w:val="-46"/>
                <w:sz w:val="18"/>
                <w:szCs w:val="18"/>
              </w:rPr>
              <w:t> </w:t>
            </w:r>
            <w:r>
              <w:rPr>
                <w:rFonts w:ascii="宋体" w:hAnsi="宋体" w:cs="宋体" w:eastAsia="宋体" w:hint="default"/>
                <w:sz w:val="18"/>
                <w:szCs w:val="18"/>
              </w:rPr>
              <w:t>股计算。</w:t>
            </w:r>
          </w:p>
        </w:tc>
      </w:tr>
    </w:tbl>
    <w:p>
      <w:pPr>
        <w:spacing w:line="240" w:lineRule="auto" w:before="2"/>
        <w:rPr>
          <w:rFonts w:ascii="宋体" w:hAnsi="宋体" w:cs="宋体" w:eastAsia="宋体" w:hint="default"/>
          <w:sz w:val="18"/>
          <w:szCs w:val="18"/>
        </w:rPr>
      </w:pPr>
    </w:p>
    <w:p>
      <w:pPr>
        <w:pStyle w:val="Heading4"/>
        <w:spacing w:line="240" w:lineRule="auto"/>
        <w:ind w:right="133"/>
        <w:jc w:val="left"/>
        <w:rPr>
          <w:b w:val="0"/>
          <w:bCs w:val="0"/>
        </w:rPr>
      </w:pPr>
      <w:r>
        <w:rPr/>
        <w:t>八、公司未来发展的展望</w:t>
      </w:r>
      <w:r>
        <w:rPr>
          <w:b w:val="0"/>
          <w:bCs w:val="0"/>
        </w:rPr>
      </w:r>
    </w:p>
    <w:p>
      <w:pPr>
        <w:spacing w:line="240" w:lineRule="auto" w:before="10"/>
        <w:rPr>
          <w:rFonts w:ascii="宋体" w:hAnsi="宋体" w:cs="宋体" w:eastAsia="宋体" w:hint="default"/>
          <w:b/>
          <w:bCs/>
          <w:sz w:val="28"/>
          <w:szCs w:val="28"/>
        </w:rPr>
      </w:pPr>
    </w:p>
    <w:p>
      <w:pPr>
        <w:spacing w:line="304" w:lineRule="auto" w:before="0"/>
        <w:ind w:left="634" w:right="133" w:firstLine="2"/>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公司从事传媒业务和城市燃气相关业务的经营，独家拥有《证券时报》、《华商报》、</w:t>
      </w:r>
    </w:p>
    <w:p>
      <w:pPr>
        <w:pStyle w:val="Heading5"/>
        <w:spacing w:line="304" w:lineRule="auto"/>
        <w:ind w:right="133"/>
        <w:jc w:val="left"/>
      </w:pPr>
      <w:r>
        <w:rPr/>
        <w:t>《新文化报》、《华商晨报》、《重庆时报》等经营业务的经营权，独家拥有国际台国内广</w:t>
      </w:r>
      <w:r>
        <w:rPr>
          <w:spacing w:val="-83"/>
        </w:rPr>
        <w:t> </w:t>
      </w:r>
      <w:r>
        <w:rPr>
          <w:spacing w:val="-83"/>
        </w:rPr>
      </w:r>
      <w:r>
        <w:rPr/>
        <w:t>播频率广告经营业务的经营权，为客户提供高端留学咨询服务及出国英语考试辅导服务，提</w:t>
      </w:r>
      <w:r>
        <w:rPr>
          <w:spacing w:val="-83"/>
        </w:rPr>
        <w:t> </w:t>
      </w:r>
      <w:r>
        <w:rPr>
          <w:spacing w:val="-83"/>
        </w:rPr>
      </w:r>
      <w:r>
        <w:rPr>
          <w:spacing w:val="-3"/>
        </w:rPr>
        <w:t>供手机音/视频业务的内容集成、产品维护、业务营销管理及内容技术性筛选服务，提供运营</w:t>
      </w:r>
      <w:r>
        <w:rPr>
          <w:spacing w:val="-81"/>
        </w:rPr>
        <w:t> </w:t>
      </w:r>
      <w:r>
        <w:rPr>
          <w:spacing w:val="-81"/>
        </w:rPr>
      </w:r>
      <w:r>
        <w:rPr/>
        <w:t>商视频内容的分销和推广等服务，为客户提供楼宇电梯广告服务，为客户提供舆情监测、舆</w:t>
      </w:r>
      <w:r>
        <w:rPr>
          <w:spacing w:val="-83"/>
        </w:rPr>
        <w:t> </w:t>
      </w:r>
      <w:r>
        <w:rPr>
          <w:spacing w:val="-83"/>
        </w:rPr>
      </w:r>
      <w:r>
        <w:rPr>
          <w:spacing w:val="-2"/>
        </w:rPr>
        <w:t>情管理服务，销售动漫产品及提供动漫服务，独家承担海口市燃气管道施工和管道燃气供应。</w:t>
      </w:r>
      <w:r>
        <w:rPr/>
        <w:t> 各子公司的业务内容和行业地位如下：</w:t>
      </w:r>
    </w:p>
    <w:p>
      <w:pPr>
        <w:pStyle w:val="Heading5"/>
        <w:spacing w:line="304" w:lineRule="auto"/>
        <w:ind w:right="268" w:firstLine="480"/>
        <w:jc w:val="both"/>
      </w:pPr>
      <w:r>
        <w:rPr/>
        <w:t>时报传媒拥有《证券时报》经营业务的独家经营权。《证券时报》是由人民日报社主管</w:t>
      </w:r>
      <w:r>
        <w:rPr>
          <w:spacing w:val="1"/>
        </w:rPr>
        <w:t> </w:t>
      </w:r>
      <w:r>
        <w:rPr/>
        <w:t>主办、以报道证券市场为主，兼顾经济金融信息，面向国内外公开发行的财经类专业日报，</w:t>
      </w:r>
      <w:r>
        <w:rPr>
          <w:spacing w:val="-83"/>
        </w:rPr>
        <w:t> </w:t>
      </w:r>
      <w:r>
        <w:rPr>
          <w:spacing w:val="-83"/>
        </w:rPr>
      </w:r>
      <w:r>
        <w:rPr/>
        <w:t>是中国证监会、中国保监会、中国银监会指定信息披露的报刊之一，经营业务存在一定的市</w:t>
      </w:r>
    </w:p>
    <w:p>
      <w:pPr>
        <w:spacing w:after="0" w:line="304" w:lineRule="auto"/>
        <w:jc w:val="both"/>
        <w:sectPr>
          <w:pgSz w:w="11910" w:h="16840"/>
          <w:pgMar w:header="0" w:footer="982" w:top="1060" w:bottom="1180" w:left="980" w:right="860"/>
        </w:sectPr>
      </w:pPr>
    </w:p>
    <w:p>
      <w:pPr>
        <w:spacing w:line="240" w:lineRule="auto" w:before="7"/>
        <w:rPr>
          <w:rFonts w:ascii="宋体" w:hAnsi="宋体" w:cs="宋体" w:eastAsia="宋体" w:hint="default"/>
          <w:sz w:val="29"/>
          <w:szCs w:val="29"/>
        </w:rPr>
      </w:pPr>
    </w:p>
    <w:p>
      <w:pPr>
        <w:pStyle w:val="Heading5"/>
        <w:spacing w:line="240" w:lineRule="auto" w:before="26"/>
        <w:ind w:left="154" w:right="94"/>
        <w:jc w:val="left"/>
      </w:pPr>
      <w:r>
        <w:rPr/>
        <w:t>场竞争。</w:t>
      </w:r>
    </w:p>
    <w:p>
      <w:pPr>
        <w:pStyle w:val="Heading5"/>
        <w:spacing w:line="304" w:lineRule="auto" w:before="85"/>
        <w:ind w:right="228" w:firstLine="480"/>
        <w:jc w:val="both"/>
      </w:pPr>
      <w:r>
        <w:rPr/>
        <w:t>华商传媒已经取得独家代理经营《华商报》、《新文化报》、《华商晨报》、《重庆时</w:t>
      </w:r>
      <w:r>
        <w:rPr>
          <w:spacing w:val="1"/>
        </w:rPr>
        <w:t> </w:t>
      </w:r>
      <w:r>
        <w:rPr/>
        <w:t>报》的广告、发行、印刷等业务的权利。华商传媒目前经营的媒体主要为都市报，具有较强</w:t>
      </w:r>
      <w:r>
        <w:rPr>
          <w:spacing w:val="-83"/>
        </w:rPr>
        <w:t> </w:t>
      </w:r>
      <w:r>
        <w:rPr>
          <w:spacing w:val="-83"/>
        </w:rPr>
      </w:r>
      <w:r>
        <w:rPr/>
        <w:t>的竞争力。</w:t>
      </w:r>
    </w:p>
    <w:p>
      <w:pPr>
        <w:pStyle w:val="Heading5"/>
        <w:spacing w:line="304" w:lineRule="auto"/>
        <w:ind w:right="111" w:firstLine="480"/>
        <w:jc w:val="both"/>
      </w:pPr>
      <w:r>
        <w:rPr/>
        <w:t>国广光荣拥有国际台国内广播频率广告经营业务的独家经营权。目前公司经营的国际台</w:t>
      </w:r>
      <w:r>
        <w:rPr>
          <w:spacing w:val="1"/>
        </w:rPr>
        <w:t> </w:t>
      </w:r>
      <w:r>
        <w:rPr/>
        <w:t>国内广播内容主要有三套（即：劲曲调频、轻松调频、环球资讯等），广播频率主要分布在</w:t>
      </w:r>
      <w:r>
        <w:rPr>
          <w:spacing w:val="-83"/>
        </w:rPr>
        <w:t> </w:t>
      </w:r>
      <w:r>
        <w:rPr>
          <w:spacing w:val="-83"/>
        </w:rPr>
      </w:r>
      <w:r>
        <w:rPr>
          <w:spacing w:val="-3"/>
        </w:rPr>
        <w:t>北京、上海、广州等发达城市，已经具备较强的品牌影响力，并且正在向二线省会城市扩张。</w:t>
      </w:r>
    </w:p>
    <w:p>
      <w:pPr>
        <w:pStyle w:val="Heading5"/>
        <w:spacing w:line="304" w:lineRule="auto"/>
        <w:ind w:right="94" w:firstLine="480"/>
        <w:jc w:val="left"/>
      </w:pPr>
      <w:r>
        <w:rPr/>
        <w:t>澄怀科技所处行业为现代服务业，主要业务为提供高端留学咨询服务，通过多年经营，</w:t>
      </w:r>
      <w:r>
        <w:rPr>
          <w:spacing w:val="1"/>
        </w:rPr>
        <w:t> </w:t>
      </w:r>
      <w:r>
        <w:rPr/>
        <w:t>澄怀科技已成功为2万多名留学生提供服务，在高端留学咨询领域拥有较高的知名度和品牌声</w:t>
      </w:r>
      <w:r>
        <w:rPr/>
        <w:t> </w:t>
      </w:r>
      <w:r>
        <w:rPr>
          <w:spacing w:val="-7"/>
        </w:rPr>
        <w:t>誉。此外，澄怀科技创立了留学及考试教育在线网站“太傻网”</w:t>
      </w:r>
      <w:hyperlink r:id="rId17">
        <w:r>
          <w:rPr>
            <w:spacing w:val="-7"/>
          </w:rPr>
          <w:t>（http://www.taisha.org/</w:t>
        </w:r>
      </w:hyperlink>
      <w:r>
        <w:rPr>
          <w:spacing w:val="-7"/>
        </w:rPr>
        <w:t>），</w:t>
      </w:r>
      <w:r>
        <w:rPr>
          <w:spacing w:val="-73"/>
        </w:rPr>
        <w:t> </w:t>
      </w:r>
      <w:r>
        <w:rPr>
          <w:spacing w:val="-73"/>
        </w:rPr>
      </w:r>
      <w:r>
        <w:rPr/>
        <w:t>服务平台覆盖全国上百所重点高校，在16～26岁青少年群体中具有较高的品牌认可度。</w:t>
      </w:r>
    </w:p>
    <w:p>
      <w:pPr>
        <w:pStyle w:val="Heading5"/>
        <w:spacing w:line="304" w:lineRule="auto" w:before="22"/>
        <w:ind w:left="154" w:right="228" w:firstLine="480"/>
        <w:jc w:val="both"/>
      </w:pPr>
      <w:r>
        <w:rPr/>
        <w:t>国视上海作为运营支撑类公司，向牌照方提供内容集成、包装策划、内容技术性筛选、</w:t>
      </w:r>
      <w:r>
        <w:rPr>
          <w:spacing w:val="1"/>
        </w:rPr>
        <w:t> </w:t>
      </w:r>
      <w:r>
        <w:rPr/>
        <w:t>内容二次制作、平台适配等一系列运营管理服务，协助并确保牌照方与电信运营商之间的手</w:t>
      </w:r>
      <w:r>
        <w:rPr>
          <w:spacing w:val="-83"/>
        </w:rPr>
        <w:t> </w:t>
      </w:r>
      <w:r>
        <w:rPr>
          <w:spacing w:val="-83"/>
        </w:rPr>
      </w:r>
      <w:r>
        <w:rPr/>
        <w:t>机音/视频业务顺利开展。目前，国视北京为国视上海的主要客户。</w:t>
      </w:r>
    </w:p>
    <w:p>
      <w:pPr>
        <w:pStyle w:val="Heading5"/>
        <w:spacing w:line="304" w:lineRule="auto" w:before="22"/>
        <w:ind w:left="154" w:right="228" w:firstLine="480"/>
        <w:jc w:val="both"/>
      </w:pPr>
      <w:r>
        <w:rPr/>
        <w:t>掌视亿通致力于运营商移动视频业务，通过与手机电视牌照方和众多推广渠道的合作，</w:t>
      </w:r>
      <w:r>
        <w:rPr>
          <w:spacing w:val="1"/>
        </w:rPr>
        <w:t> </w:t>
      </w:r>
      <w:r>
        <w:rPr/>
        <w:t>目前已成为国内领先的运营商视频内容的分销及技术服务提供商，具有丰富的渠道推广资源</w:t>
      </w:r>
      <w:r>
        <w:rPr>
          <w:spacing w:val="-83"/>
        </w:rPr>
        <w:t> </w:t>
      </w:r>
      <w:r>
        <w:rPr>
          <w:spacing w:val="-83"/>
        </w:rPr>
      </w:r>
      <w:r>
        <w:rPr/>
        <w:t>和先进的技术优势。</w:t>
      </w:r>
    </w:p>
    <w:p>
      <w:pPr>
        <w:pStyle w:val="Heading5"/>
        <w:spacing w:line="304" w:lineRule="auto" w:before="22"/>
        <w:ind w:left="154" w:right="94" w:firstLine="480"/>
        <w:jc w:val="left"/>
      </w:pPr>
      <w:r>
        <w:rPr>
          <w:spacing w:val="-3"/>
        </w:rPr>
        <w:t>精视文化已成为中国最专业的楼宇广告媒体运营商，向广告主提供精准的广告发布服务，</w:t>
      </w:r>
      <w:r>
        <w:rPr/>
        <w:t> 此外也向部分广告代理公司提供媒介发布资源。业务覆盖国内各大、中城市的强大网络资源</w:t>
      </w:r>
      <w:r>
        <w:rPr>
          <w:spacing w:val="-83"/>
        </w:rPr>
        <w:t> </w:t>
      </w:r>
      <w:r>
        <w:rPr>
          <w:spacing w:val="-83"/>
        </w:rPr>
      </w:r>
      <w:r>
        <w:rPr/>
        <w:t>大网，每天覆盖6000万家庭消费者，媒体资源网络遍布全国。</w:t>
      </w:r>
    </w:p>
    <w:p>
      <w:pPr>
        <w:pStyle w:val="Heading5"/>
        <w:spacing w:line="312" w:lineRule="auto" w:before="22"/>
        <w:ind w:left="154" w:right="92" w:firstLine="480"/>
        <w:jc w:val="left"/>
      </w:pPr>
      <w:r>
        <w:rPr/>
        <w:t>邦富软件是国内唯一以成熟企业级搜索平台为核心的舆情管理系统提供商，具有国内领</w:t>
      </w:r>
      <w:r>
        <w:rPr>
          <w:spacing w:val="1"/>
        </w:rPr>
        <w:t> </w:t>
      </w:r>
      <w:r>
        <w:rPr>
          <w:spacing w:val="-3"/>
        </w:rPr>
        <w:t>先的网络高性能数据捕获、深度网络报文分析、分布式爬虫、网络代理识别、网页智能分析、</w:t>
      </w:r>
      <w:r>
        <w:rPr>
          <w:spacing w:val="-81"/>
        </w:rPr>
        <w:t> </w:t>
      </w:r>
      <w:r>
        <w:rPr>
          <w:spacing w:val="-81"/>
        </w:rPr>
      </w:r>
      <w:r>
        <w:rPr/>
        <w:t>数据压缩索引等多项技术。已经取得了700多个大中型客户的选择和支持，拥有极高的项目实</w:t>
      </w:r>
      <w:r>
        <w:rPr/>
        <w:t> 施成功率和项目管理经验，享有极高的客户口碑。 </w:t>
      </w:r>
      <w:r>
        <w:rPr>
          <w:spacing w:val="-2"/>
        </w:rPr>
        <w:t>漫友文化是国内第一大原创漫画平台。多年来，漫友文化积累了丰富的漫画人才和作品资源，</w:t>
      </w:r>
    </w:p>
    <w:p>
      <w:pPr>
        <w:pStyle w:val="Heading5"/>
        <w:spacing w:line="304" w:lineRule="auto" w:before="14"/>
        <w:ind w:left="154" w:right="94"/>
        <w:jc w:val="left"/>
      </w:pPr>
      <w:r>
        <w:rPr/>
        <w:t>培养了千万级忠实的“漫迷”，拥有巨大的动漫产业链优质IP入口和平台价值。漫友文化根</w:t>
      </w:r>
      <w:r>
        <w:rPr>
          <w:spacing w:val="-82"/>
        </w:rPr>
        <w:t> </w:t>
      </w:r>
      <w:r>
        <w:rPr>
          <w:spacing w:val="-82"/>
        </w:rPr>
      </w:r>
      <w:r>
        <w:rPr/>
        <w:t>植于原创漫画，全方位开展版权运营、数字出版、周边衍生品和动漫服务。</w:t>
      </w:r>
    </w:p>
    <w:p>
      <w:pPr>
        <w:pStyle w:val="Heading5"/>
        <w:spacing w:line="304" w:lineRule="auto" w:before="61"/>
        <w:ind w:left="154" w:right="92" w:firstLine="480"/>
        <w:jc w:val="left"/>
      </w:pPr>
      <w:r>
        <w:rPr/>
        <w:t>城市燃气是城市建设的重要基础设施之一，也是城市能源供应的一个重要组成部分，是</w:t>
      </w:r>
      <w:r>
        <w:rPr>
          <w:spacing w:val="1"/>
        </w:rPr>
        <w:t> </w:t>
      </w:r>
      <w:r>
        <w:rPr>
          <w:spacing w:val="-2"/>
        </w:rPr>
        <w:t>国家产业政策重点发展的基础设施产业，它为城市工业、商业和居民生活提供优质气体燃料。</w:t>
      </w:r>
      <w:r>
        <w:rPr/>
        <w:t> 城市燃气发展的未来将属于管道天然气，管道天然气将成为我国城市燃气发展的重要历史转</w:t>
      </w:r>
      <w:r>
        <w:rPr>
          <w:spacing w:val="-83"/>
        </w:rPr>
        <w:t> </w:t>
      </w:r>
      <w:r>
        <w:rPr>
          <w:spacing w:val="-83"/>
        </w:rPr>
      </w:r>
      <w:r>
        <w:rPr/>
        <w:t>折。民生燃气2006年已经取得海口市管道燃气的特许经营权，为此在海口地区的管道燃气业</w:t>
      </w:r>
      <w:r>
        <w:rPr>
          <w:spacing w:val="-102"/>
        </w:rPr>
        <w:t> </w:t>
      </w:r>
      <w:r>
        <w:rPr>
          <w:spacing w:val="-102"/>
        </w:rPr>
      </w:r>
      <w:r>
        <w:rPr/>
        <w:t>务不存在竞争威胁。</w:t>
      </w:r>
    </w:p>
    <w:p>
      <w:pPr>
        <w:spacing w:line="307" w:lineRule="auto" w:before="20"/>
        <w:ind w:left="634" w:right="94" w:firstLine="2"/>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公司面临国家“文化大发展大繁荣”的战略机遇，也面临媒体网络化、移动化等新技术</w:t>
      </w:r>
    </w:p>
    <w:p>
      <w:pPr>
        <w:spacing w:after="0" w:line="307" w:lineRule="auto"/>
        <w:jc w:val="left"/>
        <w:rPr>
          <w:rFonts w:ascii="宋体" w:hAnsi="宋体" w:cs="宋体" w:eastAsia="宋体" w:hint="default"/>
          <w:sz w:val="24"/>
          <w:szCs w:val="24"/>
        </w:rPr>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228"/>
        <w:jc w:val="both"/>
      </w:pPr>
      <w:r>
        <w:rPr/>
        <w:t>推动的媒介型态急剧变革带来的严峻挑战。2011年以来公司投资国广东方、国广光荣、澄怀</w:t>
      </w:r>
      <w:r>
        <w:rPr>
          <w:spacing w:val="-103"/>
        </w:rPr>
        <w:t> </w:t>
      </w:r>
      <w:r>
        <w:rPr>
          <w:spacing w:val="-103"/>
        </w:rPr>
      </w:r>
      <w:r>
        <w:rPr/>
        <w:t>科技、国视上海、掌视亿通、精视文化、邦富软件、漫友文化，积极拓展新型媒体，基本实</w:t>
      </w:r>
      <w:r>
        <w:rPr>
          <w:spacing w:val="-83"/>
        </w:rPr>
        <w:t> </w:t>
      </w:r>
      <w:r>
        <w:rPr>
          <w:spacing w:val="-83"/>
        </w:rPr>
      </w:r>
      <w:r>
        <w:rPr/>
        <w:t>现“全媒体、大文化”的战略定位，形成一个覆盖用户主要生活和工作场景的立体多样、融</w:t>
      </w:r>
      <w:r>
        <w:rPr>
          <w:spacing w:val="-83"/>
        </w:rPr>
        <w:t> </w:t>
      </w:r>
      <w:r>
        <w:rPr>
          <w:spacing w:val="-83"/>
        </w:rPr>
      </w:r>
      <w:r>
        <w:rPr/>
        <w:t>合发展的现代传播体系，为公司抓住机会、迎接挑战、实现跨越式发展奠定了坚实基础。</w:t>
      </w:r>
    </w:p>
    <w:p>
      <w:pPr>
        <w:pStyle w:val="Heading5"/>
        <w:spacing w:line="307" w:lineRule="auto"/>
        <w:ind w:right="94" w:firstLine="480"/>
        <w:jc w:val="left"/>
      </w:pPr>
      <w:r>
        <w:rPr>
          <w:spacing w:val="-3"/>
        </w:rPr>
        <w:t>（1）报纸——华商报系已经是区域化传播力、公信力和影响力最强的媒体之一；《证券</w:t>
      </w:r>
      <w:r>
        <w:rPr/>
        <w:t> 时报》是由人民日报社主管主办的全国性财经证券类日报，指定信息披露媒体之一。</w:t>
      </w:r>
    </w:p>
    <w:p>
      <w:pPr>
        <w:pStyle w:val="Heading5"/>
        <w:spacing w:line="304" w:lineRule="auto" w:before="18"/>
        <w:ind w:right="94" w:firstLine="480"/>
        <w:jc w:val="left"/>
      </w:pPr>
      <w:r>
        <w:rPr>
          <w:spacing w:val="-3"/>
        </w:rPr>
        <w:t>（2）广播——国广光荣经营的国际台三套对内节目已经成为汽车时代受众群体日益庞大</w:t>
      </w:r>
      <w:r>
        <w:rPr/>
        <w:t> 的全国性广播媒体。</w:t>
      </w:r>
    </w:p>
    <w:p>
      <w:pPr>
        <w:pStyle w:val="Heading5"/>
        <w:spacing w:line="240" w:lineRule="auto" w:before="22"/>
        <w:ind w:left="633" w:right="94"/>
        <w:jc w:val="left"/>
      </w:pPr>
      <w:r>
        <w:rPr/>
        <w:t>（3）移动视频——国视上海、掌视亿通将成为4G时代的主导流量入口。</w:t>
      </w:r>
    </w:p>
    <w:p>
      <w:pPr>
        <w:pStyle w:val="Heading5"/>
        <w:spacing w:line="304" w:lineRule="auto" w:before="85"/>
        <w:ind w:right="94" w:firstLine="480"/>
        <w:jc w:val="left"/>
      </w:pPr>
      <w:r>
        <w:rPr>
          <w:spacing w:val="-3"/>
        </w:rPr>
        <w:t>（4）互联网电视——国广东方将积极抢占客厅大屏端入口，以此为重要渠道，打造华闻</w:t>
      </w:r>
      <w:r>
        <w:rPr/>
        <w:t> 内容聚合体系。</w:t>
      </w:r>
    </w:p>
    <w:p>
      <w:pPr>
        <w:pStyle w:val="Heading5"/>
        <w:spacing w:line="304" w:lineRule="auto" w:before="22"/>
        <w:ind w:left="154" w:right="94" w:firstLine="480"/>
        <w:jc w:val="left"/>
      </w:pPr>
      <w:r>
        <w:rPr>
          <w:spacing w:val="-6"/>
        </w:rPr>
        <w:t>（5）区域性门户网站——华商系列的门户网站已成为最有影响力的地区门户，如华商网、</w:t>
      </w:r>
      <w:r>
        <w:rPr/>
        <w:t> 辽一网等。</w:t>
      </w:r>
    </w:p>
    <w:p>
      <w:pPr>
        <w:pStyle w:val="Heading5"/>
        <w:spacing w:line="307" w:lineRule="auto"/>
        <w:ind w:left="154" w:right="94" w:firstLine="480"/>
        <w:jc w:val="left"/>
      </w:pPr>
      <w:r>
        <w:rPr>
          <w:spacing w:val="-3"/>
        </w:rPr>
        <w:t>（6）电梯传媒——精视文化作为全国第二大电梯传媒企业，已成为工作场所的重要媒体</w:t>
      </w:r>
      <w:r>
        <w:rPr/>
        <w:t> 流量入口。</w:t>
      </w:r>
    </w:p>
    <w:p>
      <w:pPr>
        <w:pStyle w:val="Heading5"/>
        <w:spacing w:line="304" w:lineRule="auto" w:before="58"/>
        <w:ind w:left="154" w:right="228" w:firstLine="480"/>
        <w:jc w:val="right"/>
      </w:pPr>
      <w:r>
        <w:rPr/>
        <w:t>公司目前已经形成横跨报纸、广播、移动互联网、互联网电视等不同媒体平台的传媒集</w:t>
      </w:r>
      <w:r>
        <w:rPr>
          <w:spacing w:val="1"/>
        </w:rPr>
        <w:t> </w:t>
      </w:r>
      <w:r>
        <w:rPr/>
        <w:t>团。随着这些传播体系覆盖地域的越来越广泛，公司将形成用户覆盖重合度更高，用户到达</w:t>
      </w:r>
      <w:r>
        <w:rPr>
          <w:spacing w:val="-93"/>
        </w:rPr>
        <w:t> </w:t>
      </w:r>
      <w:r>
        <w:rPr>
          <w:spacing w:val="-93"/>
        </w:rPr>
      </w:r>
      <w:r>
        <w:rPr/>
        <w:t>率更广的立体化传媒体系，并将不断提升对用户的影响力和公信力，使公司成为拥有强大实</w:t>
      </w:r>
      <w:r>
        <w:rPr>
          <w:spacing w:val="-93"/>
        </w:rPr>
        <w:t> </w:t>
      </w:r>
      <w:r>
        <w:rPr>
          <w:spacing w:val="-93"/>
        </w:rPr>
      </w:r>
      <w:r>
        <w:rPr/>
        <w:t>力和传播力、公信力、影响力的新型媒体集团，形成立体多样、融合发展的现代传播体系。</w:t>
      </w:r>
    </w:p>
    <w:p>
      <w:pPr>
        <w:pStyle w:val="Heading5"/>
        <w:spacing w:line="304" w:lineRule="auto" w:before="61"/>
        <w:ind w:left="154" w:right="230" w:firstLine="480"/>
        <w:jc w:val="both"/>
      </w:pPr>
      <w:r>
        <w:rPr/>
        <w:t>公司将坚持优势互补、形成合力，长短结合、效益优先，新老并举、立足现实，以人为</w:t>
      </w:r>
      <w:r>
        <w:rPr>
          <w:spacing w:val="1"/>
        </w:rPr>
        <w:t> </w:t>
      </w:r>
      <w:r>
        <w:rPr/>
        <w:t>本、夯实基础，结构合理、垂直多元，优化组织，创新管理，理清思路，积极规划2013年～</w:t>
      </w:r>
      <w:r>
        <w:rPr>
          <w:spacing w:val="-96"/>
        </w:rPr>
        <w:t> </w:t>
      </w:r>
      <w:r>
        <w:rPr>
          <w:spacing w:val="-96"/>
        </w:rPr>
      </w:r>
      <w:r>
        <w:rPr/>
        <w:t>2017年发展战略。</w:t>
      </w:r>
    </w:p>
    <w:p>
      <w:pPr>
        <w:pStyle w:val="Heading5"/>
        <w:spacing w:line="304" w:lineRule="auto"/>
        <w:ind w:left="154" w:right="228" w:firstLine="480"/>
        <w:jc w:val="both"/>
      </w:pPr>
      <w:r>
        <w:rPr/>
        <w:t>指导思想上，公司将紧扣“十八大”文化强国政策动向，把握信息通讯技术网络化、移</w:t>
      </w:r>
      <w:r>
        <w:rPr>
          <w:spacing w:val="1"/>
        </w:rPr>
        <w:t> </w:t>
      </w:r>
      <w:r>
        <w:rPr/>
        <w:t>动化的变革趋势，坚持“持续发展优势主业、大力拓展新型媒体”的总体思路，以市场需求</w:t>
      </w:r>
      <w:r>
        <w:rPr>
          <w:spacing w:val="-83"/>
        </w:rPr>
        <w:t> </w:t>
      </w:r>
      <w:r>
        <w:rPr>
          <w:spacing w:val="-83"/>
        </w:rPr>
      </w:r>
      <w:r>
        <w:rPr/>
        <w:t>为导向，以结构优化为重点，以并购重组为主线，以鼓励创新为抓手，以人为本，确立“全</w:t>
      </w:r>
      <w:r>
        <w:rPr>
          <w:spacing w:val="-83"/>
        </w:rPr>
        <w:t> </w:t>
      </w:r>
      <w:r>
        <w:rPr>
          <w:spacing w:val="-83"/>
        </w:rPr>
      </w:r>
      <w:r>
        <w:rPr/>
        <w:t>媒体、大文化”的战略定位，不断增强公司的核心竞争力及产业地位。</w:t>
      </w:r>
    </w:p>
    <w:p>
      <w:pPr>
        <w:pStyle w:val="Heading5"/>
        <w:spacing w:line="304" w:lineRule="auto"/>
        <w:ind w:left="154" w:right="94" w:firstLine="480"/>
        <w:jc w:val="left"/>
      </w:pPr>
      <w:r>
        <w:rPr/>
        <w:t>发展思路上，公司将利用上市公司的资金、品牌、资源和管理等综合实力，形成对传媒</w:t>
      </w:r>
      <w:r>
        <w:rPr>
          <w:spacing w:val="1"/>
        </w:rPr>
        <w:t> </w:t>
      </w:r>
      <w:r>
        <w:rPr/>
        <w:t>产业整体运营与行业壁垒的穿透力，塑造矩阵式投资传媒产业的能力；通过制造和提供优质</w:t>
      </w:r>
      <w:r>
        <w:rPr>
          <w:spacing w:val="-83"/>
        </w:rPr>
        <w:t> </w:t>
      </w:r>
      <w:r>
        <w:rPr>
          <w:spacing w:val="-83"/>
        </w:rPr>
      </w:r>
      <w:r>
        <w:rPr/>
        <w:t>信息，以专业内容提供商和平台运营商的身份，形成对多种媒体、多个领域的渗透力，做强</w:t>
      </w:r>
      <w:r>
        <w:rPr>
          <w:spacing w:val="-83"/>
        </w:rPr>
        <w:t> </w:t>
      </w:r>
      <w:r>
        <w:rPr>
          <w:spacing w:val="-83"/>
        </w:rPr>
      </w:r>
      <w:r>
        <w:rPr/>
        <w:t>做大公司现有的优势媒体，做精做实重点规划的新型媒体；实施品牌培育与综合开发，形成</w:t>
      </w:r>
      <w:r>
        <w:rPr>
          <w:spacing w:val="-83"/>
        </w:rPr>
        <w:t> </w:t>
      </w:r>
      <w:r>
        <w:rPr>
          <w:spacing w:val="-83"/>
        </w:rPr>
      </w:r>
      <w:r>
        <w:rPr/>
        <w:t>强大的品牌影响力。强大的综合实力与品牌影响力的有机结合，反过来使公司综合实力、影</w:t>
      </w:r>
      <w:r>
        <w:rPr>
          <w:spacing w:val="-83"/>
        </w:rPr>
        <w:t> </w:t>
      </w:r>
      <w:r>
        <w:rPr>
          <w:spacing w:val="-83"/>
        </w:rPr>
      </w:r>
      <w:r>
        <w:rPr>
          <w:spacing w:val="-3"/>
        </w:rPr>
        <w:t>响力进一步提升。通过综合实力、优质信息制造力、品牌影响力的交互作用，实现公司持续、</w:t>
      </w:r>
      <w:r>
        <w:rPr>
          <w:spacing w:val="-81"/>
        </w:rPr>
        <w:t> </w:t>
      </w:r>
      <w:r>
        <w:rPr>
          <w:spacing w:val="-81"/>
        </w:rPr>
      </w:r>
      <w:r>
        <w:rPr/>
        <w:t>快速、健康发展。</w:t>
      </w:r>
    </w:p>
    <w:p>
      <w:pPr>
        <w:pStyle w:val="Heading5"/>
        <w:spacing w:line="240" w:lineRule="auto" w:before="22"/>
        <w:ind w:left="634" w:right="94"/>
        <w:jc w:val="left"/>
      </w:pPr>
      <w:r>
        <w:rPr/>
        <w:t>发展战略上，公司坚定遵循媒介发展的客观规律，紧密结合媒介融合的网络化、移动化</w:t>
      </w:r>
    </w:p>
    <w:p>
      <w:pPr>
        <w:spacing w:after="0" w:line="240" w:lineRule="auto"/>
        <w:jc w:val="left"/>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93"/>
        <w:jc w:val="left"/>
      </w:pPr>
      <w:r>
        <w:rPr/>
        <w:t>趋势，积极探索、前瞻布局现代文化传媒产业体系，依靠“内部资源整合”与“外部孵化并</w:t>
      </w:r>
      <w:r>
        <w:rPr>
          <w:spacing w:val="-83"/>
        </w:rPr>
        <w:t> </w:t>
      </w:r>
      <w:r>
        <w:rPr>
          <w:spacing w:val="-83"/>
        </w:rPr>
      </w:r>
      <w:r>
        <w:rPr>
          <w:spacing w:val="-3"/>
        </w:rPr>
        <w:t>购”两条途径，打造重点媒体和业务品牌，提升媒体市场价值开发能力，强化现有优势业务，</w:t>
      </w:r>
      <w:r>
        <w:rPr>
          <w:spacing w:val="-81"/>
        </w:rPr>
        <w:t> </w:t>
      </w:r>
      <w:r>
        <w:rPr>
          <w:spacing w:val="-81"/>
        </w:rPr>
      </w:r>
      <w:r>
        <w:rPr>
          <w:spacing w:val="-2"/>
        </w:rPr>
        <w:t>培育重点规划业务，有效解决影响公司中长期发展的深层问题，不断增强公司的核心竞争力，</w:t>
      </w:r>
      <w:r>
        <w:rPr/>
        <w:t> 持续提升公司的行业地位，努力将公司打造成“现代、新型、综合、国际”的传媒集团，实</w:t>
      </w:r>
      <w:r>
        <w:rPr>
          <w:spacing w:val="-83"/>
        </w:rPr>
        <w:t> </w:t>
      </w:r>
      <w:r>
        <w:rPr>
          <w:spacing w:val="-83"/>
        </w:rPr>
      </w:r>
      <w:r>
        <w:rPr/>
        <w:t>现公司发展新跨越。</w:t>
      </w:r>
    </w:p>
    <w:p>
      <w:pPr>
        <w:pStyle w:val="Heading5"/>
        <w:spacing w:line="304" w:lineRule="auto" w:before="22"/>
        <w:ind w:right="230" w:firstLine="480"/>
        <w:jc w:val="both"/>
      </w:pPr>
      <w:r>
        <w:rPr/>
        <w:t>公司的愿景是：成为国内一流、世界知名、持续创新、面向全球、垂直多元的“现代、</w:t>
      </w:r>
      <w:r>
        <w:rPr>
          <w:spacing w:val="1"/>
        </w:rPr>
        <w:t> </w:t>
      </w:r>
      <w:r>
        <w:rPr/>
        <w:t>新型、综合、国际”传媒集团。</w:t>
      </w:r>
    </w:p>
    <w:p>
      <w:pPr>
        <w:pStyle w:val="Heading5"/>
        <w:spacing w:line="307" w:lineRule="auto"/>
        <w:ind w:right="230" w:firstLine="480"/>
        <w:jc w:val="both"/>
      </w:pPr>
      <w:r>
        <w:rPr/>
        <w:t>公司的使命是：聚焦用户需求，启迪用户智慧，开拓新思维、新视角，提供专业且富有</w:t>
      </w:r>
      <w:r>
        <w:rPr>
          <w:spacing w:val="1"/>
        </w:rPr>
        <w:t> </w:t>
      </w:r>
      <w:r>
        <w:rPr/>
        <w:t>价值的文化内容与信息服务。</w:t>
      </w:r>
    </w:p>
    <w:p>
      <w:pPr>
        <w:pStyle w:val="Heading5"/>
        <w:spacing w:line="304" w:lineRule="auto" w:before="18"/>
        <w:ind w:right="228" w:firstLine="480"/>
        <w:jc w:val="both"/>
      </w:pPr>
      <w:r>
        <w:rPr/>
        <w:t>公司战略目标是：到2017年公司新型传媒业务布局不断推进，都市报业与财经报业转型</w:t>
      </w:r>
      <w:r>
        <w:rPr>
          <w:spacing w:val="1"/>
        </w:rPr>
        <w:t> </w:t>
      </w:r>
      <w:r>
        <w:rPr/>
        <w:t>基本完成，业务结构持续优化，影响中长期发展的重大并购实现质的突破，新型媒体业务收</w:t>
      </w:r>
      <w:r>
        <w:rPr>
          <w:spacing w:val="-83"/>
        </w:rPr>
        <w:t> </w:t>
      </w:r>
      <w:r>
        <w:rPr>
          <w:spacing w:val="-83"/>
        </w:rPr>
      </w:r>
      <w:r>
        <w:rPr/>
        <w:t>入与利润贡献占比显著提升，各项业务始终处于行业领先地位，建成国内一流、世界知名、</w:t>
      </w:r>
      <w:r>
        <w:rPr>
          <w:spacing w:val="-83"/>
        </w:rPr>
        <w:t> </w:t>
      </w:r>
      <w:r>
        <w:rPr>
          <w:spacing w:val="-83"/>
        </w:rPr>
      </w:r>
      <w:r>
        <w:rPr/>
        <w:t>持续创新、面向全球、垂直多元的“现代、新型、综合、国际”传媒集团。</w:t>
      </w:r>
    </w:p>
    <w:p>
      <w:pPr>
        <w:pStyle w:val="Heading5"/>
        <w:spacing w:line="307" w:lineRule="auto"/>
        <w:ind w:left="633" w:right="94"/>
        <w:jc w:val="left"/>
      </w:pPr>
      <w:r>
        <w:rPr/>
        <w:t>为顺利实现发展战略目标，公司正在逐步实施十大战略举措： 第一、创建优质内容提供平台。公司努力打造优质信息内容提供能力，创建优质内容提</w:t>
      </w:r>
    </w:p>
    <w:p>
      <w:pPr>
        <w:pStyle w:val="Heading5"/>
        <w:spacing w:line="304" w:lineRule="auto" w:before="18"/>
        <w:ind w:left="633" w:right="94" w:hanging="480"/>
        <w:jc w:val="left"/>
      </w:pPr>
      <w:r>
        <w:rPr/>
        <w:t>供平台；在组织构架上，公司将适时成立内容提供中心。 第二、实现都市传媒矩阵拓展。华商传媒将在巩固跨区域经营都市报业务的基础上，拓</w:t>
      </w:r>
    </w:p>
    <w:p>
      <w:pPr>
        <w:pStyle w:val="Heading5"/>
        <w:spacing w:line="304" w:lineRule="auto" w:before="22"/>
        <w:ind w:right="94"/>
        <w:jc w:val="left"/>
      </w:pPr>
      <w:r>
        <w:rPr>
          <w:spacing w:val="-3"/>
        </w:rPr>
        <w:t>宽现有垂直产业链、延伸华商品牌，运用“网络化”、“移动化”信息技术拓展新媒体业务，</w:t>
      </w:r>
      <w:r>
        <w:rPr>
          <w:spacing w:val="-81"/>
        </w:rPr>
        <w:t> </w:t>
      </w:r>
      <w:r>
        <w:rPr>
          <w:spacing w:val="-81"/>
        </w:rPr>
      </w:r>
      <w:r>
        <w:rPr/>
        <w:t>充分利用强大的服务网络及现有的区域网站——华商网、辽一网、新文化网及橙网，进行矩</w:t>
      </w:r>
      <w:r>
        <w:rPr>
          <w:spacing w:val="-86"/>
        </w:rPr>
        <w:t> </w:t>
      </w:r>
      <w:r>
        <w:rPr>
          <w:spacing w:val="-86"/>
        </w:rPr>
      </w:r>
      <w:r>
        <w:rPr/>
        <w:t>阵式拓展，着力发展O2O电子商务、地方性社区网，打造APP+微博平台。</w:t>
      </w:r>
    </w:p>
    <w:p>
      <w:pPr>
        <w:pStyle w:val="Heading5"/>
        <w:spacing w:line="304" w:lineRule="auto" w:before="22"/>
        <w:ind w:right="228" w:firstLine="480"/>
        <w:jc w:val="both"/>
      </w:pPr>
      <w:r>
        <w:rPr/>
        <w:t>第三、强化财经传媒垂直扩张。时报传媒应依靠证券时报、基金报、期货日报等，成为</w:t>
      </w:r>
      <w:r>
        <w:rPr>
          <w:spacing w:val="1"/>
        </w:rPr>
        <w:t> </w:t>
      </w:r>
      <w:r>
        <w:rPr/>
        <w:t>全方位的专业财经传媒内容提供商，积极打造观点影响力，向产业链的上下游拓展，进行垂</w:t>
      </w:r>
      <w:r>
        <w:rPr>
          <w:spacing w:val="-83"/>
        </w:rPr>
        <w:t> </w:t>
      </w:r>
      <w:r>
        <w:rPr>
          <w:spacing w:val="-83"/>
        </w:rPr>
      </w:r>
      <w:r>
        <w:rPr/>
        <w:t>直扩张，充分提升财经传媒内容的经济价值，尽快建成完整的财经传媒产业链，将时报传媒</w:t>
      </w:r>
      <w:r>
        <w:rPr>
          <w:spacing w:val="-83"/>
        </w:rPr>
        <w:t> </w:t>
      </w:r>
      <w:r>
        <w:rPr>
          <w:spacing w:val="-83"/>
        </w:rPr>
      </w:r>
      <w:r>
        <w:rPr/>
        <w:t>打造成多方位的资本市场服务公司。</w:t>
      </w:r>
    </w:p>
    <w:p>
      <w:pPr>
        <w:pStyle w:val="Heading5"/>
        <w:spacing w:line="304" w:lineRule="auto"/>
        <w:ind w:right="93" w:firstLine="480"/>
        <w:jc w:val="left"/>
      </w:pPr>
      <w:r>
        <w:rPr/>
        <w:t>第四、推动广播业务精耕细作。国广光荣以做强、做精、做专为发展方向，到2017年成</w:t>
      </w:r>
      <w:r>
        <w:rPr>
          <w:spacing w:val="1"/>
        </w:rPr>
        <w:t> </w:t>
      </w:r>
      <w:r>
        <w:rPr>
          <w:spacing w:val="-2"/>
        </w:rPr>
        <w:t>为全国广播媒体领域中经营规模最大、盈利能力最强、现金流最好的广播媒体经营公司之一。</w:t>
      </w:r>
    </w:p>
    <w:p>
      <w:pPr>
        <w:pStyle w:val="Heading5"/>
        <w:spacing w:line="304" w:lineRule="auto" w:before="22"/>
        <w:ind w:right="228" w:firstLine="480"/>
        <w:jc w:val="both"/>
      </w:pPr>
      <w:r>
        <w:rPr/>
        <w:t>第五、搭建中外文化交流平台。以进入留学服务行业为契机，发展语言培训、学前国际</w:t>
      </w:r>
      <w:r>
        <w:rPr>
          <w:spacing w:val="1"/>
        </w:rPr>
        <w:t> </w:t>
      </w:r>
      <w:r>
        <w:rPr/>
        <w:t>化培训等相关细分领域，争取成为在人文、地理、旅游、探索等领域有影响力的中外文化交</w:t>
      </w:r>
      <w:r>
        <w:rPr>
          <w:spacing w:val="-83"/>
        </w:rPr>
        <w:t> </w:t>
      </w:r>
      <w:r>
        <w:rPr>
          <w:spacing w:val="-83"/>
        </w:rPr>
      </w:r>
      <w:r>
        <w:rPr/>
        <w:t>流服务平台。</w:t>
      </w:r>
    </w:p>
    <w:p>
      <w:pPr>
        <w:pStyle w:val="Heading5"/>
        <w:spacing w:line="304" w:lineRule="auto" w:before="22"/>
        <w:ind w:right="94" w:firstLine="480"/>
        <w:jc w:val="left"/>
      </w:pPr>
      <w:r>
        <w:rPr/>
        <w:t>第六、拓展新型媒体投资领域。进军影视产业链，成为视频内容提供商，与国广东方的</w:t>
      </w:r>
      <w:r>
        <w:rPr>
          <w:spacing w:val="1"/>
        </w:rPr>
        <w:t> </w:t>
      </w:r>
      <w:r>
        <w:rPr/>
        <w:t>互联网电视形成有效合作。深入互联网信息服务业，结合国际台的互联网电视、网络视频、</w:t>
      </w:r>
      <w:r>
        <w:rPr>
          <w:spacing w:val="-83"/>
        </w:rPr>
        <w:t> </w:t>
      </w:r>
      <w:r>
        <w:rPr>
          <w:spacing w:val="-83"/>
        </w:rPr>
      </w:r>
      <w:r>
        <w:rPr/>
        <w:t>手机电视等牌照资源，重点关注垂直商业模式的互联网公司，包括互联网电视行业、移动互</w:t>
      </w:r>
      <w:r>
        <w:rPr>
          <w:spacing w:val="-83"/>
        </w:rPr>
        <w:t> </w:t>
      </w:r>
      <w:r>
        <w:rPr>
          <w:spacing w:val="-83"/>
        </w:rPr>
      </w:r>
      <w:r>
        <w:rPr>
          <w:spacing w:val="-3"/>
        </w:rPr>
        <w:t>联网行业、垂直电子商务行业、网络游戏行业。介入物联网产业链，投资整体技术实力较强，</w:t>
      </w:r>
      <w:r>
        <w:rPr>
          <w:spacing w:val="-81"/>
        </w:rPr>
        <w:t> </w:t>
      </w:r>
      <w:r>
        <w:rPr>
          <w:spacing w:val="-81"/>
        </w:rPr>
      </w:r>
      <w:r>
        <w:rPr/>
        <w:t>能够提供较为成熟的解决方案，能够将物联网技术与文化创意产业结合，实现差异化竞争的</w:t>
      </w:r>
    </w:p>
    <w:p>
      <w:pPr>
        <w:spacing w:after="0" w:line="304" w:lineRule="auto"/>
        <w:jc w:val="left"/>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228"/>
        <w:jc w:val="both"/>
      </w:pPr>
      <w:r>
        <w:rPr/>
        <w:t>项目，包括物联网核心技术领域，交通、物流、家居、安防等智能应用解决方案领域。深化</w:t>
      </w:r>
      <w:r>
        <w:rPr>
          <w:spacing w:val="-83"/>
        </w:rPr>
        <w:t> </w:t>
      </w:r>
      <w:r>
        <w:rPr>
          <w:spacing w:val="-83"/>
        </w:rPr>
      </w:r>
      <w:r>
        <w:rPr/>
        <w:t>广告产业链，投资具有排他性广告媒介资源、优秀专业团队、品牌声誉资源的公司，包括媒</w:t>
      </w:r>
      <w:r>
        <w:rPr>
          <w:spacing w:val="-83"/>
        </w:rPr>
        <w:t> </w:t>
      </w:r>
      <w:r>
        <w:rPr>
          <w:spacing w:val="-83"/>
        </w:rPr>
      </w:r>
      <w:r>
        <w:rPr/>
        <w:t>介资源类广告公司、4A广告公司、数字营销类公司。实施传媒业海外并购，重点关注品牌媒</w:t>
      </w:r>
      <w:r>
        <w:rPr>
          <w:spacing w:val="-101"/>
        </w:rPr>
        <w:t> </w:t>
      </w:r>
      <w:r>
        <w:rPr>
          <w:spacing w:val="-101"/>
        </w:rPr>
      </w:r>
      <w:r>
        <w:rPr/>
        <w:t>体、国际台海外落地布局下的本地化媒体。</w:t>
      </w:r>
    </w:p>
    <w:p>
      <w:pPr>
        <w:pStyle w:val="Heading5"/>
        <w:spacing w:line="304" w:lineRule="auto"/>
        <w:ind w:right="228" w:firstLine="480"/>
        <w:jc w:val="both"/>
      </w:pPr>
      <w:r>
        <w:rPr>
          <w:spacing w:val="-3"/>
        </w:rPr>
        <w:t>第七、采取稳健筹资策略。严格将公司负债率控制在40%以下，平衡实施权益性融资、债</w:t>
      </w:r>
      <w:r>
        <w:rPr/>
        <w:t> 权性融资。积极采取权益性融资，力争每两年实施一次，快速提高公司的净资产规模，增加</w:t>
      </w:r>
      <w:r>
        <w:rPr>
          <w:spacing w:val="-83"/>
        </w:rPr>
        <w:t> </w:t>
      </w:r>
      <w:r>
        <w:rPr>
          <w:spacing w:val="-83"/>
        </w:rPr>
      </w:r>
      <w:r>
        <w:rPr/>
        <w:t>公司整体资信等级，提升公司债权性融资能力。逐步加大债权性融资，尽可能采取非银行贷</w:t>
      </w:r>
      <w:r>
        <w:rPr>
          <w:spacing w:val="-83"/>
        </w:rPr>
        <w:t> </w:t>
      </w:r>
      <w:r>
        <w:rPr>
          <w:spacing w:val="-83"/>
        </w:rPr>
      </w:r>
      <w:r>
        <w:rPr/>
        <w:t>款的债权融资，如发行公司债券、中期票据、短期融资券等，降低公司的筹集成本。保持较</w:t>
      </w:r>
      <w:r>
        <w:rPr>
          <w:spacing w:val="-83"/>
        </w:rPr>
        <w:t> </w:t>
      </w:r>
      <w:r>
        <w:rPr>
          <w:spacing w:val="-83"/>
        </w:rPr>
      </w:r>
      <w:r>
        <w:rPr/>
        <w:t>大的银行贷款授信额度，具备应变突发性资金需求的能力。</w:t>
      </w:r>
    </w:p>
    <w:p>
      <w:pPr>
        <w:pStyle w:val="Heading5"/>
        <w:spacing w:line="304" w:lineRule="auto"/>
        <w:ind w:right="228" w:firstLine="480"/>
        <w:jc w:val="both"/>
      </w:pPr>
      <w:r>
        <w:rPr/>
        <w:t>第八、创建人才集聚机制。传媒领域的竞争归根结底是人才的竞争，公司必须成为人才</w:t>
      </w:r>
      <w:r>
        <w:rPr>
          <w:spacing w:val="1"/>
        </w:rPr>
        <w:t> </w:t>
      </w:r>
      <w:r>
        <w:rPr/>
        <w:t>高地，以人为本。公司要优化激励机制，创造敢于创新、敢于用人、敢于决策、报酬与贡献</w:t>
      </w:r>
      <w:r>
        <w:rPr>
          <w:spacing w:val="-83"/>
        </w:rPr>
        <w:t> </w:t>
      </w:r>
      <w:r>
        <w:rPr>
          <w:spacing w:val="-83"/>
        </w:rPr>
      </w:r>
      <w:r>
        <w:rPr/>
        <w:t>高度相关的制度环境；使员工基本薪酬与奖励机制在国内同行中具有竞争优势与吸引力；要</w:t>
      </w:r>
      <w:r>
        <w:rPr>
          <w:spacing w:val="-83"/>
        </w:rPr>
        <w:t> </w:t>
      </w:r>
      <w:r>
        <w:rPr>
          <w:spacing w:val="-83"/>
        </w:rPr>
      </w:r>
      <w:r>
        <w:rPr/>
        <w:t>建立有效的员工晋升制度与培养机制；要海纳百川，不搞帮派，不问出身，唯才是用。</w:t>
      </w:r>
    </w:p>
    <w:p>
      <w:pPr>
        <w:pStyle w:val="Heading5"/>
        <w:spacing w:line="304" w:lineRule="auto"/>
        <w:ind w:right="94" w:firstLine="480"/>
        <w:jc w:val="left"/>
      </w:pPr>
      <w:r>
        <w:rPr>
          <w:spacing w:val="-3"/>
        </w:rPr>
        <w:t>第九、优化公司管理构架。公司应配备专业水准较高的传媒智囊机构，成立战略发展部；</w:t>
      </w:r>
      <w:r>
        <w:rPr/>
        <w:t> 将上海鸿立和华商盈通转型为新媒体领域投资平台；将审计部转为公司董事会直管机构，充</w:t>
      </w:r>
      <w:r>
        <w:rPr>
          <w:spacing w:val="-83"/>
        </w:rPr>
        <w:t> </w:t>
      </w:r>
      <w:r>
        <w:rPr>
          <w:spacing w:val="-83"/>
        </w:rPr>
      </w:r>
      <w:r>
        <w:rPr/>
        <w:t>分发挥审计部的监督作用；将总工程师更名为技术总监，适时配备高水平传媒专家担任；将</w:t>
      </w:r>
      <w:r>
        <w:rPr>
          <w:spacing w:val="-83"/>
        </w:rPr>
        <w:t> </w:t>
      </w:r>
      <w:r>
        <w:rPr>
          <w:spacing w:val="-83"/>
        </w:rPr>
      </w:r>
      <w:r>
        <w:rPr/>
        <w:t>发展计划部更名为运营管理部，配备传媒专业人员，对二级机构实行专业化管控；健全二级</w:t>
      </w:r>
      <w:r>
        <w:rPr>
          <w:spacing w:val="-83"/>
        </w:rPr>
        <w:t> </w:t>
      </w:r>
      <w:r>
        <w:rPr>
          <w:spacing w:val="-83"/>
        </w:rPr>
      </w:r>
      <w:r>
        <w:rPr/>
        <w:t>公司法人治理结构，确保二级公司股东会、董事会、经营层有效授权、高效运营；加强对二</w:t>
      </w:r>
      <w:r>
        <w:rPr>
          <w:spacing w:val="-83"/>
        </w:rPr>
        <w:t> </w:t>
      </w:r>
      <w:r>
        <w:rPr>
          <w:spacing w:val="-83"/>
        </w:rPr>
      </w:r>
      <w:r>
        <w:rPr/>
        <w:t>级公司的财务管理，对所有并表子公司的帐套、银行账户实行远程监管；建立有效的二级公</w:t>
      </w:r>
      <w:r>
        <w:rPr>
          <w:spacing w:val="-83"/>
        </w:rPr>
        <w:t> </w:t>
      </w:r>
      <w:r>
        <w:rPr>
          <w:spacing w:val="-83"/>
        </w:rPr>
      </w:r>
      <w:r>
        <w:rPr/>
        <w:t>司重大合同备案与审报制度；实行项目公司+事业部制度。</w:t>
      </w:r>
    </w:p>
    <w:p>
      <w:pPr>
        <w:pStyle w:val="Heading5"/>
        <w:spacing w:line="304" w:lineRule="auto" w:before="22"/>
        <w:ind w:right="230" w:firstLine="480"/>
        <w:jc w:val="both"/>
      </w:pPr>
      <w:r>
        <w:rPr/>
        <w:t>第十、营造创新企业文化。着力在企业内部培养忧患意识，营造学习氛围，孕育创业文</w:t>
      </w:r>
      <w:r>
        <w:rPr>
          <w:spacing w:val="1"/>
        </w:rPr>
        <w:t> </w:t>
      </w:r>
      <w:r>
        <w:rPr/>
        <w:t>化，鼓励冒险，鼓励创新，容忍失败，敢于承受必要风险，善于捕捉细小机会，开拓进取。</w:t>
      </w:r>
    </w:p>
    <w:p>
      <w:pPr>
        <w:pStyle w:val="Heading5"/>
        <w:spacing w:line="307" w:lineRule="auto"/>
        <w:ind w:left="633" w:right="94" w:firstLine="2"/>
        <w:jc w:val="left"/>
      </w:pPr>
      <w:r>
        <w:rPr>
          <w:rFonts w:ascii="宋体" w:hAnsi="宋体" w:cs="宋体" w:eastAsia="宋体" w:hint="default"/>
          <w:b/>
          <w:bCs/>
        </w:rPr>
        <w:t>（三）经营计划</w:t>
      </w:r>
      <w:r>
        <w:rPr>
          <w:rFonts w:ascii="宋体" w:hAnsi="宋体" w:cs="宋体" w:eastAsia="宋体" w:hint="default"/>
          <w:b/>
          <w:bCs/>
          <w:spacing w:val="1"/>
          <w:w w:val="99"/>
        </w:rPr>
        <w:t> </w:t>
      </w:r>
      <w:r>
        <w:rPr>
          <w:spacing w:val="-3"/>
        </w:rPr>
        <w:t>2015年的发展思路是：加强内部管理，强化风险防控；深挖潜力，做精存量；把握机遇，</w:t>
      </w:r>
    </w:p>
    <w:p>
      <w:pPr>
        <w:pStyle w:val="Heading5"/>
        <w:spacing w:line="304" w:lineRule="auto" w:before="18"/>
        <w:ind w:right="228"/>
        <w:jc w:val="both"/>
      </w:pPr>
      <w:r>
        <w:rPr/>
        <w:t>推进互联网与内容资源平台融合；加快转型升级步伐，积极尝试新业态、新模式，发掘新的</w:t>
      </w:r>
      <w:r>
        <w:rPr>
          <w:spacing w:val="-83"/>
        </w:rPr>
        <w:t> </w:t>
      </w:r>
      <w:r>
        <w:rPr>
          <w:spacing w:val="-83"/>
        </w:rPr>
      </w:r>
      <w:r>
        <w:rPr/>
        <w:t>增长点，提高可持续发展水平，增强公司核心竞争力、盈利能力和抗风险能力，努力打造互</w:t>
      </w:r>
      <w:r>
        <w:rPr>
          <w:spacing w:val="-83"/>
        </w:rPr>
        <w:t> </w:t>
      </w:r>
      <w:r>
        <w:rPr>
          <w:spacing w:val="-83"/>
        </w:rPr>
      </w:r>
      <w:r>
        <w:rPr/>
        <w:t>联网平台型传媒集团。</w:t>
      </w:r>
    </w:p>
    <w:p>
      <w:pPr>
        <w:pStyle w:val="Heading5"/>
        <w:spacing w:line="304" w:lineRule="auto"/>
        <w:ind w:left="633" w:right="94"/>
        <w:jc w:val="left"/>
      </w:pPr>
      <w:r>
        <w:rPr/>
        <w:t>为实现上述思路和目标，公司将在以下几个层面积极开展工作： 一是时报传媒将重组向上市公司提供的服务项目，将业务从常规的信披代理合作转变为</w:t>
      </w:r>
    </w:p>
    <w:p>
      <w:pPr>
        <w:pStyle w:val="Heading5"/>
        <w:spacing w:line="304" w:lineRule="auto" w:before="22"/>
        <w:ind w:right="228"/>
        <w:jc w:val="both"/>
      </w:pPr>
      <w:r>
        <w:rPr/>
        <w:t>综合服务，推出多项增值服务内容；继续增加常年信息披露合作客户数量并利用常年合作客</w:t>
      </w:r>
      <w:r>
        <w:rPr>
          <w:spacing w:val="-83"/>
        </w:rPr>
        <w:t> </w:t>
      </w:r>
      <w:r>
        <w:rPr>
          <w:spacing w:val="-83"/>
        </w:rPr>
      </w:r>
      <w:r>
        <w:rPr/>
        <w:t>户群，更多地覆盖定向增发、并购重组等再融资项目；继续做好各类评选活动，提升品牌美</w:t>
      </w:r>
      <w:r>
        <w:rPr>
          <w:spacing w:val="-83"/>
        </w:rPr>
        <w:t> </w:t>
      </w:r>
      <w:r>
        <w:rPr>
          <w:spacing w:val="-83"/>
        </w:rPr>
      </w:r>
      <w:r>
        <w:rPr/>
        <w:t>誉度。</w:t>
      </w:r>
    </w:p>
    <w:p>
      <w:pPr>
        <w:pStyle w:val="Heading5"/>
        <w:spacing w:line="304" w:lineRule="auto" w:before="22"/>
        <w:ind w:right="228" w:firstLine="480"/>
        <w:jc w:val="both"/>
      </w:pPr>
      <w:r>
        <w:rPr/>
        <w:t>二是华商传媒将不断完善创新机制，明确各层级职能分工，在新业务上形成多点突破，</w:t>
      </w:r>
      <w:r>
        <w:rPr>
          <w:spacing w:val="1"/>
        </w:rPr>
        <w:t> </w:t>
      </w:r>
      <w:r>
        <w:rPr/>
        <w:t>开创转型新格局；着力打造标志产品，继续强化内部创新项目的孵化和培育，促使新业务对</w:t>
      </w:r>
    </w:p>
    <w:p>
      <w:pPr>
        <w:spacing w:after="0" w:line="304" w:lineRule="auto"/>
        <w:jc w:val="both"/>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left="634" w:right="94" w:hanging="480"/>
        <w:jc w:val="left"/>
      </w:pPr>
      <w:r>
        <w:rPr/>
        <w:t>传统业务形成补充；努力培养创新团队，稳定发展心态，进一步激发团队创业激情。 三是民生燃气将努力消除管网安全隐患，确保燃气管网的安全运行；适度加大基层管理</w:t>
      </w:r>
    </w:p>
    <w:p>
      <w:pPr>
        <w:pStyle w:val="Heading5"/>
        <w:spacing w:line="304" w:lineRule="auto" w:before="22"/>
        <w:ind w:right="228"/>
        <w:jc w:val="both"/>
      </w:pPr>
      <w:r>
        <w:rPr/>
        <w:t>者的管理培训，提高管理实践能力；做好三湾公司的运营发展，继续加大用户发展力度，加</w:t>
      </w:r>
      <w:r>
        <w:rPr>
          <w:spacing w:val="-83"/>
        </w:rPr>
        <w:t> </w:t>
      </w:r>
      <w:r>
        <w:rPr>
          <w:spacing w:val="-83"/>
        </w:rPr>
      </w:r>
      <w:r>
        <w:rPr>
          <w:spacing w:val="-2"/>
        </w:rPr>
        <w:t>快气站建设工作，逐步完善燃气管网；持续推进信息化建设，尽快实现GIS系统二期业务部门</w:t>
      </w:r>
      <w:r>
        <w:rPr/>
        <w:t> 投入使用，联合SCADA扩容项目，实施气量调度管理系统的开发建设。</w:t>
      </w:r>
    </w:p>
    <w:p>
      <w:pPr>
        <w:pStyle w:val="Heading5"/>
        <w:spacing w:line="304" w:lineRule="auto" w:before="22"/>
        <w:ind w:right="228" w:firstLine="480"/>
        <w:jc w:val="both"/>
      </w:pPr>
      <w:r>
        <w:rPr/>
        <w:t>四是上海鸿立仍将围绕公司“互联网平台型传媒集团”的整体战略进行投资，在投资方</w:t>
      </w:r>
      <w:r>
        <w:rPr>
          <w:spacing w:val="1"/>
        </w:rPr>
        <w:t> </w:t>
      </w:r>
      <w:r>
        <w:rPr>
          <w:spacing w:val="-2"/>
        </w:rPr>
        <w:t>向上将侧重于客厅端互联网电视OTT、动漫、游戏、平面广告和互联网信息安全等领域，积极</w:t>
      </w:r>
      <w:r>
        <w:rPr/>
        <w:t> 探索前瞻性行业投资布局，重点关注3D网络、物联网等新兴产业，并进一步做好已投项目管</w:t>
      </w:r>
      <w:r>
        <w:rPr>
          <w:spacing w:val="-101"/>
        </w:rPr>
        <w:t> </w:t>
      </w:r>
      <w:r>
        <w:rPr>
          <w:spacing w:val="-101"/>
        </w:rPr>
      </w:r>
      <w:r>
        <w:rPr/>
        <w:t>理工作。</w:t>
      </w:r>
    </w:p>
    <w:p>
      <w:pPr>
        <w:pStyle w:val="Heading5"/>
        <w:spacing w:line="304" w:lineRule="auto"/>
        <w:ind w:right="228" w:firstLine="480"/>
        <w:jc w:val="both"/>
      </w:pPr>
      <w:r>
        <w:rPr/>
        <w:t>五是国广光荣将完成各地自营销售团队的筹建工作，并相应调整组织机构设置和人员工</w:t>
      </w:r>
      <w:r>
        <w:rPr>
          <w:spacing w:val="1"/>
        </w:rPr>
        <w:t> </w:t>
      </w:r>
      <w:r>
        <w:rPr/>
        <w:t>作岗位；尽快完成应交付经营频率资源的获取工作，并使新增频率经营资源实现增量业务收</w:t>
      </w:r>
      <w:r>
        <w:rPr>
          <w:spacing w:val="-83"/>
        </w:rPr>
        <w:t> </w:t>
      </w:r>
      <w:r>
        <w:rPr>
          <w:spacing w:val="-83"/>
        </w:rPr>
      </w:r>
      <w:r>
        <w:rPr/>
        <w:t>入。</w:t>
      </w:r>
    </w:p>
    <w:p>
      <w:pPr>
        <w:pStyle w:val="Heading5"/>
        <w:spacing w:line="304" w:lineRule="auto"/>
        <w:ind w:right="94" w:firstLine="480"/>
        <w:jc w:val="left"/>
      </w:pPr>
      <w:r>
        <w:rPr>
          <w:spacing w:val="-3"/>
        </w:rPr>
        <w:t>六是澄怀科技将深化和优化留学业务服务及管理体系，逐步开发二三线城市的留学市场；</w:t>
      </w:r>
      <w:r>
        <w:rPr/>
        <w:t> 利用互联网用户资源，积极探索互联网教育服务模式；加强与华闻传媒其他子公司的相互沟</w:t>
      </w:r>
      <w:r>
        <w:rPr>
          <w:spacing w:val="-83"/>
        </w:rPr>
        <w:t> </w:t>
      </w:r>
      <w:r>
        <w:rPr>
          <w:spacing w:val="-83"/>
        </w:rPr>
      </w:r>
      <w:r>
        <w:rPr/>
        <w:t>通，配合华闻传媒推进新媒体业务的战略发展目标。</w:t>
      </w:r>
    </w:p>
    <w:p>
      <w:pPr>
        <w:pStyle w:val="Heading5"/>
        <w:spacing w:line="304" w:lineRule="auto"/>
        <w:ind w:right="94" w:firstLine="480"/>
        <w:jc w:val="left"/>
      </w:pPr>
      <w:r>
        <w:rPr/>
        <w:t>七是国视上海将提升团队的商务和销售能力，保障用户数的稳定持续增长；改变组织结</w:t>
      </w:r>
      <w:r>
        <w:rPr>
          <w:spacing w:val="1"/>
        </w:rPr>
        <w:t> </w:t>
      </w:r>
      <w:r>
        <w:rPr>
          <w:spacing w:val="-3"/>
        </w:rPr>
        <w:t>构，提高运营管理效率；深入挖掘收入增长点，尝试扩大收入规模；争取走出新的商业模式，</w:t>
      </w:r>
      <w:r>
        <w:rPr>
          <w:spacing w:val="-81"/>
        </w:rPr>
        <w:t> </w:t>
      </w:r>
      <w:r>
        <w:rPr>
          <w:spacing w:val="-81"/>
        </w:rPr>
      </w:r>
      <w:r>
        <w:rPr/>
        <w:t>改变目前收入来源单一的局面。</w:t>
      </w:r>
    </w:p>
    <w:p>
      <w:pPr>
        <w:pStyle w:val="Heading5"/>
        <w:spacing w:line="304" w:lineRule="auto"/>
        <w:ind w:right="230" w:firstLine="480"/>
        <w:jc w:val="both"/>
      </w:pPr>
      <w:r>
        <w:rPr/>
        <w:t>八是掌视亿通将深挖视频业务资源，扩展运营商渠道，进一步拓展视频业务收入；增加</w:t>
      </w:r>
      <w:r>
        <w:rPr>
          <w:spacing w:val="1"/>
        </w:rPr>
        <w:t> </w:t>
      </w:r>
      <w:r>
        <w:rPr/>
        <w:t>动漫、音频、游戏等移动增值业务收入。</w:t>
      </w:r>
    </w:p>
    <w:p>
      <w:pPr>
        <w:pStyle w:val="Heading5"/>
        <w:spacing w:line="304" w:lineRule="auto" w:before="22"/>
        <w:ind w:right="228" w:firstLine="480"/>
        <w:jc w:val="both"/>
      </w:pPr>
      <w:r>
        <w:rPr/>
        <w:t>九是精视文化将重点主抓人才培养、抓住市场扩张的时机；对本地的优质客户资源增强</w:t>
      </w:r>
      <w:r>
        <w:rPr>
          <w:spacing w:val="1"/>
        </w:rPr>
        <w:t> </w:t>
      </w:r>
      <w:r>
        <w:rPr/>
        <w:t>精视文化品牌理念的引导、督促提升业务的服务质量，并做好长期客户的发展和培养；积极</w:t>
      </w:r>
      <w:r>
        <w:rPr>
          <w:spacing w:val="-83"/>
        </w:rPr>
        <w:t> </w:t>
      </w:r>
      <w:r>
        <w:rPr>
          <w:spacing w:val="-83"/>
        </w:rPr>
      </w:r>
      <w:r>
        <w:rPr/>
        <w:t>拓展全国客户，增加广告量的投放；深挖新兴广告行业，围绕客户进行全方位的合作。</w:t>
      </w:r>
    </w:p>
    <w:p>
      <w:pPr>
        <w:pStyle w:val="Heading5"/>
        <w:spacing w:line="304" w:lineRule="auto" w:before="22"/>
        <w:ind w:right="230" w:firstLine="480"/>
        <w:jc w:val="both"/>
      </w:pPr>
      <w:r>
        <w:rPr/>
        <w:t>十是邦富软件继续为客户支持人员和舆情监测人员量身定做相关工作产品；进一步修正</w:t>
      </w:r>
      <w:r>
        <w:rPr>
          <w:spacing w:val="1"/>
        </w:rPr>
        <w:t> </w:t>
      </w:r>
      <w:r>
        <w:rPr/>
        <w:t>新产品，并使之市场化；针对政府部门做进一步的产品定制，扩大市场销售额。</w:t>
      </w:r>
    </w:p>
    <w:p>
      <w:pPr>
        <w:pStyle w:val="Heading5"/>
        <w:spacing w:line="304" w:lineRule="auto"/>
        <w:ind w:right="228" w:firstLine="480"/>
        <w:jc w:val="both"/>
      </w:pPr>
      <w:r>
        <w:rPr>
          <w:spacing w:val="-3"/>
        </w:rPr>
        <w:t>十一是漫友文化将大力推动APP发展；保量增量平面出版业务收入；切入国家主旋律，策</w:t>
      </w:r>
      <w:r>
        <w:rPr/>
        <w:t> 划主题图书产品；逐步向全国拓展动漫展会业务；以平面出版为平台开发优秀IP资源，建成</w:t>
      </w:r>
      <w:r>
        <w:rPr>
          <w:spacing w:val="-82"/>
        </w:rPr>
        <w:t> </w:t>
      </w:r>
      <w:r>
        <w:rPr>
          <w:spacing w:val="-82"/>
        </w:rPr>
      </w:r>
      <w:r>
        <w:rPr/>
        <w:t>中国动漫原创内容集散地；着力电商渠道，做大做强电商中心；开展动漫培训业务。</w:t>
      </w:r>
    </w:p>
    <w:p>
      <w:pPr>
        <w:pStyle w:val="Heading5"/>
        <w:spacing w:line="307" w:lineRule="auto"/>
        <w:ind w:right="231" w:firstLine="480"/>
        <w:jc w:val="both"/>
      </w:pPr>
      <w:r>
        <w:rPr>
          <w:spacing w:val="-3"/>
        </w:rPr>
        <w:t>十二是新海岸置业将续继拓展分销渠道，做好“新海岸1号”项目的销售、回款、交房工</w:t>
      </w:r>
      <w:r>
        <w:rPr/>
        <w:t> 作；做好澄迈华侨农场土地开发的前期准备。</w:t>
      </w:r>
    </w:p>
    <w:p>
      <w:pPr>
        <w:pStyle w:val="Heading5"/>
        <w:spacing w:line="304" w:lineRule="auto" w:before="18"/>
        <w:ind w:left="633" w:right="94"/>
        <w:jc w:val="left"/>
      </w:pPr>
      <w:r>
        <w:rPr/>
        <w:t>十三是华闻影视将跟踪已投资的影视项目，争取早日回收，实现盈利。 十四是华闻研究院继续发挥自身研究优势，在互联网和移动互联网领域进一步做深入研</w:t>
      </w:r>
    </w:p>
    <w:p>
      <w:pPr>
        <w:pStyle w:val="Heading5"/>
        <w:spacing w:line="304" w:lineRule="auto" w:before="22"/>
        <w:ind w:right="94"/>
        <w:jc w:val="left"/>
      </w:pPr>
      <w:r>
        <w:rPr>
          <w:spacing w:val="-3"/>
        </w:rPr>
        <w:t>究，为公司做好及时、全面的信息服务工作，并为公司事业发展探寻新机会；通过沙龙活动、</w:t>
      </w:r>
      <w:r>
        <w:rPr>
          <w:spacing w:val="-81"/>
        </w:rPr>
        <w:t> </w:t>
      </w:r>
      <w:r>
        <w:rPr>
          <w:spacing w:val="-81"/>
        </w:rPr>
      </w:r>
      <w:r>
        <w:rPr/>
        <w:t>承接峰会进一步提升华闻品牌影响力；跨界整合各方资源快速进入目标行业，寻找垂直细分</w:t>
      </w:r>
    </w:p>
    <w:p>
      <w:pPr>
        <w:spacing w:after="0" w:line="304" w:lineRule="auto"/>
        <w:jc w:val="left"/>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240" w:lineRule="auto" w:before="26"/>
        <w:ind w:left="154" w:right="94"/>
        <w:jc w:val="left"/>
      </w:pPr>
      <w:r>
        <w:rPr/>
        <w:t>行业的优质项目进行孵化。</w:t>
      </w:r>
    </w:p>
    <w:p>
      <w:pPr>
        <w:spacing w:line="307" w:lineRule="auto" w:before="85"/>
        <w:ind w:left="633" w:right="94" w:firstLine="2"/>
        <w:jc w:val="left"/>
        <w:rPr>
          <w:rFonts w:ascii="宋体" w:hAnsi="宋体" w:cs="宋体" w:eastAsia="宋体" w:hint="default"/>
          <w:sz w:val="24"/>
          <w:szCs w:val="24"/>
        </w:rPr>
      </w:pPr>
      <w:r>
        <w:rPr>
          <w:rFonts w:ascii="宋体" w:hAnsi="宋体" w:cs="宋体" w:eastAsia="宋体" w:hint="default"/>
          <w:b/>
          <w:bCs/>
          <w:sz w:val="24"/>
          <w:szCs w:val="24"/>
        </w:rPr>
        <w:t>（四）因维持当前业务并完成在建投资项目公司所需的资金需求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z w:val="24"/>
          <w:szCs w:val="24"/>
        </w:rPr>
        <w:t>2015年，公司资金需求主要为经营管理活动资金需求和投资活动资金需求。日常经营管</w:t>
      </w:r>
    </w:p>
    <w:p>
      <w:pPr>
        <w:pStyle w:val="Heading5"/>
        <w:spacing w:line="304" w:lineRule="auto" w:before="18"/>
        <w:ind w:left="154" w:right="111"/>
        <w:jc w:val="both"/>
      </w:pPr>
      <w:r>
        <w:rPr/>
        <w:t>理活动资金需求主要为管道燃气、传媒业务所需资金，资金需求约100,000.00万元；投资活</w:t>
      </w:r>
      <w:r>
        <w:rPr>
          <w:spacing w:val="-91"/>
        </w:rPr>
        <w:t> </w:t>
      </w:r>
      <w:r>
        <w:rPr>
          <w:spacing w:val="-91"/>
        </w:rPr>
      </w:r>
      <w:r>
        <w:rPr/>
        <w:t>动资金需求主要为城市管道燃气工程及技改投资、购买传媒资产等，资金需求约120,000.00</w:t>
      </w:r>
      <w:r>
        <w:rPr>
          <w:spacing w:val="-89"/>
        </w:rPr>
        <w:t> </w:t>
      </w:r>
      <w:r>
        <w:rPr>
          <w:spacing w:val="-89"/>
        </w:rPr>
      </w:r>
      <w:r>
        <w:rPr>
          <w:spacing w:val="-3"/>
        </w:rPr>
        <w:t>万元。随着公司业务的迅速发展和公司资产、业务拓展的需要，公司对资金的需求将会增加。</w:t>
      </w:r>
    </w:p>
    <w:p>
      <w:pPr>
        <w:pStyle w:val="Heading5"/>
        <w:spacing w:line="304" w:lineRule="auto"/>
        <w:ind w:left="154" w:right="94" w:firstLine="480"/>
        <w:jc w:val="left"/>
      </w:pPr>
      <w:r>
        <w:rPr/>
        <w:t>公司经营管理活动资金主要来源于经营收入、中期票据发行、金融机构贷款。公司投资</w:t>
      </w:r>
      <w:r>
        <w:rPr>
          <w:spacing w:val="1"/>
        </w:rPr>
        <w:t> </w:t>
      </w:r>
      <w:r>
        <w:rPr>
          <w:spacing w:val="-3"/>
        </w:rPr>
        <w:t>所需要的资金，除了公司自有资金外，将通过中期票据发行、金融机构贷款等多种渠道筹措。</w:t>
      </w:r>
    </w:p>
    <w:p>
      <w:pPr>
        <w:spacing w:line="304" w:lineRule="auto" w:before="22"/>
        <w:ind w:left="634" w:right="6599" w:firstLine="2"/>
        <w:jc w:val="left"/>
        <w:rPr>
          <w:rFonts w:ascii="宋体" w:hAnsi="宋体" w:cs="宋体" w:eastAsia="宋体" w:hint="default"/>
          <w:sz w:val="24"/>
          <w:szCs w:val="24"/>
        </w:rPr>
      </w:pPr>
      <w:r>
        <w:rPr>
          <w:rFonts w:ascii="宋体" w:hAnsi="宋体" w:cs="宋体" w:eastAsia="宋体" w:hint="default"/>
          <w:b/>
          <w:bCs/>
          <w:sz w:val="24"/>
          <w:szCs w:val="24"/>
        </w:rPr>
        <w:t>（五）可能面对的风险</w:t>
      </w:r>
      <w:r>
        <w:rPr>
          <w:rFonts w:ascii="宋体" w:hAnsi="宋体" w:cs="宋体" w:eastAsia="宋体" w:hint="default"/>
          <w:b/>
          <w:bCs/>
          <w:w w:val="99"/>
          <w:sz w:val="24"/>
          <w:szCs w:val="24"/>
        </w:rPr>
        <w:t> </w:t>
      </w:r>
      <w:r>
        <w:rPr>
          <w:rFonts w:ascii="宋体" w:hAnsi="宋体" w:cs="宋体" w:eastAsia="宋体" w:hint="default"/>
          <w:b/>
          <w:bCs/>
          <w:sz w:val="24"/>
          <w:szCs w:val="24"/>
        </w:rPr>
        <w:t>1．报刊纸媒业务风险因素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第一、行业政策风险</w:t>
      </w:r>
    </w:p>
    <w:p>
      <w:pPr>
        <w:pStyle w:val="Heading5"/>
        <w:spacing w:line="304" w:lineRule="auto" w:before="22"/>
        <w:ind w:left="154" w:right="228" w:firstLine="480"/>
        <w:jc w:val="both"/>
      </w:pPr>
      <w:r>
        <w:rPr/>
        <w:t>公司所从事的是文化传媒产业，其中报业产业价值链中的新闻宣传环节（即采编业务）</w:t>
      </w:r>
      <w:r>
        <w:rPr>
          <w:spacing w:val="1"/>
        </w:rPr>
        <w:t> </w:t>
      </w:r>
      <w:r>
        <w:rPr/>
        <w:t>为非经营性业务，根据国家有关行业政策精神，采编业务不能纳入公司化经营，仍由相应报</w:t>
      </w:r>
      <w:r>
        <w:rPr>
          <w:spacing w:val="-83"/>
        </w:rPr>
        <w:t> </w:t>
      </w:r>
      <w:r>
        <w:rPr>
          <w:spacing w:val="-83"/>
        </w:rPr>
      </w:r>
      <w:r>
        <w:rPr/>
        <w:t>社负责，形成“经营与采编”两分开的业务格局。</w:t>
      </w:r>
    </w:p>
    <w:p>
      <w:pPr>
        <w:pStyle w:val="Heading5"/>
        <w:spacing w:line="304" w:lineRule="auto" w:before="22"/>
        <w:ind w:left="154" w:right="228" w:firstLine="480"/>
        <w:jc w:val="both"/>
      </w:pPr>
      <w:r>
        <w:rPr/>
        <w:t>对策：公司将严格遵守有关行业政策，合法经营，并及时跟踪了解行业改革的动态。在</w:t>
      </w:r>
      <w:r>
        <w:rPr>
          <w:spacing w:val="1"/>
        </w:rPr>
        <w:t> </w:t>
      </w:r>
      <w:r>
        <w:rPr/>
        <w:t>目前媒体政策两分开的条件下，充分利用现有的媒体资源，积极拓展市场空间，进行业务模</w:t>
      </w:r>
      <w:r>
        <w:rPr>
          <w:spacing w:val="-83"/>
        </w:rPr>
        <w:t> </w:t>
      </w:r>
      <w:r>
        <w:rPr>
          <w:spacing w:val="-83"/>
        </w:rPr>
      </w:r>
      <w:r>
        <w:rPr/>
        <w:t>式创新，打造媒体经营业务的完整产业链，形成媒体综合经营能力的市场竞争优势。如国家</w:t>
      </w:r>
      <w:r>
        <w:rPr>
          <w:spacing w:val="-83"/>
        </w:rPr>
        <w:t> </w:t>
      </w:r>
      <w:r>
        <w:rPr>
          <w:spacing w:val="-83"/>
        </w:rPr>
      </w:r>
      <w:r>
        <w:rPr/>
        <w:t>行业政策进行相应调整，公司将及时对相关业务结构和经营模式做出相应的优化整合。</w:t>
      </w:r>
    </w:p>
    <w:p>
      <w:pPr>
        <w:pStyle w:val="Heading5"/>
        <w:spacing w:line="304" w:lineRule="auto"/>
        <w:ind w:left="634" w:right="94"/>
        <w:jc w:val="left"/>
      </w:pPr>
      <w:r>
        <w:rPr/>
        <w:t>第二、市场风险 公司目前传媒业务的盈利模式主要来自于报刊平面广告收入，从目前公司所面临的市场</w:t>
      </w:r>
    </w:p>
    <w:p>
      <w:pPr>
        <w:pStyle w:val="Heading5"/>
        <w:spacing w:line="304" w:lineRule="auto" w:before="22"/>
        <w:ind w:left="154" w:right="92"/>
        <w:jc w:val="left"/>
      </w:pPr>
      <w:r>
        <w:rPr/>
        <w:t>情况来看，广告业务属于传统的文化传媒产业，尽管市场占有率比较高，但是增长速度已开</w:t>
      </w:r>
      <w:r>
        <w:rPr>
          <w:spacing w:val="-83"/>
        </w:rPr>
        <w:t> </w:t>
      </w:r>
      <w:r>
        <w:rPr>
          <w:spacing w:val="-83"/>
        </w:rPr>
      </w:r>
      <w:r>
        <w:rPr/>
        <w:t>始放缓。目前新兴媒体如互联网、手机新闻、移动电视、楼宇电视的兴起为人们提供了新的</w:t>
      </w:r>
      <w:r>
        <w:rPr>
          <w:spacing w:val="-83"/>
        </w:rPr>
        <w:t> </w:t>
      </w:r>
      <w:r>
        <w:rPr>
          <w:spacing w:val="-83"/>
        </w:rPr>
      </w:r>
      <w:r>
        <w:rPr>
          <w:spacing w:val="-2"/>
        </w:rPr>
        <w:t>媒体平台，同时提供了新的广告载体。在互联网等新兴媒体的广告进入快速增长轨道的同时，</w:t>
      </w:r>
      <w:r>
        <w:rPr/>
        <w:t> 报纸广告不得不面临因新兴媒体对传统媒体广告的冲击和分流所引致的市场风险。</w:t>
      </w:r>
    </w:p>
    <w:p>
      <w:pPr>
        <w:pStyle w:val="Heading5"/>
        <w:spacing w:line="304" w:lineRule="auto"/>
        <w:ind w:left="154" w:right="94" w:firstLine="480"/>
        <w:jc w:val="left"/>
      </w:pPr>
      <w:r>
        <w:rPr/>
        <w:t>对策：尽管传统的平面广告市场增长速度开始放缓，但是时报传媒、华商传媒目前的广</w:t>
      </w:r>
      <w:r>
        <w:rPr>
          <w:spacing w:val="1"/>
        </w:rPr>
        <w:t> </w:t>
      </w:r>
      <w:r>
        <w:rPr>
          <w:spacing w:val="-3"/>
        </w:rPr>
        <w:t>告经营具有明显的优势，市场占有率较高。时报传媒将充分依靠《证券时报》在市场的影响，</w:t>
      </w:r>
      <w:r>
        <w:rPr>
          <w:spacing w:val="-81"/>
        </w:rPr>
        <w:t> </w:t>
      </w:r>
      <w:r>
        <w:rPr>
          <w:spacing w:val="-81"/>
        </w:rPr>
      </w:r>
      <w:r>
        <w:rPr/>
        <w:t>继续稳定并扩大常年信息披露合作客户群，做好IPO、新基金发行的信息服务工作，牢固确立</w:t>
      </w:r>
      <w:r>
        <w:rPr/>
        <w:t> </w:t>
      </w:r>
      <w:r>
        <w:rPr>
          <w:spacing w:val="-3"/>
        </w:rPr>
        <w:t>在资本市场特别是中小板、创业板的优势地位，提高单个项目的含金量，增加经营业务收入，</w:t>
      </w:r>
      <w:r>
        <w:rPr>
          <w:spacing w:val="-81"/>
        </w:rPr>
        <w:t> </w:t>
      </w:r>
      <w:r>
        <w:rPr>
          <w:spacing w:val="-81"/>
        </w:rPr>
      </w:r>
      <w:r>
        <w:rPr/>
        <w:t>继续做好各类评选活动，提升品牌美誉度。华商传媒将继续落地主业加强型战略，通过“精</w:t>
      </w:r>
      <w:r>
        <w:rPr>
          <w:spacing w:val="-83"/>
        </w:rPr>
        <w:t> </w:t>
      </w:r>
      <w:r>
        <w:rPr>
          <w:spacing w:val="-83"/>
        </w:rPr>
      </w:r>
      <w:r>
        <w:rPr/>
        <w:t>细化管理、经营模式优化、核心能力提升”增长路径，千方百计挖掘经营潜力，推广行之有</w:t>
      </w:r>
      <w:r>
        <w:rPr>
          <w:spacing w:val="-83"/>
        </w:rPr>
        <w:t> </w:t>
      </w:r>
      <w:r>
        <w:rPr>
          <w:spacing w:val="-83"/>
        </w:rPr>
      </w:r>
      <w:r>
        <w:rPr/>
        <w:t>效的经营措施和活动经验，从根本上提高了公司的运营效率和盈利能力，并积极探索拓展网</w:t>
      </w:r>
      <w:r>
        <w:rPr>
          <w:spacing w:val="-83"/>
        </w:rPr>
        <w:t> </w:t>
      </w:r>
      <w:r>
        <w:rPr>
          <w:spacing w:val="-83"/>
        </w:rPr>
      </w:r>
      <w:r>
        <w:rPr/>
        <w:t>络产品线，提高网络业务总体收入。</w:t>
      </w:r>
    </w:p>
    <w:p>
      <w:pPr>
        <w:pStyle w:val="Heading5"/>
        <w:spacing w:line="304" w:lineRule="auto" w:before="22"/>
        <w:ind w:left="634" w:right="94"/>
        <w:jc w:val="left"/>
      </w:pPr>
      <w:r>
        <w:rPr/>
        <w:t>第三、经营风险 鉴于报刊经营“两分开”的政策影响，时报传媒在获取《证券时报》经营业务和华商传</w:t>
      </w:r>
    </w:p>
    <w:p>
      <w:pPr>
        <w:spacing w:after="0" w:line="304" w:lineRule="auto"/>
        <w:jc w:val="left"/>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right="228"/>
        <w:jc w:val="both"/>
      </w:pPr>
      <w:r>
        <w:rPr/>
        <w:t>媒在购买报刊广告版面、代理发行、代理印刷等业务中，如果出现交易定价等不公平现象，</w:t>
      </w:r>
      <w:r>
        <w:rPr>
          <w:spacing w:val="-83"/>
        </w:rPr>
        <w:t> </w:t>
      </w:r>
      <w:r>
        <w:rPr>
          <w:spacing w:val="-83"/>
        </w:rPr>
      </w:r>
      <w:r>
        <w:rPr/>
        <w:t>将可能对公司的利益造成影响。报刊的采编质量也将对时报传媒的经营业务发展带来一定的</w:t>
      </w:r>
      <w:r>
        <w:rPr>
          <w:spacing w:val="-83"/>
        </w:rPr>
        <w:t> </w:t>
      </w:r>
      <w:r>
        <w:rPr>
          <w:spacing w:val="-83"/>
        </w:rPr>
      </w:r>
      <w:r>
        <w:rPr/>
        <w:t>经营风险。</w:t>
      </w:r>
    </w:p>
    <w:p>
      <w:pPr>
        <w:pStyle w:val="Heading5"/>
        <w:spacing w:line="304" w:lineRule="auto"/>
        <w:ind w:right="228" w:firstLine="480"/>
        <w:jc w:val="both"/>
      </w:pPr>
      <w:r>
        <w:rPr/>
        <w:t>对策：公司要求时报传媒严格按照公司有关规定签订公平合理的关联交易协议，并严格</w:t>
      </w:r>
      <w:r>
        <w:rPr>
          <w:spacing w:val="1"/>
        </w:rPr>
        <w:t> </w:t>
      </w:r>
      <w:r>
        <w:rPr/>
        <w:t>执行；定期对报纸的新闻产品质量进行诊断，找出新闻产品质量中存在的不足和差距，提出</w:t>
      </w:r>
      <w:r>
        <w:rPr>
          <w:spacing w:val="-83"/>
        </w:rPr>
        <w:t> </w:t>
      </w:r>
      <w:r>
        <w:rPr>
          <w:spacing w:val="-83"/>
        </w:rPr>
      </w:r>
      <w:r>
        <w:rPr/>
        <w:t>改善和提升新闻质量的指导和建议，并及时与采编部门进行沟通，将建议和市场动态信息反</w:t>
      </w:r>
      <w:r>
        <w:rPr>
          <w:spacing w:val="-83"/>
        </w:rPr>
        <w:t> </w:t>
      </w:r>
      <w:r>
        <w:rPr>
          <w:spacing w:val="-83"/>
        </w:rPr>
      </w:r>
      <w:r>
        <w:rPr/>
        <w:t>馈给采编部门，确保并促进采编质量的提高。华商传媒坚持正确导向，积极营造良好舆论氛</w:t>
      </w:r>
      <w:r>
        <w:rPr>
          <w:spacing w:val="-83"/>
        </w:rPr>
        <w:t> </w:t>
      </w:r>
      <w:r>
        <w:rPr>
          <w:spacing w:val="-83"/>
        </w:rPr>
      </w:r>
      <w:r>
        <w:rPr/>
        <w:t>围，努力奉献最有价值的新闻和信息，固本培元，全方位提升新闻质量。报纸间交流更加频</w:t>
      </w:r>
      <w:r>
        <w:rPr>
          <w:spacing w:val="-83"/>
        </w:rPr>
        <w:t> </w:t>
      </w:r>
      <w:r>
        <w:rPr>
          <w:spacing w:val="-83"/>
        </w:rPr>
      </w:r>
      <w:r>
        <w:rPr/>
        <w:t>繁，外部培训学习形式多样，质量评价体系更加完善，重大报道与活动影响力进一步增强，</w:t>
      </w:r>
      <w:r>
        <w:rPr>
          <w:spacing w:val="-83"/>
        </w:rPr>
        <w:t> </w:t>
      </w:r>
      <w:r>
        <w:rPr>
          <w:spacing w:val="-83"/>
        </w:rPr>
      </w:r>
      <w:r>
        <w:rPr>
          <w:spacing w:val="-5"/>
        </w:rPr>
        <w:t>整体新闻质量稳步提高。华商传媒荣膺“第二届陕西文化企业十强”称号，《华商报》、《新</w:t>
      </w:r>
      <w:r>
        <w:rPr/>
        <w:t> 文化报》、《华商晨报》、《重庆时报》同时蝉联“中国地标大报”殊荣，同时入选“全国</w:t>
      </w:r>
      <w:r>
        <w:rPr>
          <w:spacing w:val="-83"/>
        </w:rPr>
        <w:t> </w:t>
      </w:r>
      <w:r>
        <w:rPr>
          <w:spacing w:val="-83"/>
        </w:rPr>
      </w:r>
      <w:r>
        <w:rPr/>
        <w:t>都市报30强”，报纸多件作品荣获国家级奖项和荣誉。</w:t>
      </w:r>
    </w:p>
    <w:p>
      <w:pPr>
        <w:spacing w:line="304" w:lineRule="auto" w:before="20"/>
        <w:ind w:left="634" w:right="94" w:firstLine="2"/>
        <w:jc w:val="left"/>
        <w:rPr>
          <w:rFonts w:ascii="宋体" w:hAnsi="宋体" w:cs="宋体" w:eastAsia="宋体" w:hint="default"/>
          <w:sz w:val="24"/>
          <w:szCs w:val="24"/>
        </w:rPr>
      </w:pPr>
      <w:r>
        <w:rPr>
          <w:rFonts w:ascii="宋体" w:hAnsi="宋体" w:cs="宋体" w:eastAsia="宋体" w:hint="default"/>
          <w:b/>
          <w:bCs/>
          <w:sz w:val="24"/>
          <w:szCs w:val="24"/>
        </w:rPr>
        <w:t>2．管道燃气业务风险因素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公司管道燃气业务的风险因素主要是经营风险和安全风险：一是上游供气单位供气量不</w:t>
      </w:r>
    </w:p>
    <w:p>
      <w:pPr>
        <w:pStyle w:val="Heading5"/>
        <w:spacing w:line="304" w:lineRule="auto" w:before="22"/>
        <w:ind w:left="154" w:right="228"/>
        <w:jc w:val="both"/>
      </w:pPr>
      <w:r>
        <w:rPr/>
        <w:t>稳定、增加管输费用和提高天然气气源供应价格，将影响气源稳定供应和增加气源成本；二</w:t>
      </w:r>
      <w:r>
        <w:rPr>
          <w:spacing w:val="-83"/>
        </w:rPr>
        <w:t> </w:t>
      </w:r>
      <w:r>
        <w:rPr>
          <w:spacing w:val="-83"/>
        </w:rPr>
      </w:r>
      <w:r>
        <w:rPr/>
        <w:t>是燃气属于易燃易爆产品，存在较高的安全风险。</w:t>
      </w:r>
    </w:p>
    <w:p>
      <w:pPr>
        <w:pStyle w:val="Heading5"/>
        <w:spacing w:line="304" w:lineRule="auto"/>
        <w:ind w:left="154" w:right="110" w:firstLine="480"/>
        <w:jc w:val="left"/>
      </w:pPr>
      <w:r>
        <w:rPr/>
        <w:t>对策：一是积极与上游协调，争取合理的供应量和价位，降低气源成本。第二气源厂竣</w:t>
      </w:r>
      <w:r>
        <w:rPr>
          <w:spacing w:val="1"/>
        </w:rPr>
        <w:t> </w:t>
      </w:r>
      <w:r>
        <w:rPr>
          <w:spacing w:val="-5"/>
        </w:rPr>
        <w:t>工投产后将有效合理配置东方、乐东、福山天然气气源，同时将LPG、LNG和CNG作为辅助气源，</w:t>
      </w:r>
      <w:r>
        <w:rPr>
          <w:spacing w:val="-94"/>
        </w:rPr>
        <w:t> </w:t>
      </w:r>
      <w:r>
        <w:rPr>
          <w:spacing w:val="-94"/>
        </w:rPr>
      </w:r>
      <w:r>
        <w:rPr/>
        <w:t>争取解决气源瓶颈问题，保证安全、稳定供气；二是加强工程安全施工，规范工程施工质量</w:t>
      </w:r>
      <w:r>
        <w:rPr>
          <w:spacing w:val="-83"/>
        </w:rPr>
        <w:t> </w:t>
      </w:r>
      <w:r>
        <w:rPr>
          <w:spacing w:val="-83"/>
        </w:rPr>
      </w:r>
      <w:r>
        <w:rPr/>
        <w:t>管理流程；加强与政府相关企业的协调沟通和加大管网巡检，保障管线安全运行；结合实际</w:t>
      </w:r>
      <w:r>
        <w:rPr>
          <w:spacing w:val="-83"/>
        </w:rPr>
        <w:t> </w:t>
      </w:r>
      <w:r>
        <w:rPr>
          <w:spacing w:val="-83"/>
        </w:rPr>
      </w:r>
      <w:r>
        <w:rPr>
          <w:spacing w:val="-5"/>
        </w:rPr>
        <w:t>做好各种演练，提高事故应急抢险能力；完善SCADA系统安全监控系统功能，发挥其最大效能，</w:t>
      </w:r>
      <w:r>
        <w:rPr>
          <w:spacing w:val="-104"/>
        </w:rPr>
        <w:t> </w:t>
      </w:r>
      <w:r>
        <w:rPr>
          <w:spacing w:val="-104"/>
        </w:rPr>
      </w:r>
      <w:r>
        <w:rPr/>
        <w:t>更好为安全生产运行管理服务；加快3G智能抢险、巡检、派工管理系统的开发，推进无人值</w:t>
      </w:r>
      <w:r>
        <w:rPr>
          <w:spacing w:val="-101"/>
        </w:rPr>
        <w:t> </w:t>
      </w:r>
      <w:r>
        <w:rPr>
          <w:spacing w:val="-101"/>
        </w:rPr>
      </w:r>
      <w:r>
        <w:rPr/>
        <w:t>守站的建设。</w:t>
      </w:r>
    </w:p>
    <w:p>
      <w:pPr>
        <w:spacing w:line="304" w:lineRule="auto" w:before="22"/>
        <w:ind w:left="634" w:right="94" w:firstLine="2"/>
        <w:jc w:val="left"/>
        <w:rPr>
          <w:rFonts w:ascii="宋体" w:hAnsi="宋体" w:cs="宋体" w:eastAsia="宋体" w:hint="default"/>
          <w:sz w:val="24"/>
          <w:szCs w:val="24"/>
        </w:rPr>
      </w:pPr>
      <w:r>
        <w:rPr>
          <w:rFonts w:ascii="宋体" w:hAnsi="宋体" w:cs="宋体" w:eastAsia="宋体" w:hint="default"/>
          <w:b/>
          <w:bCs/>
          <w:sz w:val="24"/>
          <w:szCs w:val="24"/>
        </w:rPr>
        <w:t>3．广播广告业务经营风险</w:t>
      </w:r>
      <w:r>
        <w:rPr>
          <w:rFonts w:ascii="宋体" w:hAnsi="宋体" w:cs="宋体" w:eastAsia="宋体" w:hint="default"/>
          <w:b/>
          <w:bCs/>
          <w:spacing w:val="1"/>
          <w:w w:val="99"/>
          <w:sz w:val="24"/>
          <w:szCs w:val="24"/>
        </w:rPr>
        <w:t> </w:t>
      </w:r>
      <w:r>
        <w:rPr>
          <w:rFonts w:ascii="宋体" w:hAnsi="宋体" w:cs="宋体" w:eastAsia="宋体" w:hint="default"/>
          <w:sz w:val="24"/>
          <w:szCs w:val="24"/>
        </w:rPr>
        <w:t>国广光荣目前经营国际台广播频率商业广告主要采取整频率、地区外包代理经营模式，</w:t>
      </w:r>
    </w:p>
    <w:p>
      <w:pPr>
        <w:pStyle w:val="Heading5"/>
        <w:spacing w:line="307" w:lineRule="auto"/>
        <w:ind w:left="634" w:right="94" w:hanging="480"/>
        <w:jc w:val="left"/>
      </w:pPr>
      <w:r>
        <w:rPr/>
        <w:t>尚没有自营业务，经营模式单一，外部广告代理商违约将带来较大的经营风险。 对策：目前国广光荣正采取多种业务经营模式并行的方式，如：从单一的频率广告外包</w:t>
      </w:r>
    </w:p>
    <w:p>
      <w:pPr>
        <w:pStyle w:val="Heading5"/>
        <w:spacing w:line="304" w:lineRule="auto" w:before="18"/>
        <w:ind w:left="154" w:right="228"/>
        <w:jc w:val="both"/>
      </w:pPr>
      <w:r>
        <w:rPr/>
        <w:t>代理到整频率、分地区外包，从全外包代理到筹划重点地区自营；确保代理商代理协议履约</w:t>
      </w:r>
      <w:r>
        <w:rPr>
          <w:spacing w:val="-83"/>
        </w:rPr>
        <w:t> </w:t>
      </w:r>
      <w:r>
        <w:rPr>
          <w:spacing w:val="-83"/>
        </w:rPr>
      </w:r>
      <w:r>
        <w:rPr/>
        <w:t>率达到100%，建立健全全面的代理商管理与评价制度；对既有经营资源进行挖潜，开展线下</w:t>
      </w:r>
      <w:r>
        <w:rPr>
          <w:spacing w:val="-102"/>
        </w:rPr>
        <w:t> </w:t>
      </w:r>
      <w:r>
        <w:rPr>
          <w:spacing w:val="-102"/>
        </w:rPr>
      </w:r>
      <w:r>
        <w:rPr/>
        <w:t>活动及其它广告经营、创收；建立培养自营团队，开拓市场，努力获取资源稀缺、潜在资质</w:t>
      </w:r>
      <w:r>
        <w:rPr>
          <w:spacing w:val="-83"/>
        </w:rPr>
        <w:t> </w:t>
      </w:r>
      <w:r>
        <w:rPr>
          <w:spacing w:val="-83"/>
        </w:rPr>
      </w:r>
      <w:r>
        <w:rPr/>
        <w:t>优良、优势互补的外部经营性资源。</w:t>
      </w:r>
    </w:p>
    <w:p>
      <w:pPr>
        <w:spacing w:line="307" w:lineRule="auto" w:before="20"/>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4．留学咨询服务业务风险</w:t>
      </w:r>
      <w:r>
        <w:rPr>
          <w:rFonts w:ascii="宋体" w:hAnsi="宋体" w:cs="宋体" w:eastAsia="宋体" w:hint="default"/>
          <w:b/>
          <w:bCs/>
          <w:spacing w:val="1"/>
          <w:w w:val="99"/>
          <w:sz w:val="24"/>
          <w:szCs w:val="24"/>
        </w:rPr>
        <w:t> </w:t>
      </w:r>
      <w:r>
        <w:rPr>
          <w:rFonts w:ascii="宋体" w:hAnsi="宋体" w:cs="宋体" w:eastAsia="宋体" w:hint="default"/>
          <w:sz w:val="24"/>
          <w:szCs w:val="24"/>
        </w:rPr>
        <w:t>澄怀科技主要从事留学咨询服务业务。2014年国内经济形势的不断变化，教育行业的相</w:t>
      </w:r>
    </w:p>
    <w:p>
      <w:pPr>
        <w:pStyle w:val="Heading5"/>
        <w:spacing w:line="240" w:lineRule="auto" w:before="18"/>
        <w:ind w:left="154" w:right="0"/>
        <w:jc w:val="both"/>
      </w:pPr>
      <w:r>
        <w:rPr/>
        <w:t>关法律法规也将随着教育产业的发展而需求新的突破，因此留学行业的政策法规未来也可能</w:t>
      </w:r>
    </w:p>
    <w:p>
      <w:pPr>
        <w:spacing w:after="0" w:line="240" w:lineRule="auto"/>
        <w:jc w:val="both"/>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5"/>
        <w:spacing w:line="304" w:lineRule="auto" w:before="26"/>
        <w:ind w:left="154" w:right="188"/>
        <w:jc w:val="both"/>
      </w:pPr>
      <w:r>
        <w:rPr/>
        <w:t>将进行改革，而在新的改革政策下，留学行业及公司都将面临新的机遇和挑战。同时，随着 国内政治经济改革的不断深化，国内外在教育行业的沟通越来越多；教育国际化将带海外的 教育机构参与到在本土教育市场的竞争，学生的留学渠道也将逐渐丰富。这些都将会造成澄 怀科技留学咨询服务业务的经营风险。另外，信息技术的高速发展以及互联网商业模式的普 及，对教育行业传统的经营模式造成了强大的冲击和威胁，同时对于现有的教育机构也带来 了新的竞争。</w:t>
      </w:r>
    </w:p>
    <w:p>
      <w:pPr>
        <w:pStyle w:val="Heading5"/>
        <w:spacing w:line="304" w:lineRule="auto"/>
        <w:ind w:left="154" w:right="151" w:firstLine="480"/>
        <w:jc w:val="both"/>
      </w:pPr>
      <w:r>
        <w:rPr>
          <w:spacing w:val="-3"/>
        </w:rPr>
        <w:t>对策：（1）澄怀科技将时刻保持对行业政策的关注，积极应对可能的行业新政对公司现</w:t>
      </w:r>
      <w:r>
        <w:rPr/>
        <w:t> 有经营带来的挑战，同时澄怀科技也将充分利用行业的改革而带来的新的机遇为公司创造新 </w:t>
      </w:r>
      <w:r>
        <w:rPr>
          <w:spacing w:val="-3"/>
        </w:rPr>
        <w:t>的增长点；（2）澄怀科技不断扩展服务对象范围，发展中低端客户需求的留学中介服务及小</w:t>
      </w:r>
      <w:r>
        <w:rPr>
          <w:spacing w:val="-80"/>
        </w:rPr>
        <w:t> </w:t>
      </w:r>
      <w:r>
        <w:rPr>
          <w:spacing w:val="-80"/>
        </w:rPr>
      </w:r>
      <w:r>
        <w:rPr/>
        <w:t>留学生的相关服务；同时，开拓核心客户的各类衍生服务例如短期实习和游学业务、职业培 训、海外就业指导及交友服务，以便公司不断扩大服务对象的覆盖面、丰富服务内容的多样 </w:t>
      </w:r>
      <w:r>
        <w:rPr>
          <w:spacing w:val="-3"/>
        </w:rPr>
        <w:t>性；（3）澄怀科技将充分发挥太傻网在行业内的互联网优势，加大在互联网技术和产品的投</w:t>
      </w:r>
      <w:r>
        <w:rPr>
          <w:spacing w:val="-80"/>
        </w:rPr>
        <w:t> </w:t>
      </w:r>
      <w:r>
        <w:rPr>
          <w:spacing w:val="-80"/>
        </w:rPr>
      </w:r>
      <w:r>
        <w:rPr/>
        <w:t>入，勇于探索并尝试互联网经营模式。</w:t>
      </w:r>
    </w:p>
    <w:p>
      <w:pPr>
        <w:spacing w:line="307" w:lineRule="auto" w:before="2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5．视频业务政策风险</w:t>
      </w:r>
      <w:r>
        <w:rPr>
          <w:rFonts w:ascii="宋体" w:hAnsi="宋体" w:cs="宋体" w:eastAsia="宋体" w:hint="default"/>
          <w:b/>
          <w:bCs/>
          <w:w w:val="99"/>
          <w:sz w:val="24"/>
          <w:szCs w:val="24"/>
        </w:rPr>
        <w:t> </w:t>
      </w:r>
      <w:r>
        <w:rPr>
          <w:rFonts w:ascii="宋体" w:hAnsi="宋体" w:cs="宋体" w:eastAsia="宋体" w:hint="default"/>
          <w:sz w:val="24"/>
          <w:szCs w:val="24"/>
        </w:rPr>
        <w:t>国视上海面对的最大挑战来自于国家在互联网视频内容管理政策上的大规模调整。对境</w:t>
      </w:r>
    </w:p>
    <w:p>
      <w:pPr>
        <w:pStyle w:val="Heading5"/>
        <w:spacing w:line="304" w:lineRule="auto" w:before="18"/>
        <w:ind w:right="148"/>
        <w:jc w:val="both"/>
      </w:pPr>
      <w:r>
        <w:rPr/>
        <w:t>外影视剧更加严格的审核上线流程以及境外影视剧在播放平台上所占比例的严格限制，致使</w:t>
      </w:r>
      <w:r>
        <w:rPr>
          <w:spacing w:val="-83"/>
        </w:rPr>
        <w:t> </w:t>
      </w:r>
      <w:r>
        <w:rPr>
          <w:spacing w:val="-83"/>
        </w:rPr>
      </w:r>
      <w:r>
        <w:rPr/>
        <w:t>目前CRI手机台中最吸引用户的内容数量受到了巨大影响,最终会大幅度提高手机台获取新用</w:t>
      </w:r>
      <w:r>
        <w:rPr/>
        <w:t> 户和保留老用户的成本，影响经营业绩。</w:t>
      </w:r>
    </w:p>
    <w:p>
      <w:pPr>
        <w:pStyle w:val="Heading5"/>
        <w:spacing w:line="304" w:lineRule="auto"/>
        <w:ind w:right="148" w:firstLine="482"/>
        <w:jc w:val="both"/>
      </w:pPr>
      <w:r>
        <w:rPr/>
        <w:t>对策：加大自制内容的投入，弥补政策所带来的内容量的减少，提升产品的用户粘性和</w:t>
      </w:r>
      <w:r>
        <w:rPr>
          <w:spacing w:val="1"/>
        </w:rPr>
        <w:t> </w:t>
      </w:r>
      <w:r>
        <w:rPr>
          <w:spacing w:val="-2"/>
        </w:rPr>
        <w:t>创收价值；致力于建设CRI手机电视品牌，突破运营商无线业务模式至更为广泛的移动互联网</w:t>
      </w:r>
      <w:r>
        <w:rPr>
          <w:spacing w:val="-118"/>
        </w:rPr>
        <w:t> </w:t>
      </w:r>
      <w:r>
        <w:rPr>
          <w:spacing w:val="-118"/>
        </w:rPr>
      </w:r>
      <w:r>
        <w:rPr/>
        <w:t>领域，开拓更多的合作渠道。</w:t>
      </w:r>
    </w:p>
    <w:p>
      <w:pPr>
        <w:spacing w:line="304" w:lineRule="auto" w:before="2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6.视频业务竞争风险</w:t>
      </w:r>
      <w:r>
        <w:rPr>
          <w:rFonts w:ascii="宋体" w:hAnsi="宋体" w:cs="宋体" w:eastAsia="宋体" w:hint="default"/>
          <w:b/>
          <w:bCs/>
          <w:w w:val="99"/>
          <w:sz w:val="24"/>
          <w:szCs w:val="24"/>
        </w:rPr>
        <w:t> </w:t>
      </w:r>
      <w:r>
        <w:rPr>
          <w:rFonts w:ascii="宋体" w:hAnsi="宋体" w:cs="宋体" w:eastAsia="宋体" w:hint="default"/>
          <w:sz w:val="24"/>
          <w:szCs w:val="24"/>
        </w:rPr>
        <w:t>掌视亿通是国内领先的运营商视频内容分销和渠道推广平台，其面临的最大挑战来自在</w:t>
      </w:r>
    </w:p>
    <w:p>
      <w:pPr>
        <w:pStyle w:val="Heading5"/>
        <w:spacing w:line="304" w:lineRule="auto" w:before="22"/>
        <w:ind w:right="148"/>
        <w:jc w:val="both"/>
      </w:pPr>
      <w:r>
        <w:rPr/>
        <w:t>线视频的挑战。不完全市场竞争在内容的丰富性和用户的需求满足上存在缺失，在线视频拥</w:t>
      </w:r>
      <w:r>
        <w:rPr>
          <w:spacing w:val="-83"/>
        </w:rPr>
        <w:t> </w:t>
      </w:r>
      <w:r>
        <w:rPr>
          <w:spacing w:val="-83"/>
        </w:rPr>
      </w:r>
      <w:r>
        <w:rPr/>
        <w:t>有非常丰富的内容版权，将不断增强用户观看的粘性。因此传统互联网视频将对手机牌照方</w:t>
      </w:r>
      <w:r>
        <w:rPr>
          <w:spacing w:val="-83"/>
        </w:rPr>
        <w:t> </w:t>
      </w:r>
      <w:r>
        <w:rPr>
          <w:spacing w:val="-83"/>
        </w:rPr>
      </w:r>
      <w:r>
        <w:rPr/>
        <w:t>形成越来越大的挑战。</w:t>
      </w:r>
    </w:p>
    <w:p>
      <w:pPr>
        <w:pStyle w:val="Heading5"/>
        <w:spacing w:line="304" w:lineRule="auto" w:before="22"/>
        <w:ind w:right="148" w:firstLine="482"/>
        <w:jc w:val="both"/>
      </w:pPr>
      <w:r>
        <w:rPr/>
        <w:t>对策：在巩固运营商视频明显的渠道优势以及盈利模式优势的基础上，继续保持包月用</w:t>
      </w:r>
      <w:r>
        <w:rPr>
          <w:spacing w:val="1"/>
        </w:rPr>
        <w:t> </w:t>
      </w:r>
      <w:r>
        <w:rPr/>
        <w:t>户数增长趋势，从纵向深度挖掘视频业务资源，从横向广度拓展移动增值业务，引入版权内</w:t>
      </w:r>
      <w:r>
        <w:rPr>
          <w:spacing w:val="-83"/>
        </w:rPr>
        <w:t> </w:t>
      </w:r>
      <w:r>
        <w:rPr>
          <w:spacing w:val="-83"/>
        </w:rPr>
      </w:r>
      <w:r>
        <w:rPr/>
        <w:t>容、持续制作更新、增加平台储备内容，以满足更多用户的需求，提高用户观看的粘性。</w:t>
      </w:r>
    </w:p>
    <w:p>
      <w:pPr>
        <w:spacing w:line="304" w:lineRule="auto" w:before="22"/>
        <w:ind w:left="636" w:right="6999" w:firstLine="0"/>
        <w:jc w:val="left"/>
        <w:rPr>
          <w:rFonts w:ascii="宋体" w:hAnsi="宋体" w:cs="宋体" w:eastAsia="宋体" w:hint="default"/>
          <w:sz w:val="24"/>
          <w:szCs w:val="24"/>
        </w:rPr>
      </w:pPr>
      <w:r>
        <w:rPr>
          <w:rFonts w:ascii="宋体" w:hAnsi="宋体" w:cs="宋体" w:eastAsia="宋体" w:hint="default"/>
          <w:b/>
          <w:bCs/>
          <w:sz w:val="24"/>
          <w:szCs w:val="24"/>
        </w:rPr>
        <w:t>7．楼宇广告业务风险</w:t>
      </w:r>
      <w:r>
        <w:rPr>
          <w:rFonts w:ascii="宋体" w:hAnsi="宋体" w:cs="宋体" w:eastAsia="宋体" w:hint="default"/>
          <w:b/>
          <w:bCs/>
          <w:w w:val="99"/>
          <w:sz w:val="24"/>
          <w:szCs w:val="24"/>
        </w:rPr>
        <w:t> </w:t>
      </w:r>
      <w:r>
        <w:rPr>
          <w:rFonts w:ascii="宋体" w:hAnsi="宋体" w:cs="宋体" w:eastAsia="宋体" w:hint="default"/>
          <w:sz w:val="24"/>
          <w:szCs w:val="24"/>
        </w:rPr>
        <w:t>第一、行业竞争风险</w:t>
      </w:r>
    </w:p>
    <w:p>
      <w:pPr>
        <w:pStyle w:val="Heading5"/>
        <w:spacing w:line="307" w:lineRule="auto"/>
        <w:ind w:right="148" w:firstLine="482"/>
        <w:jc w:val="both"/>
      </w:pPr>
      <w:r>
        <w:rPr/>
        <w:t>精视文化在国内二线城市楼宇广告市场具有较强的竞争力，但在北上广深等一线城市与</w:t>
      </w:r>
      <w:r>
        <w:rPr>
          <w:spacing w:val="1"/>
        </w:rPr>
        <w:t> </w:t>
      </w:r>
      <w:r>
        <w:rPr/>
        <w:t>国内龙头分众传媒相比，仍存在较大差距。</w:t>
      </w:r>
    </w:p>
    <w:p>
      <w:pPr>
        <w:pStyle w:val="Heading5"/>
        <w:spacing w:line="240" w:lineRule="auto" w:before="18"/>
        <w:ind w:left="636" w:right="0"/>
        <w:jc w:val="left"/>
      </w:pPr>
      <w:r>
        <w:rPr/>
        <w:t>对策：持续保持在部分重点二线城市与竞争对手的竞争优势，并在二线城市进行错位竞</w:t>
      </w:r>
    </w:p>
    <w:p>
      <w:pPr>
        <w:spacing w:after="0" w:line="240" w:lineRule="auto"/>
        <w:jc w:val="left"/>
        <w:sectPr>
          <w:pgSz w:w="11910" w:h="16840"/>
          <w:pgMar w:header="0" w:footer="982" w:top="1060" w:bottom="1180" w:left="980" w:right="980"/>
        </w:sectPr>
      </w:pPr>
    </w:p>
    <w:p>
      <w:pPr>
        <w:spacing w:line="240" w:lineRule="auto" w:before="7"/>
        <w:rPr>
          <w:rFonts w:ascii="宋体" w:hAnsi="宋体" w:cs="宋体" w:eastAsia="宋体" w:hint="default"/>
          <w:sz w:val="29"/>
          <w:szCs w:val="29"/>
        </w:rPr>
      </w:pPr>
    </w:p>
    <w:p>
      <w:pPr>
        <w:pStyle w:val="Heading5"/>
        <w:spacing w:line="304" w:lineRule="auto" w:before="26"/>
        <w:ind w:left="636" w:right="6251" w:hanging="483"/>
        <w:jc w:val="left"/>
      </w:pPr>
      <w:r>
        <w:rPr/>
        <w:t>争，使公司的经营业绩稳步增长。 第二、政策风险</w:t>
      </w:r>
    </w:p>
    <w:p>
      <w:pPr>
        <w:pStyle w:val="Heading5"/>
        <w:spacing w:line="304" w:lineRule="auto" w:before="22"/>
        <w:ind w:right="94" w:firstLine="482"/>
        <w:jc w:val="left"/>
      </w:pPr>
      <w:r>
        <w:rPr/>
        <w:t>国家对部分行业的调控后续影响相关行业的广告投入预算减少，比如国有企业及高消费</w:t>
      </w:r>
      <w:r>
        <w:rPr>
          <w:spacing w:val="1"/>
        </w:rPr>
        <w:t> </w:t>
      </w:r>
      <w:r>
        <w:rPr/>
        <w:t>行业。</w:t>
      </w:r>
    </w:p>
    <w:p>
      <w:pPr>
        <w:pStyle w:val="Heading5"/>
        <w:spacing w:line="307" w:lineRule="auto"/>
        <w:ind w:right="94" w:firstLine="482"/>
        <w:jc w:val="left"/>
      </w:pPr>
      <w:r>
        <w:rPr/>
        <w:t>对策：保持对原有行业深挖的同时，多渠道拓展市场新兴行业，紧跟市场热点，使各行</w:t>
      </w:r>
      <w:r>
        <w:rPr>
          <w:spacing w:val="1"/>
        </w:rPr>
        <w:t> </w:t>
      </w:r>
      <w:r>
        <w:rPr/>
        <w:t>业的占比差异缩小。</w:t>
      </w:r>
    </w:p>
    <w:p>
      <w:pPr>
        <w:pStyle w:val="Heading5"/>
        <w:spacing w:line="304" w:lineRule="auto" w:before="18"/>
        <w:ind w:left="633" w:right="94"/>
        <w:jc w:val="left"/>
      </w:pPr>
      <w:r>
        <w:rPr/>
        <w:t>第三、议价能力风险 精视文化现有的城市资源还是略显不足，以致与部分大型代理公司及直客洽谈时议价能</w:t>
      </w:r>
    </w:p>
    <w:p>
      <w:pPr>
        <w:pStyle w:val="Heading5"/>
        <w:spacing w:line="304" w:lineRule="auto" w:before="22"/>
        <w:ind w:left="633" w:right="94" w:hanging="480"/>
        <w:jc w:val="left"/>
      </w:pPr>
      <w:r>
        <w:rPr/>
        <w:t>力不足，缺乏足够的能动性。 对策：依据公司在行业市场沉浸多年的基础，联盟战略城市；逐步布局国内市场重要城</w:t>
      </w:r>
    </w:p>
    <w:p>
      <w:pPr>
        <w:pStyle w:val="Heading5"/>
        <w:spacing w:line="240" w:lineRule="auto"/>
        <w:ind w:right="94"/>
        <w:jc w:val="left"/>
      </w:pPr>
      <w:r>
        <w:rPr/>
        <w:t>市。</w:t>
      </w:r>
    </w:p>
    <w:p>
      <w:pPr>
        <w:spacing w:line="304" w:lineRule="auto" w:before="86"/>
        <w:ind w:left="636" w:right="94" w:firstLine="0"/>
        <w:jc w:val="left"/>
        <w:rPr>
          <w:rFonts w:ascii="宋体" w:hAnsi="宋体" w:cs="宋体" w:eastAsia="宋体" w:hint="default"/>
          <w:sz w:val="24"/>
          <w:szCs w:val="24"/>
        </w:rPr>
      </w:pPr>
      <w:r>
        <w:rPr>
          <w:rFonts w:ascii="宋体" w:hAnsi="宋体" w:cs="宋体" w:eastAsia="宋体" w:hint="default"/>
          <w:b/>
          <w:bCs/>
          <w:sz w:val="24"/>
          <w:szCs w:val="24"/>
        </w:rPr>
        <w:t>8.舆情监测软件行业竞争风险</w:t>
      </w:r>
      <w:r>
        <w:rPr>
          <w:rFonts w:ascii="宋体" w:hAnsi="宋体" w:cs="宋体" w:eastAsia="宋体" w:hint="default"/>
          <w:b/>
          <w:bCs/>
          <w:w w:val="99"/>
          <w:sz w:val="24"/>
          <w:szCs w:val="24"/>
        </w:rPr>
        <w:t> </w:t>
      </w:r>
      <w:r>
        <w:rPr>
          <w:rFonts w:ascii="宋体" w:hAnsi="宋体" w:cs="宋体" w:eastAsia="宋体" w:hint="default"/>
          <w:sz w:val="24"/>
          <w:szCs w:val="24"/>
        </w:rPr>
        <w:t>邦富软件所处的舆情监测软件行业目前行业内企业数量众多，鱼龙混杂，真正具备核心</w:t>
      </w:r>
    </w:p>
    <w:p>
      <w:pPr>
        <w:pStyle w:val="Heading5"/>
        <w:spacing w:line="304" w:lineRule="auto"/>
        <w:ind w:right="228"/>
        <w:jc w:val="both"/>
      </w:pPr>
      <w:r>
        <w:rPr/>
        <w:t>技术和竞争力的与邦富软件构成实质竞争的企业数量相对较少。尽管如此，部分竞争对手已</w:t>
      </w:r>
      <w:r>
        <w:rPr>
          <w:spacing w:val="-83"/>
        </w:rPr>
        <w:t> </w:t>
      </w:r>
      <w:r>
        <w:rPr>
          <w:spacing w:val="-83"/>
        </w:rPr>
      </w:r>
      <w:r>
        <w:rPr/>
        <w:t>经通过上市先于公司进入资本市场，形成了一定的资金优势和人才优势，且在该行业积累了</w:t>
      </w:r>
      <w:r>
        <w:rPr>
          <w:spacing w:val="-83"/>
        </w:rPr>
        <w:t> </w:t>
      </w:r>
      <w:r>
        <w:rPr>
          <w:spacing w:val="-83"/>
        </w:rPr>
      </w:r>
      <w:r>
        <w:rPr/>
        <w:t>深厚的服务经验。</w:t>
      </w:r>
    </w:p>
    <w:p>
      <w:pPr>
        <w:pStyle w:val="Heading5"/>
        <w:spacing w:line="304" w:lineRule="auto"/>
        <w:ind w:right="111" w:firstLine="482"/>
        <w:jc w:val="both"/>
      </w:pPr>
      <w:r>
        <w:rPr/>
        <w:t>对策：坚持开发新产品，不断提升更新系统，积极调整经营和销售模式，巩固原有客户</w:t>
      </w:r>
      <w:r>
        <w:rPr>
          <w:spacing w:val="1"/>
        </w:rPr>
        <w:t> </w:t>
      </w:r>
      <w:r>
        <w:rPr/>
        <w:t>关系，强化非政府客户市场拓展，抓住舆情服务行业的发展机遇、实现跨越式发展，建立新</w:t>
      </w:r>
      <w:r>
        <w:rPr>
          <w:spacing w:val="-83"/>
        </w:rPr>
        <w:t> </w:t>
      </w:r>
      <w:r>
        <w:rPr>
          <w:spacing w:val="-83"/>
        </w:rPr>
      </w:r>
      <w:r>
        <w:rPr>
          <w:spacing w:val="-2"/>
        </w:rPr>
        <w:t>的情报机制，建立新的情报收集途径和分析办法，避免未来的市场空间受到竞争对手的挤压。</w:t>
      </w:r>
    </w:p>
    <w:p>
      <w:pPr>
        <w:spacing w:line="307" w:lineRule="auto" w:before="20"/>
        <w:ind w:left="636" w:right="94" w:firstLine="0"/>
        <w:jc w:val="left"/>
        <w:rPr>
          <w:rFonts w:ascii="宋体" w:hAnsi="宋体" w:cs="宋体" w:eastAsia="宋体" w:hint="default"/>
          <w:sz w:val="24"/>
          <w:szCs w:val="24"/>
        </w:rPr>
      </w:pPr>
      <w:r>
        <w:rPr>
          <w:rFonts w:ascii="宋体" w:hAnsi="宋体" w:cs="宋体" w:eastAsia="宋体" w:hint="default"/>
          <w:b/>
          <w:bCs/>
          <w:sz w:val="24"/>
          <w:szCs w:val="24"/>
        </w:rPr>
        <w:t>9.漫画业务发展风险</w:t>
      </w:r>
      <w:r>
        <w:rPr>
          <w:rFonts w:ascii="宋体" w:hAnsi="宋体" w:cs="宋体" w:eastAsia="宋体" w:hint="default"/>
          <w:b/>
          <w:bCs/>
          <w:w w:val="99"/>
          <w:sz w:val="24"/>
          <w:szCs w:val="24"/>
        </w:rPr>
        <w:t> </w:t>
      </w:r>
      <w:r>
        <w:rPr>
          <w:rFonts w:ascii="宋体" w:hAnsi="宋体" w:cs="宋体" w:eastAsia="宋体" w:hint="default"/>
          <w:sz w:val="24"/>
          <w:szCs w:val="24"/>
        </w:rPr>
        <w:t>漫友文化是中国动漫行业的龙头企业之一，行业内具有相当品牌影响力和行业地位。但</w:t>
      </w:r>
    </w:p>
    <w:p>
      <w:pPr>
        <w:pStyle w:val="Heading5"/>
        <w:spacing w:line="304" w:lineRule="auto" w:before="18"/>
        <w:ind w:right="111"/>
        <w:jc w:val="both"/>
      </w:pPr>
      <w:r>
        <w:rPr/>
        <w:t>公司在开拓互联网及移动互联网的相关动漫业务方面的速度较慢，存在巨大的开发空间。在</w:t>
      </w:r>
      <w:r>
        <w:rPr>
          <w:spacing w:val="-83"/>
        </w:rPr>
        <w:t> </w:t>
      </w:r>
      <w:r>
        <w:rPr>
          <w:spacing w:val="-83"/>
        </w:rPr>
      </w:r>
      <w:r>
        <w:rPr/>
        <w:t>加快内容策划、产品扩张、漫画家培养、渠道拓展、跨领域合作等方面均迫切需要横向资源</w:t>
      </w:r>
      <w:r>
        <w:rPr>
          <w:spacing w:val="-83"/>
        </w:rPr>
        <w:t> </w:t>
      </w:r>
      <w:r>
        <w:rPr>
          <w:spacing w:val="-83"/>
        </w:rPr>
      </w:r>
      <w:r>
        <w:rPr>
          <w:spacing w:val="-3"/>
        </w:rPr>
        <w:t>的支持。在动漫作品版权方面，需要进一步的提升，以免未来面对作品版权匮乏的发展瓶颈。</w:t>
      </w:r>
    </w:p>
    <w:p>
      <w:pPr>
        <w:pStyle w:val="Heading5"/>
        <w:spacing w:line="304" w:lineRule="auto" w:before="60"/>
        <w:ind w:right="228" w:firstLine="482"/>
        <w:jc w:val="both"/>
      </w:pPr>
      <w:r>
        <w:rPr/>
        <w:t>对策：漫友文化将坚持“内容为王”，认真做好平面产品主营业务，巩固和扩大原有内</w:t>
      </w:r>
      <w:r>
        <w:rPr>
          <w:spacing w:val="1"/>
        </w:rPr>
        <w:t> </w:t>
      </w:r>
      <w:r>
        <w:rPr/>
        <w:t>容优势、品牌优势，实现生产流程的优化和经营模式的提升，深耕动漫产业细分市场以有效</w:t>
      </w:r>
      <w:r>
        <w:rPr>
          <w:spacing w:val="-83"/>
        </w:rPr>
        <w:t> </w:t>
      </w:r>
      <w:r>
        <w:rPr>
          <w:spacing w:val="-83"/>
        </w:rPr>
      </w:r>
      <w:r>
        <w:rPr/>
        <w:t>应对互联网挑战，积极探索出符合公司实际的盈利模式，实现升级转型，借力资本市场，布</w:t>
      </w:r>
      <w:r>
        <w:rPr>
          <w:spacing w:val="-83"/>
        </w:rPr>
        <w:t> </w:t>
      </w:r>
      <w:r>
        <w:rPr>
          <w:spacing w:val="-83"/>
        </w:rPr>
      </w:r>
      <w:r>
        <w:rPr/>
        <w:t>局拓展业务矩阵，推进产业多元化布局和跨越式发展。</w:t>
      </w:r>
    </w:p>
    <w:p>
      <w:pPr>
        <w:pStyle w:val="Heading5"/>
        <w:spacing w:line="304" w:lineRule="auto" w:before="61"/>
        <w:ind w:left="633" w:right="94" w:firstLine="2"/>
        <w:jc w:val="left"/>
      </w:pPr>
      <w:r>
        <w:rPr>
          <w:rFonts w:ascii="宋体" w:hAnsi="宋体" w:cs="宋体" w:eastAsia="宋体" w:hint="default"/>
          <w:b/>
          <w:bCs/>
        </w:rPr>
        <w:t>10.管理风险</w:t>
      </w:r>
      <w:r>
        <w:rPr>
          <w:rFonts w:ascii="宋体" w:hAnsi="宋体" w:cs="宋体" w:eastAsia="宋体" w:hint="default"/>
          <w:b/>
          <w:bCs/>
          <w:spacing w:val="1"/>
          <w:w w:val="99"/>
        </w:rPr>
        <w:t> </w:t>
      </w:r>
      <w:r>
        <w:rPr/>
        <w:t>公司介入传媒产业，实现战略转型，重组后不同产业、媒体、地域、机构及人员、管理</w:t>
      </w:r>
    </w:p>
    <w:p>
      <w:pPr>
        <w:pStyle w:val="Heading5"/>
        <w:spacing w:line="336" w:lineRule="auto" w:before="22"/>
        <w:ind w:left="636" w:right="94" w:hanging="483"/>
        <w:jc w:val="left"/>
      </w:pPr>
      <w:r>
        <w:rPr/>
        <w:t>方式之间面临整合与磨合，增加了公司管理难度，内部控制上存在一定的风险。 对策：公司通过多种方式，加强不同地域、不同板块人员的沟通交流和良好互动，使不</w:t>
      </w:r>
    </w:p>
    <w:p>
      <w:pPr>
        <w:pStyle w:val="Heading5"/>
        <w:spacing w:line="304" w:lineRule="auto" w:before="0"/>
        <w:ind w:right="228"/>
        <w:jc w:val="both"/>
      </w:pPr>
      <w:r>
        <w:rPr/>
        <w:t>同子公司的文化与理念找到接口，促进了解，增进友谊，达到融合。公司按照《控股子公司</w:t>
      </w:r>
      <w:r>
        <w:rPr>
          <w:spacing w:val="-83"/>
        </w:rPr>
        <w:t> </w:t>
      </w:r>
      <w:r>
        <w:rPr>
          <w:spacing w:val="-83"/>
        </w:rPr>
      </w:r>
      <w:r>
        <w:rPr/>
        <w:t>管理办法》，增强对控股子公司的财务监管、内部控制和管理。</w:t>
      </w:r>
    </w:p>
    <w:p>
      <w:pPr>
        <w:spacing w:after="0" w:line="304" w:lineRule="auto"/>
        <w:jc w:val="both"/>
        <w:sectPr>
          <w:pgSz w:w="11910" w:h="16840"/>
          <w:pgMar w:header="0" w:footer="982" w:top="1060" w:bottom="1180" w:left="980" w:right="900"/>
        </w:sectPr>
      </w:pPr>
    </w:p>
    <w:p>
      <w:pPr>
        <w:spacing w:line="240" w:lineRule="auto" w:before="7"/>
        <w:rPr>
          <w:rFonts w:ascii="宋体" w:hAnsi="宋体" w:cs="宋体" w:eastAsia="宋体" w:hint="default"/>
          <w:sz w:val="29"/>
          <w:szCs w:val="29"/>
        </w:rPr>
      </w:pPr>
    </w:p>
    <w:p>
      <w:pPr>
        <w:pStyle w:val="Heading4"/>
        <w:spacing w:line="240" w:lineRule="auto"/>
        <w:ind w:left="214" w:right="1097"/>
        <w:jc w:val="left"/>
        <w:rPr>
          <w:b w:val="0"/>
          <w:bCs w:val="0"/>
        </w:rPr>
      </w:pPr>
      <w:r>
        <w:rPr/>
        <w:t>九、董事会、监事会对会计师事务所本报告期“非标准审计报告”的说明</w:t>
      </w:r>
      <w:r>
        <w:rPr>
          <w:b w:val="0"/>
          <w:bCs w:val="0"/>
        </w:rPr>
      </w:r>
    </w:p>
    <w:p>
      <w:pPr>
        <w:spacing w:line="240" w:lineRule="auto" w:before="6"/>
        <w:rPr>
          <w:rFonts w:ascii="宋体" w:hAnsi="宋体" w:cs="宋体" w:eastAsia="宋体" w:hint="default"/>
          <w:b/>
          <w:bCs/>
          <w:sz w:val="29"/>
          <w:szCs w:val="29"/>
        </w:rPr>
      </w:pPr>
    </w:p>
    <w:p>
      <w:pPr>
        <w:spacing w:line="535" w:lineRule="auto" w:before="0"/>
        <w:ind w:left="213" w:right="1097"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十、与上年度财务报告相比，会计政策、会计估计和核算方法发生变化的情况说明</w:t>
      </w:r>
      <w:r>
        <w:rPr>
          <w:rFonts w:ascii="宋体" w:hAnsi="宋体" w:cs="宋体" w:eastAsia="宋体" w:hint="default"/>
          <w:sz w:val="24"/>
          <w:szCs w:val="24"/>
        </w:rPr>
      </w:r>
    </w:p>
    <w:p>
      <w:pPr>
        <w:pStyle w:val="Heading5"/>
        <w:spacing w:line="336" w:lineRule="auto" w:before="90"/>
        <w:ind w:left="781" w:right="4883" w:hanging="568"/>
        <w:jc w:val="left"/>
      </w:pPr>
      <w:r>
        <w:rPr/>
        <w:t>√ 适用 □ 不适用 执行财政部于2014年修订及新颁布的准则</w:t>
      </w:r>
    </w:p>
    <w:p>
      <w:pPr>
        <w:pStyle w:val="Heading5"/>
        <w:spacing w:line="304" w:lineRule="exact" w:before="0"/>
        <w:ind w:left="781" w:right="1097"/>
        <w:jc w:val="left"/>
      </w:pPr>
      <w:r>
        <w:rPr/>
        <w:t>本公司已执行财政部于2014年颁布的下列新的及修订的企业会计准则：</w:t>
      </w:r>
    </w:p>
    <w:p>
      <w:pPr>
        <w:pStyle w:val="Heading5"/>
        <w:spacing w:line="240" w:lineRule="auto" w:before="85"/>
        <w:ind w:left="781" w:right="1097"/>
        <w:jc w:val="left"/>
      </w:pPr>
      <w:r>
        <w:rPr/>
        <w:t>《企业会计准则—基本准则》（修订）</w:t>
      </w:r>
    </w:p>
    <w:p>
      <w:pPr>
        <w:pStyle w:val="Heading5"/>
        <w:spacing w:line="240" w:lineRule="auto" w:before="86"/>
        <w:ind w:left="781" w:right="1097"/>
        <w:jc w:val="left"/>
      </w:pPr>
      <w:r>
        <w:rPr/>
        <w:t>《企业会计准则第2号——长期股权投资》（修订）</w:t>
      </w:r>
    </w:p>
    <w:p>
      <w:pPr>
        <w:pStyle w:val="Heading5"/>
        <w:spacing w:line="240" w:lineRule="auto" w:before="85"/>
        <w:ind w:left="781" w:right="1097"/>
        <w:jc w:val="left"/>
      </w:pPr>
      <w:r>
        <w:rPr/>
        <w:t>《企业会计准则第9号——职工薪酬》（修订）</w:t>
      </w:r>
    </w:p>
    <w:p>
      <w:pPr>
        <w:pStyle w:val="Heading5"/>
        <w:spacing w:line="240" w:lineRule="auto" w:before="85"/>
        <w:ind w:left="781" w:right="1097"/>
        <w:jc w:val="left"/>
      </w:pPr>
      <w:r>
        <w:rPr/>
        <w:t>《企业会计准则第30号——财务报表列报》（修订）</w:t>
      </w:r>
    </w:p>
    <w:p>
      <w:pPr>
        <w:pStyle w:val="Heading5"/>
        <w:spacing w:line="240" w:lineRule="auto" w:before="86"/>
        <w:ind w:left="781" w:right="1097"/>
        <w:jc w:val="left"/>
      </w:pPr>
      <w:r>
        <w:rPr/>
        <w:t>《企业会计准则第33号——合并财务报表》（修订）</w:t>
      </w:r>
    </w:p>
    <w:p>
      <w:pPr>
        <w:pStyle w:val="Heading5"/>
        <w:spacing w:line="240" w:lineRule="auto" w:before="85"/>
        <w:ind w:left="781" w:right="1097"/>
        <w:jc w:val="left"/>
      </w:pPr>
      <w:r>
        <w:rPr/>
        <w:t>《企业会计准则第37号——金融工具列报》（修订）</w:t>
      </w:r>
    </w:p>
    <w:p>
      <w:pPr>
        <w:pStyle w:val="Heading5"/>
        <w:spacing w:line="240" w:lineRule="auto" w:before="85"/>
        <w:ind w:left="781" w:right="1097"/>
        <w:jc w:val="left"/>
      </w:pPr>
      <w:r>
        <w:rPr/>
        <w:t>《企业会计准则第39号——公允价值计量》</w:t>
      </w:r>
    </w:p>
    <w:p>
      <w:pPr>
        <w:pStyle w:val="Heading5"/>
        <w:spacing w:line="240" w:lineRule="auto" w:before="86"/>
        <w:ind w:left="781" w:right="1097"/>
        <w:jc w:val="left"/>
      </w:pPr>
      <w:r>
        <w:rPr/>
        <w:t>《企业会计准则第40号——合营安排》</w:t>
      </w:r>
    </w:p>
    <w:p>
      <w:pPr>
        <w:pStyle w:val="Heading5"/>
        <w:spacing w:line="304" w:lineRule="auto" w:before="85"/>
        <w:ind w:left="781" w:right="101"/>
        <w:jc w:val="left"/>
      </w:pPr>
      <w:r>
        <w:rPr/>
        <w:t>《企业会计准则第41号——在其他主体中权益的披露》。 本公司执行上述企业会计准则的主要影响如下： 执行《企业会计准则第2号——长期股权投资》（修订） 本公司根据《企业会计准则第2号——长期股权投资》（修订）将本公司对被投资单位</w:t>
      </w:r>
    </w:p>
    <w:p>
      <w:pPr>
        <w:pStyle w:val="Heading5"/>
        <w:spacing w:line="307" w:lineRule="auto"/>
        <w:ind w:left="213" w:right="101"/>
        <w:jc w:val="left"/>
      </w:pPr>
      <w:r>
        <w:rPr/>
        <w:t>不具有共同控制或重大影响，并且在活跃市场中没有报价、公允价值不能可靠计量的投资从</w:t>
      </w:r>
      <w:r>
        <w:rPr>
          <w:spacing w:val="-83"/>
        </w:rPr>
        <w:t> </w:t>
      </w:r>
      <w:r>
        <w:rPr>
          <w:spacing w:val="-83"/>
        </w:rPr>
      </w:r>
      <w:r>
        <w:rPr/>
        <w:t>长期股权投资中分类至可供出售金融资产核算，并进行了追溯调整。</w:t>
      </w:r>
    </w:p>
    <w:p>
      <w:pPr>
        <w:pStyle w:val="Heading5"/>
        <w:spacing w:line="240" w:lineRule="auto" w:before="18"/>
        <w:ind w:left="781" w:right="1097"/>
        <w:jc w:val="left"/>
      </w:pPr>
      <w:r>
        <w:rPr/>
        <w:t>上述追溯调整对本期和上期财务报表的主要影响如下：</w:t>
      </w:r>
    </w:p>
    <w:p>
      <w:pPr>
        <w:spacing w:line="240" w:lineRule="auto" w:before="7"/>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04"/>
        <w:gridCol w:w="1848"/>
        <w:gridCol w:w="1843"/>
        <w:gridCol w:w="1843"/>
        <w:gridCol w:w="1842"/>
      </w:tblGrid>
      <w:tr>
        <w:trPr>
          <w:trHeight w:val="322" w:hRule="exact"/>
        </w:trPr>
        <w:tc>
          <w:tcPr>
            <w:tcW w:w="180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9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942" w:right="0"/>
              <w:jc w:val="left"/>
              <w:rPr>
                <w:rFonts w:ascii="宋体" w:hAnsi="宋体" w:cs="宋体" w:eastAsia="宋体" w:hint="default"/>
                <w:sz w:val="18"/>
                <w:szCs w:val="18"/>
              </w:rPr>
            </w:pPr>
            <w:r>
              <w:rPr>
                <w:rFonts w:ascii="宋体"/>
                <w:sz w:val="18"/>
              </w:rPr>
              <w:t>2013-12-31</w:t>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630" w:right="0"/>
              <w:jc w:val="left"/>
              <w:rPr>
                <w:rFonts w:ascii="宋体" w:hAnsi="宋体" w:cs="宋体" w:eastAsia="宋体" w:hint="default"/>
                <w:sz w:val="18"/>
                <w:szCs w:val="18"/>
              </w:rPr>
            </w:pPr>
            <w:r>
              <w:rPr>
                <w:rFonts w:ascii="宋体"/>
                <w:sz w:val="18"/>
              </w:rPr>
              <w:t>2014-12-31</w:t>
            </w:r>
          </w:p>
        </w:tc>
      </w:tr>
      <w:tr>
        <w:trPr>
          <w:trHeight w:val="322" w:hRule="exact"/>
        </w:trPr>
        <w:tc>
          <w:tcPr>
            <w:tcW w:w="1804" w:type="dxa"/>
            <w:vMerge/>
            <w:tcBorders>
              <w:left w:val="single" w:sz="4" w:space="0" w:color="000000"/>
              <w:bottom w:val="single" w:sz="4" w:space="0" w:color="000000"/>
              <w:right w:val="single" w:sz="4" w:space="0" w:color="000000"/>
            </w:tcBorders>
            <w:shd w:val="clear" w:color="auto" w:fill="CCCCCC"/>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70"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2" w:right="0"/>
              <w:jc w:val="center"/>
              <w:rPr>
                <w:rFonts w:ascii="宋体" w:hAnsi="宋体" w:cs="宋体" w:eastAsia="宋体" w:hint="default"/>
                <w:sz w:val="18"/>
                <w:szCs w:val="18"/>
              </w:rPr>
            </w:pPr>
            <w:r>
              <w:rPr>
                <w:rFonts w:ascii="宋体"/>
                <w:sz w:val="18"/>
              </w:rPr>
              <w:t>1,530,254,735.42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344,837,142.50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1,607,423,990.42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386,456,397.50</w:t>
            </w:r>
          </w:p>
        </w:tc>
      </w:tr>
      <w:tr>
        <w:trPr>
          <w:trHeight w:val="323" w:hRule="exact"/>
        </w:trPr>
        <w:tc>
          <w:tcPr>
            <w:tcW w:w="18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1,185,417,592.92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36,827,707.23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1,257,795,300.15</w:t>
            </w:r>
          </w:p>
        </w:tc>
      </w:tr>
    </w:tbl>
    <w:p>
      <w:pPr>
        <w:spacing w:line="468" w:lineRule="auto" w:before="1"/>
        <w:ind w:left="213" w:right="1611" w:firstLine="480"/>
        <w:jc w:val="left"/>
        <w:rPr>
          <w:rFonts w:ascii="宋体" w:hAnsi="宋体" w:cs="宋体" w:eastAsia="宋体" w:hint="default"/>
          <w:sz w:val="24"/>
          <w:szCs w:val="24"/>
        </w:rPr>
      </w:pPr>
      <w:r>
        <w:rPr>
          <w:rFonts w:ascii="宋体" w:hAnsi="宋体" w:cs="宋体" w:eastAsia="宋体" w:hint="default"/>
          <w:sz w:val="24"/>
          <w:szCs w:val="24"/>
        </w:rPr>
        <w:t>本报告期公司除上述会计政策变更之外，其他主要会计政策未发生变更。 </w:t>
      </w:r>
      <w:r>
        <w:rPr>
          <w:rFonts w:ascii="宋体" w:hAnsi="宋体" w:cs="宋体" w:eastAsia="宋体" w:hint="default"/>
          <w:b/>
          <w:bCs/>
          <w:sz w:val="24"/>
          <w:szCs w:val="24"/>
        </w:rPr>
        <w:t>十一、报告期内发生重大会计差错更正需追溯重述的情况说明</w:t>
      </w:r>
      <w:r>
        <w:rPr>
          <w:rFonts w:ascii="宋体" w:hAnsi="宋体" w:cs="宋体" w:eastAsia="宋体" w:hint="default"/>
          <w:sz w:val="24"/>
          <w:szCs w:val="24"/>
        </w:rPr>
      </w:r>
    </w:p>
    <w:p>
      <w:pPr>
        <w:pStyle w:val="Heading5"/>
        <w:spacing w:line="254" w:lineRule="auto" w:before="70"/>
        <w:ind w:left="213" w:right="3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公司报告期无重大会计差错更正需追溯重述的情况。</w:t>
      </w:r>
    </w:p>
    <w:p>
      <w:pPr>
        <w:spacing w:line="240" w:lineRule="auto" w:before="9"/>
        <w:rPr>
          <w:rFonts w:ascii="宋体" w:hAnsi="宋体" w:cs="宋体" w:eastAsia="宋体" w:hint="default"/>
          <w:sz w:val="21"/>
          <w:szCs w:val="21"/>
        </w:rPr>
      </w:pPr>
    </w:p>
    <w:p>
      <w:pPr>
        <w:pStyle w:val="Heading4"/>
        <w:spacing w:line="240" w:lineRule="auto" w:before="0"/>
        <w:ind w:left="213" w:right="1097"/>
        <w:jc w:val="left"/>
        <w:rPr>
          <w:b w:val="0"/>
          <w:bCs w:val="0"/>
        </w:rPr>
      </w:pPr>
      <w:r>
        <w:rPr/>
        <w:t>十二、与上年度财务报告相比，合并报表范围发生变化的情况说明</w:t>
      </w:r>
      <w:r>
        <w:rPr>
          <w:b w:val="0"/>
          <w:bCs w:val="0"/>
        </w:rPr>
      </w:r>
    </w:p>
    <w:p>
      <w:pPr>
        <w:spacing w:line="240" w:lineRule="auto" w:before="11"/>
        <w:rPr>
          <w:rFonts w:ascii="宋体" w:hAnsi="宋体" w:cs="宋体" w:eastAsia="宋体" w:hint="default"/>
          <w:b/>
          <w:bCs/>
          <w:sz w:val="22"/>
          <w:szCs w:val="22"/>
        </w:rPr>
      </w:pPr>
    </w:p>
    <w:p>
      <w:pPr>
        <w:pStyle w:val="Heading5"/>
        <w:spacing w:line="240" w:lineRule="auto" w:before="0"/>
        <w:ind w:left="213" w:right="10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0" w:footer="982" w:top="1060" w:bottom="1180" w:left="920" w:right="980"/>
        </w:sectPr>
      </w:pPr>
    </w:p>
    <w:p>
      <w:pPr>
        <w:spacing w:line="240" w:lineRule="auto" w:before="8"/>
        <w:rPr>
          <w:rFonts w:ascii="宋体" w:hAnsi="宋体" w:cs="宋体" w:eastAsia="宋体" w:hint="default"/>
          <w:sz w:val="23"/>
          <w:szCs w:val="23"/>
        </w:rPr>
      </w:pPr>
    </w:p>
    <w:p>
      <w:pPr>
        <w:pStyle w:val="Heading5"/>
        <w:spacing w:line="240" w:lineRule="auto" w:before="26"/>
        <w:ind w:left="154" w:right="94"/>
        <w:jc w:val="left"/>
      </w:pPr>
      <w:r>
        <w:rPr/>
        <w:t>1、与上期相比本期新增合并单位23家，原因为</w:t>
      </w:r>
    </w:p>
    <w:p>
      <w:pPr>
        <w:pStyle w:val="Heading5"/>
        <w:spacing w:line="240" w:lineRule="auto" w:before="36"/>
        <w:ind w:left="154" w:right="94" w:firstLine="480"/>
        <w:jc w:val="left"/>
      </w:pPr>
      <w:r>
        <w:rPr>
          <w:spacing w:val="-3"/>
        </w:rPr>
        <w:t>（1）本公司受让国视通讯（上海）有限公司100%股权及北京国广视讯新媒体科技有限公</w:t>
      </w:r>
      <w:r>
        <w:rPr/>
        <w:t> 司100%股权；</w:t>
      </w:r>
    </w:p>
    <w:p>
      <w:pPr>
        <w:pStyle w:val="Heading5"/>
        <w:spacing w:line="237" w:lineRule="auto" w:before="40"/>
        <w:ind w:right="94" w:firstLine="480"/>
        <w:jc w:val="left"/>
      </w:pPr>
      <w:r>
        <w:rPr>
          <w:spacing w:val="3"/>
        </w:rPr>
        <w:t>（2）本公司购买天津掌视亿通信息技术有限公司100%股权、广州市邦富软件有限公司</w:t>
      </w:r>
      <w:r>
        <w:rPr>
          <w:spacing w:val="4"/>
        </w:rPr>
        <w:t> </w:t>
      </w:r>
      <w:r>
        <w:rPr>
          <w:spacing w:val="-5"/>
        </w:rPr>
        <w:t>100%股权、上海精视文化传播有限公司60%股权、广州漫友文化科技发展有限公司85.61%股权，</w:t>
      </w:r>
      <w:r>
        <w:rPr>
          <w:spacing w:val="-82"/>
        </w:rPr>
        <w:t> </w:t>
      </w:r>
      <w:r>
        <w:rPr>
          <w:spacing w:val="-82"/>
        </w:rPr>
      </w:r>
      <w:r>
        <w:rPr/>
        <w:t>股权过户合并报表时上海精视文化传播有限公司合并范围内有上海精视广告传播有限公司一</w:t>
      </w:r>
      <w:r>
        <w:rPr>
          <w:spacing w:val="-83"/>
        </w:rPr>
        <w:t> </w:t>
      </w:r>
      <w:r>
        <w:rPr>
          <w:spacing w:val="-83"/>
        </w:rPr>
      </w:r>
      <w:r>
        <w:rPr/>
        <w:t>家全资子公司，广州漫友文化科技发展有限公司合并范围内有广州酷视网络有限公司一家控</w:t>
      </w:r>
      <w:r>
        <w:rPr>
          <w:spacing w:val="-83"/>
        </w:rPr>
        <w:t> </w:t>
      </w:r>
      <w:r>
        <w:rPr>
          <w:spacing w:val="-83"/>
        </w:rPr>
      </w:r>
      <w:r>
        <w:rPr/>
        <w:t>股子公司；</w:t>
      </w:r>
    </w:p>
    <w:p>
      <w:pPr>
        <w:pStyle w:val="Heading5"/>
        <w:spacing w:line="240" w:lineRule="auto" w:before="38"/>
        <w:ind w:left="633" w:right="94"/>
        <w:jc w:val="left"/>
      </w:pPr>
      <w:r>
        <w:rPr/>
        <w:t>（3）2014年4月，本公司受让海南椰德利房地产开发有限公司100%股权；</w:t>
      </w:r>
    </w:p>
    <w:p>
      <w:pPr>
        <w:pStyle w:val="Heading5"/>
        <w:spacing w:line="240" w:lineRule="auto" w:before="36"/>
        <w:ind w:right="94" w:firstLine="480"/>
        <w:jc w:val="left"/>
      </w:pPr>
      <w:r>
        <w:rPr>
          <w:spacing w:val="-3"/>
        </w:rPr>
        <w:t>（4）本公司新设成立华闻传媒（香港）有限公司、北京华闻创新传媒文化研究院有限责</w:t>
      </w:r>
      <w:r>
        <w:rPr/>
        <w:t> 任公司和华闻传媒（海外）有限公司；</w:t>
      </w:r>
    </w:p>
    <w:p>
      <w:pPr>
        <w:pStyle w:val="Heading5"/>
        <w:spacing w:line="240" w:lineRule="auto" w:before="37"/>
        <w:ind w:right="94" w:firstLine="480"/>
        <w:jc w:val="left"/>
      </w:pPr>
      <w:r>
        <w:rPr>
          <w:spacing w:val="-3"/>
        </w:rPr>
        <w:t>（5）本公司之子公司北京澄怀科技有限公司新设成立北京澄怀众合文化传媒有限公司和</w:t>
      </w:r>
      <w:r>
        <w:rPr/>
        <w:t> 培领环球有限公司；</w:t>
      </w:r>
    </w:p>
    <w:p>
      <w:pPr>
        <w:pStyle w:val="Heading5"/>
        <w:spacing w:line="240" w:lineRule="auto" w:before="36"/>
        <w:ind w:right="94" w:firstLine="480"/>
        <w:jc w:val="left"/>
      </w:pPr>
      <w:r>
        <w:rPr>
          <w:spacing w:val="-3"/>
        </w:rPr>
        <w:t>（6）本公司之子公司深圳证券时报传媒有限公司新设成立深圳市怀远天下旅行社有限公</w:t>
      </w:r>
      <w:r>
        <w:rPr/>
        <w:t> 司和深圳市新视野影像有限公司；</w:t>
      </w:r>
    </w:p>
    <w:p>
      <w:pPr>
        <w:pStyle w:val="Heading5"/>
        <w:spacing w:line="240" w:lineRule="auto" w:before="36"/>
        <w:ind w:right="94" w:firstLine="480"/>
        <w:jc w:val="left"/>
      </w:pPr>
      <w:r>
        <w:rPr>
          <w:spacing w:val="-3"/>
        </w:rPr>
        <w:t>（7）本公司之子公司重庆华博传媒有限公司新设成立重庆爱达投资有限公司、重庆爱达</w:t>
      </w:r>
      <w:r>
        <w:rPr/>
        <w:t> 财富资产管理有限公司和重庆爱达国际旅行社有限公司；</w:t>
      </w:r>
    </w:p>
    <w:p>
      <w:pPr>
        <w:pStyle w:val="Heading5"/>
        <w:spacing w:line="240" w:lineRule="auto" w:before="37"/>
        <w:ind w:right="94" w:firstLine="480"/>
        <w:jc w:val="left"/>
      </w:pPr>
      <w:r>
        <w:rPr>
          <w:spacing w:val="-3"/>
        </w:rPr>
        <w:t>（8）本公司之子公司北京国广光荣广告有限公司新设成立拉萨环球风尚投资管理咨询有</w:t>
      </w:r>
      <w:r>
        <w:rPr/>
        <w:t> 限公司；</w:t>
      </w:r>
    </w:p>
    <w:p>
      <w:pPr>
        <w:pStyle w:val="Heading5"/>
        <w:spacing w:line="240" w:lineRule="auto" w:before="36"/>
        <w:ind w:right="94" w:firstLine="480"/>
        <w:jc w:val="left"/>
      </w:pPr>
      <w:r>
        <w:rPr>
          <w:spacing w:val="-3"/>
        </w:rPr>
        <w:t>（9）本公司之子公司华闻世纪影视投资控股（北京）有限责任公司新设成立华闻影视文</w:t>
      </w:r>
      <w:r>
        <w:rPr/>
        <w:t> 化传媒（天津）有限公司；</w:t>
      </w:r>
    </w:p>
    <w:p>
      <w:pPr>
        <w:pStyle w:val="Heading5"/>
        <w:spacing w:line="240" w:lineRule="auto" w:before="36"/>
        <w:ind w:right="94" w:firstLine="480"/>
        <w:jc w:val="left"/>
      </w:pPr>
      <w:r>
        <w:rPr/>
        <w:t>（10）本公司之子公司辽宁盈丰传媒有限公司新设成立沈阳盈广丰广告传媒有限公司和</w:t>
      </w:r>
      <w:r>
        <w:rPr>
          <w:spacing w:val="1"/>
        </w:rPr>
        <w:t> </w:t>
      </w:r>
      <w:r>
        <w:rPr/>
        <w:t>沈阳华创众视广告传媒有限公司。</w:t>
      </w:r>
    </w:p>
    <w:p>
      <w:pPr>
        <w:pStyle w:val="Heading5"/>
        <w:spacing w:line="240" w:lineRule="auto" w:before="38"/>
        <w:ind w:right="94"/>
        <w:jc w:val="left"/>
      </w:pPr>
      <w:r>
        <w:rPr/>
        <w:t>2、本期减少合并单位52家，原因为</w:t>
      </w:r>
    </w:p>
    <w:p>
      <w:pPr>
        <w:pStyle w:val="Heading5"/>
        <w:spacing w:line="312" w:lineRule="exact" w:before="67"/>
        <w:ind w:left="154" w:right="94" w:firstLine="484"/>
        <w:jc w:val="left"/>
      </w:pPr>
      <w:r>
        <w:rPr/>
        <w:t>（1）公司于2014年2月公开挂牌转让海南民生长流油气储运有限公司100%股权，从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日完成工商变更登记之日起该公司不再纳入合并范围；</w:t>
      </w:r>
    </w:p>
    <w:p>
      <w:pPr>
        <w:pStyle w:val="Heading5"/>
        <w:spacing w:line="282" w:lineRule="exact" w:before="0"/>
        <w:ind w:left="638" w:right="94"/>
        <w:jc w:val="left"/>
      </w:pPr>
      <w:r>
        <w:rPr/>
        <w:t>（2）天津华商广告有限公司于2014年1月注销，注销后不再纳入合并范围；</w:t>
      </w:r>
    </w:p>
    <w:p>
      <w:pPr>
        <w:pStyle w:val="Heading5"/>
        <w:spacing w:line="312" w:lineRule="exact" w:before="29"/>
        <w:ind w:left="154" w:right="94" w:firstLine="484"/>
        <w:jc w:val="left"/>
      </w:pPr>
      <w:r>
        <w:rPr>
          <w:spacing w:val="-3"/>
        </w:rPr>
        <w:t>（3）海口民生富时实业有限公司、海口民生聚富实业有限公司、海口民生鼎盛实业有限</w:t>
      </w:r>
      <w:r>
        <w:rPr/>
        <w:t> 公司、海口民生金鼎实业有限公司、海口民生裕隆实业有限公司、海口民生泰信实业有限公</w:t>
      </w:r>
      <w:r>
        <w:rPr>
          <w:spacing w:val="-83"/>
        </w:rPr>
        <w:t> </w:t>
      </w:r>
      <w:r>
        <w:rPr>
          <w:spacing w:val="-83"/>
        </w:rPr>
      </w:r>
      <w:r>
        <w:rPr>
          <w:spacing w:val="-3"/>
        </w:rPr>
        <w:t>司、海口民生天瑞实业有限公司、海口民生景福实业有限公司、海口民生创新实业有限公司、</w:t>
      </w:r>
      <w:r>
        <w:rPr>
          <w:spacing w:val="-81"/>
        </w:rPr>
        <w:t> </w:t>
      </w:r>
      <w:r>
        <w:rPr>
          <w:spacing w:val="-81"/>
        </w:rPr>
      </w:r>
      <w:r>
        <w:rPr/>
        <w:t>海口民生银丰实业有限公司、海口民生隆元实业有限公司、海口民生精选实业有限公司、海</w:t>
      </w:r>
      <w:r>
        <w:rPr>
          <w:spacing w:val="-83"/>
        </w:rPr>
        <w:t> </w:t>
      </w:r>
      <w:r>
        <w:rPr>
          <w:spacing w:val="-83"/>
        </w:rPr>
      </w:r>
      <w:r>
        <w:rPr/>
        <w:t>口民生国泰实业有限公司、海口民生景顺实业有限公司、海口民生添福实业有限公司、海口</w:t>
      </w:r>
      <w:r>
        <w:rPr>
          <w:spacing w:val="-83"/>
        </w:rPr>
        <w:t> </w:t>
      </w:r>
      <w:r>
        <w:rPr>
          <w:spacing w:val="-83"/>
        </w:rPr>
      </w:r>
      <w:r>
        <w:rPr/>
        <w:t>仁和永佳贸易有限公司、海口新弘业贸易有限公司、海口丰之和贸易有限公司、海口恒发通</w:t>
      </w:r>
      <w:r>
        <w:rPr>
          <w:spacing w:val="-83"/>
        </w:rPr>
        <w:t> </w:t>
      </w:r>
      <w:r>
        <w:rPr>
          <w:spacing w:val="-83"/>
        </w:rPr>
      </w:r>
      <w:r>
        <w:rPr/>
        <w:t>贸易有限公司、海口康隆盛达贸易有限公司、海口海之都贸易有限公司、海口丰之利贸易有</w:t>
      </w:r>
      <w:r>
        <w:rPr>
          <w:spacing w:val="-83"/>
        </w:rPr>
        <w:t> </w:t>
      </w:r>
      <w:r>
        <w:rPr>
          <w:spacing w:val="-83"/>
        </w:rPr>
      </w:r>
      <w:r>
        <w:rPr/>
        <w:t>限公司于2014年9月28日注销，注销后不再纳入合并范围；</w:t>
      </w:r>
    </w:p>
    <w:p>
      <w:pPr>
        <w:pStyle w:val="Heading5"/>
        <w:spacing w:line="312" w:lineRule="exact" w:before="0"/>
        <w:ind w:left="154" w:right="228" w:firstLine="484"/>
        <w:jc w:val="both"/>
      </w:pPr>
      <w:r>
        <w:rPr>
          <w:spacing w:val="-3"/>
        </w:rPr>
        <w:t>（4）西安华商鹏宇企业管理咨询有限公司、西安华商鹏鸿企业管理咨询有限公司、西安</w:t>
      </w:r>
      <w:r>
        <w:rPr/>
        <w:t> 华商鹏宝企业管理咨询有限公司、西安华商鹏昌企业管理咨询有限公司、西安华商鹏泰企业</w:t>
      </w:r>
      <w:r>
        <w:rPr>
          <w:spacing w:val="-83"/>
        </w:rPr>
        <w:t> </w:t>
      </w:r>
      <w:r>
        <w:rPr>
          <w:spacing w:val="-83"/>
        </w:rPr>
      </w:r>
      <w:r>
        <w:rPr/>
        <w:t>管理咨询有限公司、西安华商鹏达企业管理咨询有限公司、西安华商鹏顺企业管理咨询有限</w:t>
      </w:r>
      <w:r>
        <w:rPr>
          <w:spacing w:val="-83"/>
        </w:rPr>
        <w:t> </w:t>
      </w:r>
      <w:r>
        <w:rPr>
          <w:spacing w:val="-83"/>
        </w:rPr>
      </w:r>
      <w:r>
        <w:rPr/>
        <w:t>公司、西安华商鹏祥企业管理咨询有限公司、西安华商富顺企业管理咨询有限公司、西安华</w:t>
      </w:r>
      <w:r>
        <w:rPr>
          <w:spacing w:val="-83"/>
        </w:rPr>
        <w:t> </w:t>
      </w:r>
      <w:r>
        <w:rPr>
          <w:spacing w:val="-83"/>
        </w:rPr>
      </w:r>
      <w:r>
        <w:rPr/>
        <w:t>商富兴企业管理咨询有限公司、西安华商达祥企业管理咨询有限公司、西安华商富昌企业管</w:t>
      </w:r>
      <w:r>
        <w:rPr>
          <w:spacing w:val="-83"/>
        </w:rPr>
        <w:t> </w:t>
      </w:r>
      <w:r>
        <w:rPr>
          <w:spacing w:val="-83"/>
        </w:rPr>
      </w:r>
      <w:r>
        <w:rPr/>
        <w:t>理咨询有限公司、西安华商达昌企业管理咨询有限公司、西安华商达富企业管理咨询有限公</w:t>
      </w:r>
      <w:r>
        <w:rPr>
          <w:spacing w:val="-83"/>
        </w:rPr>
        <w:t> </w:t>
      </w:r>
      <w:r>
        <w:rPr>
          <w:spacing w:val="-83"/>
        </w:rPr>
      </w:r>
      <w:r>
        <w:rPr/>
        <w:t>司、西安华商达顺企业管理咨询有限公司、西安华商达泰企业管理咨询有限公司、西安华商</w:t>
      </w:r>
      <w:r>
        <w:rPr>
          <w:spacing w:val="-83"/>
        </w:rPr>
        <w:t> </w:t>
      </w:r>
      <w:r>
        <w:rPr>
          <w:spacing w:val="-83"/>
        </w:rPr>
      </w:r>
      <w:r>
        <w:rPr/>
        <w:t>弘宝企业管理咨询有限公司、西安华商弘亨企业管理咨询有限公司、西安华商弘远企业管理</w:t>
      </w:r>
    </w:p>
    <w:p>
      <w:pPr>
        <w:spacing w:after="0" w:line="312" w:lineRule="exact"/>
        <w:jc w:val="both"/>
        <w:sectPr>
          <w:pgSz w:w="11910" w:h="16840"/>
          <w:pgMar w:header="0" w:footer="982" w:top="1060" w:bottom="1180" w:left="980" w:right="900"/>
        </w:sectPr>
      </w:pPr>
    </w:p>
    <w:p>
      <w:pPr>
        <w:spacing w:line="240" w:lineRule="auto" w:before="7"/>
        <w:rPr>
          <w:rFonts w:ascii="宋体" w:hAnsi="宋体" w:cs="宋体" w:eastAsia="宋体" w:hint="default"/>
          <w:sz w:val="23"/>
          <w:szCs w:val="23"/>
        </w:rPr>
      </w:pPr>
    </w:p>
    <w:p>
      <w:pPr>
        <w:pStyle w:val="Heading5"/>
        <w:spacing w:line="312" w:lineRule="exact" w:before="56"/>
        <w:ind w:right="93"/>
        <w:jc w:val="left"/>
      </w:pPr>
      <w:r>
        <w:rPr>
          <w:spacing w:val="-2"/>
        </w:rPr>
        <w:t>咨询有限公司、西安华商泰达企业管理咨询有限公司、西安华商弘昌企业管理咨询有限公司、</w:t>
      </w:r>
      <w:r>
        <w:rPr/>
        <w:t> 西安华商弘顺企业管理咨询有限公司、西安华商泰兴企业管理咨询有限公司、西安华商泰顺</w:t>
      </w:r>
      <w:r>
        <w:rPr>
          <w:spacing w:val="-83"/>
        </w:rPr>
        <w:t> </w:t>
      </w:r>
      <w:r>
        <w:rPr>
          <w:spacing w:val="-83"/>
        </w:rPr>
      </w:r>
      <w:r>
        <w:rPr/>
        <w:t>企业管理咨询有限公司、西安华商泰祥企业管理咨询有限公司、西安华商泰亨企业管理咨询</w:t>
      </w:r>
      <w:r>
        <w:rPr>
          <w:spacing w:val="-83"/>
        </w:rPr>
        <w:t> </w:t>
      </w:r>
      <w:r>
        <w:rPr>
          <w:spacing w:val="-83"/>
        </w:rPr>
      </w:r>
      <w:r>
        <w:rPr/>
        <w:t>有限公司、西安华商弘泰企业管理咨询有限公司于2014年12月注销，注销后不再纳入合并范</w:t>
      </w:r>
      <w:r>
        <w:rPr>
          <w:spacing w:val="-117"/>
        </w:rPr>
        <w:t> </w:t>
      </w:r>
      <w:r>
        <w:rPr>
          <w:spacing w:val="-117"/>
        </w:rPr>
      </w:r>
      <w:r>
        <w:rPr/>
        <w:t>围；</w:t>
      </w:r>
    </w:p>
    <w:p>
      <w:pPr>
        <w:pStyle w:val="Heading5"/>
        <w:spacing w:line="283" w:lineRule="exact" w:before="0"/>
        <w:ind w:left="638" w:right="94"/>
        <w:jc w:val="left"/>
      </w:pPr>
      <w:r>
        <w:rPr/>
        <w:t>（5）北京盈智传媒广告有限公司于2014年12月注销，注销后不再纳入合并范围。</w:t>
      </w:r>
    </w:p>
    <w:p>
      <w:pPr>
        <w:spacing w:line="240" w:lineRule="auto" w:before="2"/>
        <w:rPr>
          <w:rFonts w:ascii="宋体" w:hAnsi="宋体" w:cs="宋体" w:eastAsia="宋体" w:hint="default"/>
          <w:sz w:val="24"/>
          <w:szCs w:val="24"/>
        </w:rPr>
      </w:pPr>
    </w:p>
    <w:p>
      <w:pPr>
        <w:spacing w:line="610" w:lineRule="atLeast" w:before="0"/>
        <w:ind w:left="153" w:right="4811" w:firstLine="0"/>
        <w:jc w:val="left"/>
        <w:rPr>
          <w:rFonts w:ascii="宋体" w:hAnsi="宋体" w:cs="宋体" w:eastAsia="宋体" w:hint="default"/>
          <w:sz w:val="24"/>
          <w:szCs w:val="24"/>
        </w:rPr>
      </w:pPr>
      <w:r>
        <w:rPr>
          <w:rFonts w:ascii="宋体" w:hAnsi="宋体" w:cs="宋体" w:eastAsia="宋体" w:hint="default"/>
          <w:b/>
          <w:bCs/>
          <w:sz w:val="24"/>
          <w:szCs w:val="24"/>
        </w:rPr>
        <w:t>十三、公司利润分配及分红派息情况</w:t>
      </w:r>
      <w:r>
        <w:rPr>
          <w:rFonts w:ascii="宋体" w:hAnsi="宋体" w:cs="宋体" w:eastAsia="宋体" w:hint="default"/>
          <w:b/>
          <w:bCs/>
          <w:w w:val="99"/>
          <w:sz w:val="24"/>
          <w:szCs w:val="24"/>
        </w:rPr>
        <w:t> </w:t>
      </w:r>
      <w:r>
        <w:rPr>
          <w:rFonts w:ascii="宋体" w:hAnsi="宋体" w:cs="宋体" w:eastAsia="宋体" w:hint="default"/>
          <w:sz w:val="24"/>
          <w:szCs w:val="24"/>
        </w:rPr>
        <w:t>报告期内利润分配政策的制定、执行或调整情况</w:t>
      </w:r>
    </w:p>
    <w:p>
      <w:pPr>
        <w:pStyle w:val="Heading5"/>
        <w:spacing w:line="312" w:lineRule="auto" w:before="37"/>
        <w:ind w:left="636" w:right="94" w:hanging="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2014年5月，根据中国证监会《上市公司监管指引第3号——上市公司现金分红》（证监</w:t>
      </w:r>
    </w:p>
    <w:p>
      <w:pPr>
        <w:pStyle w:val="Heading5"/>
        <w:spacing w:line="304" w:lineRule="auto" w:before="13"/>
        <w:ind w:right="101"/>
        <w:jc w:val="left"/>
      </w:pPr>
      <w:r>
        <w:rPr>
          <w:spacing w:val="-2"/>
        </w:rPr>
        <w:t>会公告[2013]43号）等规定的相关内容，公司修订了《公司章程》中的现金分红政策等内容，</w:t>
      </w:r>
      <w:r>
        <w:rPr>
          <w:spacing w:val="-114"/>
        </w:rPr>
        <w:t> </w:t>
      </w:r>
      <w:r>
        <w:rPr>
          <w:spacing w:val="-114"/>
        </w:rPr>
      </w:r>
      <w:r>
        <w:rPr/>
        <w:t>报经董事会、监事会审议批准，全体独立董事发表独立意见，2014年第二次临时股东大会审</w:t>
      </w:r>
      <w:r>
        <w:rPr>
          <w:spacing w:val="-101"/>
        </w:rPr>
        <w:t> </w:t>
      </w:r>
      <w:r>
        <w:rPr>
          <w:spacing w:val="-101"/>
        </w:rPr>
      </w:r>
      <w:r>
        <w:rPr/>
        <w:t>议通过后执行。报告期内，公司严格执行现金分红政策，现金分红政策没有发生调整。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319" w:lineRule="auto" w:before="51"/>
              <w:ind w:left="10" w:right="68"/>
              <w:jc w:val="left"/>
              <w:rPr>
                <w:rFonts w:ascii="宋体" w:hAnsi="宋体" w:cs="宋体" w:eastAsia="宋体" w:hint="default"/>
                <w:sz w:val="18"/>
                <w:szCs w:val="18"/>
              </w:rPr>
            </w:pPr>
            <w:r>
              <w:rPr>
                <w:rFonts w:ascii="宋体" w:hAnsi="宋体" w:cs="宋体" w:eastAsia="宋体" w:hint="default"/>
                <w:sz w:val="18"/>
                <w:szCs w:val="18"/>
              </w:rPr>
              <w:t>报告期内，公司严格执行现金分红政策，现金分红政策没有 发生调整。</w:t>
            </w:r>
          </w:p>
        </w:tc>
      </w:tr>
    </w:tbl>
    <w:p>
      <w:pPr>
        <w:pStyle w:val="Heading5"/>
        <w:spacing w:line="312" w:lineRule="auto" w:before="1"/>
        <w:ind w:left="636" w:right="222" w:hanging="483"/>
        <w:jc w:val="left"/>
      </w:pPr>
      <w:r>
        <w:rPr/>
        <w:t>公司近</w:t>
      </w:r>
      <w:r>
        <w:rPr>
          <w:spacing w:val="-60"/>
        </w:rPr>
        <w:t> </w:t>
      </w:r>
      <w:r>
        <w:rPr>
          <w:rFonts w:ascii="Times New Roman" w:hAnsi="Times New Roman" w:cs="Times New Roman" w:eastAsia="Times New Roman" w:hint="default"/>
        </w:rPr>
        <w:t>3 </w:t>
      </w:r>
      <w:r>
        <w:rPr/>
        <w:t>年（含报告期）的利润分配预案或方案及资本公积金转增股本预案或方案情况 </w:t>
      </w:r>
      <w:r>
        <w:rPr>
          <w:spacing w:val="-2"/>
        </w:rPr>
        <w:t>公司2014年度的利润分配预案为：以公司目前股份总数2,051,228,683股为基数，向全体</w:t>
      </w:r>
    </w:p>
    <w:p>
      <w:pPr>
        <w:pStyle w:val="Heading5"/>
        <w:spacing w:line="307" w:lineRule="auto" w:before="13"/>
        <w:ind w:left="636" w:right="230" w:hanging="483"/>
        <w:jc w:val="left"/>
      </w:pPr>
      <w:r>
        <w:rPr/>
        <w:t>股东每10股派发现金0.50元（含税）。该方案须提交2014年度股东大会审议。 </w:t>
      </w:r>
      <w:r>
        <w:rPr>
          <w:spacing w:val="-2"/>
        </w:rPr>
        <w:t>公司2013年度的利润分配预案为：以公司2013年12月31日股份总数1,846,262,977股为基</w:t>
      </w:r>
    </w:p>
    <w:p>
      <w:pPr>
        <w:pStyle w:val="Heading5"/>
        <w:spacing w:line="304" w:lineRule="auto" w:before="18"/>
        <w:ind w:left="154" w:right="231"/>
        <w:jc w:val="both"/>
      </w:pPr>
      <w:r>
        <w:rPr>
          <w:spacing w:val="-2"/>
        </w:rPr>
        <w:t>数，向全体股东每10股派发现金0.40元（含税）。该方案经2014年4月25日召开的2013年度股</w:t>
      </w:r>
      <w:r>
        <w:rPr>
          <w:spacing w:val="-106"/>
        </w:rPr>
        <w:t> </w:t>
      </w:r>
      <w:r>
        <w:rPr>
          <w:spacing w:val="-106"/>
        </w:rPr>
      </w:r>
      <w:r>
        <w:rPr>
          <w:spacing w:val="-8"/>
        </w:rPr>
        <w:t>东大会审议通过后，于2014年6月17日实施完毕，充分保护了中小投资者的合法权益，符合《公</w:t>
      </w:r>
      <w:r>
        <w:rPr>
          <w:spacing w:val="-84"/>
        </w:rPr>
        <w:t> </w:t>
      </w:r>
      <w:r>
        <w:rPr>
          <w:spacing w:val="-84"/>
        </w:rPr>
      </w:r>
      <w:r>
        <w:rPr/>
        <w:t>司章程》的规定。</w:t>
      </w:r>
    </w:p>
    <w:p>
      <w:pPr>
        <w:pStyle w:val="Heading5"/>
        <w:spacing w:line="304" w:lineRule="auto"/>
        <w:ind w:left="154" w:right="231" w:firstLine="482"/>
        <w:jc w:val="both"/>
      </w:pPr>
      <w:r>
        <w:rPr>
          <w:spacing w:val="-2"/>
        </w:rPr>
        <w:t>公司2012年度的利润分配方案为：以公司2012年12月31日股份总数1,360,132,576股为基</w:t>
      </w:r>
      <w:r>
        <w:rPr/>
        <w:t> </w:t>
      </w:r>
      <w:r>
        <w:rPr>
          <w:spacing w:val="-2"/>
        </w:rPr>
        <w:t>数，向全体股东每10股派发现金0.20元（含税）。该方案经2013年3月11日召开的2012年度股</w:t>
      </w:r>
      <w:r>
        <w:rPr>
          <w:spacing w:val="-106"/>
        </w:rPr>
        <w:t> </w:t>
      </w:r>
      <w:r>
        <w:rPr>
          <w:spacing w:val="-106"/>
        </w:rPr>
      </w:r>
      <w:r>
        <w:rPr>
          <w:spacing w:val="-5"/>
        </w:rPr>
        <w:t>东大会审议通过后，于2013年5月7日实施完毕，充分保护了中小投资者的合法权益，符合《公</w:t>
      </w:r>
      <w:r>
        <w:rPr>
          <w:spacing w:val="-104"/>
        </w:rPr>
        <w:t> </w:t>
      </w:r>
      <w:r>
        <w:rPr>
          <w:spacing w:val="-104"/>
        </w:rPr>
      </w:r>
      <w:r>
        <w:rPr/>
        <w:t>司章程》的规定。</w:t>
      </w:r>
    </w:p>
    <w:p>
      <w:pPr>
        <w:spacing w:after="0" w:line="304" w:lineRule="auto"/>
        <w:jc w:val="both"/>
        <w:sectPr>
          <w:pgSz w:w="11910" w:h="16840"/>
          <w:pgMar w:header="0" w:footer="982" w:top="1060" w:bottom="1180" w:left="980" w:right="9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82" w:top="1060" w:bottom="1180" w:left="980" w:right="980"/>
        </w:sectPr>
      </w:pPr>
    </w:p>
    <w:p>
      <w:pPr>
        <w:pStyle w:val="Heading5"/>
        <w:spacing w:line="240" w:lineRule="auto" w:before="26"/>
        <w:ind w:right="-19"/>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35" w:space="588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102,561,434.15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983,541,318.63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73,850,519.08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525,875,568.17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27,202,651.52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293,478,207.77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Heading5"/>
        <w:spacing w:line="240" w:lineRule="auto" w:before="1"/>
        <w:ind w:left="154" w:right="0"/>
        <w:jc w:val="left"/>
      </w:pPr>
      <w:r>
        <w:rPr/>
        <w:t>公司报告期内盈利且母公司未分配利润为正但未提出现金红利分配预案</w:t>
      </w:r>
    </w:p>
    <w:p>
      <w:pPr>
        <w:spacing w:line="441" w:lineRule="auto" w:before="38"/>
        <w:ind w:left="153" w:right="422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十四、本报告期利润分配及资本公积金转增股本预案</w:t>
      </w:r>
      <w:r>
        <w:rPr>
          <w:rFonts w:ascii="宋体" w:hAnsi="宋体" w:cs="宋体" w:eastAsia="宋体" w:hint="default"/>
          <w:sz w:val="24"/>
          <w:szCs w:val="24"/>
        </w:rPr>
      </w:r>
    </w:p>
    <w:p>
      <w:pPr>
        <w:spacing w:before="14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2,051,228,683</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102,561,434.15</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841,919,837.31</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49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年度的利润分配预案及公积金转增股本预案为：经立信所审计，公司</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年度实现合并归属于母公司所有者的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净利润 983,541,318.63 元，母公司净利润为 610,522,908.06 元。根据《公司章程》规定，母公司按</w:t>
            </w:r>
            <w:r>
              <w:rPr>
                <w:rFonts w:ascii="宋体" w:hAnsi="宋体" w:cs="宋体" w:eastAsia="宋体" w:hint="default"/>
                <w:spacing w:val="-30"/>
                <w:sz w:val="18"/>
                <w:szCs w:val="18"/>
              </w:rPr>
              <w:t> </w:t>
            </w:r>
            <w:r>
              <w:rPr>
                <w:rFonts w:ascii="宋体" w:hAnsi="宋体" w:cs="宋体" w:eastAsia="宋体" w:hint="default"/>
                <w:sz w:val="18"/>
                <w:szCs w:val="18"/>
              </w:rPr>
              <w:t>10%提取盈余公积</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61,052,290.81</w:t>
            </w:r>
            <w:r>
              <w:rPr>
                <w:rFonts w:ascii="宋体" w:hAnsi="宋体" w:cs="宋体" w:eastAsia="宋体" w:hint="default"/>
                <w:spacing w:val="-56"/>
                <w:sz w:val="18"/>
                <w:szCs w:val="18"/>
              </w:rPr>
              <w:t> </w:t>
            </w:r>
            <w:r>
              <w:rPr>
                <w:rFonts w:ascii="宋体" w:hAnsi="宋体" w:cs="宋体" w:eastAsia="宋体" w:hint="default"/>
                <w:sz w:val="18"/>
                <w:szCs w:val="18"/>
              </w:rPr>
              <w:t>元，加上上年度未分配利润</w:t>
            </w:r>
            <w:r>
              <w:rPr>
                <w:rFonts w:ascii="宋体" w:hAnsi="宋体" w:cs="宋体" w:eastAsia="宋体" w:hint="default"/>
                <w:spacing w:val="-56"/>
                <w:sz w:val="18"/>
                <w:szCs w:val="18"/>
              </w:rPr>
              <w:t> </w:t>
            </w:r>
            <w:r>
              <w:rPr>
                <w:rFonts w:ascii="宋体" w:hAnsi="宋体" w:cs="宋体" w:eastAsia="宋体" w:hint="default"/>
                <w:sz w:val="18"/>
                <w:szCs w:val="18"/>
              </w:rPr>
              <w:t>366,299,739.14</w:t>
            </w:r>
            <w:r>
              <w:rPr>
                <w:rFonts w:ascii="宋体" w:hAnsi="宋体" w:cs="宋体" w:eastAsia="宋体" w:hint="default"/>
                <w:spacing w:val="-56"/>
                <w:sz w:val="18"/>
                <w:szCs w:val="18"/>
              </w:rPr>
              <w:t> </w:t>
            </w:r>
            <w:r>
              <w:rPr>
                <w:rFonts w:ascii="宋体" w:hAnsi="宋体" w:cs="宋体" w:eastAsia="宋体" w:hint="default"/>
                <w:sz w:val="18"/>
                <w:szCs w:val="18"/>
              </w:rPr>
              <w:t>元，减去报告期内分配现金红利</w:t>
            </w:r>
            <w:r>
              <w:rPr>
                <w:rFonts w:ascii="宋体" w:hAnsi="宋体" w:cs="宋体" w:eastAsia="宋体" w:hint="default"/>
                <w:spacing w:val="-56"/>
                <w:sz w:val="18"/>
                <w:szCs w:val="18"/>
              </w:rPr>
              <w:t> </w:t>
            </w:r>
            <w:r>
              <w:rPr>
                <w:rFonts w:ascii="宋体" w:hAnsi="宋体" w:cs="宋体" w:eastAsia="宋体" w:hint="default"/>
                <w:sz w:val="18"/>
                <w:szCs w:val="18"/>
              </w:rPr>
              <w:t>73,850,519.08</w:t>
            </w:r>
            <w:r>
              <w:rPr>
                <w:rFonts w:ascii="宋体" w:hAnsi="宋体" w:cs="宋体" w:eastAsia="宋体" w:hint="default"/>
                <w:spacing w:val="-56"/>
                <w:sz w:val="18"/>
                <w:szCs w:val="18"/>
              </w:rPr>
              <w:t> </w:t>
            </w:r>
            <w:r>
              <w:rPr>
                <w:rFonts w:ascii="宋体" w:hAnsi="宋体" w:cs="宋体" w:eastAsia="宋体" w:hint="default"/>
                <w:spacing w:val="-4"/>
                <w:sz w:val="18"/>
                <w:szCs w:val="18"/>
              </w:rPr>
              <w:t>元，期末母公</w:t>
            </w:r>
          </w:p>
          <w:p>
            <w:pPr>
              <w:pStyle w:val="TableParagraph"/>
              <w:spacing w:line="304" w:lineRule="auto" w:before="64"/>
              <w:ind w:left="22" w:right="23"/>
              <w:jc w:val="both"/>
              <w:rPr>
                <w:rFonts w:ascii="宋体" w:hAnsi="宋体" w:cs="宋体" w:eastAsia="宋体" w:hint="default"/>
                <w:sz w:val="18"/>
                <w:szCs w:val="18"/>
              </w:rPr>
            </w:pPr>
            <w:r>
              <w:rPr>
                <w:rFonts w:ascii="宋体" w:hAnsi="宋体" w:cs="宋体" w:eastAsia="宋体" w:hint="default"/>
                <w:sz w:val="18"/>
                <w:szCs w:val="18"/>
              </w:rPr>
              <w:t>司未分配利润为 841,919,837.31</w:t>
            </w:r>
            <w:r>
              <w:rPr>
                <w:rFonts w:ascii="宋体" w:hAnsi="宋体" w:cs="宋体" w:eastAsia="宋体" w:hint="default"/>
                <w:spacing w:val="-30"/>
                <w:sz w:val="18"/>
                <w:szCs w:val="18"/>
              </w:rPr>
              <w:t> </w:t>
            </w:r>
            <w:r>
              <w:rPr>
                <w:rFonts w:ascii="宋体" w:hAnsi="宋体" w:cs="宋体" w:eastAsia="宋体" w:hint="default"/>
                <w:sz w:val="18"/>
                <w:szCs w:val="18"/>
              </w:rPr>
              <w:t>元。公司实施利润分配和公积金转增股本以母公司数据为准，计算可分配金额或转增数</w:t>
            </w:r>
            <w:r>
              <w:rPr>
                <w:rFonts w:ascii="宋体" w:hAnsi="宋体" w:cs="宋体" w:eastAsia="宋体" w:hint="default"/>
                <w:sz w:val="18"/>
                <w:szCs w:val="18"/>
              </w:rPr>
              <w:t> </w:t>
            </w:r>
            <w:r>
              <w:rPr>
                <w:rFonts w:ascii="宋体" w:hAnsi="宋体" w:cs="宋体" w:eastAsia="宋体" w:hint="default"/>
                <w:spacing w:val="9"/>
                <w:sz w:val="18"/>
                <w:szCs w:val="18"/>
              </w:rPr>
              <w:t>量。为了回报股东，并确保公司拥有资金购买相关传媒资产，以利于公司长期稳定发展，同意以公司现有股份总数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2,051,228,683</w:t>
            </w:r>
            <w:r>
              <w:rPr>
                <w:rFonts w:ascii="宋体" w:hAnsi="宋体" w:cs="宋体" w:eastAsia="宋体" w:hint="default"/>
                <w:spacing w:val="-4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股派发现金</w:t>
            </w:r>
            <w:r>
              <w:rPr>
                <w:rFonts w:ascii="宋体" w:hAnsi="宋体" w:cs="宋体" w:eastAsia="宋体" w:hint="default"/>
                <w:spacing w:val="-39"/>
                <w:sz w:val="18"/>
                <w:szCs w:val="18"/>
              </w:rPr>
              <w:t> </w:t>
            </w:r>
            <w:r>
              <w:rPr>
                <w:rFonts w:ascii="宋体" w:hAnsi="宋体" w:cs="宋体" w:eastAsia="宋体" w:hint="default"/>
                <w:spacing w:val="-1"/>
                <w:sz w:val="18"/>
                <w:szCs w:val="18"/>
              </w:rPr>
              <w:t>0.50</w:t>
            </w:r>
            <w:r>
              <w:rPr>
                <w:rFonts w:ascii="宋体" w:hAnsi="宋体" w:cs="宋体" w:eastAsia="宋体" w:hint="default"/>
                <w:spacing w:val="-39"/>
                <w:sz w:val="18"/>
                <w:szCs w:val="18"/>
              </w:rPr>
              <w:t> </w:t>
            </w:r>
            <w:r>
              <w:rPr>
                <w:rFonts w:ascii="宋体" w:hAnsi="宋体" w:cs="宋体" w:eastAsia="宋体" w:hint="default"/>
                <w:spacing w:val="-9"/>
                <w:sz w:val="18"/>
                <w:szCs w:val="18"/>
              </w:rPr>
              <w:t>元（含税），共分配红利</w:t>
            </w:r>
            <w:r>
              <w:rPr>
                <w:rFonts w:ascii="宋体" w:hAnsi="宋体" w:cs="宋体" w:eastAsia="宋体" w:hint="default"/>
                <w:spacing w:val="-39"/>
                <w:sz w:val="18"/>
                <w:szCs w:val="18"/>
              </w:rPr>
              <w:t> </w:t>
            </w:r>
            <w:r>
              <w:rPr>
                <w:rFonts w:ascii="宋体" w:hAnsi="宋体" w:cs="宋体" w:eastAsia="宋体" w:hint="default"/>
                <w:spacing w:val="-1"/>
                <w:sz w:val="18"/>
                <w:szCs w:val="18"/>
              </w:rPr>
              <w:t>102,561,434.15</w:t>
            </w:r>
            <w:r>
              <w:rPr>
                <w:rFonts w:ascii="宋体" w:hAnsi="宋体" w:cs="宋体" w:eastAsia="宋体" w:hint="default"/>
                <w:spacing w:val="-39"/>
                <w:sz w:val="18"/>
                <w:szCs w:val="18"/>
              </w:rPr>
              <w:t> </w:t>
            </w:r>
            <w:r>
              <w:rPr>
                <w:rFonts w:ascii="宋体" w:hAnsi="宋体" w:cs="宋体" w:eastAsia="宋体" w:hint="default"/>
                <w:sz w:val="18"/>
                <w:szCs w:val="18"/>
              </w:rPr>
              <w:t>元，母公司剩余未</w:t>
            </w:r>
          </w:p>
          <w:p>
            <w:pPr>
              <w:pStyle w:val="TableParagraph"/>
              <w:spacing w:line="304" w:lineRule="auto" w:before="16"/>
              <w:ind w:left="22" w:right="21"/>
              <w:jc w:val="both"/>
              <w:rPr>
                <w:rFonts w:ascii="宋体" w:hAnsi="宋体" w:cs="宋体" w:eastAsia="宋体" w:hint="default"/>
                <w:sz w:val="18"/>
                <w:szCs w:val="18"/>
              </w:rPr>
            </w:pPr>
            <w:r>
              <w:rPr>
                <w:rFonts w:ascii="宋体" w:hAnsi="宋体" w:cs="宋体" w:eastAsia="宋体" w:hint="default"/>
                <w:sz w:val="18"/>
                <w:szCs w:val="18"/>
              </w:rPr>
              <w:t>分配利润结转以后年度分配；不以公积金转增股本。公司全体独立董事对本议案发表了独立意见。以上预案须提交</w:t>
            </w:r>
            <w:r>
              <w:rPr>
                <w:rFonts w:ascii="宋体" w:hAnsi="宋体" w:cs="宋体" w:eastAsia="宋体" w:hint="default"/>
                <w:spacing w:val="40"/>
                <w:sz w:val="18"/>
                <w:szCs w:val="18"/>
              </w:rPr>
              <w:t> </w:t>
            </w:r>
            <w:r>
              <w:rPr>
                <w:rFonts w:ascii="宋体" w:hAnsi="宋体" w:cs="宋体" w:eastAsia="宋体" w:hint="default"/>
                <w:sz w:val="18"/>
                <w:szCs w:val="18"/>
              </w:rPr>
              <w:t>2014</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年度股东大会审议。</w:t>
            </w: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十五、社会责任情况</w:t>
      </w:r>
      <w:r>
        <w:rPr>
          <w:b w:val="0"/>
          <w:bCs w:val="0"/>
        </w:rPr>
      </w:r>
    </w:p>
    <w:p>
      <w:pPr>
        <w:spacing w:line="240" w:lineRule="auto" w:before="10"/>
        <w:rPr>
          <w:rFonts w:ascii="宋体" w:hAnsi="宋体" w:cs="宋体" w:eastAsia="宋体" w:hint="default"/>
          <w:b/>
          <w:bCs/>
          <w:sz w:val="22"/>
          <w:szCs w:val="22"/>
        </w:rPr>
      </w:pPr>
    </w:p>
    <w:p>
      <w:pPr>
        <w:pStyle w:val="Heading5"/>
        <w:spacing w:line="309" w:lineRule="auto" w:before="0"/>
        <w:ind w:left="636" w:right="0" w:hanging="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公司《2014年度社会责任报告》已经公司第六届董事会第十一次会议审议通过，该报告</w:t>
      </w:r>
    </w:p>
    <w:p>
      <w:pPr>
        <w:pStyle w:val="Heading5"/>
        <w:spacing w:line="240" w:lineRule="auto" w:before="16"/>
        <w:ind w:right="0"/>
        <w:jc w:val="left"/>
      </w:pPr>
      <w:r>
        <w:rPr/>
        <w:t>记录了公司报告期履行社会责任的情况。</w:t>
      </w:r>
    </w:p>
    <w:p>
      <w:pPr>
        <w:spacing w:after="0" w:line="240" w:lineRule="auto"/>
        <w:jc w:val="left"/>
        <w:sectPr>
          <w:type w:val="continuous"/>
          <w:pgSz w:w="11910" w:h="16840"/>
          <w:pgMar w:top="1060" w:bottom="1180" w:left="980" w:right="980"/>
        </w:sectPr>
      </w:pPr>
    </w:p>
    <w:p>
      <w:pPr>
        <w:spacing w:line="240" w:lineRule="auto" w:before="7"/>
        <w:rPr>
          <w:rFonts w:ascii="宋体" w:hAnsi="宋体" w:cs="宋体" w:eastAsia="宋体" w:hint="default"/>
          <w:sz w:val="29"/>
          <w:szCs w:val="29"/>
        </w:rPr>
      </w:pPr>
    </w:p>
    <w:p>
      <w:pPr>
        <w:pStyle w:val="Heading5"/>
        <w:spacing w:line="304" w:lineRule="auto" w:before="26"/>
        <w:ind w:right="137" w:firstLine="482"/>
        <w:jc w:val="left"/>
      </w:pPr>
      <w:r>
        <w:rPr>
          <w:spacing w:val="-2"/>
        </w:rPr>
        <w:t>内容详见公司2015年3月25日在巨潮网披露的《华闻传媒投资集团股份有限公司2014年度</w:t>
      </w:r>
      <w:r>
        <w:rPr/>
        <w:t> 社会责任报告》。</w:t>
      </w:r>
    </w:p>
    <w:p>
      <w:pPr>
        <w:spacing w:line="240" w:lineRule="auto" w:before="1"/>
        <w:rPr>
          <w:rFonts w:ascii="宋体" w:hAnsi="宋体" w:cs="宋体" w:eastAsia="宋体" w:hint="default"/>
          <w:sz w:val="17"/>
          <w:szCs w:val="17"/>
        </w:rPr>
      </w:pPr>
    </w:p>
    <w:p>
      <w:pPr>
        <w:pStyle w:val="Heading5"/>
        <w:spacing w:line="240" w:lineRule="auto" w:before="0"/>
        <w:ind w:right="0"/>
        <w:jc w:val="left"/>
      </w:pPr>
      <w:r>
        <w:rPr/>
        <w:t>上市公司及其子公司是否属于国家环境保护部门规定的重污染行业</w:t>
      </w:r>
    </w:p>
    <w:p>
      <w:pPr>
        <w:pStyle w:val="Heading5"/>
        <w:spacing w:line="254" w:lineRule="auto" w:before="37"/>
        <w:ind w:right="425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上市公司及其子公司是否存在其他重大社会安全问题</w:t>
      </w:r>
    </w:p>
    <w:p>
      <w:pPr>
        <w:pStyle w:val="Heading5"/>
        <w:spacing w:line="254" w:lineRule="auto" w:before="23"/>
        <w:ind w:right="71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报告期内是否被行政处罚</w:t>
      </w:r>
    </w:p>
    <w:p>
      <w:pPr>
        <w:spacing w:line="441" w:lineRule="auto" w:before="24"/>
        <w:ind w:left="153" w:right="422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十六、报告期内接待调研、沟通、采访等活动登记表</w:t>
      </w:r>
      <w:r>
        <w:rPr>
          <w:rFonts w:ascii="宋体" w:hAnsi="宋体" w:cs="宋体" w:eastAsia="宋体" w:hint="default"/>
          <w:sz w:val="24"/>
          <w:szCs w:val="24"/>
        </w:rPr>
      </w:r>
    </w:p>
    <w:p>
      <w:pPr>
        <w:spacing w:before="14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03" w:firstLine="0"/>
        <w:jc w:val="right"/>
        <w:rPr>
          <w:rFonts w:ascii="宋体" w:hAnsi="宋体" w:cs="宋体" w:eastAsia="宋体" w:hint="default"/>
          <w:sz w:val="18"/>
          <w:szCs w:val="18"/>
        </w:rPr>
      </w:pPr>
      <w:r>
        <w:rPr/>
        <w:pict>
          <v:shape style="position:absolute;margin-left:56.459999pt;margin-top:-109.207954pt;width:482.7pt;height:462.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978"/>
                    <w:gridCol w:w="708"/>
                    <w:gridCol w:w="1560"/>
                    <w:gridCol w:w="3402"/>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年报并表范围</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长流公司挂牌转让事宜</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公司重大资产重组停牌情况</w:t>
                        </w:r>
                      </w:p>
                    </w:tc>
                  </w:tr>
                  <w:tr>
                    <w:trPr>
                      <w:trHeight w:val="6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每日经济新闻记者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23"/>
                          <w:jc w:val="left"/>
                          <w:rPr>
                            <w:rFonts w:ascii="宋体" w:hAnsi="宋体" w:cs="宋体" w:eastAsia="宋体" w:hint="default"/>
                            <w:sz w:val="18"/>
                            <w:szCs w:val="18"/>
                          </w:rPr>
                        </w:pPr>
                        <w:r>
                          <w:rPr>
                            <w:rFonts w:ascii="宋体" w:hAnsi="宋体" w:cs="宋体" w:eastAsia="宋体" w:hint="default"/>
                            <w:spacing w:val="-4"/>
                            <w:sz w:val="18"/>
                            <w:szCs w:val="18"/>
                          </w:rPr>
                          <w:t>公司目前没有动漫业务和资产。公司拟购买</w:t>
                        </w:r>
                        <w:r>
                          <w:rPr>
                            <w:rFonts w:ascii="宋体" w:hAnsi="宋体" w:cs="宋体" w:eastAsia="宋体" w:hint="default"/>
                            <w:sz w:val="18"/>
                            <w:szCs w:val="18"/>
                          </w:rPr>
                          <w:t> 动漫业务的资产事项尚在沟通、谈判之中</w:t>
                        </w:r>
                      </w:p>
                    </w:tc>
                  </w:tr>
                  <w:tr>
                    <w:trPr>
                      <w:trHeight w:val="31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公司购买的资产溢价较多</w:t>
                        </w:r>
                        <w:r>
                          <w:rPr>
                            <w:rFonts w:ascii="宋体" w:hAnsi="宋体" w:cs="宋体" w:eastAsia="宋体" w:hint="default"/>
                            <w:spacing w:val="-75"/>
                            <w:sz w:val="18"/>
                            <w:szCs w:val="18"/>
                          </w:rPr>
                          <w:t>，</w:t>
                        </w:r>
                        <w:r>
                          <w:rPr>
                            <w:rFonts w:ascii="宋体" w:hAnsi="宋体" w:cs="宋体" w:eastAsia="宋体" w:hint="default"/>
                            <w:sz w:val="18"/>
                            <w:szCs w:val="18"/>
                          </w:rPr>
                          <w:t>如果公司配套融</w:t>
                        </w:r>
                      </w:p>
                    </w:tc>
                  </w:tr>
                  <w:tr>
                    <w:trPr>
                      <w:trHeight w:val="26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资不成功</w:t>
                        </w:r>
                        <w:r>
                          <w:rPr>
                            <w:rFonts w:ascii="宋体" w:hAnsi="宋体" w:cs="宋体" w:eastAsia="宋体" w:hint="default"/>
                            <w:spacing w:val="-75"/>
                            <w:sz w:val="18"/>
                            <w:szCs w:val="18"/>
                          </w:rPr>
                          <w:t>，</w:t>
                        </w:r>
                        <w:r>
                          <w:rPr>
                            <w:rFonts w:ascii="宋体" w:hAnsi="宋体" w:cs="宋体" w:eastAsia="宋体" w:hint="default"/>
                            <w:sz w:val="18"/>
                            <w:szCs w:val="18"/>
                          </w:rPr>
                          <w:t>将通过中期票据或银行融资等筹</w:t>
                        </w:r>
                      </w:p>
                    </w:tc>
                  </w:tr>
                  <w:tr>
                    <w:trPr>
                      <w:trHeight w:val="29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集资金。</w:t>
                        </w:r>
                      </w:p>
                    </w:tc>
                  </w:tr>
                  <w:tr>
                    <w:trPr>
                      <w:trHeight w:val="319"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公司概况、资源及优势、战略蓝图、战略实</w:t>
                        </w:r>
                      </w:p>
                    </w:tc>
                  </w:tr>
                  <w:tr>
                    <w:trPr>
                      <w:trHeight w:val="104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56" w:lineRule="auto" w:before="115"/>
                          <w:ind w:left="22" w:right="23"/>
                          <w:jc w:val="left"/>
                          <w:rPr>
                            <w:rFonts w:ascii="宋体" w:hAnsi="宋体" w:cs="宋体" w:eastAsia="宋体" w:hint="default"/>
                            <w:sz w:val="18"/>
                            <w:szCs w:val="18"/>
                          </w:rPr>
                        </w:pPr>
                        <w:r>
                          <w:rPr>
                            <w:rFonts w:ascii="宋体" w:hAnsi="宋体" w:cs="宋体" w:eastAsia="宋体" w:hint="default"/>
                            <w:sz w:val="18"/>
                            <w:szCs w:val="18"/>
                          </w:rPr>
                          <w:t>华闻传媒</w:t>
                        </w:r>
                        <w:r>
                          <w:rPr>
                            <w:rFonts w:ascii="Times New Roman" w:hAnsi="Times New Roman" w:cs="Times New Roman" w:eastAsia="Times New Roman" w:hint="default"/>
                            <w:sz w:val="18"/>
                            <w:szCs w:val="18"/>
                          </w:rPr>
                          <w:t>·</w:t>
                        </w:r>
                        <w:r>
                          <w:rPr>
                            <w:rFonts w:ascii="宋体" w:hAnsi="宋体" w:cs="宋体" w:eastAsia="宋体" w:hint="default"/>
                            <w:sz w:val="18"/>
                            <w:szCs w:val="18"/>
                          </w:rPr>
                          <w:t>上海鸿 立股权投资有限公 司会议室</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both"/>
                          <w:rPr>
                            <w:rFonts w:ascii="宋体" w:hAnsi="宋体" w:cs="宋体" w:eastAsia="宋体" w:hint="default"/>
                            <w:sz w:val="18"/>
                            <w:szCs w:val="18"/>
                          </w:rPr>
                        </w:pPr>
                        <w:r>
                          <w:rPr>
                            <w:rFonts w:ascii="宋体" w:hAnsi="宋体" w:cs="宋体" w:eastAsia="宋体" w:hint="default"/>
                            <w:spacing w:val="-4"/>
                            <w:sz w:val="18"/>
                            <w:szCs w:val="18"/>
                          </w:rPr>
                          <w:t>施、并购资产与总体盈利预测，公司对子公</w:t>
                        </w:r>
                      </w:p>
                      <w:p>
                        <w:pPr>
                          <w:pStyle w:val="TableParagraph"/>
                          <w:spacing w:line="266" w:lineRule="auto" w:before="23"/>
                          <w:ind w:left="22" w:right="23"/>
                          <w:jc w:val="both"/>
                          <w:rPr>
                            <w:rFonts w:ascii="宋体" w:hAnsi="宋体" w:cs="宋体" w:eastAsia="宋体" w:hint="default"/>
                            <w:sz w:val="18"/>
                            <w:szCs w:val="18"/>
                          </w:rPr>
                        </w:pPr>
                        <w:r>
                          <w:rPr>
                            <w:rFonts w:ascii="宋体" w:hAnsi="宋体" w:cs="宋体" w:eastAsia="宋体" w:hint="default"/>
                            <w:sz w:val="18"/>
                            <w:szCs w:val="18"/>
                          </w:rPr>
                          <w:t>司及业务的管理</w:t>
                        </w:r>
                        <w:r>
                          <w:rPr>
                            <w:rFonts w:ascii="宋体" w:hAnsi="宋体" w:cs="宋体" w:eastAsia="宋体" w:hint="default"/>
                            <w:spacing w:val="-75"/>
                            <w:sz w:val="18"/>
                            <w:szCs w:val="18"/>
                          </w:rPr>
                          <w:t>，</w:t>
                        </w:r>
                        <w:r>
                          <w:rPr>
                            <w:rFonts w:ascii="宋体" w:hAnsi="宋体" w:cs="宋体" w:eastAsia="宋体" w:hint="default"/>
                            <w:sz w:val="18"/>
                            <w:szCs w:val="18"/>
                          </w:rPr>
                          <w:t>公司在移动端和电视端的</w:t>
                        </w:r>
                        <w:r>
                          <w:rPr>
                            <w:rFonts w:ascii="宋体" w:hAnsi="宋体" w:cs="宋体" w:eastAsia="宋体" w:hint="default"/>
                            <w:sz w:val="18"/>
                            <w:szCs w:val="18"/>
                          </w:rPr>
                          <w:t> 具体布局</w:t>
                        </w:r>
                        <w:r>
                          <w:rPr>
                            <w:rFonts w:ascii="宋体" w:hAnsi="宋体" w:cs="宋体" w:eastAsia="宋体" w:hint="default"/>
                            <w:spacing w:val="-75"/>
                            <w:sz w:val="18"/>
                            <w:szCs w:val="18"/>
                          </w:rPr>
                          <w:t>，</w:t>
                        </w:r>
                        <w:r>
                          <w:rPr>
                            <w:rFonts w:ascii="宋体" w:hAnsi="宋体" w:cs="宋体" w:eastAsia="宋体" w:hint="default"/>
                            <w:sz w:val="18"/>
                            <w:szCs w:val="18"/>
                          </w:rPr>
                          <w:t>公司打造互联网平台型传媒集团</w:t>
                        </w:r>
                        <w:r>
                          <w:rPr>
                            <w:rFonts w:ascii="宋体" w:hAnsi="宋体" w:cs="宋体" w:eastAsia="宋体" w:hint="default"/>
                            <w:sz w:val="18"/>
                            <w:szCs w:val="18"/>
                          </w:rPr>
                          <w:t> 的用户规模及用户变现方式</w:t>
                        </w:r>
                        <w:r>
                          <w:rPr>
                            <w:rFonts w:ascii="宋体" w:hAnsi="宋体" w:cs="宋体" w:eastAsia="宋体" w:hint="default"/>
                            <w:spacing w:val="-75"/>
                            <w:sz w:val="18"/>
                            <w:szCs w:val="18"/>
                          </w:rPr>
                          <w:t>，</w:t>
                        </w:r>
                        <w:r>
                          <w:rPr>
                            <w:rFonts w:ascii="宋体" w:hAnsi="宋体" w:cs="宋体" w:eastAsia="宋体" w:hint="default"/>
                            <w:sz w:val="18"/>
                            <w:szCs w:val="18"/>
                          </w:rPr>
                          <w:t>华商传媒的转</w:t>
                        </w:r>
                      </w:p>
                    </w:tc>
                  </w:tr>
                  <w:tr>
                    <w:trPr>
                      <w:trHeight w:val="29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型业务经营情况。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中国证监会审核重大资产重组的时间规定</w:t>
                        </w:r>
                      </w:p>
                    </w:tc>
                  </w:tr>
                  <w:tr>
                    <w:trPr>
                      <w:trHeight w:val="319"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公司收购国视上海的资产过户情况</w:t>
                        </w:r>
                        <w:r>
                          <w:rPr>
                            <w:rFonts w:ascii="宋体" w:hAnsi="宋体" w:cs="宋体" w:eastAsia="宋体" w:hint="default"/>
                            <w:spacing w:val="-75"/>
                            <w:sz w:val="18"/>
                            <w:szCs w:val="18"/>
                          </w:rPr>
                          <w:t>；</w:t>
                        </w:r>
                        <w:r>
                          <w:rPr>
                            <w:rFonts w:ascii="宋体" w:hAnsi="宋体" w:cs="宋体" w:eastAsia="宋体" w:hint="default"/>
                            <w:sz w:val="18"/>
                            <w:szCs w:val="18"/>
                          </w:rPr>
                          <w:t>国视北</w:t>
                        </w:r>
                      </w:p>
                    </w:tc>
                  </w:tr>
                  <w:tr>
                    <w:trPr>
                      <w:trHeight w:val="259"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京、国视上海的业务合作情况；国视上海在</w:t>
                        </w:r>
                      </w:p>
                    </w:tc>
                  </w:tr>
                  <w:tr>
                    <w:trPr>
                      <w:trHeight w:val="24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移动视讯基地的收入增长情况</w:t>
                        </w:r>
                        <w:r>
                          <w:rPr>
                            <w:rFonts w:ascii="宋体" w:hAnsi="宋体" w:cs="宋体" w:eastAsia="宋体" w:hint="default"/>
                            <w:spacing w:val="-75"/>
                            <w:sz w:val="18"/>
                            <w:szCs w:val="18"/>
                          </w:rPr>
                          <w:t>；</w:t>
                        </w:r>
                        <w:r>
                          <w:rPr>
                            <w:rFonts w:ascii="宋体" w:hAnsi="宋体" w:cs="宋体" w:eastAsia="宋体" w:hint="default"/>
                            <w:sz w:val="18"/>
                            <w:szCs w:val="18"/>
                          </w:rPr>
                          <w:t>未来几年公</w:t>
                        </w:r>
                      </w:p>
                    </w:tc>
                  </w:tr>
                  <w:tr>
                    <w:trPr>
                      <w:trHeight w:val="54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万联证券研究所研</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究员</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66" w:lineRule="auto" w:before="4"/>
                          <w:ind w:left="22" w:right="23"/>
                          <w:jc w:val="left"/>
                          <w:rPr>
                            <w:rFonts w:ascii="宋体" w:hAnsi="宋体" w:cs="宋体" w:eastAsia="宋体" w:hint="default"/>
                            <w:sz w:val="18"/>
                            <w:szCs w:val="18"/>
                          </w:rPr>
                        </w:pPr>
                        <w:r>
                          <w:rPr>
                            <w:rFonts w:ascii="宋体" w:hAnsi="宋体" w:cs="宋体" w:eastAsia="宋体" w:hint="default"/>
                            <w:spacing w:val="-4"/>
                            <w:sz w:val="18"/>
                            <w:szCs w:val="18"/>
                          </w:rPr>
                          <w:t>司的资本支出方向；公司没有剥离非媒体业</w:t>
                        </w:r>
                        <w:r>
                          <w:rPr>
                            <w:rFonts w:ascii="宋体" w:hAnsi="宋体" w:cs="宋体" w:eastAsia="宋体" w:hint="default"/>
                            <w:sz w:val="18"/>
                            <w:szCs w:val="18"/>
                          </w:rPr>
                          <w:t> </w:t>
                        </w:r>
                        <w:r>
                          <w:rPr>
                            <w:rFonts w:ascii="宋体" w:hAnsi="宋体" w:cs="宋体" w:eastAsia="宋体" w:hint="default"/>
                            <w:spacing w:val="-4"/>
                            <w:sz w:val="18"/>
                            <w:szCs w:val="18"/>
                          </w:rPr>
                          <w:t>务的打算；如果上半年的各项并购顺利，新</w:t>
                        </w:r>
                      </w:p>
                    </w:tc>
                  </w:tr>
                  <w:tr>
                    <w:trPr>
                      <w:trHeight w:val="258"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媒体业务在公司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年总收入中的占比情</w:t>
                        </w:r>
                      </w:p>
                    </w:tc>
                  </w:tr>
                  <w:tr>
                    <w:trPr>
                      <w:trHeight w:val="26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况；公司致力于打造</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互联网平台型传媒集</w:t>
                        </w:r>
                      </w:p>
                    </w:tc>
                  </w:tr>
                  <w:tr>
                    <w:trPr>
                      <w:trHeight w:val="28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r>
                          <w:rPr>
                            <w:rFonts w:ascii="Times New Roman" w:hAnsi="Times New Roman" w:cs="Times New Roman" w:eastAsia="Times New Roman" w:hint="default"/>
                            <w:sz w:val="18"/>
                            <w:szCs w:val="18"/>
                          </w:rPr>
                          <w:t>"</w:t>
                        </w:r>
                        <w:r>
                          <w:rPr>
                            <w:rFonts w:ascii="宋体" w:hAnsi="宋体" w:cs="宋体" w:eastAsia="宋体" w:hint="default"/>
                            <w:sz w:val="18"/>
                            <w:szCs w:val="18"/>
                          </w:rPr>
                          <w:t>属性体现在哪些方面。</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公司重组进展情况</w:t>
                        </w:r>
                      </w:p>
                    </w:tc>
                  </w:tr>
                  <w:tr>
                    <w:trPr>
                      <w:trHeight w:val="6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27"/>
                          <w:jc w:val="left"/>
                          <w:rPr>
                            <w:rFonts w:ascii="宋体" w:hAnsi="宋体" w:cs="宋体" w:eastAsia="宋体" w:hint="default"/>
                            <w:sz w:val="18"/>
                            <w:szCs w:val="18"/>
                          </w:rPr>
                        </w:pPr>
                        <w:r>
                          <w:rPr>
                            <w:rFonts w:ascii="宋体" w:hAnsi="宋体" w:cs="宋体" w:eastAsia="宋体" w:hint="default"/>
                            <w:sz w:val="18"/>
                            <w:szCs w:val="18"/>
                          </w:rPr>
                          <w:t>公司股价对公司发行股份及支付现金购买 资产并募集配套资金的影响</w:t>
                        </w:r>
                      </w:p>
                    </w:tc>
                  </w:tr>
                  <w:tr>
                    <w:trPr>
                      <w:trHeight w:val="61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27"/>
                          <w:jc w:val="left"/>
                          <w:rPr>
                            <w:rFonts w:ascii="宋体" w:hAnsi="宋体" w:cs="宋体" w:eastAsia="宋体" w:hint="default"/>
                            <w:sz w:val="18"/>
                            <w:szCs w:val="18"/>
                          </w:rPr>
                        </w:pPr>
                        <w:r>
                          <w:rPr>
                            <w:rFonts w:ascii="宋体" w:hAnsi="宋体" w:cs="宋体" w:eastAsia="宋体" w:hint="default"/>
                            <w:sz w:val="18"/>
                            <w:szCs w:val="18"/>
                          </w:rPr>
                          <w:t>国家新闻出版广电总局对互联网视频进行 整治事项</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725"/>
        <w:gridCol w:w="253"/>
        <w:gridCol w:w="708"/>
        <w:gridCol w:w="1560"/>
        <w:gridCol w:w="3402"/>
      </w:tblGrid>
      <w:tr>
        <w:trPr>
          <w:trHeight w:val="87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3"/>
              <w:jc w:val="left"/>
              <w:rPr>
                <w:rFonts w:ascii="宋体" w:hAnsi="宋体" w:cs="宋体" w:eastAsia="宋体" w:hint="default"/>
                <w:sz w:val="18"/>
                <w:szCs w:val="18"/>
              </w:rPr>
            </w:pPr>
            <w:r>
              <w:rPr>
                <w:rFonts w:ascii="宋体" w:hAnsi="宋体" w:cs="宋体" w:eastAsia="宋体" w:hint="default"/>
                <w:sz w:val="18"/>
                <w:szCs w:val="18"/>
              </w:rPr>
              <w:t>华闻传媒</w:t>
            </w:r>
            <w:r>
              <w:rPr>
                <w:rFonts w:ascii="Times New Roman" w:hAnsi="Times New Roman" w:cs="Times New Roman" w:eastAsia="Times New Roman" w:hint="default"/>
                <w:sz w:val="18"/>
                <w:szCs w:val="18"/>
              </w:rPr>
              <w:t>·</w:t>
            </w:r>
            <w:r>
              <w:rPr>
                <w:rFonts w:ascii="宋体" w:hAnsi="宋体" w:cs="宋体" w:eastAsia="宋体" w:hint="default"/>
                <w:sz w:val="18"/>
                <w:szCs w:val="18"/>
              </w:rPr>
              <w:t>上海鸿 立股权投资有限公 司会议室</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公司业务发展情况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公司资产重组情况，经营情况</w:t>
            </w:r>
          </w:p>
        </w:tc>
      </w:tr>
      <w:tr>
        <w:trPr>
          <w:trHeight w:val="6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23"/>
              <w:jc w:val="left"/>
              <w:rPr>
                <w:rFonts w:ascii="宋体" w:hAnsi="宋体" w:cs="宋体" w:eastAsia="宋体" w:hint="default"/>
                <w:sz w:val="18"/>
                <w:szCs w:val="18"/>
              </w:rPr>
            </w:pPr>
            <w:r>
              <w:rPr>
                <w:rFonts w:ascii="宋体" w:hAnsi="宋体" w:cs="宋体" w:eastAsia="宋体" w:hint="default"/>
                <w:spacing w:val="-4"/>
                <w:sz w:val="18"/>
                <w:szCs w:val="18"/>
              </w:rPr>
              <w:t>公司资产重组停牌情况、交易价格及补偿情</w:t>
            </w:r>
            <w:r>
              <w:rPr>
                <w:rFonts w:ascii="宋体" w:hAnsi="宋体" w:cs="宋体" w:eastAsia="宋体" w:hint="default"/>
                <w:sz w:val="18"/>
                <w:szCs w:val="18"/>
              </w:rPr>
              <w:t> 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并购重组委审核意见落实情况</w:t>
            </w:r>
          </w:p>
        </w:tc>
      </w:tr>
      <w:tr>
        <w:trPr>
          <w:trHeight w:val="61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127"/>
              <w:jc w:val="left"/>
              <w:rPr>
                <w:rFonts w:ascii="宋体" w:hAnsi="宋体" w:cs="宋体" w:eastAsia="宋体" w:hint="default"/>
                <w:sz w:val="18"/>
                <w:szCs w:val="18"/>
              </w:rPr>
            </w:pPr>
            <w:r>
              <w:rPr>
                <w:rFonts w:ascii="宋体" w:hAnsi="宋体" w:cs="宋体" w:eastAsia="宋体" w:hint="default"/>
                <w:sz w:val="18"/>
                <w:szCs w:val="18"/>
              </w:rPr>
              <w:t>公司是否收到中国证监会关于重大资产重 组事项审核批复文件</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新并购标的公司的股权过户情况</w:t>
            </w:r>
          </w:p>
        </w:tc>
      </w:tr>
      <w:tr>
        <w:trPr>
          <w:trHeight w:val="6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23"/>
              <w:jc w:val="left"/>
              <w:rPr>
                <w:rFonts w:ascii="宋体" w:hAnsi="宋体" w:cs="宋体" w:eastAsia="宋体" w:hint="default"/>
                <w:sz w:val="18"/>
                <w:szCs w:val="18"/>
              </w:rPr>
            </w:pPr>
            <w:r>
              <w:rPr>
                <w:rFonts w:ascii="宋体" w:hAnsi="宋体" w:cs="宋体" w:eastAsia="宋体" w:hint="default"/>
                <w:spacing w:val="-4"/>
                <w:sz w:val="18"/>
                <w:szCs w:val="18"/>
              </w:rPr>
              <w:t>新增股份上市及限售情况，新并购标的公司</w:t>
            </w:r>
            <w:r>
              <w:rPr>
                <w:rFonts w:ascii="宋体" w:hAnsi="宋体" w:cs="宋体" w:eastAsia="宋体" w:hint="default"/>
                <w:sz w:val="18"/>
                <w:szCs w:val="18"/>
              </w:rPr>
              <w:t> 的盈利承诺情况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公司股价变动有关事项</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个人股票投资情况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c>
          <w:tcPr>
            <w:tcW w:w="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配套资金募集情况</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1"/>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一、重大诉讼仲裁事项</w:t>
      </w:r>
      <w:r>
        <w:rPr>
          <w:b w:val="0"/>
          <w:bCs w:val="0"/>
        </w:rPr>
      </w:r>
    </w:p>
    <w:p>
      <w:pPr>
        <w:spacing w:line="240" w:lineRule="auto" w:before="10"/>
        <w:rPr>
          <w:rFonts w:ascii="宋体" w:hAnsi="宋体" w:cs="宋体" w:eastAsia="宋体" w:hint="default"/>
          <w:b/>
          <w:bCs/>
          <w:sz w:val="22"/>
          <w:szCs w:val="22"/>
        </w:rPr>
      </w:pPr>
    </w:p>
    <w:p>
      <w:pPr>
        <w:pStyle w:val="Heading5"/>
        <w:spacing w:line="254" w:lineRule="auto" w:before="0"/>
        <w:ind w:right="5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本报告期公司无重大诉讼、仲裁事项。</w:t>
      </w:r>
    </w:p>
    <w:p>
      <w:pPr>
        <w:spacing w:line="240" w:lineRule="auto" w:before="9"/>
        <w:rPr>
          <w:rFonts w:ascii="宋体" w:hAnsi="宋体" w:cs="宋体" w:eastAsia="宋体" w:hint="default"/>
          <w:sz w:val="21"/>
          <w:szCs w:val="21"/>
        </w:rPr>
      </w:pPr>
    </w:p>
    <w:p>
      <w:pPr>
        <w:pStyle w:val="Heading4"/>
        <w:spacing w:line="240" w:lineRule="auto" w:before="0"/>
        <w:ind w:left="153" w:right="0"/>
        <w:jc w:val="left"/>
        <w:rPr>
          <w:b w:val="0"/>
          <w:bCs w:val="0"/>
        </w:rPr>
      </w:pPr>
      <w:r>
        <w:rPr/>
        <w:t>二、媒体质疑情况</w:t>
      </w:r>
      <w:r>
        <w:rPr>
          <w:b w:val="0"/>
          <w:bCs w:val="0"/>
        </w:rPr>
      </w:r>
    </w:p>
    <w:p>
      <w:pPr>
        <w:spacing w:line="240" w:lineRule="auto" w:before="11"/>
        <w:rPr>
          <w:rFonts w:ascii="宋体" w:hAnsi="宋体" w:cs="宋体" w:eastAsia="宋体" w:hint="default"/>
          <w:b/>
          <w:bCs/>
          <w:sz w:val="22"/>
          <w:szCs w:val="22"/>
        </w:rPr>
      </w:pPr>
    </w:p>
    <w:p>
      <w:pPr>
        <w:pStyle w:val="Heading5"/>
        <w:spacing w:line="254" w:lineRule="auto" w:before="0"/>
        <w:ind w:right="59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本报告期公司无媒体普遍质疑事项。</w:t>
      </w:r>
    </w:p>
    <w:p>
      <w:pPr>
        <w:spacing w:line="240" w:lineRule="auto" w:before="9"/>
        <w:rPr>
          <w:rFonts w:ascii="宋体" w:hAnsi="宋体" w:cs="宋体" w:eastAsia="宋体" w:hint="default"/>
          <w:sz w:val="21"/>
          <w:szCs w:val="21"/>
        </w:rPr>
      </w:pPr>
    </w:p>
    <w:p>
      <w:pPr>
        <w:pStyle w:val="Heading4"/>
        <w:spacing w:line="240" w:lineRule="auto" w:before="0"/>
        <w:ind w:left="153" w:right="0"/>
        <w:jc w:val="left"/>
        <w:rPr>
          <w:b w:val="0"/>
          <w:bCs w:val="0"/>
        </w:rPr>
      </w:pPr>
      <w:r>
        <w:rPr/>
        <w:t>三、控股股东及其关联方对上市公司的非经营性占用资金情况</w:t>
      </w:r>
      <w:r>
        <w:rPr>
          <w:b w:val="0"/>
          <w:bCs w:val="0"/>
        </w:rPr>
      </w:r>
    </w:p>
    <w:p>
      <w:pPr>
        <w:spacing w:line="240" w:lineRule="auto" w:before="11"/>
        <w:rPr>
          <w:rFonts w:ascii="宋体" w:hAnsi="宋体" w:cs="宋体" w:eastAsia="宋体" w:hint="default"/>
          <w:b/>
          <w:bCs/>
          <w:sz w:val="22"/>
          <w:szCs w:val="22"/>
        </w:rPr>
      </w:pPr>
    </w:p>
    <w:p>
      <w:pPr>
        <w:pStyle w:val="Heading5"/>
        <w:spacing w:line="254" w:lineRule="auto" w:before="0"/>
        <w:ind w:right="20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公司报告期不存在控股股东及其关联方对上市公司的非经营性占用资金。</w:t>
      </w:r>
    </w:p>
    <w:p>
      <w:pPr>
        <w:spacing w:after="0" w:line="254" w:lineRule="auto"/>
        <w:jc w:val="left"/>
        <w:sectPr>
          <w:pgSz w:w="11910" w:h="16840"/>
          <w:pgMar w:header="0" w:footer="982" w:top="1060" w:bottom="1180" w:left="980" w:right="980"/>
        </w:sectPr>
      </w:pPr>
    </w:p>
    <w:p>
      <w:pPr>
        <w:spacing w:line="240" w:lineRule="auto" w:before="12"/>
        <w:rPr>
          <w:rFonts w:ascii="宋体" w:hAnsi="宋体" w:cs="宋体" w:eastAsia="宋体" w:hint="default"/>
          <w:sz w:val="2"/>
          <w:szCs w:val="2"/>
        </w:rPr>
      </w:pPr>
      <w:r>
        <w:rPr/>
        <w:pict>
          <v:shape style="position:absolute;margin-left:101.030502pt;margin-top:441.600006pt;width:90.6pt;height:84pt;mso-position-horizontal-relative:page;mso-position-vertical-relative:page;z-index:-1218280" type="#_x0000_t202" filled="false" stroked="false">
            <v:textbox inset="0,0,0,0">
              <w:txbxContent>
                <w:p>
                  <w:pPr>
                    <w:spacing w:line="226" w:lineRule="exact" w:before="0"/>
                    <w:ind w:left="178" w:right="0" w:hanging="179"/>
                    <w:jc w:val="left"/>
                    <w:rPr>
                      <w:rFonts w:ascii="宋体" w:hAnsi="宋体" w:cs="宋体" w:eastAsia="宋体" w:hint="default"/>
                      <w:sz w:val="18"/>
                      <w:szCs w:val="18"/>
                    </w:rPr>
                  </w:pPr>
                  <w:r>
                    <w:rPr>
                      <w:rFonts w:ascii="宋体" w:hAnsi="宋体" w:cs="宋体" w:eastAsia="宋体" w:hint="default"/>
                      <w:sz w:val="18"/>
                      <w:szCs w:val="18"/>
                    </w:rPr>
                    <w:t>湖南富坤、</w:t>
                  </w:r>
                </w:p>
                <w:p>
                  <w:pPr>
                    <w:spacing w:line="240" w:lineRule="auto" w:before="5"/>
                    <w:rPr>
                      <w:rFonts w:ascii="宋体" w:hAnsi="宋体" w:cs="宋体" w:eastAsia="宋体" w:hint="default"/>
                      <w:sz w:val="16"/>
                      <w:szCs w:val="16"/>
                    </w:rPr>
                  </w:pPr>
                </w:p>
                <w:p>
                  <w:pPr>
                    <w:spacing w:line="200" w:lineRule="exact" w:before="0"/>
                    <w:ind w:left="359" w:right="910" w:hanging="182"/>
                    <w:jc w:val="left"/>
                    <w:rPr>
                      <w:rFonts w:ascii="宋体" w:hAnsi="宋体" w:cs="宋体" w:eastAsia="宋体" w:hint="default"/>
                      <w:sz w:val="18"/>
                      <w:szCs w:val="18"/>
                    </w:rPr>
                  </w:pPr>
                  <w:r>
                    <w:rPr>
                      <w:rFonts w:ascii="宋体" w:hAnsi="宋体" w:cs="宋体" w:eastAsia="宋体" w:hint="default"/>
                      <w:sz w:val="18"/>
                      <w:szCs w:val="18"/>
                    </w:rPr>
                    <w:t>邵璐璐、 朱斌、</w:t>
                  </w:r>
                </w:p>
              </w:txbxContent>
            </v:textbox>
            <w10:wrap type="none"/>
          </v:shape>
        </w:pict>
      </w:r>
      <w:r>
        <w:rPr/>
        <w:pict>
          <v:group style="position:absolute;margin-left:143.151001pt;margin-top:441.600006pt;width:48.5pt;height:84pt;mso-position-horizontal-relative:page;mso-position-vertical-relative:page;z-index:-1218256" coordorigin="2863,8832" coordsize="970,1680">
            <v:group style="position:absolute;left:2863;top:8832;width:970;height:1680" coordorigin="2863,8832" coordsize="970,1680">
              <v:shape style="position:absolute;left:2863;top:8832;width:970;height:1680" coordorigin="2863,8832" coordsize="970,1680" path="m2863,8832l2863,10512,3833,10512,3833,8832,2863,8832xe" filled="true" fillcolor="#ffffff" stroked="false">
                <v:path arrowok="t"/>
                <v:fill type="solid"/>
              </v:shape>
            </v:group>
            <v:group style="position:absolute;left:2886;top:9392;width:924;height:280" coordorigin="2886,9392" coordsize="924,280">
              <v:shape style="position:absolute;left:2886;top:9392;width:924;height:280" coordorigin="2886,9392" coordsize="924,280" path="m2886,9392l2886,9672,3810,9672,3810,9392,2886,9392xe" filled="true" fillcolor="#ffffff" stroked="false">
                <v:path arrowok="t"/>
                <v:fill type="solid"/>
              </v:shape>
            </v:group>
            <v:group style="position:absolute;left:2886;top:9672;width:924;height:281" coordorigin="2886,9672" coordsize="924,281">
              <v:shape style="position:absolute;left:2886;top:9672;width:924;height:281" coordorigin="2886,9672" coordsize="924,281" path="m2886,9672l2886,9953,3810,9953,3810,9672,2886,9672xe" filled="true" fillcolor="#ffffff" stroked="false">
                <v:path arrowok="t"/>
                <v:fill type="solid"/>
              </v:shape>
            </v:group>
            <w10:wrap type="none"/>
          </v:group>
        </w:pict>
      </w: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4"/>
        <w:spacing w:line="240" w:lineRule="auto"/>
        <w:ind w:left="959" w:right="0"/>
        <w:jc w:val="left"/>
        <w:rPr>
          <w:b w:val="0"/>
          <w:bCs w:val="0"/>
        </w:rPr>
      </w:pPr>
      <w:r>
        <w:rPr/>
        <w:t>四、资产交易事项</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left="959"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959" w:right="0"/>
        <w:jc w:val="left"/>
      </w:pPr>
      <w:r>
        <w:rPr/>
        <w:pict>
          <v:shape style="position:absolute;margin-left:384.410187pt;margin-top:19.955622pt;width:90.75pt;height:82.05pt;mso-position-horizontal-relative:page;mso-position-vertical-relative:paragraph;z-index:-1218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269"/>
        <w:gridCol w:w="979"/>
        <w:gridCol w:w="870"/>
        <w:gridCol w:w="1115"/>
        <w:gridCol w:w="1985"/>
        <w:gridCol w:w="1700"/>
        <w:gridCol w:w="870"/>
        <w:gridCol w:w="560"/>
        <w:gridCol w:w="1560"/>
        <w:gridCol w:w="992"/>
        <w:gridCol w:w="2732"/>
      </w:tblGrid>
      <w:tr>
        <w:trPr>
          <w:trHeight w:val="318" w:hRule="exact"/>
        </w:trPr>
        <w:tc>
          <w:tcPr>
            <w:tcW w:w="2269" w:type="dxa"/>
            <w:tcBorders>
              <w:top w:val="single" w:sz="4" w:space="0" w:color="000000"/>
              <w:left w:val="single" w:sz="4" w:space="0" w:color="000000"/>
              <w:bottom w:val="nil" w:sz="6" w:space="0" w:color="auto"/>
              <w:right w:val="single" w:sz="4" w:space="0" w:color="000000"/>
            </w:tcBorders>
            <w:shd w:val="clear" w:color="auto" w:fill="D3D3D3"/>
          </w:tcPr>
          <w:p>
            <w:pPr/>
          </w:p>
        </w:tc>
        <w:tc>
          <w:tcPr>
            <w:tcW w:w="97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8"/>
              <w:ind w:right="67"/>
              <w:jc w:val="right"/>
              <w:rPr>
                <w:rFonts w:ascii="宋体" w:hAnsi="宋体" w:cs="宋体" w:eastAsia="宋体" w:hint="default"/>
                <w:sz w:val="18"/>
                <w:szCs w:val="18"/>
              </w:rPr>
            </w:pPr>
            <w:r>
              <w:rPr>
                <w:rFonts w:ascii="宋体" w:hAnsi="宋体" w:cs="宋体" w:eastAsia="宋体" w:hint="default"/>
                <w:sz w:val="18"/>
                <w:szCs w:val="18"/>
              </w:rPr>
              <w:t>该资产为</w:t>
            </w:r>
          </w:p>
        </w:tc>
        <w:tc>
          <w:tcPr>
            <w:tcW w:w="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041" w:hRule="exact"/>
        </w:trPr>
        <w:tc>
          <w:tcPr>
            <w:tcW w:w="22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9" w:right="0"/>
              <w:jc w:val="left"/>
              <w:rPr>
                <w:rFonts w:ascii="宋体" w:hAnsi="宋体" w:cs="宋体" w:eastAsia="宋体" w:hint="default"/>
                <w:sz w:val="18"/>
                <w:szCs w:val="18"/>
              </w:rPr>
            </w:pPr>
            <w:r>
              <w:rPr>
                <w:rFonts w:ascii="宋体" w:hAnsi="宋体" w:cs="宋体" w:eastAsia="宋体" w:hint="default"/>
                <w:sz w:val="18"/>
                <w:szCs w:val="18"/>
              </w:rPr>
              <w:t>交易对方或最终控制方</w:t>
            </w:r>
          </w:p>
        </w:tc>
        <w:tc>
          <w:tcPr>
            <w:tcW w:w="9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6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4"/>
                <w:sz w:val="18"/>
                <w:szCs w:val="18"/>
              </w:rPr>
              <w:t>进展情况（注</w:t>
            </w:r>
          </w:p>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对公司经营的影</w:t>
            </w:r>
            <w:r>
              <w:rPr>
                <w:rFonts w:ascii="宋体" w:hAnsi="宋体" w:cs="宋体" w:eastAsia="宋体" w:hint="default"/>
                <w:spacing w:val="-90"/>
                <w:sz w:val="18"/>
                <w:szCs w:val="18"/>
              </w:rPr>
              <w:t>响</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p>
        </w:tc>
        <w:tc>
          <w:tcPr>
            <w:tcW w:w="17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对公司损益的影响</w:t>
            </w:r>
          </w:p>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70" w:right="0"/>
              <w:jc w:val="both"/>
              <w:rPr>
                <w:rFonts w:ascii="宋体" w:hAnsi="宋体" w:cs="宋体" w:eastAsia="宋体" w:hint="default"/>
                <w:sz w:val="18"/>
                <w:szCs w:val="18"/>
              </w:rPr>
            </w:pPr>
            <w:r>
              <w:rPr>
                <w:rFonts w:ascii="宋体" w:hAnsi="宋体" w:cs="宋体" w:eastAsia="宋体" w:hint="default"/>
                <w:sz w:val="18"/>
                <w:szCs w:val="18"/>
              </w:rPr>
              <w:t>上市公司</w:t>
            </w:r>
          </w:p>
          <w:p>
            <w:pPr>
              <w:pStyle w:val="TableParagraph"/>
              <w:spacing w:line="264" w:lineRule="auto" w:before="25"/>
              <w:ind w:left="70" w:right="67"/>
              <w:jc w:val="both"/>
              <w:rPr>
                <w:rFonts w:ascii="宋体" w:hAnsi="宋体" w:cs="宋体" w:eastAsia="宋体" w:hint="default"/>
                <w:sz w:val="18"/>
                <w:szCs w:val="18"/>
              </w:rPr>
            </w:pPr>
            <w:r>
              <w:rPr>
                <w:rFonts w:ascii="宋体" w:hAnsi="宋体" w:cs="宋体" w:eastAsia="宋体" w:hint="default"/>
                <w:sz w:val="18"/>
                <w:szCs w:val="18"/>
              </w:rPr>
              <w:t>贡献的净 利润占净 利润总额</w:t>
            </w:r>
          </w:p>
        </w:tc>
        <w:tc>
          <w:tcPr>
            <w:tcW w:w="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1" w:lineRule="exact"/>
              <w:ind w:left="96"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66" w:lineRule="auto" w:before="23"/>
              <w:ind w:left="96" w:right="92"/>
              <w:jc w:val="both"/>
              <w:rPr>
                <w:rFonts w:ascii="宋体" w:hAnsi="宋体" w:cs="宋体" w:eastAsia="宋体" w:hint="default"/>
                <w:sz w:val="18"/>
                <w:szCs w:val="18"/>
              </w:rPr>
            </w:pPr>
            <w:r>
              <w:rPr>
                <w:rFonts w:ascii="宋体" w:hAnsi="宋体" w:cs="宋体" w:eastAsia="宋体" w:hint="default"/>
                <w:sz w:val="18"/>
                <w:szCs w:val="18"/>
              </w:rPr>
              <w:t>为关 联交 易</w:t>
            </w:r>
          </w:p>
        </w:tc>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15"/>
              <w:ind w:left="53" w:right="54"/>
              <w:jc w:val="center"/>
              <w:rPr>
                <w:rFonts w:ascii="宋体" w:hAnsi="宋体" w:cs="宋体" w:eastAsia="宋体" w:hint="default"/>
                <w:sz w:val="18"/>
                <w:szCs w:val="18"/>
              </w:rPr>
            </w:pPr>
            <w:r>
              <w:rPr>
                <w:rFonts w:ascii="宋体" w:hAnsi="宋体" w:cs="宋体" w:eastAsia="宋体" w:hint="default"/>
                <w:sz w:val="18"/>
                <w:szCs w:val="18"/>
              </w:rPr>
              <w:t>与交易对方的关联 关系（适用关联交 易情形</w:t>
            </w:r>
          </w:p>
        </w:tc>
        <w:tc>
          <w:tcPr>
            <w:tcW w:w="9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7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1" w:hRule="exact"/>
        </w:trPr>
        <w:tc>
          <w:tcPr>
            <w:tcW w:w="2269" w:type="dxa"/>
            <w:tcBorders>
              <w:top w:val="nil" w:sz="6" w:space="0" w:color="auto"/>
              <w:left w:val="single" w:sz="4" w:space="0" w:color="000000"/>
              <w:bottom w:val="single" w:sz="4" w:space="0" w:color="000000"/>
              <w:right w:val="single" w:sz="4" w:space="0" w:color="000000"/>
            </w:tcBorders>
            <w:shd w:val="clear" w:color="auto" w:fill="D3D3D3"/>
          </w:tcPr>
          <w:p>
            <w:pPr/>
          </w:p>
        </w:tc>
        <w:tc>
          <w:tcPr>
            <w:tcW w:w="97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0" w:lineRule="exact"/>
              <w:ind w:left="160" w:right="0"/>
              <w:jc w:val="left"/>
              <w:rPr>
                <w:rFonts w:ascii="宋体" w:hAnsi="宋体" w:cs="宋体" w:eastAsia="宋体" w:hint="default"/>
                <w:sz w:val="18"/>
                <w:szCs w:val="18"/>
              </w:rPr>
            </w:pPr>
            <w:r>
              <w:rPr>
                <w:rFonts w:ascii="宋体" w:hAnsi="宋体" w:cs="宋体" w:eastAsia="宋体" w:hint="default"/>
                <w:sz w:val="18"/>
                <w:szCs w:val="18"/>
              </w:rPr>
              <w:t>的比率</w:t>
            </w:r>
          </w:p>
        </w:tc>
        <w:tc>
          <w:tcPr>
            <w:tcW w:w="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8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4"/>
              <w:jc w:val="left"/>
              <w:rPr>
                <w:rFonts w:ascii="宋体" w:hAnsi="宋体" w:cs="宋体" w:eastAsia="宋体" w:hint="default"/>
                <w:sz w:val="18"/>
                <w:szCs w:val="18"/>
              </w:rPr>
            </w:pPr>
            <w:r>
              <w:rPr>
                <w:rFonts w:ascii="宋体" w:hAnsi="宋体" w:cs="宋体" w:eastAsia="宋体" w:hint="default"/>
                <w:sz w:val="18"/>
                <w:szCs w:val="18"/>
              </w:rPr>
              <w:t>国视上海 100%股权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28,000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79"/>
              <w:jc w:val="both"/>
              <w:rPr>
                <w:rFonts w:ascii="宋体" w:hAnsi="宋体" w:cs="宋体" w:eastAsia="宋体" w:hint="default"/>
                <w:sz w:val="18"/>
                <w:szCs w:val="18"/>
              </w:rPr>
            </w:pPr>
            <w:r>
              <w:rPr>
                <w:rFonts w:ascii="宋体" w:hAnsi="宋体" w:cs="宋体" w:eastAsia="宋体" w:hint="default"/>
                <w:sz w:val="18"/>
                <w:szCs w:val="18"/>
              </w:rPr>
              <w:t>工商变更登 记手续已完 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公司经营的媒体将拓展 </w:t>
            </w:r>
            <w:r>
              <w:rPr>
                <w:rFonts w:ascii="宋体" w:hAnsi="宋体" w:cs="宋体" w:eastAsia="宋体" w:hint="default"/>
                <w:spacing w:val="-5"/>
                <w:sz w:val="18"/>
                <w:szCs w:val="18"/>
              </w:rPr>
              <w:t>到手机电视领域，对公司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管理层稳定性没有影响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6"/>
              <w:jc w:val="both"/>
              <w:rPr>
                <w:rFonts w:ascii="宋体" w:hAnsi="宋体" w:cs="宋体" w:eastAsia="宋体" w:hint="default"/>
                <w:sz w:val="18"/>
                <w:szCs w:val="18"/>
              </w:rPr>
            </w:pPr>
            <w:r>
              <w:rPr>
                <w:rFonts w:ascii="宋体" w:hAnsi="宋体" w:cs="宋体" w:eastAsia="宋体" w:hint="default"/>
                <w:sz w:val="18"/>
                <w:szCs w:val="18"/>
              </w:rPr>
              <w:t>自本期初至报告期末 为公司贡献的净利润 为</w:t>
            </w:r>
            <w:r>
              <w:rPr>
                <w:rFonts w:ascii="宋体" w:hAnsi="宋体" w:cs="宋体" w:eastAsia="宋体" w:hint="default"/>
                <w:spacing w:val="-46"/>
                <w:sz w:val="18"/>
                <w:szCs w:val="18"/>
              </w:rPr>
              <w:t> </w:t>
            </w:r>
            <w:r>
              <w:rPr>
                <w:rFonts w:ascii="宋体" w:hAnsi="宋体" w:cs="宋体" w:eastAsia="宋体" w:hint="default"/>
                <w:sz w:val="18"/>
                <w:szCs w:val="18"/>
              </w:rPr>
              <w:t>2,028.08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2.06%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5"/>
              <w:jc w:val="both"/>
              <w:rPr>
                <w:rFonts w:ascii="宋体" w:hAnsi="宋体" w:cs="宋体" w:eastAsia="宋体" w:hint="default"/>
                <w:sz w:val="18"/>
                <w:szCs w:val="18"/>
              </w:rPr>
            </w:pPr>
            <w:r>
              <w:rPr>
                <w:rFonts w:ascii="宋体" w:hAnsi="宋体" w:cs="宋体" w:eastAsia="宋体" w:hint="default"/>
                <w:sz w:val="18"/>
                <w:szCs w:val="18"/>
              </w:rPr>
              <w:t>国视北京为本公司 的实际控制人国广 控股的全资子公司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0"/>
              <w:jc w:val="left"/>
              <w:rPr>
                <w:rFonts w:ascii="宋体" w:hAnsi="宋体" w:cs="宋体" w:eastAsia="宋体" w:hint="default"/>
                <w:sz w:val="18"/>
                <w:szCs w:val="18"/>
              </w:rPr>
            </w:pPr>
            <w:r>
              <w:rPr>
                <w:rFonts w:ascii="宋体" w:hAnsi="宋体" w:cs="宋体" w:eastAsia="宋体" w:hint="default"/>
                <w:spacing w:val="-2"/>
                <w:sz w:val="18"/>
                <w:szCs w:val="18"/>
              </w:rPr>
              <w:t>详见巨潮网上《购买资产暨关联交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易公告》（公告编号：</w:t>
            </w:r>
            <w:r>
              <w:rPr>
                <w:rFonts w:ascii="Times New Roman" w:hAnsi="Times New Roman" w:cs="Times New Roman" w:eastAsia="Times New Roman" w:hint="default"/>
                <w:spacing w:val="-5"/>
                <w:sz w:val="18"/>
                <w:szCs w:val="18"/>
              </w:rPr>
              <w:t>2014-038</w:t>
            </w:r>
            <w:r>
              <w:rPr>
                <w:rFonts w:ascii="宋体" w:hAnsi="宋体" w:cs="宋体" w:eastAsia="宋体" w:hint="default"/>
                <w:spacing w:val="-5"/>
                <w:sz w:val="18"/>
                <w:szCs w:val="18"/>
              </w:rPr>
              <w:t>）</w:t>
            </w:r>
          </w:p>
        </w:tc>
      </w:tr>
      <w:tr>
        <w:trPr>
          <w:trHeight w:val="129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224"/>
              <w:jc w:val="left"/>
              <w:rPr>
                <w:rFonts w:ascii="宋体" w:hAnsi="宋体" w:cs="宋体" w:eastAsia="宋体" w:hint="default"/>
                <w:sz w:val="18"/>
                <w:szCs w:val="18"/>
              </w:rPr>
            </w:pPr>
            <w:r>
              <w:rPr>
                <w:rFonts w:ascii="宋体" w:hAnsi="宋体" w:cs="宋体" w:eastAsia="宋体" w:hint="default"/>
                <w:sz w:val="18"/>
                <w:szCs w:val="18"/>
              </w:rPr>
              <w:t>掌视亿通 100%股权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130,500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 w:right="179"/>
              <w:jc w:val="both"/>
              <w:rPr>
                <w:rFonts w:ascii="宋体" w:hAnsi="宋体" w:cs="宋体" w:eastAsia="宋体" w:hint="default"/>
                <w:sz w:val="18"/>
                <w:szCs w:val="18"/>
              </w:rPr>
            </w:pPr>
            <w:r>
              <w:rPr>
                <w:rFonts w:ascii="宋体" w:hAnsi="宋体" w:cs="宋体" w:eastAsia="宋体" w:hint="default"/>
                <w:sz w:val="18"/>
                <w:szCs w:val="18"/>
              </w:rPr>
              <w:t>工商变更登 记手续已完 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0"/>
              <w:jc w:val="left"/>
              <w:rPr>
                <w:rFonts w:ascii="宋体" w:hAnsi="宋体" w:cs="宋体" w:eastAsia="宋体" w:hint="default"/>
                <w:sz w:val="18"/>
                <w:szCs w:val="18"/>
              </w:rPr>
            </w:pPr>
            <w:r>
              <w:rPr>
                <w:rFonts w:ascii="宋体" w:hAnsi="宋体" w:cs="宋体" w:eastAsia="宋体" w:hint="default"/>
                <w:spacing w:val="-5"/>
                <w:sz w:val="18"/>
                <w:szCs w:val="18"/>
              </w:rPr>
              <w:t>改善公司业务结构、突出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主业、提高盈利能力，对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公司管理层稳定性没有 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46"/>
              <w:jc w:val="both"/>
              <w:rPr>
                <w:rFonts w:ascii="宋体" w:hAnsi="宋体" w:cs="宋体" w:eastAsia="宋体" w:hint="default"/>
                <w:sz w:val="18"/>
                <w:szCs w:val="18"/>
              </w:rPr>
            </w:pPr>
            <w:r>
              <w:rPr>
                <w:rFonts w:ascii="宋体" w:hAnsi="宋体" w:cs="宋体" w:eastAsia="宋体" w:hint="default"/>
                <w:sz w:val="18"/>
                <w:szCs w:val="18"/>
              </w:rPr>
              <w:t>自购买日起至报告期 末为公司贡献的净利 润为</w:t>
            </w:r>
            <w:r>
              <w:rPr>
                <w:rFonts w:ascii="宋体" w:hAnsi="宋体" w:cs="宋体" w:eastAsia="宋体" w:hint="default"/>
                <w:spacing w:val="-46"/>
                <w:sz w:val="18"/>
                <w:szCs w:val="18"/>
              </w:rPr>
              <w:t> </w:t>
            </w:r>
            <w:r>
              <w:rPr>
                <w:rFonts w:ascii="宋体" w:hAnsi="宋体" w:cs="宋体" w:eastAsia="宋体" w:hint="default"/>
                <w:sz w:val="18"/>
                <w:szCs w:val="18"/>
              </w:rPr>
              <w:t>1,978.00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2.01%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22"/>
              <w:jc w:val="left"/>
              <w:rPr>
                <w:rFonts w:ascii="宋体" w:hAnsi="宋体" w:cs="宋体" w:eastAsia="宋体" w:hint="default"/>
                <w:sz w:val="18"/>
                <w:szCs w:val="18"/>
              </w:rPr>
            </w:pPr>
            <w:r>
              <w:rPr>
                <w:rFonts w:ascii="宋体" w:hAnsi="宋体" w:cs="宋体" w:eastAsia="宋体" w:hint="default"/>
                <w:spacing w:val="-6"/>
                <w:sz w:val="18"/>
                <w:szCs w:val="18"/>
              </w:rPr>
              <w:t>详见巨潮网上《第六届董事会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pacing w:val="-6"/>
                <w:sz w:val="18"/>
                <w:szCs w:val="18"/>
              </w:rPr>
              <w:t>年第五次临时会议决议公告》（公</w:t>
            </w:r>
            <w:r>
              <w:rPr>
                <w:rFonts w:ascii="宋体" w:hAnsi="宋体" w:cs="宋体" w:eastAsia="宋体" w:hint="default"/>
                <w:sz w:val="18"/>
                <w:szCs w:val="18"/>
              </w:rPr>
              <w:t> </w:t>
            </w:r>
            <w:r>
              <w:rPr>
                <w:rFonts w:ascii="宋体" w:hAnsi="宋体" w:cs="宋体" w:eastAsia="宋体" w:hint="default"/>
                <w:spacing w:val="-9"/>
                <w:sz w:val="18"/>
                <w:szCs w:val="18"/>
              </w:rPr>
              <w:t>告编号：</w:t>
            </w:r>
            <w:r>
              <w:rPr>
                <w:rFonts w:ascii="Times New Roman" w:hAnsi="Times New Roman" w:cs="Times New Roman" w:eastAsia="Times New Roman" w:hint="default"/>
                <w:spacing w:val="-9"/>
                <w:sz w:val="18"/>
                <w:szCs w:val="18"/>
              </w:rPr>
              <w:t>2014-048</w:t>
            </w:r>
            <w:r>
              <w:rPr>
                <w:rFonts w:ascii="宋体" w:hAnsi="宋体" w:cs="宋体" w:eastAsia="宋体" w:hint="default"/>
                <w:spacing w:val="-9"/>
                <w:sz w:val="18"/>
                <w:szCs w:val="18"/>
              </w:rPr>
              <w:t>）、《发行股份及</w:t>
            </w:r>
            <w:r>
              <w:rPr>
                <w:rFonts w:ascii="宋体" w:hAnsi="宋体" w:cs="宋体" w:eastAsia="宋体" w:hint="default"/>
                <w:sz w:val="18"/>
                <w:szCs w:val="18"/>
              </w:rPr>
              <w:t> 支付现金购买资产并募集配套资 </w:t>
            </w:r>
            <w:r>
              <w:rPr>
                <w:rFonts w:ascii="宋体" w:hAnsi="宋体" w:cs="宋体" w:eastAsia="宋体" w:hint="default"/>
                <w:spacing w:val="-15"/>
                <w:sz w:val="18"/>
                <w:szCs w:val="18"/>
              </w:rPr>
              <w:t>金报告书（草案）》。下同</w:t>
            </w:r>
          </w:p>
        </w:tc>
      </w:tr>
      <w:tr>
        <w:trPr>
          <w:trHeight w:val="105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精视投资、莫昂投资</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224"/>
              <w:jc w:val="left"/>
              <w:rPr>
                <w:rFonts w:ascii="宋体" w:hAnsi="宋体" w:cs="宋体" w:eastAsia="宋体" w:hint="default"/>
                <w:sz w:val="18"/>
                <w:szCs w:val="18"/>
              </w:rPr>
            </w:pPr>
            <w:r>
              <w:rPr>
                <w:rFonts w:ascii="宋体" w:hAnsi="宋体" w:cs="宋体" w:eastAsia="宋体" w:hint="default"/>
                <w:sz w:val="18"/>
                <w:szCs w:val="18"/>
              </w:rPr>
              <w:t>精视文化 60%股权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43,200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79"/>
              <w:jc w:val="both"/>
              <w:rPr>
                <w:rFonts w:ascii="宋体" w:hAnsi="宋体" w:cs="宋体" w:eastAsia="宋体" w:hint="default"/>
                <w:sz w:val="18"/>
                <w:szCs w:val="18"/>
              </w:rPr>
            </w:pPr>
            <w:r>
              <w:rPr>
                <w:rFonts w:ascii="宋体" w:hAnsi="宋体" w:cs="宋体" w:eastAsia="宋体" w:hint="default"/>
                <w:sz w:val="18"/>
                <w:szCs w:val="18"/>
              </w:rPr>
              <w:t>工商变更登 记手续已完 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5"/>
                <w:sz w:val="18"/>
                <w:szCs w:val="18"/>
              </w:rPr>
              <w:t>改善公司业务结构、突出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主业、提高盈利能力，对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公司管理层稳定性没有 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46"/>
              <w:jc w:val="both"/>
              <w:rPr>
                <w:rFonts w:ascii="宋体" w:hAnsi="宋体" w:cs="宋体" w:eastAsia="宋体" w:hint="default"/>
                <w:sz w:val="18"/>
                <w:szCs w:val="18"/>
              </w:rPr>
            </w:pPr>
            <w:r>
              <w:rPr>
                <w:rFonts w:ascii="宋体" w:hAnsi="宋体" w:cs="宋体" w:eastAsia="宋体" w:hint="default"/>
                <w:sz w:val="18"/>
                <w:szCs w:val="18"/>
              </w:rPr>
              <w:t>自购买日起至报告期 末为公司贡献的净利 润为</w:t>
            </w:r>
            <w:r>
              <w:rPr>
                <w:rFonts w:ascii="宋体" w:hAnsi="宋体" w:cs="宋体" w:eastAsia="宋体" w:hint="default"/>
                <w:spacing w:val="-46"/>
                <w:sz w:val="18"/>
                <w:szCs w:val="18"/>
              </w:rPr>
              <w:t> </w:t>
            </w:r>
            <w:r>
              <w:rPr>
                <w:rFonts w:ascii="宋体" w:hAnsi="宋体" w:cs="宋体" w:eastAsia="宋体" w:hint="default"/>
                <w:sz w:val="18"/>
                <w:szCs w:val="18"/>
              </w:rPr>
              <w:t>1,732.00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1.76%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5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程顺玲、李菊莲、曾子帆</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224"/>
              <w:jc w:val="left"/>
              <w:rPr>
                <w:rFonts w:ascii="宋体" w:hAnsi="宋体" w:cs="宋体" w:eastAsia="宋体" w:hint="default"/>
                <w:sz w:val="18"/>
                <w:szCs w:val="18"/>
              </w:rPr>
            </w:pPr>
            <w:r>
              <w:rPr>
                <w:rFonts w:ascii="宋体" w:hAnsi="宋体" w:cs="宋体" w:eastAsia="宋体" w:hint="default"/>
                <w:sz w:val="18"/>
                <w:szCs w:val="18"/>
              </w:rPr>
              <w:t>邦富软件 100%股权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72,000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79"/>
              <w:jc w:val="both"/>
              <w:rPr>
                <w:rFonts w:ascii="宋体" w:hAnsi="宋体" w:cs="宋体" w:eastAsia="宋体" w:hint="default"/>
                <w:sz w:val="18"/>
                <w:szCs w:val="18"/>
              </w:rPr>
            </w:pPr>
            <w:r>
              <w:rPr>
                <w:rFonts w:ascii="宋体" w:hAnsi="宋体" w:cs="宋体" w:eastAsia="宋体" w:hint="default"/>
                <w:sz w:val="18"/>
                <w:szCs w:val="18"/>
              </w:rPr>
              <w:t>工商变更登 记手续已完 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5"/>
                <w:sz w:val="18"/>
                <w:szCs w:val="18"/>
              </w:rPr>
              <w:t>改善公司业务结构、突出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主业、提高盈利能力，对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公司管理层稳定性没有 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46"/>
              <w:jc w:val="both"/>
              <w:rPr>
                <w:rFonts w:ascii="宋体" w:hAnsi="宋体" w:cs="宋体" w:eastAsia="宋体" w:hint="default"/>
                <w:sz w:val="18"/>
                <w:szCs w:val="18"/>
              </w:rPr>
            </w:pPr>
            <w:r>
              <w:rPr>
                <w:rFonts w:ascii="宋体" w:hAnsi="宋体" w:cs="宋体" w:eastAsia="宋体" w:hint="default"/>
                <w:sz w:val="18"/>
                <w:szCs w:val="18"/>
              </w:rPr>
              <w:t>自购买日起至报告期 末为公司贡献的净利 润为</w:t>
            </w:r>
            <w:r>
              <w:rPr>
                <w:rFonts w:ascii="宋体" w:hAnsi="宋体" w:cs="宋体" w:eastAsia="宋体" w:hint="default"/>
                <w:spacing w:val="-46"/>
                <w:sz w:val="18"/>
                <w:szCs w:val="18"/>
              </w:rPr>
              <w:t> </w:t>
            </w:r>
            <w:r>
              <w:rPr>
                <w:rFonts w:ascii="宋体" w:hAnsi="宋体" w:cs="宋体" w:eastAsia="宋体" w:hint="default"/>
                <w:sz w:val="18"/>
                <w:szCs w:val="18"/>
              </w:rPr>
              <w:t>2,444.52</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宋体" w:hAnsi="宋体" w:cs="宋体" w:eastAsia="宋体" w:hint="default"/>
                <w:sz w:val="18"/>
                <w:szCs w:val="18"/>
              </w:rPr>
            </w:pPr>
            <w:r>
              <w:rPr>
                <w:rFonts w:ascii="宋体"/>
                <w:sz w:val="18"/>
              </w:rPr>
              <w:t>2.49%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40" w:hRule="exact"/>
        </w:trPr>
        <w:tc>
          <w:tcPr>
            <w:tcW w:w="2269" w:type="dxa"/>
            <w:tcBorders>
              <w:top w:val="single" w:sz="4" w:space="0" w:color="000000"/>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金城、长沙传怡、</w:t>
            </w:r>
          </w:p>
        </w:tc>
        <w:tc>
          <w:tcPr>
            <w:tcW w:w="97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1115"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2732" w:type="dxa"/>
            <w:tcBorders>
              <w:top w:val="single" w:sz="4" w:space="0" w:color="000000"/>
              <w:left w:val="single" w:sz="4" w:space="0" w:color="000000"/>
              <w:bottom w:val="nil" w:sz="6" w:space="0" w:color="auto"/>
              <w:right w:val="single" w:sz="4" w:space="0" w:color="000000"/>
            </w:tcBorders>
          </w:tcPr>
          <w:p>
            <w:pPr/>
          </w:p>
        </w:tc>
      </w:tr>
      <w:tr>
        <w:trPr>
          <w:trHeight w:val="1201" w:hRule="exact"/>
        </w:trPr>
        <w:tc>
          <w:tcPr>
            <w:tcW w:w="2269" w:type="dxa"/>
            <w:tcBorders>
              <w:top w:val="nil" w:sz="6" w:space="0" w:color="auto"/>
              <w:left w:val="single" w:sz="4" w:space="0" w:color="000000"/>
              <w:bottom w:val="nil" w:sz="6" w:space="0" w:color="auto"/>
              <w:right w:val="single" w:sz="4" w:space="0" w:color="000000"/>
            </w:tcBorders>
          </w:tcPr>
          <w:p>
            <w:pPr>
              <w:pStyle w:val="TableParagraph"/>
              <w:spacing w:line="200" w:lineRule="exact" w:before="4"/>
              <w:ind w:left="22" w:right="74"/>
              <w:jc w:val="left"/>
              <w:rPr>
                <w:rFonts w:ascii="宋体" w:hAnsi="宋体" w:cs="宋体" w:eastAsia="宋体" w:hint="default"/>
                <w:sz w:val="18"/>
                <w:szCs w:val="18"/>
              </w:rPr>
            </w:pPr>
            <w:r>
              <w:rPr>
                <w:rFonts w:ascii="宋体" w:hAnsi="宋体" w:cs="宋体" w:eastAsia="宋体" w:hint="default"/>
                <w:sz w:val="18"/>
                <w:szCs w:val="18"/>
              </w:rPr>
              <w:t>北京中技、广东粤文投、广 州漫时代以及俞涌、</w:t>
            </w:r>
          </w:p>
          <w:p>
            <w:pPr>
              <w:pStyle w:val="TableParagraph"/>
              <w:spacing w:line="200" w:lineRule="exact"/>
              <w:ind w:left="22" w:right="74"/>
              <w:jc w:val="left"/>
              <w:rPr>
                <w:rFonts w:ascii="宋体" w:hAnsi="宋体" w:cs="宋体" w:eastAsia="宋体" w:hint="default"/>
                <w:sz w:val="18"/>
                <w:szCs w:val="18"/>
              </w:rPr>
            </w:pPr>
            <w:r>
              <w:rPr>
                <w:rFonts w:ascii="宋体" w:hAnsi="宋体" w:cs="宋体" w:eastAsia="宋体" w:hint="default"/>
                <w:spacing w:val="-3"/>
                <w:sz w:val="18"/>
                <w:szCs w:val="18"/>
              </w:rPr>
              <w:t>刘洋、张显峰、张茜、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崔伟良、施桂贤、许勇和、</w:t>
            </w:r>
          </w:p>
          <w:p>
            <w:pPr>
              <w:pStyle w:val="TableParagraph"/>
              <w:spacing w:line="200" w:lineRule="exact"/>
              <w:ind w:left="22" w:right="74"/>
              <w:jc w:val="left"/>
              <w:rPr>
                <w:rFonts w:ascii="宋体" w:hAnsi="宋体" w:cs="宋体" w:eastAsia="宋体" w:hint="default"/>
                <w:sz w:val="18"/>
                <w:szCs w:val="18"/>
              </w:rPr>
            </w:pPr>
            <w:r>
              <w:rPr>
                <w:rFonts w:ascii="宋体" w:hAnsi="宋体" w:cs="宋体" w:eastAsia="宋体" w:hint="default"/>
                <w:sz w:val="18"/>
                <w:szCs w:val="18"/>
              </w:rPr>
              <w:t>曹凌玲、赖春晖、邵洪涛、 邱月仙、葛重葳、祖雅乐、</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2" w:right="44"/>
              <w:jc w:val="left"/>
              <w:rPr>
                <w:rFonts w:ascii="宋体" w:hAnsi="宋体" w:cs="宋体" w:eastAsia="宋体" w:hint="default"/>
                <w:sz w:val="18"/>
                <w:szCs w:val="18"/>
              </w:rPr>
            </w:pPr>
            <w:r>
              <w:rPr>
                <w:rFonts w:ascii="宋体" w:hAnsi="宋体" w:cs="宋体" w:eastAsia="宋体" w:hint="default"/>
                <w:sz w:val="18"/>
                <w:szCs w:val="18"/>
              </w:rPr>
              <w:t>漫友文化 85.61%股权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34,244</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3" w:right="179"/>
              <w:jc w:val="both"/>
              <w:rPr>
                <w:rFonts w:ascii="宋体" w:hAnsi="宋体" w:cs="宋体" w:eastAsia="宋体" w:hint="default"/>
                <w:sz w:val="18"/>
                <w:szCs w:val="18"/>
              </w:rPr>
            </w:pPr>
            <w:r>
              <w:rPr>
                <w:rFonts w:ascii="宋体" w:hAnsi="宋体" w:cs="宋体" w:eastAsia="宋体" w:hint="default"/>
                <w:sz w:val="18"/>
                <w:szCs w:val="18"/>
              </w:rPr>
              <w:t>工商变更登 记手续已完 成</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4" w:lineRule="auto" w:before="106"/>
              <w:ind w:left="22" w:right="20"/>
              <w:jc w:val="left"/>
              <w:rPr>
                <w:rFonts w:ascii="宋体" w:hAnsi="宋体" w:cs="宋体" w:eastAsia="宋体" w:hint="default"/>
                <w:sz w:val="18"/>
                <w:szCs w:val="18"/>
              </w:rPr>
            </w:pPr>
            <w:r>
              <w:rPr>
                <w:rFonts w:ascii="宋体" w:hAnsi="宋体" w:cs="宋体" w:eastAsia="宋体" w:hint="default"/>
                <w:spacing w:val="-5"/>
                <w:sz w:val="18"/>
                <w:szCs w:val="18"/>
              </w:rPr>
              <w:t>改善公司业务结构、突出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主业、提高盈利能力，对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公司管理层稳定性没有 影响</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2" w:right="46"/>
              <w:jc w:val="both"/>
              <w:rPr>
                <w:rFonts w:ascii="宋体" w:hAnsi="宋体" w:cs="宋体" w:eastAsia="宋体" w:hint="default"/>
                <w:sz w:val="18"/>
                <w:szCs w:val="18"/>
              </w:rPr>
            </w:pPr>
            <w:r>
              <w:rPr>
                <w:rFonts w:ascii="宋体" w:hAnsi="宋体" w:cs="宋体" w:eastAsia="宋体" w:hint="default"/>
                <w:sz w:val="18"/>
                <w:szCs w:val="18"/>
              </w:rPr>
              <w:t>自购买日起至报告期 末为公司贡献的净利 润为</w:t>
            </w:r>
            <w:r>
              <w:rPr>
                <w:rFonts w:ascii="宋体" w:hAnsi="宋体" w:cs="宋体" w:eastAsia="宋体" w:hint="default"/>
                <w:spacing w:val="-46"/>
                <w:sz w:val="18"/>
                <w:szCs w:val="18"/>
              </w:rPr>
              <w:t> </w:t>
            </w:r>
            <w:r>
              <w:rPr>
                <w:rFonts w:ascii="宋体" w:hAnsi="宋体" w:cs="宋体" w:eastAsia="宋体" w:hint="default"/>
                <w:sz w:val="18"/>
                <w:szCs w:val="18"/>
              </w:rPr>
              <w:t>412.41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0.42%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0" w:hRule="exact"/>
        </w:trPr>
        <w:tc>
          <w:tcPr>
            <w:tcW w:w="2269"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22" w:right="0"/>
              <w:jc w:val="left"/>
              <w:rPr>
                <w:rFonts w:ascii="宋体" w:hAnsi="宋体" w:cs="宋体" w:eastAsia="宋体" w:hint="default"/>
                <w:sz w:val="18"/>
                <w:szCs w:val="18"/>
              </w:rPr>
            </w:pPr>
            <w:r>
              <w:rPr>
                <w:rFonts w:ascii="宋体" w:hAnsi="宋体" w:cs="宋体" w:eastAsia="宋体" w:hint="default"/>
                <w:sz w:val="18"/>
                <w:szCs w:val="18"/>
              </w:rPr>
              <w:t>韩露、丁冰和李凌彪</w:t>
            </w:r>
          </w:p>
        </w:tc>
        <w:tc>
          <w:tcPr>
            <w:tcW w:w="97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1115"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273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7" w:footer="978" w:top="1060" w:bottom="1160" w:left="480" w:right="500"/>
          <w:pgNumType w:start="46"/>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before="0"/>
        <w:ind w:left="679"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before="0"/>
        <w:ind w:left="67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53"/>
        <w:gridCol w:w="1300"/>
        <w:gridCol w:w="1277"/>
        <w:gridCol w:w="1134"/>
        <w:gridCol w:w="1134"/>
        <w:gridCol w:w="1274"/>
        <w:gridCol w:w="1159"/>
        <w:gridCol w:w="967"/>
        <w:gridCol w:w="709"/>
        <w:gridCol w:w="851"/>
        <w:gridCol w:w="850"/>
        <w:gridCol w:w="709"/>
        <w:gridCol w:w="683"/>
        <w:gridCol w:w="1946"/>
      </w:tblGrid>
      <w:tr>
        <w:trPr>
          <w:trHeight w:val="1649"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81" w:right="22" w:hanging="359"/>
              <w:jc w:val="left"/>
              <w:rPr>
                <w:rFonts w:ascii="宋体" w:hAnsi="宋体" w:cs="宋体" w:eastAsia="宋体" w:hint="default"/>
                <w:sz w:val="18"/>
                <w:szCs w:val="18"/>
              </w:rPr>
            </w:pPr>
            <w:r>
              <w:rPr>
                <w:rFonts w:ascii="宋体" w:hAnsi="宋体" w:cs="宋体" w:eastAsia="宋体" w:hint="default"/>
                <w:sz w:val="18"/>
                <w:szCs w:val="18"/>
              </w:rPr>
              <w:t>交易价格（万 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 w:firstLine="88"/>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利润（万元）</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15" w:right="90" w:hanging="23"/>
              <w:jc w:val="left"/>
              <w:rPr>
                <w:rFonts w:ascii="宋体" w:hAnsi="宋体" w:cs="宋体" w:eastAsia="宋体" w:hint="default"/>
                <w:sz w:val="18"/>
                <w:szCs w:val="18"/>
              </w:rPr>
            </w:pPr>
            <w:r>
              <w:rPr>
                <w:rFonts w:ascii="宋体" w:hAnsi="宋体" w:cs="宋体" w:eastAsia="宋体" w:hint="default"/>
                <w:sz w:val="18"/>
                <w:szCs w:val="18"/>
              </w:rPr>
              <w:t>出售对公司的 影响（注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4"/>
              <w:jc w:val="both"/>
              <w:rPr>
                <w:rFonts w:ascii="宋体" w:hAnsi="宋体" w:cs="宋体" w:eastAsia="宋体" w:hint="default"/>
                <w:sz w:val="18"/>
                <w:szCs w:val="18"/>
              </w:rPr>
            </w:pPr>
            <w:r>
              <w:rPr>
                <w:rFonts w:ascii="宋体" w:hAnsi="宋体" w:cs="宋体" w:eastAsia="宋体" w:hint="default"/>
                <w:sz w:val="18"/>
                <w:szCs w:val="18"/>
              </w:rPr>
              <w:t>资产出售为上 市公司贡献的 净利润占净利 润总额的比例</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07" w:right="28" w:hanging="180"/>
              <w:jc w:val="left"/>
              <w:rPr>
                <w:rFonts w:ascii="宋体" w:hAnsi="宋体" w:cs="宋体" w:eastAsia="宋体" w:hint="default"/>
                <w:sz w:val="18"/>
                <w:szCs w:val="18"/>
              </w:rPr>
            </w:pPr>
            <w:r>
              <w:rPr>
                <w:rFonts w:ascii="宋体" w:hAnsi="宋体" w:cs="宋体" w:eastAsia="宋体" w:hint="default"/>
                <w:sz w:val="18"/>
                <w:szCs w:val="18"/>
              </w:rPr>
              <w:t>资产出售定 价原则</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253"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出售股权对公</w:t>
            </w:r>
          </w:p>
        </w:tc>
        <w:tc>
          <w:tcPr>
            <w:tcW w:w="1159"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946" w:type="dxa"/>
            <w:tcBorders>
              <w:top w:val="single" w:sz="4" w:space="0" w:color="000000"/>
              <w:left w:val="single" w:sz="4" w:space="0" w:color="000000"/>
              <w:bottom w:val="nil" w:sz="6" w:space="0" w:color="auto"/>
              <w:right w:val="single" w:sz="4" w:space="0" w:color="000000"/>
            </w:tcBorders>
          </w:tcPr>
          <w:p>
            <w:pPr/>
          </w:p>
        </w:tc>
      </w:tr>
      <w:tr>
        <w:trPr>
          <w:trHeight w:val="1566" w:hRule="exact"/>
        </w:trPr>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北京首都开发 股份有限公司</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71,800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454.18</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司业务连续性、 管理层稳定性 </w:t>
            </w:r>
            <w:r>
              <w:rPr>
                <w:rFonts w:ascii="宋体" w:hAnsi="宋体" w:cs="宋体" w:eastAsia="宋体" w:hint="default"/>
                <w:spacing w:val="-6"/>
                <w:sz w:val="18"/>
                <w:szCs w:val="18"/>
              </w:rPr>
              <w:t>没有影响，报告</w:t>
            </w:r>
            <w:r>
              <w:rPr>
                <w:rFonts w:ascii="宋体" w:hAnsi="宋体" w:cs="宋体" w:eastAsia="宋体" w:hint="default"/>
                <w:sz w:val="18"/>
                <w:szCs w:val="18"/>
              </w:rPr>
              <w:t> 期内获得投资 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22,551.36</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22.93%</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32"/>
              <w:jc w:val="both"/>
              <w:rPr>
                <w:rFonts w:ascii="宋体" w:hAnsi="宋体" w:cs="宋体" w:eastAsia="宋体" w:hint="default"/>
                <w:sz w:val="18"/>
                <w:szCs w:val="18"/>
              </w:rPr>
            </w:pPr>
            <w:r>
              <w:rPr>
                <w:rFonts w:ascii="宋体" w:hAnsi="宋体" w:cs="宋体" w:eastAsia="宋体" w:hint="default"/>
                <w:sz w:val="18"/>
                <w:szCs w:val="18"/>
              </w:rPr>
              <w:t>根据评估值 确定挂牌底 价，公开挂 牌转让</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9"/>
                <w:sz w:val="18"/>
                <w:szCs w:val="18"/>
              </w:rPr>
              <w:t>详见巨潮网上《关于海南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民生长流油气储运有限 公司股权公开挂牌转让 </w:t>
            </w:r>
            <w:r>
              <w:rPr>
                <w:rFonts w:ascii="宋体" w:hAnsi="宋体" w:cs="宋体" w:eastAsia="宋体" w:hint="default"/>
                <w:spacing w:val="-9"/>
                <w:sz w:val="18"/>
                <w:szCs w:val="18"/>
              </w:rPr>
              <w:t>进展情况的公告》（公告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2014-021</w:t>
            </w:r>
            <w:r>
              <w:rPr>
                <w:rFonts w:ascii="宋体" w:hAnsi="宋体" w:cs="宋体" w:eastAsia="宋体" w:hint="default"/>
                <w:sz w:val="18"/>
                <w:szCs w:val="18"/>
              </w:rPr>
              <w:t>）</w:t>
            </w:r>
          </w:p>
        </w:tc>
      </w:tr>
      <w:tr>
        <w:trPr>
          <w:trHeight w:val="351" w:hRule="exact"/>
        </w:trPr>
        <w:tc>
          <w:tcPr>
            <w:tcW w:w="1253"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9"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9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26"/>
        <w:ind w:left="1099"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月，本公司与北京首都开发股份有限公司签订了关于长流公司</w:t>
      </w:r>
      <w:r>
        <w:rPr>
          <w:spacing w:val="-56"/>
        </w:rPr>
        <w:t> </w:t>
      </w:r>
      <w:r>
        <w:rPr/>
        <w:t>100%股权转让协议，将公司所持长流公司</w:t>
      </w:r>
      <w:r>
        <w:rPr>
          <w:spacing w:val="-55"/>
        </w:rPr>
        <w:t> </w:t>
      </w:r>
      <w:r>
        <w:rPr>
          <w:rFonts w:ascii="Times New Roman" w:hAnsi="Times New Roman" w:cs="Times New Roman" w:eastAsia="Times New Roman" w:hint="default"/>
        </w:rPr>
        <w:t>100.00%</w:t>
      </w:r>
      <w:r>
        <w:rPr/>
        <w:t>的股权进行转让，股权转</w:t>
      </w:r>
    </w:p>
    <w:p>
      <w:pPr>
        <w:pStyle w:val="BodyText"/>
        <w:spacing w:line="240" w:lineRule="auto" w:before="21"/>
        <w:ind w:left="679" w:right="0"/>
        <w:jc w:val="left"/>
      </w:pPr>
      <w:r>
        <w:rPr/>
        <w:t>让协议约定转让价款为</w:t>
      </w:r>
      <w:r>
        <w:rPr>
          <w:spacing w:val="-55"/>
        </w:rPr>
        <w:t> </w:t>
      </w:r>
      <w:r>
        <w:rPr>
          <w:rFonts w:ascii="Times New Roman" w:hAnsi="Times New Roman" w:cs="Times New Roman" w:eastAsia="Times New Roman" w:hint="default"/>
        </w:rPr>
        <w:t>71,800</w:t>
      </w:r>
      <w:r>
        <w:rPr>
          <w:rFonts w:ascii="Times New Roman" w:hAnsi="Times New Roman" w:cs="Times New Roman" w:eastAsia="Times New Roman" w:hint="default"/>
          <w:spacing w:val="-12"/>
        </w:rPr>
        <w:t> </w:t>
      </w:r>
      <w:r>
        <w:rPr/>
        <w:t>万元，由于股权转让尾款</w:t>
      </w:r>
      <w:r>
        <w:rPr>
          <w:spacing w:val="-55"/>
        </w:rPr>
        <w:t> </w:t>
      </w:r>
      <w:r>
        <w:rPr>
          <w:rFonts w:ascii="Times New Roman" w:hAnsi="Times New Roman" w:cs="Times New Roman" w:eastAsia="Times New Roman" w:hint="default"/>
        </w:rPr>
        <w:t>6,400</w:t>
      </w:r>
      <w:r>
        <w:rPr>
          <w:rFonts w:ascii="Times New Roman" w:hAnsi="Times New Roman" w:cs="Times New Roman" w:eastAsia="Times New Roman" w:hint="default"/>
          <w:spacing w:val="-3"/>
        </w:rPr>
        <w:t> </w:t>
      </w:r>
      <w:r>
        <w:rPr/>
        <w:t>万元收回存在不确定因素，故报告期内确认转让价款为</w:t>
      </w:r>
      <w:r>
        <w:rPr>
          <w:spacing w:val="-55"/>
        </w:rPr>
        <w:t> </w:t>
      </w:r>
      <w:r>
        <w:rPr>
          <w:rFonts w:ascii="Times New Roman" w:hAnsi="Times New Roman" w:cs="Times New Roman" w:eastAsia="Times New Roman" w:hint="default"/>
        </w:rPr>
        <w:t>65,400</w:t>
      </w:r>
      <w:r>
        <w:rPr>
          <w:rFonts w:ascii="Times New Roman" w:hAnsi="Times New Roman" w:cs="Times New Roman" w:eastAsia="Times New Roman" w:hint="default"/>
          <w:spacing w:val="-2"/>
        </w:rPr>
        <w:t> </w:t>
      </w:r>
      <w:r>
        <w:rPr/>
        <w:t>万元。</w:t>
      </w:r>
    </w:p>
    <w:p>
      <w:pPr>
        <w:spacing w:after="0" w:line="240" w:lineRule="auto"/>
        <w:jc w:val="left"/>
        <w:sectPr>
          <w:pgSz w:w="16840" w:h="11910" w:orient="landscape"/>
          <w:pgMar w:header="867" w:footer="978" w:top="1060" w:bottom="1160" w:left="76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5251"/>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2"/>
        <w:rPr>
          <w:rFonts w:ascii="宋体" w:hAnsi="宋体" w:cs="宋体" w:eastAsia="宋体" w:hint="default"/>
          <w:b/>
          <w:bCs/>
          <w:sz w:val="22"/>
          <w:szCs w:val="22"/>
        </w:rPr>
      </w:pPr>
    </w:p>
    <w:p>
      <w:pPr>
        <w:pStyle w:val="Heading5"/>
        <w:spacing w:line="254" w:lineRule="auto" w:before="0"/>
        <w:ind w:right="5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公司报告期未发生企业合并情况。</w:t>
      </w:r>
    </w:p>
    <w:p>
      <w:pPr>
        <w:spacing w:line="240" w:lineRule="auto" w:before="10"/>
        <w:rPr>
          <w:rFonts w:ascii="宋体" w:hAnsi="宋体" w:cs="宋体" w:eastAsia="宋体" w:hint="default"/>
          <w:sz w:val="21"/>
          <w:szCs w:val="21"/>
        </w:rPr>
      </w:pPr>
    </w:p>
    <w:p>
      <w:pPr>
        <w:pStyle w:val="Heading4"/>
        <w:spacing w:line="240" w:lineRule="auto" w:before="0"/>
        <w:ind w:left="153" w:right="5251"/>
        <w:jc w:val="left"/>
        <w:rPr>
          <w:b w:val="0"/>
          <w:bCs w:val="0"/>
        </w:rPr>
      </w:pPr>
      <w:r>
        <w:rPr/>
        <w:t>五、公司股权激励的实施情况及其影响</w:t>
      </w:r>
      <w:r>
        <w:rPr>
          <w:b w:val="0"/>
          <w:bCs w:val="0"/>
        </w:rPr>
      </w:r>
    </w:p>
    <w:p>
      <w:pPr>
        <w:spacing w:line="240" w:lineRule="auto" w:before="10"/>
        <w:rPr>
          <w:rFonts w:ascii="宋体" w:hAnsi="宋体" w:cs="宋体" w:eastAsia="宋体" w:hint="default"/>
          <w:b/>
          <w:bCs/>
          <w:sz w:val="22"/>
          <w:szCs w:val="22"/>
        </w:rPr>
      </w:pPr>
    </w:p>
    <w:p>
      <w:pPr>
        <w:pStyle w:val="Heading5"/>
        <w:spacing w:line="254" w:lineRule="auto" w:before="0"/>
        <w:ind w:right="5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公司报告期无股权激励计划及其实施情况。</w:t>
      </w:r>
    </w:p>
    <w:p>
      <w:pPr>
        <w:spacing w:line="240" w:lineRule="auto" w:before="9"/>
        <w:rPr>
          <w:rFonts w:ascii="宋体" w:hAnsi="宋体" w:cs="宋体" w:eastAsia="宋体" w:hint="default"/>
          <w:sz w:val="21"/>
          <w:szCs w:val="21"/>
        </w:rPr>
      </w:pPr>
    </w:p>
    <w:p>
      <w:pPr>
        <w:pStyle w:val="Heading4"/>
        <w:spacing w:line="240" w:lineRule="auto" w:before="0"/>
        <w:ind w:left="153" w:right="5251"/>
        <w:jc w:val="left"/>
        <w:rPr>
          <w:b w:val="0"/>
          <w:bCs w:val="0"/>
        </w:rPr>
      </w:pPr>
      <w:r>
        <w:rPr/>
        <w:t>六、重大关联交易</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left="153" w:right="525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1"/>
          <w:szCs w:val="21"/>
        </w:rPr>
      </w:pPr>
    </w:p>
    <w:p>
      <w:pPr>
        <w:pStyle w:val="Heading5"/>
        <w:spacing w:line="254" w:lineRule="auto" w:before="0"/>
        <w:ind w:right="47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公司报告期未发生与日常经营相关的关联交易。</w:t>
      </w:r>
    </w:p>
    <w:p>
      <w:pPr>
        <w:spacing w:line="240" w:lineRule="auto" w:before="10"/>
        <w:rPr>
          <w:rFonts w:ascii="宋体" w:hAnsi="宋体" w:cs="宋体" w:eastAsia="宋体" w:hint="default"/>
          <w:sz w:val="21"/>
          <w:szCs w:val="21"/>
        </w:rPr>
      </w:pPr>
    </w:p>
    <w:p>
      <w:pPr>
        <w:pStyle w:val="Heading4"/>
        <w:spacing w:line="240" w:lineRule="auto" w:before="0"/>
        <w:ind w:left="153" w:right="5251"/>
        <w:jc w:val="left"/>
        <w:rPr>
          <w:b w:val="0"/>
          <w:bCs w:val="0"/>
        </w:rPr>
      </w:pPr>
      <w:r>
        <w:rPr>
          <w:rFonts w:ascii="Times New Roman" w:hAnsi="Times New Roman" w:cs="Times New Roman" w:eastAsia="Times New Roman" w:hint="default"/>
        </w:rPr>
        <w:t>2</w:t>
      </w:r>
      <w:r>
        <w:rPr/>
        <w:t>、共同对外投资的关联交易</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right="5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064"/>
        <w:gridCol w:w="1204"/>
        <w:gridCol w:w="1066"/>
        <w:gridCol w:w="1067"/>
        <w:gridCol w:w="1066"/>
        <w:gridCol w:w="1064"/>
        <w:gridCol w:w="1062"/>
        <w:gridCol w:w="1062"/>
        <w:gridCol w:w="1057"/>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357" w:hRule="exact"/>
        </w:trPr>
        <w:tc>
          <w:tcPr>
            <w:tcW w:w="106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经各方协商</w:t>
            </w:r>
          </w:p>
        </w:tc>
        <w:tc>
          <w:tcPr>
            <w:tcW w:w="1067"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国广控股、本</w:t>
            </w:r>
            <w:r>
              <w:rPr>
                <w:rFonts w:ascii="宋体" w:hAnsi="宋体" w:cs="宋体" w:eastAsia="宋体" w:hint="default"/>
                <w:sz w:val="18"/>
                <w:szCs w:val="18"/>
              </w:rPr>
              <w:t> </w:t>
            </w:r>
            <w:r>
              <w:rPr>
                <w:rFonts w:ascii="宋体" w:hAnsi="宋体" w:cs="宋体" w:eastAsia="宋体" w:hint="default"/>
                <w:spacing w:val="-12"/>
                <w:sz w:val="18"/>
                <w:szCs w:val="18"/>
              </w:rPr>
              <w:t>公司、合一信</w:t>
            </w:r>
            <w:r>
              <w:rPr>
                <w:rFonts w:ascii="宋体" w:hAnsi="宋体" w:cs="宋体" w:eastAsia="宋体" w:hint="default"/>
                <w:sz w:val="18"/>
                <w:szCs w:val="18"/>
              </w:rPr>
              <w:t> 息技术（北 </w:t>
            </w:r>
            <w:r>
              <w:rPr>
                <w:rFonts w:ascii="宋体" w:hAnsi="宋体" w:cs="宋体" w:eastAsia="宋体" w:hint="default"/>
                <w:spacing w:val="-12"/>
                <w:sz w:val="18"/>
                <w:szCs w:val="18"/>
              </w:rPr>
              <w:t>京）有限公司</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国广控股为本 公司的实际控 制人</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pacing w:val="-12"/>
                <w:sz w:val="18"/>
                <w:szCs w:val="18"/>
              </w:rPr>
              <w:t>一致，以每单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 </w:t>
            </w:r>
            <w:r>
              <w:rPr>
                <w:rFonts w:ascii="宋体" w:hAnsi="宋体" w:cs="宋体" w:eastAsia="宋体" w:hint="default"/>
                <w:spacing w:val="-12"/>
                <w:sz w:val="18"/>
                <w:szCs w:val="18"/>
              </w:rPr>
              <w:t>格，共同以现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金方式同比 例对国广东</w:t>
            </w:r>
          </w:p>
        </w:tc>
        <w:tc>
          <w:tcPr>
            <w:tcW w:w="10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互联网电视 业务</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13,904.12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10,551.51</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-5,006.03</w:t>
            </w: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方增资</w:t>
            </w:r>
          </w:p>
        </w:tc>
        <w:tc>
          <w:tcPr>
            <w:tcW w:w="1067"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时报传媒、深</w:t>
            </w: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静水投资是证</w:t>
            </w:r>
          </w:p>
        </w:tc>
        <w:tc>
          <w:tcPr>
            <w:tcW w:w="1066" w:type="dxa"/>
            <w:tcBorders>
              <w:top w:val="single" w:sz="4" w:space="0" w:color="000000"/>
              <w:left w:val="single" w:sz="4" w:space="0" w:color="000000"/>
              <w:bottom w:val="nil" w:sz="6" w:space="0" w:color="auto"/>
              <w:right w:val="single" w:sz="4" w:space="0" w:color="000000"/>
            </w:tcBorders>
          </w:tcPr>
          <w:p>
            <w:pPr/>
          </w:p>
        </w:tc>
        <w:tc>
          <w:tcPr>
            <w:tcW w:w="1067"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
              <w:jc w:val="both"/>
              <w:rPr>
                <w:rFonts w:ascii="宋体" w:hAnsi="宋体" w:cs="宋体" w:eastAsia="宋体" w:hint="default"/>
                <w:sz w:val="18"/>
                <w:szCs w:val="18"/>
              </w:rPr>
            </w:pPr>
            <w:r>
              <w:rPr>
                <w:rFonts w:ascii="宋体" w:hAnsi="宋体" w:cs="宋体" w:eastAsia="宋体" w:hint="default"/>
                <w:sz w:val="18"/>
                <w:szCs w:val="18"/>
              </w:rPr>
              <w:t>圳</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pacing w:val="17"/>
                <w:sz w:val="18"/>
                <w:szCs w:val="18"/>
              </w:rPr>
              <w:t>静水投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pacing w:val="17"/>
                <w:sz w:val="18"/>
                <w:szCs w:val="18"/>
              </w:rPr>
              <w:t>限公司</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316" w:lineRule="auto" w:before="19"/>
              <w:ind w:left="22" w:right="-3"/>
              <w:jc w:val="both"/>
              <w:rPr>
                <w:rFonts w:ascii="宋体" w:hAnsi="宋体" w:cs="宋体" w:eastAsia="宋体" w:hint="default"/>
                <w:sz w:val="18"/>
                <w:szCs w:val="18"/>
              </w:rPr>
            </w:pPr>
            <w:r>
              <w:rPr>
                <w:rFonts w:ascii="宋体" w:hAnsi="宋体" w:cs="宋体" w:eastAsia="宋体" w:hint="default"/>
                <w:spacing w:val="-12"/>
                <w:sz w:val="18"/>
                <w:szCs w:val="18"/>
              </w:rPr>
              <w:t>（原名“深圳</w:t>
            </w:r>
            <w:r>
              <w:rPr>
                <w:rFonts w:ascii="宋体" w:hAnsi="宋体" w:cs="宋体" w:eastAsia="宋体" w:hint="default"/>
                <w:sz w:val="18"/>
                <w:szCs w:val="18"/>
              </w:rPr>
              <w:t> 新</w:t>
            </w:r>
            <w:r>
              <w:rPr>
                <w:rFonts w:ascii="宋体" w:hAnsi="宋体" w:cs="宋体" w:eastAsia="宋体" w:hint="default"/>
                <w:spacing w:val="-63"/>
                <w:sz w:val="18"/>
                <w:szCs w:val="18"/>
              </w:rPr>
              <w:t> </w:t>
            </w:r>
            <w:r>
              <w:rPr>
                <w:rFonts w:ascii="宋体" w:hAnsi="宋体" w:cs="宋体" w:eastAsia="宋体" w:hint="default"/>
                <w:sz w:val="18"/>
                <w:szCs w:val="18"/>
              </w:rPr>
              <w:t>华</w:t>
            </w:r>
            <w:r>
              <w:rPr>
                <w:rFonts w:ascii="宋体" w:hAnsi="宋体" w:cs="宋体" w:eastAsia="宋体" w:hint="default"/>
                <w:spacing w:val="-63"/>
                <w:sz w:val="18"/>
                <w:szCs w:val="18"/>
              </w:rPr>
              <w:t> </w:t>
            </w:r>
            <w:r>
              <w:rPr>
                <w:rFonts w:ascii="宋体" w:hAnsi="宋体" w:cs="宋体" w:eastAsia="宋体" w:hint="default"/>
                <w:spacing w:val="17"/>
                <w:sz w:val="18"/>
                <w:szCs w:val="18"/>
              </w:rPr>
              <w:t>闻财经</w:t>
            </w:r>
            <w:r>
              <w:rPr>
                <w:rFonts w:ascii="宋体" w:hAnsi="宋体" w:cs="宋体" w:eastAsia="宋体" w:hint="default"/>
                <w:spacing w:val="-64"/>
                <w:sz w:val="18"/>
                <w:szCs w:val="18"/>
              </w:rPr>
              <w:t> </w:t>
            </w:r>
            <w:r>
              <w:rPr>
                <w:rFonts w:ascii="宋体" w:hAnsi="宋体" w:cs="宋体" w:eastAsia="宋体" w:hint="default"/>
                <w:sz w:val="18"/>
                <w:szCs w:val="18"/>
              </w:rPr>
              <w:t>传</w:t>
            </w:r>
            <w:r>
              <w:rPr>
                <w:rFonts w:ascii="宋体" w:hAnsi="宋体" w:cs="宋体" w:eastAsia="宋体" w:hint="default"/>
                <w:spacing w:val="-63"/>
                <w:sz w:val="18"/>
                <w:szCs w:val="18"/>
              </w:rPr>
              <w:t> </w:t>
            </w:r>
            <w:r>
              <w:rPr>
                <w:rFonts w:ascii="宋体" w:hAnsi="宋体" w:cs="宋体" w:eastAsia="宋体" w:hint="default"/>
                <w:sz w:val="18"/>
                <w:szCs w:val="18"/>
              </w:rPr>
              <w:t>媒</w:t>
            </w:r>
            <w:r>
              <w:rPr>
                <w:rFonts w:ascii="宋体" w:hAnsi="宋体" w:cs="宋体" w:eastAsia="宋体" w:hint="default"/>
                <w:spacing w:val="-63"/>
                <w:sz w:val="18"/>
                <w:szCs w:val="18"/>
              </w:rPr>
              <w:t> </w:t>
            </w:r>
            <w:r>
              <w:rPr>
                <w:rFonts w:ascii="宋体" w:hAnsi="宋体" w:cs="宋体" w:eastAsia="宋体" w:hint="default"/>
                <w:spacing w:val="17"/>
                <w:sz w:val="18"/>
                <w:szCs w:val="18"/>
              </w:rPr>
              <w:t>有限公</w:t>
            </w:r>
            <w:r>
              <w:rPr>
                <w:rFonts w:ascii="宋体" w:hAnsi="宋体" w:cs="宋体" w:eastAsia="宋体" w:hint="default"/>
                <w:spacing w:val="-64"/>
                <w:sz w:val="18"/>
                <w:szCs w:val="18"/>
              </w:rPr>
              <w:t> </w:t>
            </w:r>
            <w:r>
              <w:rPr>
                <w:rFonts w:ascii="宋体" w:hAnsi="宋体" w:cs="宋体" w:eastAsia="宋体" w:hint="default"/>
                <w:spacing w:val="-12"/>
                <w:sz w:val="18"/>
                <w:szCs w:val="18"/>
              </w:rPr>
              <w:t>司”，以下简</w:t>
            </w:r>
            <w:r>
              <w:rPr>
                <w:rFonts w:ascii="宋体" w:hAnsi="宋体" w:cs="宋体" w:eastAsia="宋体" w:hint="default"/>
                <w:spacing w:val="3"/>
                <w:sz w:val="18"/>
                <w:szCs w:val="18"/>
              </w:rPr>
              <w:t> </w:t>
            </w:r>
            <w:r>
              <w:rPr>
                <w:rFonts w:ascii="宋体" w:hAnsi="宋体" w:cs="宋体" w:eastAsia="宋体" w:hint="default"/>
                <w:sz w:val="18"/>
                <w:szCs w:val="18"/>
              </w:rPr>
              <w:t>称</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静水投</w:t>
            </w:r>
            <w:r>
              <w:rPr>
                <w:rFonts w:ascii="宋体" w:hAnsi="宋体" w:cs="宋体" w:eastAsia="宋体" w:hint="default"/>
                <w:spacing w:val="-64"/>
                <w:sz w:val="18"/>
                <w:szCs w:val="18"/>
              </w:rPr>
              <w:t> </w:t>
            </w:r>
            <w:r>
              <w:rPr>
                <w:rFonts w:ascii="宋体" w:hAnsi="宋体" w:cs="宋体" w:eastAsia="宋体" w:hint="default"/>
                <w:sz w:val="18"/>
                <w:szCs w:val="18"/>
              </w:rPr>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券时报社的全 资子公司，公 司董事长温子 健为证券时报 社的社长兼总 编辑，并担任 静水投资的董</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以每单位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2"/>
                <w:sz w:val="18"/>
                <w:szCs w:val="18"/>
              </w:rPr>
              <w:t>元的价格，共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同以现金方 式按比例对 点石创投出 资</w:t>
            </w:r>
          </w:p>
        </w:tc>
        <w:tc>
          <w:tcPr>
            <w:tcW w:w="10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点石创投</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投资管理及 相关咨询</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4,899.70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4,867.67</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-282.33</w:t>
            </w: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事长</w:t>
            </w:r>
          </w:p>
        </w:tc>
        <w:tc>
          <w:tcPr>
            <w:tcW w:w="1066" w:type="dxa"/>
            <w:tcBorders>
              <w:top w:val="nil" w:sz="6" w:space="0" w:color="auto"/>
              <w:left w:val="single" w:sz="4" w:space="0" w:color="000000"/>
              <w:bottom w:val="single" w:sz="4" w:space="0" w:color="000000"/>
              <w:right w:val="single" w:sz="4" w:space="0" w:color="000000"/>
            </w:tcBorders>
          </w:tcPr>
          <w:p>
            <w:pPr/>
          </w:p>
        </w:tc>
        <w:tc>
          <w:tcPr>
            <w:tcW w:w="1067"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1910" w:h="16840"/>
          <w:pgMar w:header="877" w:footer="982" w:top="1100" w:bottom="1180" w:left="980" w:right="940"/>
          <w:pgNumType w:start="48"/>
        </w:sectPr>
      </w:pPr>
    </w:p>
    <w:p>
      <w:pPr>
        <w:spacing w:line="240" w:lineRule="auto" w:before="9"/>
        <w:rPr>
          <w:rFonts w:ascii="宋体" w:hAnsi="宋体" w:cs="宋体" w:eastAsia="宋体" w:hint="default"/>
          <w:sz w:val="19"/>
          <w:szCs w:val="19"/>
        </w:rPr>
      </w:pPr>
    </w:p>
    <w:p>
      <w:pPr>
        <w:pStyle w:val="Heading4"/>
        <w:spacing w:line="240" w:lineRule="auto"/>
        <w:ind w:right="5251"/>
        <w:jc w:val="left"/>
        <w:rPr>
          <w:b w:val="0"/>
          <w:bCs w:val="0"/>
        </w:rPr>
      </w:pPr>
      <w:r>
        <w:rPr>
          <w:rFonts w:ascii="Times New Roman" w:hAnsi="Times New Roman" w:cs="Times New Roman" w:eastAsia="Times New Roman" w:hint="default"/>
        </w:rPr>
        <w:t>3</w:t>
      </w:r>
      <w:r>
        <w:rPr/>
        <w:t>、关联债权债务往来</w:t>
      </w:r>
      <w:r>
        <w:rPr>
          <w:b w:val="0"/>
          <w:bCs w:val="0"/>
        </w:rPr>
      </w:r>
    </w:p>
    <w:p>
      <w:pPr>
        <w:spacing w:line="240" w:lineRule="auto" w:before="5"/>
        <w:rPr>
          <w:rFonts w:ascii="宋体" w:hAnsi="宋体" w:cs="宋体" w:eastAsia="宋体" w:hint="default"/>
          <w:b/>
          <w:bCs/>
          <w:sz w:val="21"/>
          <w:szCs w:val="21"/>
        </w:rPr>
      </w:pPr>
    </w:p>
    <w:p>
      <w:pPr>
        <w:pStyle w:val="Heading5"/>
        <w:spacing w:line="254" w:lineRule="auto" w:before="0"/>
        <w:ind w:left="154" w:right="5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是否存在非经营性关联债权债务往来</w:t>
      </w:r>
    </w:p>
    <w:p>
      <w:pPr>
        <w:pStyle w:val="Heading5"/>
        <w:spacing w:line="240" w:lineRule="auto" w:before="24"/>
        <w:ind w:right="525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46"/>
        <w:gridCol w:w="1092"/>
        <w:gridCol w:w="1120"/>
        <w:gridCol w:w="1118"/>
      </w:tblGrid>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1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1" w:right="20" w:hanging="339"/>
              <w:jc w:val="left"/>
              <w:rPr>
                <w:rFonts w:ascii="宋体" w:hAnsi="宋体" w:cs="宋体" w:eastAsia="宋体" w:hint="default"/>
                <w:sz w:val="18"/>
                <w:szCs w:val="18"/>
              </w:rPr>
            </w:pPr>
            <w:r>
              <w:rPr>
                <w:rFonts w:ascii="宋体" w:hAnsi="宋体" w:cs="宋体" w:eastAsia="宋体" w:hint="default"/>
                <w:spacing w:val="-8"/>
                <w:sz w:val="18"/>
                <w:szCs w:val="18"/>
              </w:rPr>
              <w:t>期初余额（万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0.58</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陕西《大众文摘》杂 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陕西华商印务有限责 任公司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249.20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249.20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江阴市振江钢结构有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4" w:right="102"/>
              <w:jc w:val="left"/>
              <w:rPr>
                <w:rFonts w:ascii="宋体" w:hAnsi="宋体" w:cs="宋体" w:eastAsia="宋体" w:hint="default"/>
                <w:sz w:val="18"/>
                <w:szCs w:val="18"/>
              </w:rPr>
            </w:pPr>
            <w:r>
              <w:rPr>
                <w:rFonts w:ascii="宋体" w:hAnsi="宋体" w:cs="宋体" w:eastAsia="宋体" w:hint="default"/>
                <w:sz w:val="18"/>
                <w:szCs w:val="18"/>
              </w:rPr>
              <w:t>控股子公司 之联营公司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4" w:right="102" w:hanging="270"/>
              <w:jc w:val="left"/>
              <w:rPr>
                <w:rFonts w:ascii="宋体" w:hAnsi="宋体" w:cs="宋体" w:eastAsia="宋体" w:hint="default"/>
                <w:sz w:val="18"/>
                <w:szCs w:val="18"/>
              </w:rPr>
            </w:pPr>
            <w:r>
              <w:rPr>
                <w:rFonts w:ascii="宋体" w:hAnsi="宋体" w:cs="宋体" w:eastAsia="宋体" w:hint="default"/>
                <w:sz w:val="18"/>
                <w:szCs w:val="18"/>
              </w:rPr>
              <w:t>可转股债权 投资</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1,576.44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639.73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4" w:right="102"/>
              <w:jc w:val="left"/>
              <w:rPr>
                <w:rFonts w:ascii="宋体" w:hAnsi="宋体" w:cs="宋体" w:eastAsia="宋体" w:hint="default"/>
                <w:sz w:val="18"/>
                <w:szCs w:val="18"/>
              </w:rPr>
            </w:pPr>
            <w:r>
              <w:rPr>
                <w:rFonts w:ascii="宋体" w:hAnsi="宋体" w:cs="宋体" w:eastAsia="宋体" w:hint="default"/>
                <w:sz w:val="18"/>
                <w:szCs w:val="18"/>
              </w:rPr>
              <w:t>控股子公司 之联营公司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25,684.40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2,083.29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26,209.50</w:t>
            </w:r>
          </w:p>
        </w:tc>
      </w:tr>
    </w:tbl>
    <w:p>
      <w:pPr>
        <w:spacing w:line="240" w:lineRule="auto" w:before="2"/>
        <w:rPr>
          <w:rFonts w:ascii="宋体" w:hAnsi="宋体" w:cs="宋体" w:eastAsia="宋体" w:hint="default"/>
          <w:sz w:val="18"/>
          <w:szCs w:val="18"/>
        </w:rPr>
      </w:pPr>
    </w:p>
    <w:p>
      <w:pPr>
        <w:pStyle w:val="Heading4"/>
        <w:spacing w:line="240" w:lineRule="auto"/>
        <w:ind w:right="5251"/>
        <w:jc w:val="left"/>
        <w:rPr>
          <w:b w:val="0"/>
          <w:bCs w:val="0"/>
        </w:rPr>
      </w:pPr>
      <w:r>
        <w:rPr>
          <w:rFonts w:ascii="Times New Roman" w:hAnsi="Times New Roman" w:cs="Times New Roman" w:eastAsia="Times New Roman" w:hint="default"/>
        </w:rPr>
        <w:t>4</w:t>
      </w:r>
      <w:r>
        <w:rPr/>
        <w:t>、其他关联交易</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right="5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5"/>
        <w:spacing w:line="304" w:lineRule="auto" w:before="98"/>
        <w:ind w:left="634" w:right="178"/>
        <w:jc w:val="left"/>
      </w:pPr>
      <w:r>
        <w:rPr/>
        <w:t>（1）公司购买国视上海100%股权的关联交易 </w:t>
      </w:r>
      <w:r>
        <w:rPr>
          <w:spacing w:val="-2"/>
        </w:rPr>
        <w:t>2014年4月29日，经公司第六届董事会2014年第四次临时会议审议批准，公司以现金方式</w:t>
      </w:r>
    </w:p>
    <w:p>
      <w:pPr>
        <w:pStyle w:val="Heading5"/>
        <w:spacing w:line="304" w:lineRule="auto"/>
        <w:ind w:left="154" w:right="90"/>
        <w:jc w:val="left"/>
      </w:pPr>
      <w:r>
        <w:rPr/>
        <w:t>购买国广控股所属公司国视北京持有的国视上海100%股权，股权转让价格为28,000.00万元。 国广控股为公司实际控制人，本次交易构成关联交易。本次交易价格以具有执行证券、期货 相关业务资格的中和资产评估有限公司的评估结果为依据，综合考虑国视上海的资产状况、 </w:t>
      </w:r>
      <w:r>
        <w:rPr>
          <w:spacing w:val="-2"/>
        </w:rPr>
        <w:t>盈利能力、行业特点和发展前景，经交易双方充分协商确定。国视上海于评估基准日2014年3</w:t>
      </w:r>
      <w:r>
        <w:rPr>
          <w:spacing w:val="-118"/>
        </w:rPr>
        <w:t> </w:t>
      </w:r>
      <w:r>
        <w:rPr>
          <w:spacing w:val="-118"/>
        </w:rPr>
      </w:r>
      <w:r>
        <w:rPr/>
        <w:t>月31日的账面净资产3,313.53万元，评估后的股东全部权益资本价值（净资产价值）为 27,838.48万元，评估增值24,524.95万元，增值率为740.15%。本次交易已经2014年5月16日 召开的2014年第一次临时股东大会审议批准，并于2014年8月14日完成工商变更登记手续。</w:t>
      </w:r>
    </w:p>
    <w:p>
      <w:pPr>
        <w:pStyle w:val="Heading5"/>
        <w:spacing w:line="304" w:lineRule="auto" w:before="22"/>
        <w:ind w:left="634" w:right="174"/>
        <w:jc w:val="left"/>
      </w:pPr>
      <w:r>
        <w:rPr/>
        <w:t>（2）时报传媒与证券时报社之间的关联交易 </w:t>
      </w:r>
      <w:r>
        <w:rPr>
          <w:spacing w:val="-2"/>
        </w:rPr>
        <w:t>时报传媒于2006年7月31日与证券时报社签订了《经营业务授权协议》，时报传媒获得有</w:t>
      </w:r>
    </w:p>
    <w:p>
      <w:pPr>
        <w:pStyle w:val="Heading5"/>
        <w:spacing w:line="304" w:lineRule="auto"/>
        <w:ind w:left="154" w:right="184"/>
        <w:jc w:val="left"/>
      </w:pPr>
      <w:r>
        <w:rPr/>
        <w:t>关《证券时报》的商业广告、财经信息的咨询策划、设计制作与代理发布等相关业务的三十 </w:t>
      </w:r>
      <w:r>
        <w:rPr>
          <w:spacing w:val="-2"/>
        </w:rPr>
        <w:t>年独家经营权，自2006年8月1日起至2036年7月31日止，并于每月按《证券时报》经营业务收</w:t>
      </w:r>
      <w:r>
        <w:rPr>
          <w:spacing w:val="-110"/>
        </w:rPr>
        <w:t> </w:t>
      </w:r>
      <w:r>
        <w:rPr>
          <w:spacing w:val="-110"/>
        </w:rPr>
      </w:r>
      <w:r>
        <w:rPr/>
        <w:t>入的35.00%向证券时报社支付相关成本费用，且在任一年度支付费用累计不得低于人民币 </w:t>
      </w:r>
      <w:r>
        <w:rPr>
          <w:spacing w:val="-2"/>
        </w:rPr>
        <w:t>6,600.00万元。2014年，时报传媒实现经营业务收入49,232.78万元，向证券时报社支付相关</w:t>
      </w:r>
    </w:p>
    <w:p>
      <w:pPr>
        <w:spacing w:after="0" w:line="304" w:lineRule="auto"/>
        <w:jc w:val="left"/>
        <w:sectPr>
          <w:pgSz w:w="11910" w:h="16840"/>
          <w:pgMar w:header="877" w:footer="982" w:top="1100" w:bottom="1180" w:left="980" w:right="940"/>
        </w:sectPr>
      </w:pPr>
    </w:p>
    <w:p>
      <w:pPr>
        <w:spacing w:line="240" w:lineRule="auto" w:before="7"/>
        <w:rPr>
          <w:rFonts w:ascii="宋体" w:hAnsi="宋体" w:cs="宋体" w:eastAsia="宋体" w:hint="default"/>
          <w:sz w:val="25"/>
          <w:szCs w:val="25"/>
        </w:rPr>
      </w:pPr>
    </w:p>
    <w:p>
      <w:pPr>
        <w:pStyle w:val="Heading5"/>
        <w:spacing w:line="304" w:lineRule="auto" w:before="26"/>
        <w:ind w:left="634" w:right="174" w:hanging="480"/>
        <w:jc w:val="left"/>
      </w:pPr>
      <w:r>
        <w:rPr/>
        <w:t>成本费用16,863.36万元。 </w:t>
      </w:r>
      <w:r>
        <w:rPr>
          <w:spacing w:val="-2"/>
        </w:rPr>
        <w:t>2014年3月17日，时报传媒与证券时报社的全资子公司深圳华闻在线网络有限公司（以下</w:t>
      </w:r>
    </w:p>
    <w:p>
      <w:pPr>
        <w:pStyle w:val="Heading5"/>
        <w:spacing w:line="304" w:lineRule="auto" w:before="22"/>
        <w:ind w:left="154" w:right="228"/>
        <w:jc w:val="both"/>
      </w:pPr>
      <w:r>
        <w:rPr/>
        <w:t>简称“华闻在线”）签订《创业板公司网络服务协议》，时报传媒委托华闻在线在证券时报</w:t>
      </w:r>
      <w:hyperlink r:id="rId22">
        <w:r>
          <w:rPr/>
          <w:t> 网（www.stcn.com）编辑、制作、发布、维护有关创业板公司客户的相关业务，并支付华闻</w:t>
        </w:r>
      </w:hyperlink>
      <w:r>
        <w:rPr/>
        <w:t> 在线保障网站正常运行的网络发布费用，委托期限自2014年1月1日起至2014年12月31日止， 2014年支付总额不超过人民币1,200.00万元。证券时报网是中国证监会指定的创业板信息披 露的网站之一。2014年，时报传媒向华闻在线支付相关成本费用727.48万元。</w:t>
      </w:r>
    </w:p>
    <w:p>
      <w:pPr>
        <w:pStyle w:val="Heading5"/>
        <w:spacing w:line="240" w:lineRule="auto"/>
        <w:ind w:left="634" w:right="178"/>
        <w:jc w:val="left"/>
      </w:pPr>
      <w:r>
        <w:rPr/>
        <w:t>关联关系说明：公司董事长温子健先生兼任证券时报社社长兼总编辑。</w:t>
      </w:r>
    </w:p>
    <w:p>
      <w:pPr>
        <w:pStyle w:val="Heading5"/>
        <w:spacing w:line="304" w:lineRule="auto" w:before="86"/>
        <w:ind w:left="634" w:right="210"/>
        <w:jc w:val="left"/>
      </w:pPr>
      <w:r>
        <w:rPr/>
        <w:t>（3）国广光荣与国广控股之间的关联交易 国广光荣于2011年1月1日与国广控股签订《经营业务授权协议》，国广控股授予国广光</w:t>
      </w:r>
    </w:p>
    <w:p>
      <w:pPr>
        <w:pStyle w:val="Heading5"/>
        <w:spacing w:line="304" w:lineRule="auto"/>
        <w:ind w:left="0" w:right="191"/>
        <w:jc w:val="right"/>
      </w:pPr>
      <w:r>
        <w:rPr/>
        <w:t>荣拥有国际台国内广播频率广告经营业务的独家经营权，国广光荣按照每年度经营国际台国 </w:t>
      </w:r>
      <w:r>
        <w:rPr>
          <w:spacing w:val="-2"/>
        </w:rPr>
        <w:t>内广播频率广告经营业务收入的33%向国广控股支付广告费用，并确保每个完整年度支付的广</w:t>
      </w:r>
      <w:r>
        <w:rPr/>
        <w:t> 告费用不得低于4500万元，授权期限为30年（即自2011年1月1日起至2040年12月31日止）。 </w:t>
      </w:r>
      <w:r>
        <w:rPr>
          <w:spacing w:val="-2"/>
        </w:rPr>
        <w:t>2014年，国广光荣实现经营业务收入14,243.56万元，向国广控股支付广告费用4,254.58</w:t>
      </w:r>
    </w:p>
    <w:p>
      <w:pPr>
        <w:pStyle w:val="Heading5"/>
        <w:spacing w:line="240" w:lineRule="auto" w:before="22"/>
        <w:ind w:right="5251"/>
        <w:jc w:val="left"/>
      </w:pPr>
      <w:r>
        <w:rPr/>
        <w:t>万元(不含税)。</w:t>
      </w:r>
    </w:p>
    <w:p>
      <w:pPr>
        <w:pStyle w:val="Heading5"/>
        <w:spacing w:line="304" w:lineRule="auto" w:before="85"/>
        <w:ind w:left="633" w:right="211"/>
        <w:jc w:val="left"/>
      </w:pPr>
      <w:r>
        <w:rPr/>
        <w:t>（4）国视上海与国视北京之间的关联交易 国视上海于2014年1月1日与国视北京签订了《运营管理服务协议》，合作有效期自2014</w:t>
      </w:r>
    </w:p>
    <w:p>
      <w:pPr>
        <w:pStyle w:val="Heading5"/>
        <w:spacing w:line="304" w:lineRule="auto" w:before="22"/>
        <w:ind w:right="108"/>
        <w:jc w:val="left"/>
      </w:pPr>
      <w:r>
        <w:rPr/>
        <w:t>年1月1日至2043年12月31日。国视上海每年按约定比例向国视北京支付内容审核及管理等费 用。国视北京内容审核及管理等费用＝经国视北京审核后产生的全部信息费×2%，每年度， 若按照上述公式计算的国视北京内容审核及管理等费用当年累计低于960万元的, 差额部分 在年终一次性冲减国视上海当年12月份应收取的运营管理服务费用,直至国视上海当年12月 份运营管理服务费用为零为止。2014年1-2月由国视北京与运营商结算后再支付给国视上海， 2014年3-12月，由国视上海与运营商结算后再按预定约定比例支付给国视北京。国视上海依 据协议约定向国视北京收取运营管理服务费用。</w:t>
      </w:r>
    </w:p>
    <w:p>
      <w:pPr>
        <w:pStyle w:val="Heading5"/>
        <w:spacing w:line="290" w:lineRule="auto"/>
        <w:ind w:right="181" w:firstLine="480"/>
        <w:jc w:val="left"/>
      </w:pPr>
      <w:r>
        <w:rPr>
          <w:spacing w:val="-2"/>
        </w:rPr>
        <w:t>2014年，国视上海实现经营业务收入20,956.13万元，国视上海向国视北京支付内容审核</w:t>
      </w:r>
      <w:r>
        <w:rPr/>
        <w:t> 服务费用905.66万元，国视北京向国视上海支付运营管理服务费用4,948.25万元。 关联交易临时报告披露网站相关查询</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686"/>
        <w:gridCol w:w="2693"/>
        <w:gridCol w:w="3188"/>
      </w:tblGrid>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年第四次临时会议决议</w:t>
            </w:r>
            <w:r>
              <w:rPr>
                <w:rFonts w:ascii="宋体" w:hAnsi="宋体" w:cs="宋体" w:eastAsia="宋体" w:hint="default"/>
                <w:sz w:val="18"/>
                <w:szCs w:val="18"/>
              </w:rPr>
              <w:t> </w:t>
            </w:r>
            <w:r>
              <w:rPr>
                <w:rFonts w:ascii="宋体" w:hAnsi="宋体" w:cs="宋体" w:eastAsia="宋体" w:hint="default"/>
                <w:spacing w:val="-13"/>
                <w:sz w:val="18"/>
                <w:szCs w:val="18"/>
              </w:rPr>
              <w:t>公告》（公告编号：2014-037）、《购买资产暨关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联交易公告》（公告编号：2014-038）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7"/>
                <w:sz w:val="18"/>
                <w:szCs w:val="18"/>
              </w:rPr>
              <w:t> </w:t>
            </w:r>
            <w:r>
              <w:rPr>
                <w:rFonts w:ascii="宋体" w:hAnsi="宋体" w:cs="宋体" w:eastAsia="宋体" w:hint="default"/>
                <w:spacing w:val="-6"/>
                <w:sz w:val="18"/>
                <w:szCs w:val="18"/>
              </w:rPr>
              <w:t>年第一次临时股东大会决议公告》（公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告编号：2014-045）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715"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《关于购买资产暨关联交易进展情况的公告》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（公告编号：2014-070）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七、重大合同及其履行情况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153"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980"/>
        </w:sectPr>
      </w:pPr>
    </w:p>
    <w:p>
      <w:pPr>
        <w:pStyle w:val="Heading5"/>
        <w:spacing w:line="240" w:lineRule="auto" w:before="2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92" w:space="6747"/>
            <w:col w:w="12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2"/>
        <w:gridCol w:w="1212"/>
        <w:gridCol w:w="1176"/>
        <w:gridCol w:w="1093"/>
        <w:gridCol w:w="1016"/>
        <w:gridCol w:w="806"/>
        <w:gridCol w:w="786"/>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49"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128"/>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9,100</w:t>
            </w:r>
          </w:p>
        </w:tc>
      </w:tr>
      <w:tr>
        <w:trPr>
          <w:trHeight w:val="715"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9,100</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八、承诺事项履行情况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、公司或持股</w:t>
      </w:r>
      <w:r>
        <w:rPr>
          <w:spacing w:val="-63"/>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80" w:left="980" w:right="980"/>
        </w:sectPr>
      </w:pPr>
    </w:p>
    <w:p>
      <w:pPr>
        <w:spacing w:line="240" w:lineRule="auto" w:before="4"/>
        <w:rPr>
          <w:rFonts w:ascii="Times New Roman" w:hAnsi="Times New Roman" w:cs="Times New Roman" w:eastAsia="Times New Roman" w:hint="default"/>
          <w:sz w:val="3"/>
          <w:szCs w:val="3"/>
        </w:rPr>
      </w:pPr>
      <w:r>
        <w:rPr/>
        <w:pict>
          <v:shape style="position:absolute;margin-left:459.111389pt;margin-top:365.820007pt;width:105.6pt;height:74pt;mso-position-horizontal-relative:page;mso-position-vertical-relative:page;z-index:-121820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w:pict>
      </w:r>
      <w:r>
        <w:rPr/>
        <w:pict>
          <v:group style="position:absolute;margin-left:483.290985pt;margin-top:365.820007pt;width:81.45pt;height:74pt;mso-position-horizontal-relative:page;mso-position-vertical-relative:page;z-index:-1218184" coordorigin="9666,7316" coordsize="1629,1480">
            <v:group style="position:absolute;left:9666;top:7316;width:1629;height:1480" coordorigin="9666,7316" coordsize="1629,1480">
              <v:shape style="position:absolute;left:9666;top:7316;width:1629;height:1480" coordorigin="9666,7316" coordsize="1629,1480" path="m9666,7316l9666,8796,11294,8796,11294,7316,9666,7316xe" filled="true" fillcolor="#ffffff" stroked="false">
                <v:path arrowok="t"/>
                <v:fill type="solid"/>
              </v:shape>
            </v:group>
            <v:group style="position:absolute;left:9689;top:7876;width:1583;height:360" coordorigin="9689,7876" coordsize="1583,360">
              <v:shape style="position:absolute;left:9689;top:7876;width:1583;height:360" coordorigin="9689,7876" coordsize="1583,360" path="m9689,7876l9689,8236,11271,8236,11271,7876,9689,787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2410"/>
        <w:gridCol w:w="4819"/>
        <w:gridCol w:w="1638"/>
        <w:gridCol w:w="1622"/>
        <w:gridCol w:w="3120"/>
      </w:tblGrid>
      <w:tr>
        <w:trPr>
          <w:trHeight w:val="416" w:hRule="exact"/>
        </w:trPr>
        <w:tc>
          <w:tcPr>
            <w:tcW w:w="1418"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41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819"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38"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2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12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410"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
        </w:tc>
      </w:tr>
      <w:tr>
        <w:trPr>
          <w:trHeight w:val="345"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w:t>
            </w:r>
          </w:p>
        </w:tc>
        <w:tc>
          <w:tcPr>
            <w:tcW w:w="2410" w:type="dxa"/>
            <w:vMerge w:val="restart"/>
            <w:tcBorders>
              <w:top w:val="single" w:sz="4" w:space="0" w:color="000000"/>
              <w:left w:val="single" w:sz="4" w:space="0" w:color="000000"/>
              <w:right w:val="single" w:sz="4" w:space="0" w:color="000000"/>
            </w:tcBorders>
          </w:tcPr>
          <w:p>
            <w:pPr/>
          </w:p>
        </w:tc>
        <w:tc>
          <w:tcPr>
            <w:tcW w:w="4819" w:type="dxa"/>
            <w:vMerge w:val="restart"/>
            <w:tcBorders>
              <w:top w:val="single" w:sz="4" w:space="0" w:color="000000"/>
              <w:left w:val="single" w:sz="4" w:space="0" w:color="000000"/>
              <w:right w:val="single" w:sz="4" w:space="0" w:color="000000"/>
            </w:tcBorders>
          </w:tcPr>
          <w:p>
            <w:pPr/>
          </w:p>
        </w:tc>
        <w:tc>
          <w:tcPr>
            <w:tcW w:w="1638" w:type="dxa"/>
            <w:vMerge w:val="restart"/>
            <w:tcBorders>
              <w:top w:val="single" w:sz="4" w:space="0" w:color="000000"/>
              <w:left w:val="single" w:sz="4" w:space="0" w:color="000000"/>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
        </w:tc>
        <w:tc>
          <w:tcPr>
            <w:tcW w:w="3120" w:type="dxa"/>
            <w:vMerge w:val="restart"/>
            <w:tcBorders>
              <w:top w:val="single" w:sz="4" w:space="0" w:color="000000"/>
              <w:left w:val="single" w:sz="4" w:space="0" w:color="000000"/>
              <w:right w:val="single" w:sz="4" w:space="0" w:color="000000"/>
            </w:tcBorders>
          </w:tcPr>
          <w:p>
            <w:pPr/>
          </w:p>
        </w:tc>
      </w:tr>
      <w:tr>
        <w:trPr>
          <w:trHeight w:val="28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益变动报告书中</w:t>
            </w:r>
          </w:p>
        </w:tc>
        <w:tc>
          <w:tcPr>
            <w:tcW w:w="2410"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vMerge/>
            <w:tcBorders>
              <w:left w:val="single" w:sz="4" w:space="0" w:color="000000"/>
              <w:right w:val="single" w:sz="4" w:space="0" w:color="000000"/>
            </w:tcBorders>
          </w:tcPr>
          <w:p>
            <w:pPr/>
          </w:p>
        </w:tc>
      </w:tr>
      <w:tr>
        <w:trPr>
          <w:trHeight w:val="305"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2410" w:type="dxa"/>
            <w:vMerge/>
            <w:tcBorders>
              <w:left w:val="single" w:sz="4" w:space="0" w:color="000000"/>
              <w:bottom w:val="single" w:sz="4" w:space="0" w:color="000000"/>
              <w:right w:val="single" w:sz="4" w:space="0" w:color="000000"/>
            </w:tcBorders>
          </w:tcPr>
          <w:p>
            <w:pPr/>
          </w:p>
        </w:tc>
        <w:tc>
          <w:tcPr>
            <w:tcW w:w="4819" w:type="dxa"/>
            <w:vMerge/>
            <w:tcBorders>
              <w:left w:val="single" w:sz="4" w:space="0" w:color="000000"/>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120" w:type="dxa"/>
            <w:vMerge/>
            <w:tcBorders>
              <w:left w:val="single" w:sz="4" w:space="0" w:color="000000"/>
              <w:bottom w:val="single" w:sz="4" w:space="0" w:color="000000"/>
              <w:right w:val="single" w:sz="4" w:space="0" w:color="000000"/>
            </w:tcBorders>
          </w:tcPr>
          <w:p>
            <w:pPr/>
          </w:p>
        </w:tc>
      </w:tr>
      <w:tr>
        <w:trPr>
          <w:trHeight w:val="350"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华路新材、上海大黎、上海常</w:t>
            </w: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关于避免同业竞争和减少关联交易的承诺。详见公司于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8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喜、新疆锐盈、拉萨澄怀、拉</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日在巨潮网上披露的《关于重大资产重组相关方</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99"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萨观道、天津大振</w:t>
            </w: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承诺情况的公告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2013-095</w:t>
            </w:r>
            <w:r>
              <w:rPr>
                <w:rFonts w:ascii="宋体" w:hAnsi="宋体" w:cs="宋体" w:eastAsia="宋体" w:hint="default"/>
                <w:spacing w:val="-90"/>
                <w:sz w:val="18"/>
                <w:szCs w:val="18"/>
              </w:rPr>
              <w:t>）</w:t>
            </w:r>
            <w:r>
              <w:rPr>
                <w:rFonts w:ascii="宋体" w:hAnsi="宋体" w:cs="宋体" w:eastAsia="宋体" w:hint="default"/>
                <w:sz w:val="18"/>
                <w:szCs w:val="18"/>
              </w:rPr>
              <w:t>，下同。</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关于股份锁定的承诺：华路新材、新疆锐盈、拉萨澄怀、拉</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8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萨观道认购的所有股份（包括但不限于送红股、转增股本等</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1125"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85" w:lineRule="auto"/>
              <w:ind w:left="23" w:right="35"/>
              <w:jc w:val="left"/>
              <w:rPr>
                <w:rFonts w:ascii="宋体" w:hAnsi="宋体" w:cs="宋体" w:eastAsia="宋体" w:hint="default"/>
                <w:sz w:val="18"/>
                <w:szCs w:val="18"/>
              </w:rPr>
            </w:pPr>
            <w:r>
              <w:rPr>
                <w:rFonts w:ascii="宋体" w:hAnsi="宋体" w:cs="宋体" w:eastAsia="宋体" w:hint="default"/>
                <w:sz w:val="18"/>
                <w:szCs w:val="18"/>
              </w:rPr>
              <w:t>华路新材、新疆锐盈、拉萨澄 怀、拉萨观道</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68" w:lineRule="auto"/>
              <w:ind w:left="22" w:right="23"/>
              <w:jc w:val="both"/>
              <w:rPr>
                <w:rFonts w:ascii="宋体" w:hAnsi="宋体" w:cs="宋体" w:eastAsia="宋体" w:hint="default"/>
                <w:sz w:val="18"/>
                <w:szCs w:val="18"/>
              </w:rPr>
            </w:pPr>
            <w:r>
              <w:rPr>
                <w:rFonts w:ascii="宋体" w:hAnsi="宋体" w:cs="宋体" w:eastAsia="宋体" w:hint="default"/>
                <w:sz w:val="18"/>
                <w:szCs w:val="18"/>
              </w:rPr>
              <w:t>原因增持的股份）自本次股份上市之日（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个月内不进行转让，</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t> </w:t>
            </w:r>
            <w:r>
              <w:rPr>
                <w:rFonts w:ascii="宋体" w:hAnsi="宋体" w:cs="宋体" w:eastAsia="宋体" w:hint="default"/>
                <w:sz w:val="18"/>
                <w:szCs w:val="18"/>
              </w:rPr>
              <w:t>个月内转让股份数量不超过其本 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个月内转让股份数量不超过其本 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个月内转让股份数量不超过其本</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68" w:lineRule="auto"/>
              <w:ind w:left="22" w:right="5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正在履行之中，所认购股份总数的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w:t>
            </w:r>
          </w:p>
          <w:p>
            <w:pPr>
              <w:pStyle w:val="TableParagraph"/>
              <w:spacing w:line="268" w:lineRule="auto" w:before="31"/>
              <w:ind w:left="23" w:right="23"/>
              <w:jc w:val="left"/>
              <w:rPr>
                <w:rFonts w:ascii="宋体" w:hAnsi="宋体" w:cs="宋体" w:eastAsia="宋体" w:hint="default"/>
                <w:sz w:val="18"/>
                <w:szCs w:val="18"/>
              </w:rPr>
            </w:pPr>
            <w:r>
              <w:rPr>
                <w:rFonts w:ascii="宋体" w:hAnsi="宋体" w:cs="宋体" w:eastAsia="宋体" w:hint="default"/>
                <w:sz w:val="18"/>
                <w:szCs w:val="18"/>
              </w:rPr>
              <w:t>已解除限售并于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日上市流 通</w:t>
            </w:r>
          </w:p>
        </w:tc>
      </w:tr>
      <w:tr>
        <w:trPr>
          <w:trHeight w:val="28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个月内转让股份数量不超过其本</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关于股份锁定的承诺：上海大黎、上海常喜、天津大振认购</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583"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auto" w:before="39"/>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35"/>
              <w:jc w:val="left"/>
              <w:rPr>
                <w:rFonts w:ascii="宋体" w:hAnsi="宋体" w:cs="宋体" w:eastAsia="宋体" w:hint="default"/>
                <w:sz w:val="18"/>
                <w:szCs w:val="18"/>
              </w:rPr>
            </w:pPr>
            <w:r>
              <w:rPr>
                <w:rFonts w:ascii="宋体" w:hAnsi="宋体" w:cs="宋体" w:eastAsia="宋体" w:hint="default"/>
                <w:sz w:val="18"/>
                <w:szCs w:val="18"/>
              </w:rPr>
              <w:t>上海大黎、上海常喜、天津大 振</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0"/>
              <w:jc w:val="left"/>
              <w:rPr>
                <w:rFonts w:ascii="宋体" w:hAnsi="宋体" w:cs="宋体" w:eastAsia="宋体" w:hint="default"/>
                <w:sz w:val="18"/>
                <w:szCs w:val="18"/>
              </w:rPr>
            </w:pPr>
            <w:r>
              <w:rPr>
                <w:rFonts w:ascii="宋体" w:hAnsi="宋体" w:cs="宋体" w:eastAsia="宋体" w:hint="default"/>
                <w:sz w:val="18"/>
                <w:szCs w:val="18"/>
              </w:rPr>
              <w:t>的所有新股（包括但不限于送红股、转增股本等原因增持的 股份）自本次股份上市之日（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68" w:lineRule="auto"/>
              <w:ind w:left="22" w:right="5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4"/>
              <w:jc w:val="left"/>
              <w:rPr>
                <w:rFonts w:ascii="宋体" w:hAnsi="宋体" w:cs="宋体" w:eastAsia="宋体" w:hint="default"/>
                <w:sz w:val="18"/>
                <w:szCs w:val="18"/>
              </w:rPr>
            </w:pPr>
            <w:r>
              <w:rPr>
                <w:rFonts w:ascii="宋体" w:hAnsi="宋体" w:cs="宋体" w:eastAsia="宋体" w:hint="default"/>
                <w:sz w:val="18"/>
                <w:szCs w:val="18"/>
              </w:rPr>
              <w:t>已履行完毕，所认购股份已全部解除限 售并于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28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不进行转让。</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关于标的资产利润的承诺</w:t>
            </w:r>
            <w:r>
              <w:rPr>
                <w:rFonts w:ascii="宋体" w:hAnsi="宋体" w:cs="宋体" w:eastAsia="宋体" w:hint="default"/>
                <w:spacing w:val="-90"/>
                <w:sz w:val="18"/>
                <w:szCs w:val="18"/>
              </w:rPr>
              <w:t>：</w:t>
            </w:r>
            <w:r>
              <w:rPr>
                <w:rFonts w:ascii="宋体" w:hAnsi="宋体" w:cs="宋体" w:eastAsia="宋体" w:hint="default"/>
                <w:sz w:val="18"/>
                <w:szCs w:val="18"/>
              </w:rPr>
              <w:t>华商传媒</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38.75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2013</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84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华路新材、新疆锐盈</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78" w:lineRule="auto"/>
              <w:ind w:left="22" w:right="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年度实现的扣除非 经常性损益后归属于母公司所有者的净利润分别不低于 </w:t>
            </w:r>
            <w:r>
              <w:rPr>
                <w:rFonts w:ascii="Times New Roman" w:hAnsi="Times New Roman" w:cs="Times New Roman" w:eastAsia="Times New Roman" w:hint="default"/>
                <w:sz w:val="18"/>
                <w:szCs w:val="18"/>
              </w:rPr>
              <w:t>14,243.89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15,662.83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17,219.82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17,219.82</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68" w:lineRule="auto" w:before="129"/>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2013 </w:t>
            </w:r>
            <w:r>
              <w:rPr>
                <w:rFonts w:ascii="宋体" w:hAnsi="宋体" w:cs="宋体" w:eastAsia="宋体" w:hint="default"/>
                <w:spacing w:val="-7"/>
                <w:sz w:val="18"/>
                <w:szCs w:val="18"/>
              </w:rPr>
              <w:t>年度、</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年度的 业绩承诺已实现</w:t>
            </w:r>
          </w:p>
        </w:tc>
      </w:tr>
      <w:tr>
        <w:trPr>
          <w:trHeight w:val="30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17,219.82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关于标的资产利润的承诺：华商传媒八家附属公司少数股东</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846"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78"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权益于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2015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 </w:t>
            </w:r>
            <w:r>
              <w:rPr>
                <w:rFonts w:ascii="宋体" w:hAnsi="宋体" w:cs="宋体" w:eastAsia="宋体" w:hint="default"/>
                <w:sz w:val="18"/>
                <w:szCs w:val="18"/>
              </w:rPr>
              <w:t>年度和</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年度实现的扣除非经常性损益后归属于母公司所有者的净利 润总额应分别不低于</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10,536.88</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11,517.36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12,490.07</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71" w:lineRule="auto" w:before="134"/>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2013 </w:t>
            </w:r>
            <w:r>
              <w:rPr>
                <w:rFonts w:ascii="宋体" w:hAnsi="宋体" w:cs="宋体" w:eastAsia="宋体" w:hint="default"/>
                <w:spacing w:val="-7"/>
                <w:sz w:val="18"/>
                <w:szCs w:val="18"/>
              </w:rPr>
              <w:t>年度、</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年度的 业绩承诺已实现</w:t>
            </w:r>
          </w:p>
        </w:tc>
      </w:tr>
      <w:tr>
        <w:trPr>
          <w:trHeight w:val="300"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12,490.07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12,490.07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拉萨澄怀、拉萨观道</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关于标的资产利润的承诺：澄怀科技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r>
              <w:rPr>
                <w:rFonts w:ascii="宋体" w:hAnsi="宋体" w:cs="宋体" w:eastAsia="宋体" w:hint="default"/>
                <w:spacing w:val="-88"/>
                <w:sz w:val="18"/>
                <w:szCs w:val="18"/>
              </w:rPr>
              <w:t>。</w:t>
            </w:r>
            <w:r>
              <w:rPr>
                <w:rFonts w:ascii="宋体" w:hAnsi="宋体" w:cs="宋体" w:eastAsia="宋体" w:hint="default"/>
                <w:sz w:val="18"/>
                <w:szCs w:val="18"/>
              </w:rPr>
              <w:t>澄怀科技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年度的业</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6840" w:h="11910" w:orient="landscape"/>
          <w:pgMar w:header="867" w:footer="978" w:top="1060" w:bottom="1160" w:left="900" w:right="680"/>
          <w:pgNumType w:start="52"/>
        </w:sectPr>
      </w:pPr>
    </w:p>
    <w:p>
      <w:pPr>
        <w:spacing w:line="240" w:lineRule="auto" w:before="4"/>
        <w:rPr>
          <w:rFonts w:ascii="Times New Roman" w:hAnsi="Times New Roman" w:cs="Times New Roman" w:eastAsia="Times New Roman" w:hint="default"/>
          <w:sz w:val="3"/>
          <w:szCs w:val="3"/>
        </w:rPr>
      </w:pPr>
      <w:r>
        <w:rPr/>
        <w:pict>
          <v:shape style="position:absolute;margin-left:209.21051pt;margin-top:330.179993pt;width:273.6pt;height:124.05pt;mso-position-horizontal-relative:page;mso-position-vertical-relative:page;z-index:-1218160" type="#_x0000_t202" filled="false" stroked="false">
            <v:textbox inset="0,0,0,0">
              <w:txbxContent>
                <w:p>
                  <w:pPr>
                    <w:spacing w:line="240" w:lineRule="auto" w:before="10"/>
                    <w:rPr>
                      <w:rFonts w:ascii="Times New Roman" w:hAnsi="Times New Roman" w:cs="Times New Roman" w:eastAsia="Times New Roman" w:hint="default"/>
                      <w:sz w:val="22"/>
                      <w:szCs w:val="22"/>
                    </w:rPr>
                  </w:pPr>
                </w:p>
                <w:p>
                  <w:pPr>
                    <w:spacing w:before="0"/>
                    <w:ind w:left="180" w:right="0" w:hanging="180"/>
                    <w:jc w:val="left"/>
                    <w:rPr>
                      <w:rFonts w:ascii="宋体" w:hAnsi="宋体" w:cs="宋体" w:eastAsia="宋体" w:hint="default"/>
                      <w:sz w:val="18"/>
                      <w:szCs w:val="18"/>
                    </w:rPr>
                  </w:pPr>
                  <w:r>
                    <w:rPr>
                      <w:rFonts w:ascii="宋体" w:hAnsi="宋体" w:cs="宋体" w:eastAsia="宋体" w:hint="default"/>
                      <w:sz w:val="18"/>
                      <w:szCs w:val="18"/>
                    </w:rPr>
                    <w:t>曾子帆、</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line="244" w:lineRule="auto" w:before="0"/>
                    <w:ind w:left="0" w:right="4750" w:firstLine="180"/>
                    <w:jc w:val="left"/>
                    <w:rPr>
                      <w:rFonts w:ascii="宋体" w:hAnsi="宋体" w:cs="宋体" w:eastAsia="宋体" w:hint="default"/>
                      <w:sz w:val="18"/>
                      <w:szCs w:val="18"/>
                    </w:rPr>
                  </w:pPr>
                  <w:r>
                    <w:rPr>
                      <w:rFonts w:ascii="宋体" w:hAnsi="宋体" w:cs="宋体" w:eastAsia="宋体" w:hint="default"/>
                      <w:sz w:val="18"/>
                      <w:szCs w:val="18"/>
                    </w:rPr>
                    <w:t>刘洋、 崔伟良、</w:t>
                  </w:r>
                </w:p>
              </w:txbxContent>
            </v:textbox>
            <w10:wrap type="none"/>
          </v:shape>
        </w:pict>
      </w:r>
      <w:r>
        <w:rPr/>
        <w:pict>
          <v:shape style="position:absolute;margin-left:414.172607pt;margin-top:454.679993pt;width:150.550pt;height:74.05pt;mso-position-horizontal-relative:page;mso-position-vertical-relative:page;z-index:-1218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85" w:lineRule="auto" w:before="127"/>
                    <w:ind w:left="0" w:right="1568" w:firstLine="1259"/>
                    <w:jc w:val="left"/>
                    <w:rPr>
                      <w:rFonts w:ascii="宋体" w:hAnsi="宋体" w:cs="宋体" w:eastAsia="宋体" w:hint="default"/>
                      <w:sz w:val="18"/>
                      <w:szCs w:val="18"/>
                    </w:rPr>
                  </w:pPr>
                  <w:r>
                    <w:rPr>
                      <w:rFonts w:ascii="宋体" w:hAnsi="宋体" w:cs="宋体" w:eastAsia="宋体" w:hint="default"/>
                      <w:sz w:val="18"/>
                      <w:szCs w:val="18"/>
                    </w:rPr>
                    <w:t>， 个月内不得转让；</w:t>
                  </w:r>
                </w:p>
              </w:txbxContent>
            </v:textbox>
            <w10:wrap type="none"/>
          </v:shape>
        </w:pict>
      </w:r>
      <w:r>
        <w:rPr/>
        <w:pict>
          <v:group style="position:absolute;margin-left:242.330994pt;margin-top:330.179993pt;width:240.5pt;height:39pt;mso-position-horizontal-relative:page;mso-position-vertical-relative:page;z-index:-1218112" coordorigin="4847,6604" coordsize="4810,780">
            <v:shape style="position:absolute;left:4847;top:6604;width:4810;height:780" coordorigin="4847,6604" coordsize="4810,780" path="m4847,6604l4847,7384,9656,7384,9656,6604,4847,6604xe" filled="true" fillcolor="#ffffff" stroked="false">
              <v:path arrowok="t"/>
              <v:fill type="solid"/>
            </v:shape>
            <w10:wrap type="none"/>
          </v:group>
        </w:pict>
      </w:r>
      <w:r>
        <w:rPr/>
        <w:pict>
          <v:group style="position:absolute;margin-left:242.330994pt;margin-top:415.200012pt;width:322.4pt;height:113.55pt;mso-position-horizontal-relative:page;mso-position-vertical-relative:page;z-index:-1218088" coordorigin="4847,8304" coordsize="6448,2271">
            <v:group style="position:absolute;left:4847;top:8304;width:4810;height:780" coordorigin="4847,8304" coordsize="4810,780">
              <v:shape style="position:absolute;left:4847;top:8304;width:4810;height:780" coordorigin="4847,8304" coordsize="4810,780" path="m4847,8304l4847,9084,9656,9084,9656,8304,4847,8304xe" filled="true" fillcolor="#ffffff" stroked="false">
                <v:path arrowok="t"/>
                <v:fill type="solid"/>
              </v:shape>
            </v:group>
            <v:group style="position:absolute;left:9666;top:9094;width:1629;height:1481" coordorigin="9666,9094" coordsize="1629,1481">
              <v:shape style="position:absolute;left:9666;top:9094;width:1629;height:1481" coordorigin="9666,9094" coordsize="1629,1481" path="m9666,9094l9666,10574,11294,10574,11294,9094,9666,9094xe" filled="true" fillcolor="#ffffff" stroked="false">
                <v:path arrowok="t"/>
                <v:fill type="solid"/>
              </v:shape>
            </v:group>
            <v:group style="position:absolute;left:9689;top:9654;width:1583;height:360" coordorigin="9689,9654" coordsize="1583,360">
              <v:shape style="position:absolute;left:9689;top:9654;width:1583;height:360" coordorigin="9689,9654" coordsize="1583,360" path="m9689,9654l9689,10014,11271,10014,11271,9654,9689,9654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2410"/>
        <w:gridCol w:w="4819"/>
        <w:gridCol w:w="1638"/>
        <w:gridCol w:w="1622"/>
        <w:gridCol w:w="3120"/>
      </w:tblGrid>
      <w:tr>
        <w:trPr>
          <w:trHeight w:val="324" w:hRule="exact"/>
        </w:trPr>
        <w:tc>
          <w:tcPr>
            <w:tcW w:w="1418" w:type="dxa"/>
            <w:vMerge w:val="restart"/>
            <w:tcBorders>
              <w:top w:val="single" w:sz="15" w:space="0" w:color="000000"/>
              <w:left w:val="single" w:sz="4" w:space="0" w:color="000000"/>
              <w:right w:val="single" w:sz="4" w:space="0" w:color="000000"/>
            </w:tcBorders>
            <w:shd w:val="clear" w:color="auto" w:fill="D3D3D3"/>
          </w:tcPr>
          <w:p>
            <w:pPr/>
          </w:p>
        </w:tc>
        <w:tc>
          <w:tcPr>
            <w:tcW w:w="2410"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pacing w:val="-3"/>
                <w:sz w:val="18"/>
                <w:szCs w:val="18"/>
              </w:rPr>
              <w:t>度、</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2015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宋体" w:hAnsi="宋体" w:cs="宋体" w:eastAsia="宋体" w:hint="default"/>
                <w:spacing w:val="-31"/>
                <w:sz w:val="18"/>
                <w:szCs w:val="18"/>
              </w:rPr>
              <w:t> </w:t>
            </w:r>
            <w:r>
              <w:rPr>
                <w:rFonts w:ascii="宋体" w:hAnsi="宋体" w:cs="宋体" w:eastAsia="宋体" w:hint="default"/>
                <w:sz w:val="18"/>
                <w:szCs w:val="18"/>
              </w:rPr>
              <w:t>实现的扣</w:t>
            </w:r>
          </w:p>
        </w:tc>
        <w:tc>
          <w:tcPr>
            <w:tcW w:w="1638" w:type="dxa"/>
            <w:vMerge w:val="restart"/>
            <w:tcBorders>
              <w:top w:val="single" w:sz="15" w:space="0" w:color="000000"/>
              <w:left w:val="single" w:sz="4" w:space="0" w:color="000000"/>
              <w:right w:val="single" w:sz="4" w:space="0" w:color="000000"/>
            </w:tcBorders>
          </w:tcPr>
          <w:p>
            <w:pPr/>
          </w:p>
        </w:tc>
        <w:tc>
          <w:tcPr>
            <w:tcW w:w="1622" w:type="dxa"/>
            <w:vMerge w:val="restart"/>
            <w:tcBorders>
              <w:top w:val="single" w:sz="15" w:space="0" w:color="000000"/>
              <w:left w:val="single" w:sz="4" w:space="0" w:color="000000"/>
              <w:right w:val="single" w:sz="4" w:space="0" w:color="000000"/>
            </w:tcBorders>
          </w:tcPr>
          <w:p>
            <w:pPr/>
          </w:p>
        </w:tc>
        <w:tc>
          <w:tcPr>
            <w:tcW w:w="31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绩承诺未实现，拉萨澄怀及拉萨观道均</w:t>
            </w: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除非经常性损益后归属于母公司所有者的净利润分别不低于</w:t>
            </w: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表示按照其原有承诺予以股份补偿，公</w:t>
            </w: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4,750.33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6,449.87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8,750.33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8,750.33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宋体" w:hAnsi="宋体" w:cs="宋体" w:eastAsia="宋体" w:hint="default"/>
                <w:sz w:val="18"/>
                <w:szCs w:val="18"/>
              </w:rPr>
              <w:t>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日无偿回购并注</w:t>
            </w: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8,750.33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销拉萨澄怀应补偿的公司股份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906,247</w:t>
            </w: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股和拉萨观道应补偿的公司股份</w:t>
            </w: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638" w:type="dxa"/>
            <w:vMerge/>
            <w:tcBorders>
              <w:left w:val="single" w:sz="4" w:space="0" w:color="000000"/>
              <w:right w:val="single" w:sz="4" w:space="0" w:color="000000"/>
            </w:tcBorders>
          </w:tcPr>
          <w:p>
            <w:pPr/>
          </w:p>
        </w:tc>
        <w:tc>
          <w:tcPr>
            <w:tcW w:w="1622"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3,624,989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年度的业绩承诺已实</w:t>
            </w:r>
          </w:p>
        </w:tc>
      </w:tr>
      <w:tr>
        <w:trPr>
          <w:trHeight w:val="300" w:hRule="exact"/>
        </w:trPr>
        <w:tc>
          <w:tcPr>
            <w:tcW w:w="1418" w:type="dxa"/>
            <w:vMerge/>
            <w:tcBorders>
              <w:left w:val="single" w:sz="4" w:space="0" w:color="000000"/>
              <w:right w:val="single" w:sz="4" w:space="0" w:color="000000"/>
            </w:tcBorders>
            <w:shd w:val="clear" w:color="auto" w:fill="D3D3D3"/>
          </w:tcPr>
          <w:p>
            <w:pPr/>
          </w:p>
        </w:tc>
        <w:tc>
          <w:tcPr>
            <w:tcW w:w="2410"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现</w:t>
            </w:r>
          </w:p>
        </w:tc>
      </w:tr>
      <w:tr>
        <w:trPr>
          <w:trHeight w:val="345"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关于华商传媒部分房产未取得房产证的承诺：华商传媒拥有</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位于沈阳市皇姑区崇山东路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号国实大厦一、二层（建筑面</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积共</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1,290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平方米）的房产。目前该处房产的相关过户手续正</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在办理中。如因华商传媒上述房产未取得权属证书给华商传</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媒正常的生产经营造成损失的，华路新材、上海常喜、上海</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56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35"/>
              <w:jc w:val="left"/>
              <w:rPr>
                <w:rFonts w:ascii="宋体" w:hAnsi="宋体" w:cs="宋体" w:eastAsia="宋体" w:hint="default"/>
                <w:sz w:val="18"/>
                <w:szCs w:val="18"/>
              </w:rPr>
            </w:pPr>
            <w:r>
              <w:rPr>
                <w:rFonts w:ascii="宋体" w:hAnsi="宋体" w:cs="宋体" w:eastAsia="宋体" w:hint="default"/>
                <w:sz w:val="18"/>
                <w:szCs w:val="18"/>
              </w:rPr>
              <w:t>华路新材、上海常喜、上海大 黎</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4"/>
              <w:jc w:val="left"/>
              <w:rPr>
                <w:rFonts w:ascii="宋体" w:hAnsi="宋体" w:cs="宋体" w:eastAsia="宋体" w:hint="default"/>
                <w:sz w:val="18"/>
                <w:szCs w:val="18"/>
              </w:rPr>
            </w:pPr>
            <w:r>
              <w:rPr>
                <w:rFonts w:ascii="宋体" w:hAnsi="宋体" w:cs="宋体" w:eastAsia="宋体" w:hint="default"/>
                <w:sz w:val="18"/>
                <w:szCs w:val="18"/>
              </w:rPr>
              <w:t>大黎按所持有华商传媒的股权比例承担损失；如在自本次非 公开发行股份上市之日起两年内华商传媒上述房产未取得权</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2" w:right="5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属证书，华路新材、上海常喜、上海大黎按所持有华商传媒</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的股权比例所对应的上述厂房在卓信大华评报字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号《华闻传媒投资集团股份有限公司拟收购陕西华商传</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媒集团有限责任公司股权资产评估项目资产评估说明》中的</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评估值向上市公司进行补偿。</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292"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西藏风网、精视投资、莫昂投</w:t>
            </w:r>
          </w:p>
        </w:tc>
        <w:tc>
          <w:tcPr>
            <w:tcW w:w="4819" w:type="dxa"/>
            <w:tcBorders>
              <w:top w:val="single" w:sz="4" w:space="0" w:color="000000"/>
              <w:left w:val="single" w:sz="4" w:space="0" w:color="000000"/>
              <w:bottom w:val="nil" w:sz="6" w:space="0" w:color="auto"/>
              <w:right w:val="single" w:sz="4" w:space="0" w:color="000000"/>
            </w:tcBorders>
          </w:tcPr>
          <w:p>
            <w:pP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41"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资、程顺玲、李菊莲、</w:t>
            </w:r>
          </w:p>
        </w:tc>
        <w:tc>
          <w:tcPr>
            <w:tcW w:w="4819"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金城、长沙传怡、湖南富坤、</w:t>
            </w:r>
          </w:p>
        </w:tc>
        <w:tc>
          <w:tcPr>
            <w:tcW w:w="4819"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96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北京中技、广东粤文投、广州</w:t>
            </w:r>
          </w:p>
          <w:p>
            <w:pPr>
              <w:pStyle w:val="TableParagraph"/>
              <w:spacing w:line="244" w:lineRule="auto" w:before="4"/>
              <w:ind w:left="23" w:right="35"/>
              <w:jc w:val="left"/>
              <w:rPr>
                <w:rFonts w:ascii="宋体" w:hAnsi="宋体" w:cs="宋体" w:eastAsia="宋体" w:hint="default"/>
                <w:sz w:val="18"/>
                <w:szCs w:val="18"/>
              </w:rPr>
            </w:pPr>
            <w:r>
              <w:rPr>
                <w:rFonts w:ascii="宋体" w:hAnsi="宋体" w:cs="宋体" w:eastAsia="宋体" w:hint="default"/>
                <w:spacing w:val="-5"/>
                <w:sz w:val="18"/>
                <w:szCs w:val="18"/>
              </w:rPr>
              <w:t>漫时代、俞涌、邵璐璐、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张显峰、张茜、朱斌、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施桂贤、许勇和、曹凌玲、赖</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关于避免同业竞争和减少关联交易的承诺。详见公司于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68" w:lineRule="auto" w:before="31"/>
              <w:ind w:left="22"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日在巨潮网上披露的《关于重大资产重组相关方 </w:t>
            </w:r>
            <w:r>
              <w:rPr>
                <w:rFonts w:ascii="宋体" w:hAnsi="宋体" w:cs="宋体" w:eastAsia="宋体" w:hint="default"/>
                <w:spacing w:val="-7"/>
                <w:sz w:val="18"/>
                <w:szCs w:val="18"/>
              </w:rPr>
              <w:t>承诺情况的公告》（公告编号：</w:t>
            </w:r>
            <w:r>
              <w:rPr>
                <w:rFonts w:ascii="Times New Roman" w:hAnsi="Times New Roman" w:cs="Times New Roman" w:eastAsia="Times New Roman" w:hint="default"/>
                <w:spacing w:val="-7"/>
                <w:sz w:val="18"/>
                <w:szCs w:val="18"/>
              </w:rPr>
              <w:t>2014-085</w:t>
            </w:r>
            <w:r>
              <w:rPr>
                <w:rFonts w:ascii="宋体" w:hAnsi="宋体" w:cs="宋体" w:eastAsia="宋体" w:hint="default"/>
                <w:spacing w:val="-7"/>
                <w:sz w:val="18"/>
                <w:szCs w:val="18"/>
              </w:rPr>
              <w:t>），下同。</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4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春晖、邵洪涛、祖雅乐、邱月</w:t>
            </w:r>
          </w:p>
        </w:tc>
        <w:tc>
          <w:tcPr>
            <w:tcW w:w="4819"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仙、葛重葳、韩露、丁冰、李</w:t>
            </w:r>
          </w:p>
        </w:tc>
        <w:tc>
          <w:tcPr>
            <w:tcW w:w="4819"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凌彪</w:t>
            </w:r>
          </w:p>
        </w:tc>
        <w:tc>
          <w:tcPr>
            <w:tcW w:w="4819" w:type="dxa"/>
            <w:tcBorders>
              <w:top w:val="nil" w:sz="6" w:space="0" w:color="auto"/>
              <w:left w:val="single" w:sz="4" w:space="0" w:color="000000"/>
              <w:bottom w:val="single" w:sz="4" w:space="0" w:color="000000"/>
              <w:right w:val="single" w:sz="4" w:space="0" w:color="000000"/>
            </w:tcBorders>
          </w:tcPr>
          <w:p>
            <w:pP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关于股份锁定的承诺：西藏风网承诺其所认购的股份（包括</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846"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但不限于，限售期内送红股、转增股本等原因所增持的股份）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自股份上市之日（</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23"/>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p>
          <w:p>
            <w:pPr>
              <w:pStyle w:val="TableParagraph"/>
              <w:spacing w:line="24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300"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r>
        <w:rPr/>
        <w:pict>
          <v:shape style="position:absolute;margin-left:209.21051pt;margin-top:234.179993pt;width:273.6pt;height:116.05pt;mso-position-horizontal-relative:page;mso-position-vertical-relative:page;z-index:-1218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9"/>
                    <w:ind w:left="0" w:right="0" w:firstLine="0"/>
                    <w:jc w:val="left"/>
                    <w:rPr>
                      <w:rFonts w:ascii="宋体" w:hAnsi="宋体" w:cs="宋体" w:eastAsia="宋体" w:hint="default"/>
                      <w:sz w:val="18"/>
                      <w:szCs w:val="18"/>
                    </w:rPr>
                  </w:pPr>
                  <w:r>
                    <w:rPr>
                      <w:rFonts w:ascii="宋体" w:hAnsi="宋体" w:cs="宋体" w:eastAsia="宋体" w:hint="default"/>
                      <w:sz w:val="18"/>
                      <w:szCs w:val="18"/>
                    </w:rPr>
                    <w:t>邵洪涛、</w:t>
                  </w:r>
                </w:p>
              </w:txbxContent>
            </v:textbox>
            <w10:wrap type="none"/>
          </v:shape>
        </w:pict>
      </w:r>
      <w:r>
        <w:rPr/>
        <w:pict>
          <v:shape style="position:absolute;margin-left:387.110504pt;margin-top:411.179993pt;width:177.6pt;height:114pt;mso-position-horizontal-relative:page;mso-position-vertical-relative:page;z-index:-1218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掌视亿通因为双软认证、</w:t>
                  </w:r>
                </w:p>
              </w:txbxContent>
            </v:textbox>
            <w10:wrap type="none"/>
          </v:shape>
        </w:pict>
      </w:r>
      <w:r>
        <w:rPr/>
        <w:pict>
          <v:group style="position:absolute;margin-left:483.290985pt;margin-top:411.179993pt;width:81.45pt;height:114pt;mso-position-horizontal-relative:page;mso-position-vertical-relative:page;z-index:-1218016" coordorigin="9666,8224" coordsize="1629,2280">
            <v:group style="position:absolute;left:9666;top:8224;width:1629;height:2280" coordorigin="9666,8224" coordsize="1629,2280">
              <v:shape style="position:absolute;left:9666;top:8224;width:1629;height:2280" coordorigin="9666,8224" coordsize="1629,2280" path="m9666,8224l9666,10504,11294,10504,11294,8224,9666,8224xe" filled="true" fillcolor="#ffffff" stroked="false">
                <v:path arrowok="t"/>
                <v:fill type="solid"/>
              </v:shape>
            </v:group>
            <v:group style="position:absolute;left:9689;top:9184;width:1583;height:360" coordorigin="9689,9184" coordsize="1583,360">
              <v:shape style="position:absolute;left:9689;top:9184;width:1583;height:360" coordorigin="9689,9184" coordsize="1583,360" path="m9689,9184l9689,9544,11271,9544,11271,9184,9689,9184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2410"/>
        <w:gridCol w:w="4819"/>
        <w:gridCol w:w="1638"/>
        <w:gridCol w:w="1622"/>
        <w:gridCol w:w="3120"/>
      </w:tblGrid>
      <w:tr>
        <w:trPr>
          <w:trHeight w:val="359" w:hRule="exact"/>
        </w:trPr>
        <w:tc>
          <w:tcPr>
            <w:tcW w:w="1418" w:type="dxa"/>
            <w:vMerge w:val="restart"/>
            <w:tcBorders>
              <w:top w:val="single" w:sz="15" w:space="0" w:color="000000"/>
              <w:left w:val="single" w:sz="4" w:space="0" w:color="000000"/>
              <w:right w:val="single" w:sz="4" w:space="0" w:color="000000"/>
            </w:tcBorders>
            <w:shd w:val="clear" w:color="auto" w:fill="D3D3D3"/>
          </w:tcPr>
          <w:p>
            <w:pPr/>
          </w:p>
        </w:tc>
        <w:tc>
          <w:tcPr>
            <w:tcW w:w="2410" w:type="dxa"/>
            <w:tcBorders>
              <w:top w:val="single" w:sz="15" w:space="0" w:color="000000"/>
              <w:left w:val="single" w:sz="4" w:space="0" w:color="000000"/>
              <w:bottom w:val="nil" w:sz="6" w:space="0" w:color="auto"/>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关于股份锁定的承诺：精视投资、莫昂投资承诺其所认购的</w:t>
            </w:r>
          </w:p>
        </w:tc>
        <w:tc>
          <w:tcPr>
            <w:tcW w:w="1638" w:type="dxa"/>
            <w:tcBorders>
              <w:top w:val="single" w:sz="15" w:space="0" w:color="000000"/>
              <w:left w:val="single" w:sz="4" w:space="0" w:color="000000"/>
              <w:bottom w:val="nil" w:sz="6" w:space="0" w:color="auto"/>
              <w:right w:val="single" w:sz="4" w:space="0" w:color="000000"/>
            </w:tcBorders>
          </w:tcPr>
          <w:p>
            <w:pPr/>
          </w:p>
        </w:tc>
        <w:tc>
          <w:tcPr>
            <w:tcW w:w="1622" w:type="dxa"/>
            <w:tcBorders>
              <w:top w:val="single" w:sz="15" w:space="0" w:color="000000"/>
              <w:left w:val="single" w:sz="4" w:space="0" w:color="000000"/>
              <w:bottom w:val="nil" w:sz="6" w:space="0" w:color="auto"/>
              <w:right w:val="single" w:sz="4" w:space="0" w:color="000000"/>
            </w:tcBorders>
          </w:tcPr>
          <w:p>
            <w:pPr/>
          </w:p>
        </w:tc>
        <w:tc>
          <w:tcPr>
            <w:tcW w:w="3120" w:type="dxa"/>
            <w:tcBorders>
              <w:top w:val="single" w:sz="15" w:space="0" w:color="000000"/>
              <w:left w:val="single" w:sz="4" w:space="0" w:color="000000"/>
              <w:bottom w:val="nil" w:sz="6" w:space="0" w:color="auto"/>
              <w:right w:val="single" w:sz="4" w:space="0" w:color="000000"/>
            </w:tcBorders>
          </w:tcPr>
          <w:p>
            <w:pPr/>
          </w:p>
        </w:tc>
      </w:tr>
      <w:tr>
        <w:trPr>
          <w:trHeight w:val="56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精视投资、莫昂投资</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股份（包括但不限于，限售期内送红股、转增股本等原因所 </w:t>
            </w:r>
            <w:r>
              <w:rPr>
                <w:rFonts w:ascii="宋体" w:hAnsi="宋体" w:cs="宋体" w:eastAsia="宋体" w:hint="default"/>
                <w:spacing w:val="-5"/>
                <w:sz w:val="18"/>
                <w:szCs w:val="18"/>
              </w:rPr>
              <w:t>增持的股份），自股份上市之日（</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30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个月内不得转让。</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程顺玲、李菊莲、曾子帆承诺其所认购</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7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的股份（包括但不限于，限售期内送红股、转增股本等原因</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所增持的股份</w:t>
            </w:r>
            <w:r>
              <w:rPr>
                <w:rFonts w:ascii="宋体" w:hAnsi="宋体" w:cs="宋体" w:eastAsia="宋体" w:hint="default"/>
                <w:spacing w:val="-90"/>
                <w:sz w:val="18"/>
                <w:szCs w:val="18"/>
              </w:rPr>
              <w:t>）</w:t>
            </w:r>
            <w:r>
              <w:rPr>
                <w:rFonts w:ascii="宋体" w:hAnsi="宋体" w:cs="宋体" w:eastAsia="宋体" w:hint="default"/>
                <w:sz w:val="18"/>
                <w:szCs w:val="18"/>
              </w:rPr>
              <w:t>，自股份上市之日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56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程顺玲、李菊莲、曾子帆</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68" w:lineRule="auto"/>
              <w:ind w:left="22" w:right="46"/>
              <w:jc w:val="left"/>
              <w:rPr>
                <w:rFonts w:ascii="宋体" w:hAnsi="宋体" w:cs="宋体" w:eastAsia="宋体" w:hint="default"/>
                <w:sz w:val="18"/>
                <w:szCs w:val="18"/>
              </w:rPr>
            </w:pP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个月内转让股份数量不超过其本次认购</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个月内转让股份数量不超过其本次认购</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个月内转让股份数量不超过其本次认购</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关于股份锁定的承诺：金城、广州漫时代、俞涌、邵璐璐、</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金城、广州漫时代、俞涌、邵</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刘洋、张显峰、张茜、朱斌、崔伟良、施桂贤、许勇和、曹</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璐璐、刘洋、张显峰、张茜、</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凌玲、赖春晖、邵洪涛、祖雅乐、邱月仙、葛重葳、韩露、</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56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35"/>
              <w:jc w:val="left"/>
              <w:rPr>
                <w:rFonts w:ascii="宋体" w:hAnsi="宋体" w:cs="宋体" w:eastAsia="宋体" w:hint="default"/>
                <w:sz w:val="18"/>
                <w:szCs w:val="18"/>
              </w:rPr>
            </w:pPr>
            <w:r>
              <w:rPr>
                <w:rFonts w:ascii="宋体" w:hAnsi="宋体" w:cs="宋体" w:eastAsia="宋体" w:hint="default"/>
                <w:sz w:val="18"/>
                <w:szCs w:val="18"/>
              </w:rPr>
              <w:t>朱斌、崔伟良、施桂贤、许勇 </w:t>
            </w:r>
            <w:r>
              <w:rPr>
                <w:rFonts w:ascii="宋体" w:hAnsi="宋体" w:cs="宋体" w:eastAsia="宋体" w:hint="default"/>
                <w:spacing w:val="-6"/>
                <w:sz w:val="18"/>
                <w:szCs w:val="18"/>
              </w:rPr>
              <w:t>和、曹凌玲、赖春晖、</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2"/>
              <w:jc w:val="left"/>
              <w:rPr>
                <w:rFonts w:ascii="宋体" w:hAnsi="宋体" w:cs="宋体" w:eastAsia="宋体" w:hint="default"/>
                <w:sz w:val="18"/>
                <w:szCs w:val="18"/>
              </w:rPr>
            </w:pPr>
            <w:r>
              <w:rPr>
                <w:rFonts w:ascii="宋体" w:hAnsi="宋体" w:cs="宋体" w:eastAsia="宋体" w:hint="default"/>
                <w:sz w:val="18"/>
                <w:szCs w:val="18"/>
              </w:rPr>
              <w:t>丁冰和李凌彪承诺其所认购的股份（包括但不限于，限售期 </w:t>
            </w:r>
            <w:r>
              <w:rPr>
                <w:rFonts w:ascii="宋体" w:hAnsi="宋体" w:cs="宋体" w:eastAsia="宋体" w:hint="default"/>
                <w:spacing w:val="-4"/>
                <w:sz w:val="18"/>
                <w:szCs w:val="18"/>
              </w:rPr>
              <w:t>内送红股、转增股本等原因所增持的股份），自股份上市之日</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祖雅乐、邱月仙、葛重葳、韩</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露、丁冰、李凌彪</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让股份数量不超过其本次认购股份总数的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13" w:space="0" w:color="FFFFFF"/>
            </w:tcBorders>
          </w:tcPr>
          <w:p>
            <w:pPr/>
          </w:p>
        </w:tc>
        <w:tc>
          <w:tcPr>
            <w:tcW w:w="4819" w:type="dxa"/>
            <w:tcBorders>
              <w:top w:val="nil" w:sz="6" w:space="0" w:color="auto"/>
              <w:left w:val="single" w:sz="13" w:space="0" w:color="FFFFFF"/>
              <w:bottom w:val="single" w:sz="4" w:space="0" w:color="000000"/>
              <w:right w:val="single" w:sz="13" w:space="0" w:color="FFFFFF"/>
            </w:tcBorders>
          </w:tcPr>
          <w:p>
            <w:pPr>
              <w:pStyle w:val="TableParagraph"/>
              <w:spacing w:line="238" w:lineRule="exact"/>
              <w:ind w:left="11" w:right="0"/>
              <w:jc w:val="left"/>
              <w:rPr>
                <w:rFonts w:ascii="宋体" w:hAnsi="宋体" w:cs="宋体" w:eastAsia="宋体" w:hint="default"/>
                <w:sz w:val="18"/>
                <w:szCs w:val="18"/>
              </w:rPr>
            </w:pPr>
            <w:r>
              <w:rPr>
                <w:rFonts w:ascii="宋体" w:hAnsi="宋体" w:cs="宋体" w:eastAsia="宋体" w:hint="default"/>
                <w:sz w:val="18"/>
                <w:szCs w:val="18"/>
              </w:rPr>
              <w:t>让股份数量不超过其本次认购股份总数的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1638" w:type="dxa"/>
            <w:tcBorders>
              <w:top w:val="nil" w:sz="6" w:space="0" w:color="auto"/>
              <w:left w:val="single" w:sz="13" w:space="0" w:color="FFFFFF"/>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4"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关于股份锁定的承诺：长沙传怡、湖南富坤、北京中技、广</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56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35"/>
              <w:jc w:val="left"/>
              <w:rPr>
                <w:rFonts w:ascii="宋体" w:hAnsi="宋体" w:cs="宋体" w:eastAsia="宋体" w:hint="default"/>
                <w:sz w:val="18"/>
                <w:szCs w:val="18"/>
              </w:rPr>
            </w:pPr>
            <w:r>
              <w:rPr>
                <w:rFonts w:ascii="宋体" w:hAnsi="宋体" w:cs="宋体" w:eastAsia="宋体" w:hint="default"/>
                <w:sz w:val="18"/>
                <w:szCs w:val="18"/>
              </w:rPr>
              <w:t>长沙传怡、湖南富坤、北京中 技、广东粤文投</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东粤文投承诺其所认购的股份（包括但不限于，限售期内送 </w:t>
            </w:r>
            <w:r>
              <w:rPr>
                <w:rFonts w:ascii="宋体" w:hAnsi="宋体" w:cs="宋体" w:eastAsia="宋体" w:hint="default"/>
                <w:spacing w:val="-10"/>
                <w:sz w:val="18"/>
                <w:szCs w:val="18"/>
              </w:rPr>
              <w:t>红股、转增股本等原因所增持的股份），自股份上市之日（</w:t>
            </w:r>
            <w:r>
              <w:rPr>
                <w:rFonts w:ascii="Times New Roman" w:hAnsi="Times New Roman" w:cs="Times New Roman" w:eastAsia="Times New Roman" w:hint="default"/>
                <w:spacing w:val="-10"/>
                <w:sz w:val="18"/>
                <w:szCs w:val="18"/>
              </w:rPr>
              <w:t>2014</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30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r>
        <w:trPr>
          <w:trHeight w:val="349"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关于标的公司利润的承诺：掌视亿通于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c>
          <w:tcPr>
            <w:tcW w:w="1638"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
        </w:tc>
      </w:tr>
      <w:tr>
        <w:trPr>
          <w:trHeight w:val="27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年度实现的扣除非经常性损益后归属于母公司所有者</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的净利润分别不低于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9,035.00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11,700.00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万元和</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净利润承诺自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3120" w:type="dxa"/>
            <w:tcBorders>
              <w:top w:val="nil" w:sz="6" w:space="0" w:color="auto"/>
              <w:left w:val="single" w:sz="4" w:space="0" w:color="000000"/>
              <w:bottom w:val="nil" w:sz="6" w:space="0" w:color="auto"/>
              <w:right w:val="single" w:sz="4" w:space="0" w:color="000000"/>
            </w:tcBorders>
          </w:tcPr>
          <w:p>
            <w:pPr/>
          </w:p>
        </w:tc>
      </w:tr>
      <w:tr>
        <w:trPr>
          <w:trHeight w:val="56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万元。此外，西藏风网向华闻传媒承诺：掌视亿通</w:t>
            </w:r>
          </w:p>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年获得的政府补</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年起，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年；非经常</w:t>
            </w:r>
          </w:p>
          <w:p>
            <w:pPr>
              <w:pStyle w:val="TableParagraph"/>
              <w:spacing w:line="240" w:lineRule="auto" w:before="3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性收益承诺自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年度的业绩承诺已</w:t>
            </w:r>
          </w:p>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实现</w:t>
            </w:r>
          </w:p>
        </w:tc>
      </w:tr>
      <w:tr>
        <w:trPr>
          <w:trHeight w:val="285"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贴等非经常性收益（补偿期结束后，</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年起，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418" w:type="dxa"/>
            <w:vMerge/>
            <w:tcBorders>
              <w:left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高新技术企业认证等所享受的税收优惠可视同为掌视亿通实</w:t>
            </w:r>
          </w:p>
        </w:tc>
        <w:tc>
          <w:tcPr>
            <w:tcW w:w="1638"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18"/>
                <w:szCs w:val="18"/>
              </w:rPr>
            </w:pPr>
            <w:r>
              <w:rPr>
                <w:rFonts w:ascii="宋体" w:hAnsi="宋体" w:cs="宋体" w:eastAsia="宋体" w:hint="default"/>
                <w:sz w:val="18"/>
                <w:szCs w:val="18"/>
              </w:rPr>
              <w:t>际获得的政府补贴等非经常性收益）分别不低于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638"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r>
        <w:rPr/>
        <w:pict>
          <v:shape style="position:absolute;margin-left:209.21051pt;margin-top:208.679993pt;width:273.6pt;height:88.05pt;mso-position-horizontal-relative:page;mso-position-vertical-relative:page;z-index:-1217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邵洪涛、</w:t>
                  </w:r>
                </w:p>
              </w:txbxContent>
            </v:textbox>
            <w10:wrap type="none"/>
          </v:shape>
        </w:pict>
      </w:r>
      <w:r>
        <w:rPr/>
        <w:pict>
          <v:group style="position:absolute;margin-left:242.330994pt;margin-top:282.720001pt;width:240.5pt;height:14pt;mso-position-horizontal-relative:page;mso-position-vertical-relative:page;z-index:-1217944" coordorigin="4847,5654" coordsize="4810,280">
            <v:shape style="position:absolute;left:4847;top:5654;width:4810;height:280" coordorigin="4847,5654" coordsize="4810,280" path="m4847,5654l4847,5934,9656,5934,9656,5654,4847,565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2410"/>
        <w:gridCol w:w="4819"/>
        <w:gridCol w:w="1638"/>
        <w:gridCol w:w="1622"/>
        <w:gridCol w:w="3120"/>
      </w:tblGrid>
      <w:tr>
        <w:trPr>
          <w:trHeight w:val="624" w:hRule="exact"/>
        </w:trPr>
        <w:tc>
          <w:tcPr>
            <w:tcW w:w="1418" w:type="dxa"/>
            <w:vMerge w:val="restart"/>
            <w:tcBorders>
              <w:top w:val="single" w:sz="15" w:space="0" w:color="000000"/>
              <w:left w:val="single" w:sz="4" w:space="0" w:color="000000"/>
              <w:right w:val="single" w:sz="4" w:space="0" w:color="000000"/>
            </w:tcBorders>
            <w:shd w:val="clear" w:color="auto" w:fill="D3D3D3"/>
          </w:tcPr>
          <w:p>
            <w:pPr/>
          </w:p>
        </w:tc>
        <w:tc>
          <w:tcPr>
            <w:tcW w:w="2410" w:type="dxa"/>
            <w:tcBorders>
              <w:top w:val="single" w:sz="15" w:space="0" w:color="000000"/>
              <w:left w:val="single" w:sz="4" w:space="0" w:color="000000"/>
              <w:bottom w:val="single" w:sz="4" w:space="0" w:color="000000"/>
              <w:right w:val="single" w:sz="4" w:space="0" w:color="000000"/>
            </w:tcBorders>
          </w:tcPr>
          <w:p>
            <w:pPr/>
          </w:p>
        </w:tc>
        <w:tc>
          <w:tcPr>
            <w:tcW w:w="4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2,270.00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3,050.00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1,090.00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1,090.00</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8" w:type="dxa"/>
            <w:tcBorders>
              <w:top w:val="single" w:sz="15" w:space="0" w:color="000000"/>
              <w:left w:val="single" w:sz="4" w:space="0" w:color="000000"/>
              <w:bottom w:val="single" w:sz="4" w:space="0" w:color="000000"/>
              <w:right w:val="single" w:sz="4" w:space="0" w:color="000000"/>
            </w:tcBorders>
          </w:tcPr>
          <w:p>
            <w:pPr/>
          </w:p>
        </w:tc>
        <w:tc>
          <w:tcPr>
            <w:tcW w:w="1622" w:type="dxa"/>
            <w:tcBorders>
              <w:top w:val="single" w:sz="15" w:space="0" w:color="000000"/>
              <w:left w:val="single" w:sz="4" w:space="0" w:color="000000"/>
              <w:bottom w:val="single" w:sz="4" w:space="0" w:color="000000"/>
              <w:right w:val="single" w:sz="4" w:space="0" w:color="000000"/>
            </w:tcBorders>
          </w:tcPr>
          <w:p>
            <w:pPr/>
          </w:p>
        </w:tc>
        <w:tc>
          <w:tcPr>
            <w:tcW w:w="3120" w:type="dxa"/>
            <w:tcBorders>
              <w:top w:val="single" w:sz="15" w:space="0" w:color="000000"/>
              <w:left w:val="single" w:sz="4" w:space="0" w:color="000000"/>
              <w:bottom w:val="single" w:sz="4" w:space="0" w:color="000000"/>
              <w:right w:val="single" w:sz="4" w:space="0" w:color="000000"/>
            </w:tcBorders>
          </w:tcPr>
          <w:p>
            <w:pPr/>
          </w:p>
        </w:tc>
      </w:tr>
      <w:tr>
        <w:trPr>
          <w:trHeight w:val="1211"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精视投资、莫昂投资</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5"/>
              <w:ind w:left="22" w:right="22"/>
              <w:jc w:val="left"/>
              <w:rPr>
                <w:rFonts w:ascii="宋体" w:hAnsi="宋体" w:cs="宋体" w:eastAsia="宋体" w:hint="default"/>
                <w:sz w:val="18"/>
                <w:szCs w:val="18"/>
              </w:rPr>
            </w:pPr>
            <w:r>
              <w:rPr>
                <w:rFonts w:ascii="宋体" w:hAnsi="宋体" w:cs="宋体" w:eastAsia="宋体" w:hint="default"/>
                <w:sz w:val="18"/>
                <w:szCs w:val="18"/>
              </w:rPr>
              <w:t>关于标的公司利润的承诺：精视文化于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 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年度实现的扣除非经常性损益后归属于母公司所有者</w:t>
            </w:r>
          </w:p>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的净利润分别不低于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p>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71" w:lineRule="auto" w:before="127"/>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年度的业绩承诺已 实现</w:t>
            </w:r>
          </w:p>
        </w:tc>
      </w:tr>
      <w:tr>
        <w:trPr>
          <w:trHeight w:val="1210" w:hRule="exact"/>
        </w:trPr>
        <w:tc>
          <w:tcPr>
            <w:tcW w:w="1418" w:type="dxa"/>
            <w:vMerge/>
            <w:tcBorders>
              <w:left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程顺玲、李菊莲、曾子帆</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关于标的公司利润的承诺：邦富软件于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 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年度实现的扣除非经常性损益后归属于母公司所有者</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的净利润分别不低于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9,600.00</w:t>
            </w:r>
          </w:p>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71" w:lineRule="auto" w:before="126"/>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年度的业绩承诺已 实现</w:t>
            </w:r>
          </w:p>
        </w:tc>
      </w:tr>
      <w:tr>
        <w:trPr>
          <w:trHeight w:val="1770"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3" w:right="35"/>
              <w:jc w:val="left"/>
              <w:rPr>
                <w:rFonts w:ascii="宋体" w:hAnsi="宋体" w:cs="宋体" w:eastAsia="宋体" w:hint="default"/>
                <w:sz w:val="18"/>
                <w:szCs w:val="18"/>
              </w:rPr>
            </w:pPr>
            <w:r>
              <w:rPr>
                <w:rFonts w:ascii="宋体" w:hAnsi="宋体" w:cs="宋体" w:eastAsia="宋体" w:hint="default"/>
                <w:sz w:val="18"/>
                <w:szCs w:val="18"/>
              </w:rPr>
              <w:t>金城、广州漫时代、俞涌、邵 璐璐、刘洋、张显峰、张茜、 朱斌、崔伟良、施桂贤、许勇 </w:t>
            </w:r>
            <w:r>
              <w:rPr>
                <w:rFonts w:ascii="宋体" w:hAnsi="宋体" w:cs="宋体" w:eastAsia="宋体" w:hint="default"/>
                <w:spacing w:val="-6"/>
                <w:sz w:val="18"/>
                <w:szCs w:val="18"/>
              </w:rPr>
              <w:t>和、曹凌玲、赖春晖、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祖雅乐、邱月仙、葛重葳、韩 露、丁冰、李凌彪</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40.5pt;height:14.05pt;mso-position-horizontal-relative:char;mso-position-vertical-relative:line" coordorigin="0,0" coordsize="4810,281">
                  <v:group style="position:absolute;left:0;top:0;width:4810;height:281" coordorigin="0,0" coordsize="4810,281">
                    <v:shape style="position:absolute;left:0;top:0;width:4810;height:281" coordorigin="0,0" coordsize="4810,281" path="m0,0l0,281,4810,281,4810,0,0,0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68" w:lineRule="auto" w:before="54"/>
              <w:ind w:left="22" w:right="22"/>
              <w:jc w:val="left"/>
              <w:rPr>
                <w:rFonts w:ascii="宋体" w:hAnsi="宋体" w:cs="宋体" w:eastAsia="宋体" w:hint="default"/>
                <w:sz w:val="18"/>
                <w:szCs w:val="18"/>
              </w:rPr>
            </w:pPr>
            <w:r>
              <w:rPr>
                <w:rFonts w:ascii="宋体" w:hAnsi="宋体" w:cs="宋体" w:eastAsia="宋体" w:hint="default"/>
                <w:sz w:val="18"/>
                <w:szCs w:val="18"/>
              </w:rPr>
              <w:t>关于标的公司利润的承诺：漫友文化于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 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年度实现的扣除非经常性损益后归属于母公司所有者</w:t>
            </w:r>
          </w:p>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的净利润分别不低于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5,000.00</w:t>
            </w:r>
          </w:p>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1" w:lineRule="auto"/>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年度的业绩承诺已 实现</w:t>
            </w:r>
          </w:p>
        </w:tc>
      </w:tr>
      <w:tr>
        <w:trPr>
          <w:trHeight w:val="930"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2410"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
        </w:tc>
      </w:tr>
      <w:tr>
        <w:trPr>
          <w:trHeight w:val="3731"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45"/>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0" w:lineRule="auto" w:before="139"/>
              <w:ind w:left="23" w:right="19"/>
              <w:jc w:val="both"/>
              <w:rPr>
                <w:rFonts w:ascii="宋体" w:hAnsi="宋体" w:cs="宋体" w:eastAsia="宋体" w:hint="default"/>
                <w:sz w:val="18"/>
                <w:szCs w:val="18"/>
              </w:rPr>
            </w:pPr>
            <w:r>
              <w:rPr>
                <w:rFonts w:ascii="宋体" w:hAnsi="宋体" w:cs="宋体" w:eastAsia="宋体" w:hint="default"/>
                <w:sz w:val="18"/>
                <w:szCs w:val="18"/>
              </w:rPr>
              <w:t>国广控股、乌鲁木齐中盛天誉 股权投资管理有限公司（以下 </w:t>
            </w:r>
            <w:r>
              <w:rPr>
                <w:rFonts w:ascii="宋体" w:hAnsi="宋体" w:cs="宋体" w:eastAsia="宋体" w:hint="default"/>
                <w:spacing w:val="-10"/>
                <w:sz w:val="18"/>
                <w:szCs w:val="18"/>
              </w:rPr>
              <w:t>简称</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中盛天誉</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）、北京江河大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禹科技中心（有限合伙）（以下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江河大禹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月购买国广控股、中盛天誉、江河大禹分别 持有的国广光荣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29%</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股权，国广控股、中盛天 誉、江河大禹承诺：国广光荣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年五个会计年 度实际扣除非经常性损益后归属于母公司所有者的净利润</w:t>
            </w:r>
          </w:p>
          <w:p>
            <w:pPr>
              <w:pStyle w:val="TableParagraph"/>
              <w:spacing w:line="278" w:lineRule="auto" w:before="20"/>
              <w:ind w:left="22" w:right="20"/>
              <w:jc w:val="left"/>
              <w:rPr>
                <w:rFonts w:ascii="宋体" w:hAnsi="宋体" w:cs="宋体" w:eastAsia="宋体" w:hint="default"/>
                <w:sz w:val="18"/>
                <w:szCs w:val="18"/>
              </w:rPr>
            </w:pP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扣非后净利润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）预测数分别为：</w:t>
            </w:r>
            <w:r>
              <w:rPr>
                <w:rFonts w:ascii="Times New Roman" w:hAnsi="Times New Roman" w:cs="Times New Roman" w:eastAsia="Times New Roman" w:hint="default"/>
                <w:spacing w:val="-3"/>
                <w:sz w:val="18"/>
                <w:szCs w:val="18"/>
              </w:rPr>
              <w:t>6145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7227</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万元。若每年度国广光 荣的实际扣非后净利润低于盈利预测数，国广控股、中盛天 誉、江河大禹三方每年补偿总金额的计算方法为：本次交易 </w:t>
            </w:r>
            <w:r>
              <w:rPr>
                <w:rFonts w:ascii="宋体" w:hAnsi="宋体" w:cs="宋体" w:eastAsia="宋体" w:hint="default"/>
                <w:spacing w:val="-1"/>
                <w:sz w:val="18"/>
                <w:szCs w:val="18"/>
              </w:rPr>
              <w:t>股权转让价款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（截至当期期末累积预测扣非后净利润数－截</w:t>
            </w:r>
            <w:r>
              <w:rPr>
                <w:rFonts w:ascii="宋体" w:hAnsi="宋体" w:cs="宋体" w:eastAsia="宋体" w:hint="default"/>
                <w:spacing w:val="-81"/>
                <w:sz w:val="18"/>
                <w:szCs w:val="18"/>
              </w:rPr>
              <w:t> </w:t>
            </w:r>
            <w:r>
              <w:rPr>
                <w:rFonts w:ascii="宋体" w:hAnsi="宋体" w:cs="宋体" w:eastAsia="宋体" w:hint="default"/>
                <w:spacing w:val="-1"/>
                <w:sz w:val="18"/>
                <w:szCs w:val="18"/>
              </w:rPr>
              <w:t>至当期期末累积实际扣非后净利润数）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补偿期限内各年的预</w:t>
            </w:r>
            <w:r>
              <w:rPr>
                <w:rFonts w:ascii="宋体" w:hAnsi="宋体" w:cs="宋体" w:eastAsia="宋体" w:hint="default"/>
                <w:spacing w:val="-80"/>
                <w:sz w:val="18"/>
                <w:szCs w:val="18"/>
              </w:rPr>
              <w:t> </w:t>
            </w:r>
            <w:r>
              <w:rPr>
                <w:rFonts w:ascii="宋体" w:hAnsi="宋体" w:cs="宋体" w:eastAsia="宋体" w:hint="default"/>
                <w:sz w:val="18"/>
                <w:szCs w:val="18"/>
              </w:rPr>
              <w:t>测扣非后净利润数总和－已补偿金额。三方补偿金额按本次 交易中各自所转让持有国广光荣股权比例进行分配。补偿期 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8" w:lineRule="auto" w:before="145"/>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2013 </w:t>
            </w:r>
            <w:r>
              <w:rPr>
                <w:rFonts w:ascii="宋体" w:hAnsi="宋体" w:cs="宋体" w:eastAsia="宋体" w:hint="default"/>
                <w:spacing w:val="-7"/>
                <w:sz w:val="18"/>
                <w:szCs w:val="18"/>
              </w:rPr>
              <w:t>年度、</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年度的 业绩承诺已实现</w:t>
            </w:r>
          </w:p>
        </w:tc>
      </w:tr>
    </w:tbl>
    <w:p>
      <w:pPr>
        <w:spacing w:after="0" w:line="268" w:lineRule="auto"/>
        <w:jc w:val="left"/>
        <w:rPr>
          <w:rFonts w:ascii="宋体" w:hAnsi="宋体" w:cs="宋体" w:eastAsia="宋体" w:hint="default"/>
          <w:sz w:val="18"/>
          <w:szCs w:val="18"/>
        </w:rPr>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249" w:type="dxa"/>
        <w:tblLayout w:type="fixed"/>
        <w:tblCellMar>
          <w:top w:w="0" w:type="dxa"/>
          <w:left w:w="0" w:type="dxa"/>
          <w:bottom w:w="0" w:type="dxa"/>
          <w:right w:w="0" w:type="dxa"/>
        </w:tblCellMar>
        <w:tblLook w:val="01E0"/>
      </w:tblPr>
      <w:tblGrid>
        <w:gridCol w:w="1418"/>
        <w:gridCol w:w="2410"/>
        <w:gridCol w:w="4819"/>
        <w:gridCol w:w="1638"/>
        <w:gridCol w:w="1622"/>
        <w:gridCol w:w="3120"/>
      </w:tblGrid>
      <w:tr>
        <w:trPr>
          <w:trHeight w:val="3185" w:hRule="exact"/>
        </w:trPr>
        <w:tc>
          <w:tcPr>
            <w:tcW w:w="1418"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4819"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before="5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月，公司购买公司实际控制人国广控股所属公司国 视北京所持有的国视上海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股权。国视北京承诺，国视上 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年三个会计年度扣除非经常性损益后归属 </w:t>
            </w:r>
            <w:r>
              <w:rPr>
                <w:rFonts w:ascii="宋体" w:hAnsi="宋体" w:cs="宋体" w:eastAsia="宋体" w:hint="default"/>
                <w:spacing w:val="-3"/>
                <w:sz w:val="18"/>
                <w:szCs w:val="18"/>
              </w:rPr>
              <w:t>于母公司所有者的净利润（以下简称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扣非后净利润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）预测数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分别不低于：</w:t>
            </w:r>
            <w:r>
              <w:rPr>
                <w:rFonts w:ascii="Times New Roman" w:hAnsi="Times New Roman" w:cs="Times New Roman" w:eastAsia="Times New Roman" w:hint="default"/>
                <w:sz w:val="18"/>
                <w:szCs w:val="18"/>
              </w:rPr>
              <w:t>2,020.00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若国视上海补偿期内任一年度的实际扣非后净利润数低于扣 非后净利润预测数，国视北京当年应补偿金额为：本次交易 </w:t>
            </w:r>
            <w:r>
              <w:rPr>
                <w:rFonts w:ascii="宋体" w:hAnsi="宋体" w:cs="宋体" w:eastAsia="宋体" w:hint="default"/>
                <w:spacing w:val="-1"/>
                <w:sz w:val="18"/>
                <w:szCs w:val="18"/>
              </w:rPr>
              <w:t>价格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（截至当期期末累积预测扣非后净利润数－截至当期期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末累积实际扣非后净利润数）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补偿期限内各年的预测扣非后</w:t>
            </w:r>
            <w:r>
              <w:rPr>
                <w:rFonts w:ascii="宋体" w:hAnsi="宋体" w:cs="宋体" w:eastAsia="宋体" w:hint="default"/>
                <w:spacing w:val="-80"/>
                <w:sz w:val="18"/>
                <w:szCs w:val="18"/>
              </w:rPr>
              <w:t> </w:t>
            </w:r>
            <w:r>
              <w:rPr>
                <w:rFonts w:ascii="宋体" w:hAnsi="宋体" w:cs="宋体" w:eastAsia="宋体" w:hint="default"/>
                <w:sz w:val="18"/>
                <w:szCs w:val="18"/>
              </w:rPr>
              <w:t>净利润数总和－已补偿金额。补偿期限自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6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1" w:lineRule="auto"/>
              <w:ind w:left="23" w:right="23"/>
              <w:jc w:val="left"/>
              <w:rPr>
                <w:rFonts w:ascii="宋体" w:hAnsi="宋体" w:cs="宋体" w:eastAsia="宋体" w:hint="default"/>
                <w:sz w:val="18"/>
                <w:szCs w:val="18"/>
              </w:rPr>
            </w:pPr>
            <w:r>
              <w:rPr>
                <w:rFonts w:ascii="宋体" w:hAnsi="宋体" w:cs="宋体" w:eastAsia="宋体" w:hint="default"/>
                <w:spacing w:val="-4"/>
                <w:sz w:val="18"/>
                <w:szCs w:val="18"/>
              </w:rPr>
              <w:t>正在履行之中，</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年度的业绩承诺已 实现</w:t>
            </w:r>
          </w:p>
        </w:tc>
      </w:tr>
      <w:tr>
        <w:trPr>
          <w:trHeight w:val="650"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1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ind w:left="679" w:right="749"/>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679"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978"/>
        <w:gridCol w:w="1560"/>
        <w:gridCol w:w="1559"/>
        <w:gridCol w:w="1196"/>
        <w:gridCol w:w="1356"/>
        <w:gridCol w:w="1417"/>
        <w:gridCol w:w="1560"/>
        <w:gridCol w:w="3542"/>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3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非发行股份购买资产暨关联交易事项 之公司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年度备考合并盈利预测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68,293.23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90,726.92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详见公司在巨潮网披露的《备考合并盈利预 测审核报告》</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发行股份及支付现金购买资产并募集 配套资金事项之公司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年度备考 合并盈利预测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111,356.91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113,811.54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详见公司在巨潮网披露的《备考合并盈利预 测审核报告》</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国广光荣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7,227.00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7,228.10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详见公司在巨潮网披露的《购买资产暨关联 </w:t>
            </w:r>
            <w:r>
              <w:rPr>
                <w:rFonts w:ascii="宋体" w:hAnsi="宋体" w:cs="宋体" w:eastAsia="宋体" w:hint="default"/>
                <w:spacing w:val="-5"/>
                <w:sz w:val="18"/>
                <w:szCs w:val="18"/>
              </w:rPr>
              <w:t>交易公告》（公告编号：</w:t>
            </w:r>
            <w:r>
              <w:rPr>
                <w:rFonts w:ascii="Times New Roman" w:hAnsi="Times New Roman" w:cs="Times New Roman" w:eastAsia="Times New Roman" w:hint="default"/>
                <w:spacing w:val="-5"/>
                <w:sz w:val="18"/>
                <w:szCs w:val="18"/>
              </w:rPr>
              <w:t>2013-003</w:t>
            </w:r>
            <w:r>
              <w:rPr>
                <w:rFonts w:ascii="宋体" w:hAnsi="宋体" w:cs="宋体" w:eastAsia="宋体" w:hint="default"/>
                <w:spacing w:val="-5"/>
                <w:sz w:val="18"/>
                <w:szCs w:val="18"/>
              </w:rPr>
              <w:t>）</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华商传媒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38.75%</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15,662.83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15,846.70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团股份有限公司向特定对象发行股份购买资 产暨关联交易报告书》</w:t>
            </w:r>
          </w:p>
        </w:tc>
      </w:tr>
    </w:tbl>
    <w:p>
      <w:pPr>
        <w:spacing w:after="0" w:line="319" w:lineRule="auto"/>
        <w:jc w:val="both"/>
        <w:rPr>
          <w:rFonts w:ascii="宋体" w:hAnsi="宋体" w:cs="宋体" w:eastAsia="宋体" w:hint="default"/>
          <w:sz w:val="18"/>
          <w:szCs w:val="18"/>
        </w:rPr>
        <w:sectPr>
          <w:pgSz w:w="16840" w:h="11910" w:orient="landscape"/>
          <w:pgMar w:header="867" w:footer="978" w:top="1060" w:bottom="1160" w:left="760" w:right="68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78"/>
        <w:gridCol w:w="1560"/>
        <w:gridCol w:w="1559"/>
        <w:gridCol w:w="1196"/>
        <w:gridCol w:w="1356"/>
        <w:gridCol w:w="1417"/>
        <w:gridCol w:w="1560"/>
        <w:gridCol w:w="3542"/>
      </w:tblGrid>
      <w:tr>
        <w:trPr>
          <w:trHeight w:val="1040" w:hRule="exact"/>
        </w:trPr>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华商传媒八家附属公司少数股东权益</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11,517.36</w:t>
            </w:r>
          </w:p>
        </w:tc>
        <w:tc>
          <w:tcPr>
            <w:tcW w:w="13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11,693.15</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团股份有限公司向特定对象发行股份购买资 产暨关联交易报告书》</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澄怀科技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6,449.87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6,464.57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团股份有限公司向特定对象发行股份购买资 产暨关联交易报告书》</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国视上海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2,020.00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2,027.86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详见公司在巨潮网披露的《购买资产暨关联 </w:t>
            </w:r>
            <w:r>
              <w:rPr>
                <w:rFonts w:ascii="宋体" w:hAnsi="宋体" w:cs="宋体" w:eastAsia="宋体" w:hint="default"/>
                <w:spacing w:val="-5"/>
                <w:sz w:val="18"/>
                <w:szCs w:val="18"/>
              </w:rPr>
              <w:t>交易公告》（公告编号：</w:t>
            </w:r>
            <w:r>
              <w:rPr>
                <w:rFonts w:ascii="Times New Roman" w:hAnsi="Times New Roman" w:cs="Times New Roman" w:eastAsia="Times New Roman" w:hint="default"/>
                <w:spacing w:val="-5"/>
                <w:sz w:val="18"/>
                <w:szCs w:val="18"/>
              </w:rPr>
              <w:t>2014-038</w:t>
            </w:r>
            <w:r>
              <w:rPr>
                <w:rFonts w:ascii="宋体" w:hAnsi="宋体" w:cs="宋体" w:eastAsia="宋体" w:hint="default"/>
                <w:spacing w:val="-5"/>
                <w:sz w:val="18"/>
                <w:szCs w:val="18"/>
              </w:rPr>
              <w:t>）</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掌视亿通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9,035.00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10,213.96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团股份有限公司发行股份及支付现金购买资 </w:t>
            </w:r>
            <w:r>
              <w:rPr>
                <w:rFonts w:ascii="宋体" w:hAnsi="宋体" w:cs="宋体" w:eastAsia="宋体" w:hint="default"/>
                <w:spacing w:val="-6"/>
                <w:sz w:val="18"/>
                <w:szCs w:val="18"/>
              </w:rPr>
              <w:t>产并募集配套资金报告书》（修订稿）</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精视文化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3,600.00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3,713.44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团股份有限公司发行股份及支付现金购买资 </w:t>
            </w:r>
            <w:r>
              <w:rPr>
                <w:rFonts w:ascii="宋体" w:hAnsi="宋体" w:cs="宋体" w:eastAsia="宋体" w:hint="default"/>
                <w:spacing w:val="-6"/>
                <w:sz w:val="18"/>
                <w:szCs w:val="18"/>
              </w:rPr>
              <w:t>产并募集配套资金报告书》（修订稿）</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邦富软件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5,207.37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团股份有限公司发行股份及支付现金购买资 </w:t>
            </w:r>
            <w:r>
              <w:rPr>
                <w:rFonts w:ascii="宋体" w:hAnsi="宋体" w:cs="宋体" w:eastAsia="宋体" w:hint="default"/>
                <w:spacing w:val="-6"/>
                <w:sz w:val="18"/>
                <w:szCs w:val="18"/>
              </w:rPr>
              <w:t>产并募集配套资金报告书》（修订稿）</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漫友文化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85.61%</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2,311.47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2,526.93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详见公司在巨潮网披露的《华闻传媒投资集 团股份有限公司发行股份及支付现金购买资 </w:t>
            </w:r>
            <w:r>
              <w:rPr>
                <w:rFonts w:ascii="宋体" w:hAnsi="宋体" w:cs="宋体" w:eastAsia="宋体" w:hint="default"/>
                <w:spacing w:val="-6"/>
                <w:sz w:val="18"/>
                <w:szCs w:val="18"/>
              </w:rPr>
              <w:t>产并募集配套资金报告书》（修订稿）</w:t>
            </w:r>
          </w:p>
        </w:tc>
      </w:tr>
    </w:tbl>
    <w:p>
      <w:pPr>
        <w:pStyle w:val="Heading5"/>
        <w:spacing w:line="240" w:lineRule="auto" w:before="1"/>
        <w:ind w:left="679" w:right="749"/>
        <w:jc w:val="left"/>
      </w:pPr>
      <w:r>
        <w:rPr/>
        <w:t>公司股东、交易对手方在报告年度经营业绩做出的承诺情况</w:t>
      </w:r>
    </w:p>
    <w:p>
      <w:pPr>
        <w:pStyle w:val="Heading5"/>
        <w:spacing w:line="240" w:lineRule="auto" w:before="38"/>
        <w:ind w:left="679"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5"/>
        <w:spacing w:line="240" w:lineRule="auto" w:before="18"/>
        <w:ind w:left="679" w:right="749"/>
        <w:jc w:val="left"/>
      </w:pPr>
      <w:r>
        <w:rPr/>
        <w:t>2013</w:t>
      </w:r>
      <w:r>
        <w:rPr>
          <w:spacing w:val="-60"/>
        </w:rPr>
        <w:t> </w:t>
      </w:r>
      <w:r>
        <w:rPr/>
        <w:t>年重大资产重组标的资产</w:t>
      </w:r>
      <w:r>
        <w:rPr>
          <w:spacing w:val="-60"/>
        </w:rPr>
        <w:t> </w:t>
      </w:r>
      <w:r>
        <w:rPr/>
        <w:t>2014</w:t>
      </w:r>
      <w:r>
        <w:rPr>
          <w:spacing w:val="-60"/>
        </w:rPr>
        <w:t> </w:t>
      </w:r>
      <w:r>
        <w:rPr/>
        <w:t>年净利润实现数为人民币</w:t>
      </w:r>
      <w:r>
        <w:rPr>
          <w:spacing w:val="-60"/>
        </w:rPr>
        <w:t> </w:t>
      </w:r>
      <w:r>
        <w:rPr/>
        <w:t>34,004.42</w:t>
      </w:r>
      <w:r>
        <w:rPr>
          <w:spacing w:val="-60"/>
        </w:rPr>
        <w:t> </w:t>
      </w:r>
      <w:r>
        <w:rPr>
          <w:spacing w:val="-4"/>
        </w:rPr>
        <w:t>万元，标的资产</w:t>
      </w:r>
      <w:r>
        <w:rPr>
          <w:spacing w:val="-60"/>
        </w:rPr>
        <w:t> </w:t>
      </w:r>
      <w:r>
        <w:rPr/>
        <w:t>2014</w:t>
      </w:r>
      <w:r>
        <w:rPr>
          <w:spacing w:val="-60"/>
        </w:rPr>
        <w:t> </w:t>
      </w:r>
      <w:r>
        <w:rPr/>
        <w:t>年净利润预测数为人民币</w:t>
      </w:r>
      <w:r>
        <w:rPr>
          <w:spacing w:val="-60"/>
        </w:rPr>
        <w:t> </w:t>
      </w:r>
      <w:r>
        <w:rPr/>
        <w:t>33,630.06</w:t>
      </w:r>
      <w:r>
        <w:rPr>
          <w:spacing w:val="-60"/>
        </w:rPr>
        <w:t> </w:t>
      </w:r>
      <w:r>
        <w:rPr/>
        <w:t>万</w:t>
      </w:r>
      <w:r>
        <w:rPr/>
        <w:t> 元，实现数高于盈利预测数人民币</w:t>
      </w:r>
      <w:r>
        <w:rPr>
          <w:spacing w:val="-60"/>
        </w:rPr>
        <w:t> </w:t>
      </w:r>
      <w:r>
        <w:rPr/>
        <w:t>374.36</w:t>
      </w:r>
      <w:r>
        <w:rPr>
          <w:spacing w:val="-60"/>
        </w:rPr>
        <w:t> </w:t>
      </w:r>
      <w:r>
        <w:rPr/>
        <w:t>万元。2013</w:t>
      </w:r>
      <w:r>
        <w:rPr>
          <w:spacing w:val="-60"/>
        </w:rPr>
        <w:t> </w:t>
      </w:r>
      <w:r>
        <w:rPr/>
        <w:t>年重大资产重组标的资产</w:t>
      </w:r>
      <w:r>
        <w:rPr>
          <w:spacing w:val="-60"/>
        </w:rPr>
        <w:t> </w:t>
      </w:r>
      <w:r>
        <w:rPr/>
        <w:t>2014</w:t>
      </w:r>
      <w:r>
        <w:rPr>
          <w:spacing w:val="-60"/>
        </w:rPr>
        <w:t> </w:t>
      </w:r>
      <w:r>
        <w:rPr/>
        <w:t>年度盈利预测实现完成率为</w:t>
      </w:r>
      <w:r>
        <w:rPr>
          <w:spacing w:val="-60"/>
        </w:rPr>
        <w:t> </w:t>
      </w:r>
      <w:r>
        <w:rPr/>
        <w:t>101.11%。</w:t>
      </w:r>
    </w:p>
    <w:p>
      <w:pPr>
        <w:pStyle w:val="Heading5"/>
        <w:spacing w:line="240" w:lineRule="auto" w:before="37"/>
        <w:ind w:left="679" w:right="841"/>
        <w:jc w:val="left"/>
      </w:pPr>
      <w:r>
        <w:rPr/>
        <w:t>2014</w:t>
      </w:r>
      <w:r>
        <w:rPr>
          <w:spacing w:val="-60"/>
        </w:rPr>
        <w:t> </w:t>
      </w:r>
      <w:r>
        <w:rPr/>
        <w:t>年重大资产重组标的资产</w:t>
      </w:r>
      <w:r>
        <w:rPr>
          <w:spacing w:val="-60"/>
        </w:rPr>
        <w:t> </w:t>
      </w:r>
      <w:r>
        <w:rPr/>
        <w:t>2014</w:t>
      </w:r>
      <w:r>
        <w:rPr>
          <w:spacing w:val="-60"/>
        </w:rPr>
        <w:t> </w:t>
      </w:r>
      <w:r>
        <w:rPr/>
        <w:t>年净利润实现数为人民币</w:t>
      </w:r>
      <w:r>
        <w:rPr>
          <w:spacing w:val="-60"/>
        </w:rPr>
        <w:t> </w:t>
      </w:r>
      <w:r>
        <w:rPr/>
        <w:t>21,661.70</w:t>
      </w:r>
      <w:r>
        <w:rPr>
          <w:spacing w:val="-60"/>
        </w:rPr>
        <w:t> </w:t>
      </w:r>
      <w:r>
        <w:rPr/>
        <w:t>万元，标的资产净利润预测数为人民币</w:t>
      </w:r>
      <w:r>
        <w:rPr>
          <w:spacing w:val="-60"/>
        </w:rPr>
        <w:t> </w:t>
      </w:r>
      <w:r>
        <w:rPr/>
        <w:t>19,946.47</w:t>
      </w:r>
      <w:r>
        <w:rPr>
          <w:spacing w:val="-60"/>
        </w:rPr>
        <w:t> </w:t>
      </w:r>
      <w:r>
        <w:rPr/>
        <w:t>万元，实</w:t>
      </w:r>
      <w:r>
        <w:rPr/>
        <w:t> 现数高于盈利预测数人民币</w:t>
      </w:r>
      <w:r>
        <w:rPr>
          <w:spacing w:val="-60"/>
        </w:rPr>
        <w:t> </w:t>
      </w:r>
      <w:r>
        <w:rPr/>
        <w:t>1,715.23</w:t>
      </w:r>
      <w:r>
        <w:rPr>
          <w:spacing w:val="-60"/>
        </w:rPr>
        <w:t> </w:t>
      </w:r>
      <w:r>
        <w:rPr/>
        <w:t>万元。2014</w:t>
      </w:r>
      <w:r>
        <w:rPr>
          <w:spacing w:val="-60"/>
        </w:rPr>
        <w:t> </w:t>
      </w:r>
      <w:r>
        <w:rPr/>
        <w:t>年重大资产重组标的资产</w:t>
      </w:r>
      <w:r>
        <w:rPr>
          <w:spacing w:val="-60"/>
        </w:rPr>
        <w:t> </w:t>
      </w:r>
      <w:r>
        <w:rPr/>
        <w:t>2014</w:t>
      </w:r>
      <w:r>
        <w:rPr>
          <w:spacing w:val="-60"/>
        </w:rPr>
        <w:t> </w:t>
      </w:r>
      <w:r>
        <w:rPr/>
        <w:t>年度盈利预测实现完成率为</w:t>
      </w:r>
      <w:r>
        <w:rPr>
          <w:spacing w:val="-60"/>
        </w:rPr>
        <w:t> </w:t>
      </w:r>
      <w:r>
        <w:rPr/>
        <w:t>108.60%。</w:t>
      </w:r>
    </w:p>
    <w:p>
      <w:pPr>
        <w:spacing w:after="0" w:line="240" w:lineRule="auto"/>
        <w:jc w:val="left"/>
        <w:sectPr>
          <w:pgSz w:w="16840" w:h="11910" w:orient="landscape"/>
          <w:pgMar w:header="867" w:footer="978" w:top="1060" w:bottom="1160" w:left="7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68" w:lineRule="auto" w:before="26"/>
        <w:ind w:left="154" w:right="6276" w:firstLine="0"/>
        <w:jc w:val="left"/>
        <w:rPr>
          <w:rFonts w:ascii="宋体" w:hAnsi="宋体" w:cs="宋体" w:eastAsia="宋体" w:hint="default"/>
          <w:sz w:val="24"/>
          <w:szCs w:val="24"/>
        </w:rPr>
      </w:pPr>
      <w:r>
        <w:rPr/>
        <w:pict>
          <v:shape style="position:absolute;margin-left:56.459999pt;margin-top:51.436058pt;width:479.1pt;height:80.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高敏、谢晖</w:t>
                        </w:r>
                      </w:p>
                    </w:tc>
                  </w:tr>
                </w:tbl>
                <w:p>
                  <w:pPr/>
                </w:p>
              </w:txbxContent>
            </v:textbox>
            <w10:wrap type="none"/>
          </v:shape>
        </w:pict>
      </w:r>
      <w:r>
        <w:rPr>
          <w:rFonts w:ascii="宋体" w:hAnsi="宋体" w:cs="宋体" w:eastAsia="宋体" w:hint="default"/>
          <w:b/>
          <w:bCs/>
          <w:sz w:val="24"/>
          <w:szCs w:val="24"/>
        </w:rPr>
        <w:t>九、聘任、解聘会计师事务所情况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8"/>
        <w:ind w:left="154" w:right="133"/>
        <w:jc w:val="left"/>
      </w:pPr>
      <w:r>
        <w:rPr/>
        <w:t>当期是否改聘会计师事务所</w:t>
      </w:r>
    </w:p>
    <w:p>
      <w:pPr>
        <w:pStyle w:val="Heading5"/>
        <w:spacing w:line="254" w:lineRule="auto" w:before="38"/>
        <w:ind w:right="3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Heading5"/>
        <w:spacing w:line="309" w:lineRule="auto" w:before="24"/>
        <w:ind w:left="636" w:right="133" w:hanging="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报告期内，公司续聘立信会计师事务所（特殊普通合伙）担任2014年度内控审计工作，</w:t>
      </w:r>
    </w:p>
    <w:p>
      <w:pPr>
        <w:pStyle w:val="Heading5"/>
        <w:spacing w:line="307" w:lineRule="auto" w:before="16"/>
        <w:ind w:left="636" w:right="133" w:hanging="483"/>
        <w:jc w:val="left"/>
      </w:pPr>
      <w:r>
        <w:rPr/>
        <w:t>内控审计费用40万元，已支付16万元，尚有24万元未支付。 本年度，因重大资产重组事项，公司聘请民生证券股份有限公司担任重大资产重组的独</w:t>
      </w:r>
    </w:p>
    <w:p>
      <w:pPr>
        <w:pStyle w:val="Heading5"/>
        <w:spacing w:line="240" w:lineRule="auto" w:before="18"/>
        <w:ind w:left="154" w:right="133"/>
        <w:jc w:val="left"/>
      </w:pPr>
      <w:r>
        <w:rPr/>
        <w:t>立财务顾问，独立财务顾问费合计1000万元，报告期内支付报酬300万元。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Heading4"/>
        <w:spacing w:line="240" w:lineRule="auto" w:before="0"/>
        <w:ind w:right="133"/>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1"/>
          <w:szCs w:val="21"/>
        </w:rPr>
      </w:pPr>
    </w:p>
    <w:p>
      <w:pPr>
        <w:spacing w:line="444" w:lineRule="auto" w:before="0"/>
        <w:ind w:left="153" w:right="700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十一、其他重大事项的说明</w:t>
      </w:r>
      <w:r>
        <w:rPr>
          <w:rFonts w:ascii="宋体" w:hAnsi="宋体" w:cs="宋体" w:eastAsia="宋体" w:hint="default"/>
          <w:sz w:val="24"/>
          <w:szCs w:val="24"/>
        </w:rPr>
      </w:r>
    </w:p>
    <w:p>
      <w:pPr>
        <w:pStyle w:val="Heading5"/>
        <w:spacing w:line="252" w:lineRule="auto" w:before="95"/>
        <w:ind w:left="154" w:right="3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报告期内，公司在指定网站和公司网站上披露的重要事项如下：</w:t>
      </w:r>
    </w:p>
    <w:p>
      <w:pPr>
        <w:spacing w:line="240" w:lineRule="auto" w:before="10"/>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公告标题</w:t>
            </w:r>
          </w:p>
        </w:tc>
        <w:tc>
          <w:tcPr>
            <w:tcW w:w="2268"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披露时间</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2014-001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关于签订有关认购及买卖品牌中国集团有限公司股份备忘</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录的公告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01</w:t>
            </w:r>
            <w:r>
              <w:rPr>
                <w:rFonts w:ascii="宋体" w:hAnsi="宋体" w:cs="宋体" w:eastAsia="宋体" w:hint="default"/>
                <w:sz w:val="24"/>
                <w:szCs w:val="24"/>
              </w:rPr>
              <w:t>月</w:t>
            </w:r>
            <w:r>
              <w:rPr>
                <w:rFonts w:ascii="Times New Roman" w:hAnsi="Times New Roman" w:cs="Times New Roman" w:eastAsia="Times New Roman" w:hint="default"/>
                <w:sz w:val="24"/>
                <w:szCs w:val="24"/>
              </w:rPr>
              <w:t>02</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2014-002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关于控股子公司与海口市国土资源局签署《国有建设用地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使用权出让合同》的公告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01</w:t>
            </w:r>
            <w:r>
              <w:rPr>
                <w:rFonts w:ascii="宋体" w:hAnsi="宋体" w:cs="宋体" w:eastAsia="宋体" w:hint="default"/>
                <w:sz w:val="24"/>
                <w:szCs w:val="24"/>
              </w:rPr>
              <w:t>月</w:t>
            </w:r>
            <w:r>
              <w:rPr>
                <w:rFonts w:ascii="Times New Roman" w:hAnsi="Times New Roman" w:cs="Times New Roman" w:eastAsia="Times New Roman" w:hint="default"/>
                <w:sz w:val="24"/>
                <w:szCs w:val="24"/>
              </w:rPr>
              <w:t>08</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2014-003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2014-004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关于海南民生长流油气储运有限公司股权公开挂牌转让的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01</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2014-005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关于公司第二大股东工商注册信息变更的公告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02</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2014-006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关于相关方承诺情况的公告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02</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2014-007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关于海南民生长流油气储运有限公司股权公开挂牌转让进</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展情况的公告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bl>
    <w:p>
      <w:pPr>
        <w:spacing w:after="0" w:line="240" w:lineRule="auto"/>
        <w:jc w:val="center"/>
        <w:rPr>
          <w:rFonts w:ascii="宋体" w:hAnsi="宋体" w:cs="宋体" w:eastAsia="宋体" w:hint="default"/>
          <w:sz w:val="24"/>
          <w:szCs w:val="24"/>
        </w:rPr>
        <w:sectPr>
          <w:headerReference w:type="default" r:id="rId25"/>
          <w:footerReference w:type="default" r:id="rId26"/>
          <w:pgSz w:w="11910" w:h="16840"/>
          <w:pgMar w:header="877" w:footer="982" w:top="1100" w:bottom="1180" w:left="980" w:right="860"/>
          <w:pgNumType w:start="58"/>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656" w:hRule="exact"/>
        </w:trPr>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2014-008</w:t>
            </w: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关于海南民生长流油气储运有限公司股权公开挂牌转让进</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展情况的公告</w:t>
            </w:r>
          </w:p>
        </w:tc>
        <w:tc>
          <w:tcPr>
            <w:tcW w:w="22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02</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2014-009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关于第二大股东出资结构变更的公告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02</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关于公司高级管理人员退休的公告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08</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重要事项停牌公告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第六届董事会第七次会议决议公告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第六届监事会第六次会议决议公告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关于同一控制下企业合并对前期财务报表进行调整的说明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pacing w:val="2"/>
                <w:sz w:val="24"/>
                <w:szCs w:val="24"/>
              </w:rPr>
              <w:t>关于公司</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年度对以前报告期披露的财务报表数据由于</w:t>
            </w:r>
            <w:r>
              <w:rPr>
                <w:rFonts w:ascii="宋体" w:hAnsi="宋体" w:cs="宋体" w:eastAsia="宋体" w:hint="default"/>
                <w:spacing w:val="-106"/>
                <w:sz w:val="24"/>
                <w:szCs w:val="24"/>
              </w:rPr>
              <w:t> </w:t>
            </w:r>
            <w:r>
              <w:rPr>
                <w:rFonts w:ascii="宋体" w:hAnsi="宋体" w:cs="宋体" w:eastAsia="宋体" w:hint="default"/>
                <w:sz w:val="24"/>
                <w:szCs w:val="24"/>
              </w:rPr>
              <w:t>同一控制下企业合并进行追溯调整的专项说明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年度报告摘要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年度报告全文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控股股东及其他关联方占用资金情况的专项说明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pacing w:val="2"/>
                <w:sz w:val="24"/>
                <w:szCs w:val="24"/>
              </w:rPr>
              <w:t>独立董事关于</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年度公司对外担保情况等有关事项的独</w:t>
            </w:r>
            <w:r>
              <w:rPr>
                <w:rFonts w:ascii="宋体" w:hAnsi="宋体" w:cs="宋体" w:eastAsia="宋体" w:hint="default"/>
                <w:spacing w:val="-103"/>
                <w:sz w:val="24"/>
                <w:szCs w:val="24"/>
              </w:rPr>
              <w:t> </w:t>
            </w:r>
            <w:r>
              <w:rPr>
                <w:rFonts w:ascii="宋体" w:hAnsi="宋体" w:cs="宋体" w:eastAsia="宋体" w:hint="default"/>
                <w:sz w:val="24"/>
                <w:szCs w:val="24"/>
              </w:rPr>
              <w:t>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年度述职报告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年度内部控制评价报告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年度内控审计报告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年度社会责任报告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年度投资者关系管理工作计划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关于坏账核销的公告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2014-016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pacing w:val="2"/>
                <w:sz w:val="24"/>
                <w:szCs w:val="24"/>
              </w:rPr>
              <w:t>关于重大资产重组相关资产</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年度业绩承诺实现情况的</w:t>
            </w:r>
            <w:r>
              <w:rPr>
                <w:rFonts w:ascii="宋体" w:hAnsi="宋体" w:cs="宋体" w:eastAsia="宋体" w:hint="default"/>
                <w:spacing w:val="-103"/>
                <w:sz w:val="24"/>
                <w:szCs w:val="24"/>
              </w:rPr>
              <w:t> </w:t>
            </w:r>
            <w:r>
              <w:rPr>
                <w:rFonts w:ascii="宋体" w:hAnsi="宋体" w:cs="宋体" w:eastAsia="宋体" w:hint="default"/>
                <w:sz w:val="24"/>
                <w:szCs w:val="24"/>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2014-017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pacing w:val="2"/>
                <w:sz w:val="24"/>
                <w:szCs w:val="24"/>
              </w:rPr>
              <w:t>关于重大资产重组相关资产</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年度业绩承诺股份补偿实</w:t>
            </w:r>
            <w:r>
              <w:rPr>
                <w:rFonts w:ascii="宋体" w:hAnsi="宋体" w:cs="宋体" w:eastAsia="宋体" w:hint="default"/>
                <w:spacing w:val="-103"/>
                <w:sz w:val="24"/>
                <w:szCs w:val="24"/>
              </w:rPr>
              <w:t> </w:t>
            </w:r>
            <w:r>
              <w:rPr>
                <w:rFonts w:ascii="宋体" w:hAnsi="宋体" w:cs="宋体" w:eastAsia="宋体" w:hint="default"/>
                <w:sz w:val="24"/>
                <w:szCs w:val="24"/>
              </w:rPr>
              <w:t>施方案的公告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pacing w:val="2"/>
                <w:sz w:val="24"/>
                <w:szCs w:val="24"/>
              </w:rPr>
              <w:t>关于公司</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年度标的资产盈利预测实现情况专项审核报</w:t>
            </w:r>
            <w:r>
              <w:rPr>
                <w:rFonts w:ascii="宋体" w:hAnsi="宋体" w:cs="宋体" w:eastAsia="宋体" w:hint="default"/>
                <w:spacing w:val="-106"/>
                <w:sz w:val="24"/>
                <w:szCs w:val="24"/>
              </w:rPr>
              <w:t> </w:t>
            </w:r>
            <w:r>
              <w:rPr>
                <w:rFonts w:ascii="宋体" w:hAnsi="宋体" w:cs="宋体" w:eastAsia="宋体" w:hint="default"/>
                <w:sz w:val="24"/>
                <w:szCs w:val="24"/>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年度备考盈利预测实现情况专项审核报告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渤海证券股份有限公司关于公司向特定对象发行股份购买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资产暨关联交易</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年度业绩承诺实现情况的审核意见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共同投资暨关联交易公告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2014-019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关于重大资产重组停牌公告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2014-020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25"/>
              <w:jc w:val="left"/>
              <w:rPr>
                <w:rFonts w:ascii="宋体" w:hAnsi="宋体" w:cs="宋体" w:eastAsia="宋体" w:hint="default"/>
                <w:sz w:val="24"/>
                <w:szCs w:val="24"/>
              </w:rPr>
            </w:pPr>
            <w:r>
              <w:rPr>
                <w:rFonts w:ascii="宋体" w:hAnsi="宋体" w:cs="宋体" w:eastAsia="宋体" w:hint="default"/>
                <w:spacing w:val="-2"/>
                <w:sz w:val="24"/>
                <w:szCs w:val="24"/>
              </w:rPr>
              <w:t>关于《</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年度备考合并盈利预测实现情况专项审核报告</w:t>
            </w:r>
            <w:r>
              <w:rPr>
                <w:rFonts w:ascii="宋体" w:hAnsi="宋体" w:cs="宋体" w:eastAsia="宋体" w:hint="default"/>
                <w:spacing w:val="-113"/>
                <w:sz w:val="24"/>
                <w:szCs w:val="24"/>
              </w:rPr>
              <w:t> </w:t>
            </w:r>
            <w:r>
              <w:rPr>
                <w:rFonts w:ascii="宋体" w:hAnsi="宋体" w:cs="宋体" w:eastAsia="宋体" w:hint="default"/>
                <w:sz w:val="24"/>
                <w:szCs w:val="24"/>
              </w:rPr>
              <w:t>的补充公告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6"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spacing w:line="253" w:lineRule="exact"/>
              <w:ind w:left="28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4" w:right="-11"/>
              <w:jc w:val="left"/>
              <w:rPr>
                <w:rFonts w:ascii="宋体" w:hAnsi="宋体" w:cs="宋体" w:eastAsia="宋体" w:hint="default"/>
                <w:sz w:val="24"/>
                <w:szCs w:val="24"/>
              </w:rPr>
            </w:pPr>
            <w:r>
              <w:rPr>
                <w:rFonts w:ascii="宋体" w:hAnsi="宋体" w:cs="宋体" w:eastAsia="宋体" w:hint="default"/>
                <w:spacing w:val="12"/>
                <w:sz w:val="24"/>
                <w:szCs w:val="24"/>
              </w:rPr>
              <w:t>关于公司</w:t>
            </w:r>
            <w:r>
              <w:rPr>
                <w:rFonts w:ascii="Times New Roman" w:hAnsi="Times New Roman" w:cs="Times New Roman" w:eastAsia="Times New Roman" w:hint="default"/>
                <w:spacing w:val="12"/>
                <w:sz w:val="24"/>
                <w:szCs w:val="24"/>
              </w:rPr>
              <w:t>2013</w:t>
            </w:r>
            <w:r>
              <w:rPr>
                <w:rFonts w:ascii="宋体" w:hAnsi="宋体" w:cs="宋体" w:eastAsia="宋体" w:hint="default"/>
                <w:spacing w:val="12"/>
                <w:sz w:val="24"/>
                <w:szCs w:val="24"/>
              </w:rPr>
              <w:t>年度备考盈利预测实现情况专项审核报告</w:t>
            </w:r>
            <w:r>
              <w:rPr>
                <w:rFonts w:ascii="宋体" w:hAnsi="宋体" w:cs="宋体" w:eastAsia="宋体" w:hint="default"/>
                <w:sz w:val="24"/>
                <w:szCs w:val="24"/>
              </w:rPr>
            </w:r>
          </w:p>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（补充后）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2014-021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关于海南民生长流油气储运有限公司股权公开挂牌转让进</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展情况的公告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20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渤海证券股份有限公司关于公司向特定对象发行股份购买</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03</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资产暨关联交易之持续督导工作报告</w:t>
            </w:r>
          </w:p>
        </w:tc>
        <w:tc>
          <w:tcPr>
            <w:tcW w:w="2268" w:type="dxa"/>
            <w:tcBorders>
              <w:top w:val="single" w:sz="6" w:space="0" w:color="000000"/>
              <w:left w:val="single" w:sz="4" w:space="0" w:color="000000"/>
              <w:bottom w:val="single" w:sz="4" w:space="0" w:color="000000"/>
              <w:right w:val="single" w:sz="4" w:space="0" w:color="000000"/>
            </w:tcBorders>
          </w:tcPr>
          <w:p>
            <w:pP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02</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年第二次临时会议决议公告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03</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年度股东大会的通知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03</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年第一季度业绩预告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11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关于筹划重组停牌期满申请继续停牌公告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2014-029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关于相关方承诺履行进展情况的公告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18</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关于公司高级管理人员辞职的公告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22</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年度股东大会的提示性通知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22</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第六届董事会第八次会议决议公告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年第一季度报告正文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年第一季度报告全文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年第一季度审计报告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年度股东大会决议公告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年度股东大会的法律意见书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关于实施股份回购并注销事项债权人通知的公告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年第四次临时会议决议公告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关于购买国视通讯（上海）有限公司</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股权的独立意见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购买资产暨关联交易公告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国视上海</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年度及</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年第一季度审计报告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国视上海</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年度及</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年第一季度备考财务报表审计报</w:t>
            </w:r>
            <w:r>
              <w:rPr>
                <w:rFonts w:ascii="宋体" w:hAnsi="宋体" w:cs="宋体" w:eastAsia="宋体" w:hint="default"/>
                <w:spacing w:val="-116"/>
                <w:sz w:val="24"/>
                <w:szCs w:val="24"/>
              </w:rPr>
              <w:t> </w:t>
            </w:r>
            <w:r>
              <w:rPr>
                <w:rFonts w:ascii="宋体" w:hAnsi="宋体" w:cs="宋体" w:eastAsia="宋体" w:hint="default"/>
                <w:sz w:val="24"/>
                <w:szCs w:val="24"/>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国视上海资产评估报告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国视上海资产评估说明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2014-039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年第一次临时股东大会的通知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05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购买资产暨关联交易补充公告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06</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关于购买国视通讯（上海）有限公司</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股权的补充独立 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06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年第一次临时股东大会的提示性通知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2014-044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11"/>
              <w:jc w:val="left"/>
              <w:rPr>
                <w:rFonts w:ascii="宋体" w:hAnsi="宋体" w:cs="宋体" w:eastAsia="宋体" w:hint="default"/>
                <w:sz w:val="24"/>
                <w:szCs w:val="24"/>
              </w:rPr>
            </w:pPr>
            <w:r>
              <w:rPr>
                <w:rFonts w:ascii="宋体" w:hAnsi="宋体" w:cs="宋体" w:eastAsia="宋体" w:hint="default"/>
                <w:sz w:val="24"/>
                <w:szCs w:val="24"/>
              </w:rPr>
              <w:t>关于参加</w:t>
            </w:r>
            <w:r>
              <w:rPr>
                <w:rFonts w:ascii="Times New Roman" w:hAnsi="Times New Roman" w:cs="Times New Roman" w:eastAsia="Times New Roman" w:hint="default"/>
                <w:sz w:val="24"/>
                <w:szCs w:val="24"/>
              </w:rPr>
              <w:t>“</w:t>
            </w:r>
            <w:r>
              <w:rPr>
                <w:rFonts w:ascii="宋体" w:hAnsi="宋体" w:cs="宋体" w:eastAsia="宋体" w:hint="default"/>
                <w:sz w:val="24"/>
                <w:szCs w:val="24"/>
              </w:rPr>
              <w:t>海南辖区上市公司</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年度业绩网上集体说明 会</w:t>
            </w:r>
            <w:r>
              <w:rPr>
                <w:rFonts w:ascii="Times New Roman" w:hAnsi="Times New Roman" w:cs="Times New Roman" w:eastAsia="Times New Roman" w:hint="default"/>
                <w:sz w:val="24"/>
                <w:szCs w:val="24"/>
              </w:rPr>
              <w:t>”</w:t>
            </w:r>
            <w:r>
              <w:rPr>
                <w:rFonts w:ascii="宋体" w:hAnsi="宋体" w:cs="宋体" w:eastAsia="宋体" w:hint="default"/>
                <w:sz w:val="24"/>
                <w:szCs w:val="24"/>
              </w:rPr>
              <w:t>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年第一次临时股东大会决议公告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年第一次临时股东大会的法律意见书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重大资产重组进展公告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年第五次临时会议决议公告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公司发行股份及支付现金购买资产并募集配套资金报告书</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（草案）</w:t>
            </w:r>
          </w:p>
        </w:tc>
        <w:tc>
          <w:tcPr>
            <w:tcW w:w="2268" w:type="dxa"/>
            <w:tcBorders>
              <w:top w:val="single" w:sz="6" w:space="0" w:color="000000"/>
              <w:left w:val="single" w:sz="4" w:space="0" w:color="000000"/>
              <w:bottom w:val="single" w:sz="4" w:space="0" w:color="000000"/>
              <w:right w:val="single" w:sz="4" w:space="0" w:color="000000"/>
            </w:tcBorders>
          </w:tcPr>
          <w:p>
            <w:pP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公司发行股份及支付现金购买资产并募集配套资金报告书</w:t>
            </w:r>
            <w:r>
              <w:rPr>
                <w:rFonts w:ascii="宋体" w:hAnsi="宋体" w:cs="宋体" w:eastAsia="宋体" w:hint="default"/>
                <w:sz w:val="24"/>
                <w:szCs w:val="24"/>
              </w:rPr>
            </w:r>
          </w:p>
          <w:p>
            <w:pPr>
              <w:pStyle w:val="TableParagraph"/>
              <w:spacing w:line="313" w:lineRule="exact"/>
              <w:ind w:left="4" w:right="0"/>
              <w:jc w:val="left"/>
              <w:rPr>
                <w:rFonts w:ascii="宋体" w:hAnsi="宋体" w:cs="宋体" w:eastAsia="宋体" w:hint="default"/>
                <w:sz w:val="24"/>
                <w:szCs w:val="24"/>
              </w:rPr>
            </w:pPr>
            <w:r>
              <w:rPr>
                <w:rFonts w:ascii="宋体" w:hAnsi="宋体" w:cs="宋体" w:eastAsia="宋体" w:hint="default"/>
                <w:sz w:val="24"/>
                <w:szCs w:val="24"/>
              </w:rPr>
              <w:t>（草案）摘要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独立董事关于公司发行股份及支付现金购买资产并募集配</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套资金之独立意见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董事会关于重组履行法定程序的完备性、合规性及提交的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法律文件的有效性的说明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关于公司发行股份购买资产并募集配套资金的承诺函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关于限售期内不转让本次交易所认购公司股份的承诺函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关于规范与公司关联交易的承诺函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避免同业竞争承诺函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资产并募集配套资金之独立财务顾问报告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重组报告书独立财务顾问核查意见表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民生证券股份有限公司关于公司本次重组产业政策和交易</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类型之独立财务顾问核查意见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天津掌视亿通信息技术有限公司</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1-3</w:t>
            </w:r>
            <w:r>
              <w:rPr>
                <w:rFonts w:ascii="宋体" w:hAnsi="宋体" w:cs="宋体" w:eastAsia="宋体" w:hint="default"/>
                <w:sz w:val="24"/>
                <w:szCs w:val="24"/>
              </w:rPr>
              <w:t>月审计 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天津掌视亿通信息技术有限公司</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p>
          <w:p>
            <w:pPr>
              <w:pStyle w:val="TableParagraph"/>
              <w:spacing w:line="322"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1-3</w:t>
            </w:r>
            <w:r>
              <w:rPr>
                <w:rFonts w:ascii="宋体" w:hAnsi="宋体" w:cs="宋体" w:eastAsia="宋体" w:hint="default"/>
                <w:sz w:val="24"/>
                <w:szCs w:val="24"/>
              </w:rPr>
              <w:t>月备考审计报告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上海精视文化传播有限公司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1-3</w:t>
            </w:r>
            <w:r>
              <w:rPr>
                <w:rFonts w:ascii="宋体" w:hAnsi="宋体" w:cs="宋体" w:eastAsia="宋体" w:hint="default"/>
                <w:sz w:val="24"/>
                <w:szCs w:val="24"/>
              </w:rPr>
              <w:t>月 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上海精视文化传播有限公司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1-3</w:t>
            </w:r>
            <w:r>
              <w:rPr>
                <w:rFonts w:ascii="宋体" w:hAnsi="宋体" w:cs="宋体" w:eastAsia="宋体" w:hint="default"/>
                <w:sz w:val="24"/>
                <w:szCs w:val="24"/>
              </w:rPr>
              <w:t>月 备考审计报告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广州市邦富软件有限公司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1-3</w:t>
            </w:r>
            <w:r>
              <w:rPr>
                <w:rFonts w:ascii="宋体" w:hAnsi="宋体" w:cs="宋体" w:eastAsia="宋体" w:hint="default"/>
                <w:sz w:val="24"/>
                <w:szCs w:val="24"/>
              </w:rPr>
              <w:t>月审 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广州漫友文化科技股份有限公司</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p>
          <w:p>
            <w:pPr>
              <w:pStyle w:val="TableParagraph"/>
              <w:spacing w:line="322"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1-3</w:t>
            </w:r>
            <w:r>
              <w:rPr>
                <w:rFonts w:ascii="宋体" w:hAnsi="宋体" w:cs="宋体" w:eastAsia="宋体" w:hint="default"/>
                <w:sz w:val="24"/>
                <w:szCs w:val="24"/>
              </w:rPr>
              <w:t>月审计报告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天津掌视亿通信息技术有限公司资产评估报告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天津掌视亿通信息技术有限公司资产评估说明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上海精视文化传播有限公司资产评估报告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上海精视文化传播有限公司资产评估说明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广州市邦富软件有限公司资产评估报告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广州市邦富软件有限公司资产评估说明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广州漫友文化科技股份有限公司资产评估报告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广州漫友文化科技股份有限公司资产评估说明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天津掌视亿通信息技术有限公司</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年盈利预测审核报告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上海精视文化传播有限公司</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年盈利预测审核报告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广州市邦富软件有限公司</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年盈利预测审核报告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广州漫友文化科技股份有限公司</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年盈利预测审核报告</w:t>
            </w:r>
          </w:p>
        </w:tc>
        <w:tc>
          <w:tcPr>
            <w:tcW w:w="2268" w:type="dxa"/>
            <w:tcBorders>
              <w:top w:val="single" w:sz="6"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华闻传媒</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1-3</w:t>
            </w:r>
            <w:r>
              <w:rPr>
                <w:rFonts w:ascii="宋体" w:hAnsi="宋体" w:cs="宋体" w:eastAsia="宋体" w:hint="default"/>
                <w:sz w:val="24"/>
                <w:szCs w:val="24"/>
              </w:rPr>
              <w:t>月备考审计报告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华闻传媒</w:t>
            </w:r>
            <w:r>
              <w:rPr>
                <w:rFonts w:ascii="Times New Roman" w:hAnsi="Times New Roman" w:cs="Times New Roman" w:eastAsia="Times New Roman" w:hint="default"/>
                <w:sz w:val="24"/>
                <w:szCs w:val="24"/>
              </w:rPr>
              <w:t>2014</w:t>
            </w:r>
            <w:r>
              <w:rPr>
                <w:rFonts w:ascii="宋体" w:hAnsi="宋体" w:cs="宋体" w:eastAsia="宋体" w:hint="default"/>
                <w:sz w:val="24"/>
                <w:szCs w:val="24"/>
              </w:rPr>
              <w:t>年备考合并盈利预测审核报告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发行股份及现金购买资产协议（掌视亿通</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标的资产盈利预测补偿协议（掌视亿通</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发行股份及现金购买资产协议（精视文化</w:t>
            </w:r>
            <w:r>
              <w:rPr>
                <w:rFonts w:ascii="Times New Roman" w:hAnsi="Times New Roman" w:cs="Times New Roman" w:eastAsia="Times New Roman" w:hint="default"/>
                <w:sz w:val="24"/>
                <w:szCs w:val="24"/>
              </w:rPr>
              <w:t>60%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标的资产盈利预测补偿协议（精视文化</w:t>
            </w:r>
            <w:r>
              <w:rPr>
                <w:rFonts w:ascii="Times New Roman" w:hAnsi="Times New Roman" w:cs="Times New Roman" w:eastAsia="Times New Roman" w:hint="default"/>
                <w:sz w:val="24"/>
                <w:szCs w:val="24"/>
              </w:rPr>
              <w:t>60%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发行股份及现金购买资产协议（邦富软件</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标的资产盈利预测补偿协议（邦富软件</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发行股份及现金购买资产协议（漫友文化</w:t>
            </w:r>
            <w:r>
              <w:rPr>
                <w:rFonts w:ascii="Times New Roman" w:hAnsi="Times New Roman" w:cs="Times New Roman" w:eastAsia="Times New Roman" w:hint="default"/>
                <w:sz w:val="24"/>
                <w:szCs w:val="24"/>
              </w:rPr>
              <w:t>85.61%</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标的资产盈利预测补偿协议（漫友文化</w:t>
            </w:r>
            <w:r>
              <w:rPr>
                <w:rFonts w:ascii="Times New Roman" w:hAnsi="Times New Roman" w:cs="Times New Roman" w:eastAsia="Times New Roman" w:hint="default"/>
                <w:sz w:val="24"/>
                <w:szCs w:val="24"/>
              </w:rPr>
              <w:t>85.61%</w:t>
            </w:r>
            <w:r>
              <w:rPr>
                <w:rFonts w:ascii="宋体" w:hAnsi="宋体" w:cs="宋体" w:eastAsia="宋体" w:hint="default"/>
                <w:sz w:val="24"/>
                <w:szCs w:val="24"/>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公司未来三年股东分红回报规划（</w:t>
            </w:r>
            <w:r>
              <w:rPr>
                <w:rFonts w:ascii="Times New Roman" w:hAnsi="Times New Roman" w:cs="Times New Roman" w:eastAsia="Times New Roman" w:hint="default"/>
                <w:sz w:val="24"/>
                <w:szCs w:val="24"/>
              </w:rPr>
              <w:t>2014-2016</w:t>
            </w:r>
            <w:r>
              <w:rPr>
                <w:rFonts w:ascii="宋体" w:hAnsi="宋体" w:cs="宋体" w:eastAsia="宋体" w:hint="default"/>
                <w:sz w:val="24"/>
                <w:szCs w:val="24"/>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独立董事关于公司修订《公司章程》的独立意见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《募集资金管理制度》（</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2014-049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第六届监事会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年第一次临时会议决议公告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年第二次临时股东大会的通知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关于重大资产重组的一般风险提示公告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05</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关于重大资产重组方案获得中国国际广播电台批复的公告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06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年第二次临时股东大会的提示性通知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年年度权益分派实施公告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年第七次临时会议决议公告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年第二次临时股东大会决议公告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年第二次临时股东大会的法律意见书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公司未来三年股东分红回报规划（</w:t>
            </w:r>
            <w:r>
              <w:rPr>
                <w:rFonts w:ascii="Times New Roman" w:hAnsi="Times New Roman" w:cs="Times New Roman" w:eastAsia="Times New Roman" w:hint="default"/>
                <w:sz w:val="24"/>
                <w:szCs w:val="24"/>
              </w:rPr>
              <w:t>2014-2016</w:t>
            </w:r>
            <w:r>
              <w:rPr>
                <w:rFonts w:ascii="宋体" w:hAnsi="宋体" w:cs="宋体" w:eastAsia="宋体" w:hint="default"/>
                <w:sz w:val="24"/>
                <w:szCs w:val="24"/>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关于收到《中国证监会行政许可申请受理通知书》的公告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06</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年半年度业绩预告修正公告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2014-059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关于发行</w:t>
            </w:r>
            <w:r>
              <w:rPr>
                <w:rFonts w:ascii="Times New Roman" w:hAnsi="Times New Roman" w:cs="Times New Roman" w:eastAsia="Times New Roman" w:hint="default"/>
                <w:sz w:val="24"/>
                <w:szCs w:val="24"/>
              </w:rPr>
              <w:t>2014</w:t>
            </w:r>
            <w:r>
              <w:rPr>
                <w:rFonts w:ascii="宋体" w:hAnsi="宋体" w:cs="宋体" w:eastAsia="宋体" w:hint="default"/>
                <w:sz w:val="24"/>
                <w:szCs w:val="24"/>
              </w:rPr>
              <w:t>年度第一期中期票据的公告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关于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年度第一期中期票据发行结果的公告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关于完成股份回购及注销的公告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第六届董事会第九次会议决议公告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年半年度报告摘要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年半年度报告全文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年半年度财务报告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独立董事关于公司对外担保情况等事项的说明和独立意见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2014-064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关于公司利用暂时闲置资金购买短期银行理财产品、国债</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回购和货币基金等的公告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关于收到《中国证监会行政许可项目审查一次反馈意见通</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07</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知书》的公告</w:t>
            </w:r>
          </w:p>
        </w:tc>
        <w:tc>
          <w:tcPr>
            <w:tcW w:w="2268" w:type="dxa"/>
            <w:tcBorders>
              <w:top w:val="single" w:sz="6" w:space="0" w:color="000000"/>
              <w:left w:val="single" w:sz="4" w:space="0" w:color="000000"/>
              <w:bottom w:val="single" w:sz="4" w:space="0" w:color="000000"/>
              <w:right w:val="single" w:sz="4" w:space="0" w:color="000000"/>
            </w:tcBorders>
          </w:tcPr>
          <w:p>
            <w:pP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关于公司工商注册信息变更的公告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关于控股股东股份质押情况的公告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年第九次临时会议决议公告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07</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独立董事关于发行股份及现金购买资产协议与标的资产盈</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利预测补偿协议之补充协议之独立意见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关于限售期内不转让本次交易所认购公司股份的承诺函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07</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公司与程顺玲、李菊莲、曾子帆之关于发行股份及现金购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买资产协议与标的资产盈利预测补偿协议之补充协议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07</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2014-069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关于控股股东股份解除质押情况的公告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关于购买资产暨关联交易进展情况的公告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年第十次临时会议决议公告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独立董事关于发行股份及现金购买资产协议与标的资产盈</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利预测补偿协议之补充协议的独立意见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966"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both"/>
              <w:rPr>
                <w:rFonts w:ascii="宋体" w:hAnsi="宋体" w:cs="宋体" w:eastAsia="宋体" w:hint="default"/>
                <w:sz w:val="24"/>
                <w:szCs w:val="24"/>
              </w:rPr>
            </w:pPr>
            <w:r>
              <w:rPr>
                <w:rFonts w:ascii="宋体" w:hAnsi="宋体" w:cs="宋体" w:eastAsia="宋体" w:hint="default"/>
                <w:spacing w:val="2"/>
                <w:sz w:val="24"/>
                <w:szCs w:val="24"/>
              </w:rPr>
              <w:t>公司与西藏风网科技有限公司、风网科技（北京）有限公</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司之关于发行股份及现金购买资产协议与标的资产盈利预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测补偿协议之补充协议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966"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both"/>
              <w:rPr>
                <w:rFonts w:ascii="宋体" w:hAnsi="宋体" w:cs="宋体" w:eastAsia="宋体" w:hint="default"/>
                <w:sz w:val="24"/>
                <w:szCs w:val="24"/>
              </w:rPr>
            </w:pPr>
            <w:r>
              <w:rPr>
                <w:rFonts w:ascii="宋体" w:hAnsi="宋体" w:cs="宋体" w:eastAsia="宋体" w:hint="default"/>
                <w:spacing w:val="2"/>
                <w:sz w:val="24"/>
                <w:szCs w:val="24"/>
              </w:rPr>
              <w:t>公司与上海精视投资发展有限公司、上海莫昂投资合伙企</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业（有限合伙）之关于发行股份及现金购买资产协议与标</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的资产盈利预测补偿协议之补充协议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公司与程顺玲、李菊莲、曾子帆之关于发行股份及现金购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买资产协议与标的资产盈利预测补偿协议之补充协议之二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公司与金城等之关于发行股份及现金购买资产协议与标的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资产盈利预测补偿协议之补充协议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2014-072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关于中国证监会上市公司并购重组审核委员会审核公司重</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大资产重组事项的停牌公告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22</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2014-073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6"/>
              <w:jc w:val="left"/>
              <w:rPr>
                <w:rFonts w:ascii="宋体" w:hAnsi="宋体" w:cs="宋体" w:eastAsia="宋体" w:hint="default"/>
                <w:sz w:val="24"/>
                <w:szCs w:val="24"/>
              </w:rPr>
            </w:pPr>
            <w:r>
              <w:rPr>
                <w:rFonts w:ascii="宋体" w:hAnsi="宋体" w:cs="宋体" w:eastAsia="宋体" w:hint="default"/>
                <w:spacing w:val="7"/>
                <w:sz w:val="24"/>
                <w:szCs w:val="24"/>
              </w:rPr>
              <w:t>关于重大资产重组获得中国证券监督管理委员会</w:t>
            </w:r>
            <w:r>
              <w:rPr>
                <w:rFonts w:ascii="宋体" w:hAnsi="宋体" w:cs="宋体" w:eastAsia="宋体" w:hint="default"/>
                <w:spacing w:val="5"/>
                <w:sz w:val="24"/>
                <w:szCs w:val="24"/>
              </w:rPr>
              <w:t> </w:t>
            </w:r>
            <w:r>
              <w:rPr>
                <w:rFonts w:ascii="宋体" w:hAnsi="宋体" w:cs="宋体" w:eastAsia="宋体" w:hint="default"/>
                <w:spacing w:val="10"/>
                <w:sz w:val="24"/>
                <w:szCs w:val="24"/>
              </w:rPr>
              <w:t>并购重</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组审核委员会审核通过暨公司股票复牌的公告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09</w:t>
            </w:r>
            <w:r>
              <w:rPr>
                <w:rFonts w:ascii="宋体" w:hAnsi="宋体" w:cs="宋体" w:eastAsia="宋体" w:hint="default"/>
                <w:sz w:val="24"/>
                <w:szCs w:val="24"/>
              </w:rPr>
              <w:t>月</w:t>
            </w:r>
            <w:r>
              <w:rPr>
                <w:rFonts w:ascii="Times New Roman" w:hAnsi="Times New Roman" w:cs="Times New Roman" w:eastAsia="Times New Roman" w:hint="default"/>
                <w:sz w:val="24"/>
                <w:szCs w:val="24"/>
              </w:rPr>
              <w:t>01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年第十二次临时会议决议公告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09</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对外投资暨关联交易公告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09</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独立董事关于对外投资暨关联交易的独立意见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09</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2014-076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关于发行股份及支付现金购买资产并募集配套资金事项获</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得中国证监会核准的公告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2014-077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关于发行股份及支付现金购买资产并募集配套资金报告书</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的修订说明公告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公司发行股份及支付现金购买资产并募集配套资金报告书</w:t>
            </w:r>
            <w:r>
              <w:rPr>
                <w:rFonts w:ascii="宋体" w:hAnsi="宋体" w:cs="宋体" w:eastAsia="宋体" w:hint="default"/>
                <w:sz w:val="24"/>
                <w:szCs w:val="24"/>
              </w:rPr>
            </w:r>
          </w:p>
          <w:p>
            <w:pPr>
              <w:pStyle w:val="TableParagraph"/>
              <w:spacing w:line="313" w:lineRule="exact"/>
              <w:ind w:left="4" w:right="0"/>
              <w:jc w:val="left"/>
              <w:rPr>
                <w:rFonts w:ascii="宋体" w:hAnsi="宋体" w:cs="宋体" w:eastAsia="宋体" w:hint="default"/>
                <w:sz w:val="24"/>
                <w:szCs w:val="24"/>
              </w:rPr>
            </w:pPr>
            <w:r>
              <w:rPr>
                <w:rFonts w:ascii="宋体" w:hAnsi="宋体" w:cs="宋体" w:eastAsia="宋体" w:hint="default"/>
                <w:sz w:val="24"/>
                <w:szCs w:val="24"/>
              </w:rPr>
              <w:t>（修订稿）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公司发行股份及支付现金购买资产并募集配套资金报告书</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摘要（修订稿）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资产并募集配套资金之补充独立财务顾问意见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资产并募集配套资金之补充独立财务顾问报告（一）</w:t>
            </w:r>
          </w:p>
        </w:tc>
        <w:tc>
          <w:tcPr>
            <w:tcW w:w="2268" w:type="dxa"/>
            <w:tcBorders>
              <w:top w:val="single" w:sz="6" w:space="0" w:color="000000"/>
              <w:left w:val="single" w:sz="4" w:space="0" w:color="000000"/>
              <w:bottom w:val="single" w:sz="4" w:space="0" w:color="000000"/>
              <w:right w:val="single" w:sz="4" w:space="0" w:color="000000"/>
            </w:tcBorders>
          </w:tcPr>
          <w:p>
            <w:pP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资产并募集配套资金之补充独立财务顾问意见（二）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买资产并募集配套资金之补充法律意见书之一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买资产并募集配套资金之补充法律意见书之二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买资产并募集配套资金之补充法律意见书之三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买资产并募集配套资金之补充法律意见书之四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买资产并募集配套资金之补充法律意见书之五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第六届董事会第十次会议决议公告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2014-079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第六届监事会第九次会议决议公告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关于同一控制下企业合并对前期财务报表进行调整的说明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关于坏账核销的公告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年第三季度报告正文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年第三季度报告全文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关于独立董事辞职的公告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2014-083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关于发行股份及支付现金购买资产并募集配套资金之标的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资产过户完成的公告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r>
      <w:tr>
        <w:trPr>
          <w:trHeight w:val="966"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both"/>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资产并募集配套资金涉及资产过户事宜之独立财务顾问核</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查意见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买资产并募集配套资金之标的资产交割情况的法律意见书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2014-084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公司发行股份及支付现金购买资产并募集配套资金实施情</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况暨新增股份上市报告书摘要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公司发行股份及支付现金购买资产并募集配套资金实施情</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况暨新增股份上市报告书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验资报告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民生证券股份有限公司关于公司发行股份及支付现金购买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资产并募集配套资金实施情况之独立财务顾问核查意见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北京国枫凯文律师事务所关于公司发行股份及支付现金购</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买资产并募集配套资金之实施情况的法律意见书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2014-085</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关于重大资产重组相关方承诺情况的公告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2014-086</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年第十三次临时会议决议公告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966"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2014-087</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both"/>
              <w:rPr>
                <w:rFonts w:ascii="宋体" w:hAnsi="宋体" w:cs="宋体" w:eastAsia="宋体" w:hint="default"/>
                <w:sz w:val="24"/>
                <w:szCs w:val="24"/>
              </w:rPr>
            </w:pPr>
            <w:r>
              <w:rPr>
                <w:rFonts w:ascii="宋体" w:hAnsi="宋体" w:cs="宋体" w:eastAsia="宋体" w:hint="default"/>
                <w:sz w:val="24"/>
                <w:szCs w:val="24"/>
              </w:rPr>
              <w:t>关于公司全资子公司为购买</w:t>
            </w:r>
            <w:r>
              <w:rPr>
                <w:rFonts w:ascii="Times New Roman" w:hAnsi="Times New Roman" w:cs="Times New Roman" w:eastAsia="Times New Roman" w:hint="default"/>
                <w:sz w:val="24"/>
                <w:szCs w:val="24"/>
              </w:rPr>
              <w:t>“</w:t>
            </w:r>
            <w:r>
              <w:rPr>
                <w:rFonts w:ascii="宋体" w:hAnsi="宋体" w:cs="宋体" w:eastAsia="宋体" w:hint="default"/>
                <w:sz w:val="24"/>
                <w:szCs w:val="24"/>
              </w:rPr>
              <w:t>华闻传媒</w:t>
            </w:r>
            <w:r>
              <w:rPr>
                <w:rFonts w:ascii="Times New Roman" w:hAnsi="Times New Roman" w:cs="Times New Roman" w:eastAsia="Times New Roman" w:hint="default"/>
                <w:sz w:val="24"/>
                <w:szCs w:val="24"/>
              </w:rPr>
              <w:t>•</w:t>
            </w:r>
            <w:r>
              <w:rPr>
                <w:rFonts w:ascii="宋体" w:hAnsi="宋体" w:cs="宋体" w:eastAsia="宋体" w:hint="default"/>
                <w:sz w:val="24"/>
                <w:szCs w:val="24"/>
              </w:rPr>
              <w:t>新海岸壹号</w:t>
            </w:r>
            <w:r>
              <w:rPr>
                <w:rFonts w:ascii="Times New Roman" w:hAnsi="Times New Roman" w:cs="Times New Roman" w:eastAsia="Times New Roman" w:hint="default"/>
                <w:sz w:val="24"/>
                <w:szCs w:val="24"/>
              </w:rPr>
              <w:t>”</w:t>
            </w:r>
            <w:r>
              <w:rPr>
                <w:rFonts w:ascii="宋体" w:hAnsi="宋体" w:cs="宋体" w:eastAsia="宋体" w:hint="default"/>
                <w:sz w:val="24"/>
                <w:szCs w:val="24"/>
              </w:rPr>
              <w:t>项目按 </w:t>
            </w:r>
            <w:r>
              <w:rPr>
                <w:rFonts w:ascii="宋体" w:hAnsi="宋体" w:cs="宋体" w:eastAsia="宋体" w:hint="default"/>
                <w:spacing w:val="2"/>
                <w:sz w:val="24"/>
                <w:szCs w:val="24"/>
              </w:rPr>
              <w:t>揭贷款客户个人住房按揭贷款提供阶段性连带责任担保的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2014-088</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pacing w:val="2"/>
                <w:sz w:val="24"/>
                <w:szCs w:val="24"/>
              </w:rPr>
              <w:t>关于上海鸿立股权投资有限公司参与认购其他上市公司非</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bl>
    <w:p>
      <w:pPr>
        <w:spacing w:after="0" w:line="304" w:lineRule="exact"/>
        <w:jc w:val="right"/>
        <w:rPr>
          <w:rFonts w:ascii="宋体" w:hAnsi="宋体" w:cs="宋体" w:eastAsia="宋体" w:hint="default"/>
          <w:sz w:val="24"/>
          <w:szCs w:val="24"/>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18"/>
        <w:gridCol w:w="6095"/>
        <w:gridCol w:w="2268"/>
      </w:tblGrid>
      <w:tr>
        <w:trPr>
          <w:trHeight w:val="344" w:hRule="exact"/>
        </w:trPr>
        <w:tc>
          <w:tcPr>
            <w:tcW w:w="1418" w:type="dxa"/>
            <w:tcBorders>
              <w:top w:val="single" w:sz="6" w:space="0" w:color="000000"/>
              <w:left w:val="single" w:sz="6" w:space="0" w:color="000000"/>
              <w:bottom w:val="single" w:sz="4" w:space="0" w:color="000000"/>
              <w:right w:val="single" w:sz="4" w:space="0" w:color="000000"/>
            </w:tcBorders>
          </w:tcPr>
          <w:p>
            <w:pPr/>
          </w:p>
        </w:tc>
        <w:tc>
          <w:tcPr>
            <w:tcW w:w="6095" w:type="dxa"/>
            <w:tcBorders>
              <w:top w:val="single" w:sz="6"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公开发行股份的公告</w:t>
            </w:r>
          </w:p>
        </w:tc>
        <w:tc>
          <w:tcPr>
            <w:tcW w:w="2268" w:type="dxa"/>
            <w:tcBorders>
              <w:top w:val="single" w:sz="6" w:space="0" w:color="000000"/>
              <w:left w:val="single" w:sz="4" w:space="0" w:color="000000"/>
              <w:bottom w:val="single" w:sz="4" w:space="0" w:color="000000"/>
              <w:right w:val="single" w:sz="4" w:space="0" w:color="000000"/>
            </w:tcBorders>
          </w:tcPr>
          <w:p>
            <w:pP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2014-089</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年第十四次临时会议决议公告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04</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04</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2014-090</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关于控股股东股份质押情况的公告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2014-091</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关于发行股份及支付现金购买资产并募集配套资金实施情</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况进展公告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84"/>
              <w:ind w:right="1"/>
              <w:jc w:val="center"/>
              <w:rPr>
                <w:rFonts w:ascii="Times New Roman" w:hAnsi="Times New Roman" w:cs="Times New Roman" w:eastAsia="Times New Roman" w:hint="default"/>
                <w:sz w:val="24"/>
                <w:szCs w:val="24"/>
              </w:rPr>
            </w:pPr>
            <w:r>
              <w:rPr>
                <w:rFonts w:ascii="Times New Roman"/>
                <w:sz w:val="24"/>
              </w:rPr>
              <w:t>2014-092</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关于发行股份及支付现金购买资产并募集配套资金实施情</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况进展公告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23</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2014-093</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第六届董事会</w:t>
            </w:r>
            <w:r>
              <w:rPr>
                <w:rFonts w:ascii="Times New Roman" w:hAnsi="Times New Roman" w:cs="Times New Roman" w:eastAsia="Times New Roman" w:hint="default"/>
                <w:sz w:val="24"/>
                <w:szCs w:val="24"/>
              </w:rPr>
              <w:t>2014</w:t>
            </w:r>
            <w:r>
              <w:rPr>
                <w:rFonts w:ascii="宋体" w:hAnsi="宋体" w:cs="宋体" w:eastAsia="宋体" w:hint="default"/>
                <w:sz w:val="24"/>
                <w:szCs w:val="24"/>
              </w:rPr>
              <w:t>年第十五次临时会议决议公告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4" w:right="0"/>
              <w:jc w:val="left"/>
              <w:rPr>
                <w:rFonts w:ascii="宋体" w:hAnsi="宋体" w:cs="宋体" w:eastAsia="宋体" w:hint="default"/>
                <w:sz w:val="24"/>
                <w:szCs w:val="24"/>
              </w:rPr>
            </w:pPr>
            <w:r>
              <w:rPr>
                <w:rFonts w:ascii="宋体" w:hAnsi="宋体" w:cs="宋体" w:eastAsia="宋体" w:hint="default"/>
                <w:sz w:val="24"/>
                <w:szCs w:val="24"/>
              </w:rPr>
              <w:t>控股子公司管理办法（</w:t>
            </w:r>
            <w:r>
              <w:rPr>
                <w:rFonts w:ascii="Times New Roman" w:hAnsi="Times New Roman" w:cs="Times New Roman" w:eastAsia="Times New Roman" w:hint="default"/>
                <w:sz w:val="24"/>
                <w:szCs w:val="24"/>
              </w:rPr>
              <w:t>2014</w:t>
            </w:r>
            <w:r>
              <w:rPr>
                <w:rFonts w:ascii="宋体" w:hAnsi="宋体" w:cs="宋体" w:eastAsia="宋体" w:hint="default"/>
                <w:sz w:val="24"/>
                <w:szCs w:val="24"/>
              </w:rPr>
              <w:t>年修订）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342" w:hRule="exact"/>
        </w:trPr>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2014-094</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关于限售股份解除限售的提示性公告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654" w:hRule="exact"/>
        </w:trPr>
        <w:tc>
          <w:tcPr>
            <w:tcW w:w="1418" w:type="dxa"/>
            <w:tcBorders>
              <w:top w:val="single" w:sz="4" w:space="0" w:color="000000"/>
              <w:left w:val="single" w:sz="6"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 w:right="1"/>
              <w:jc w:val="left"/>
              <w:rPr>
                <w:rFonts w:ascii="宋体" w:hAnsi="宋体" w:cs="宋体" w:eastAsia="宋体" w:hint="default"/>
                <w:sz w:val="24"/>
                <w:szCs w:val="24"/>
              </w:rPr>
            </w:pPr>
            <w:r>
              <w:rPr>
                <w:rFonts w:ascii="宋体" w:hAnsi="宋体" w:cs="宋体" w:eastAsia="宋体" w:hint="default"/>
                <w:spacing w:val="2"/>
                <w:sz w:val="24"/>
                <w:szCs w:val="24"/>
              </w:rPr>
              <w:t>渤海证券股份有限公司关于公司相关股东有限售条件流通</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股上市流通的核查意见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97"/>
        <w:ind w:right="133"/>
        <w:jc w:val="left"/>
        <w:rPr>
          <w:b w:val="0"/>
          <w:bCs w:val="0"/>
        </w:rPr>
      </w:pPr>
      <w:r>
        <w:rPr/>
        <w:t>十二、公司子公司重要事项</w:t>
      </w:r>
      <w:r>
        <w:rPr>
          <w:b w:val="0"/>
          <w:bCs w:val="0"/>
        </w:rPr>
      </w:r>
    </w:p>
    <w:p>
      <w:pPr>
        <w:spacing w:line="240" w:lineRule="auto" w:before="11"/>
        <w:rPr>
          <w:rFonts w:ascii="宋体" w:hAnsi="宋体" w:cs="宋体" w:eastAsia="宋体" w:hint="default"/>
          <w:b/>
          <w:bCs/>
          <w:sz w:val="22"/>
          <w:szCs w:val="22"/>
        </w:rPr>
      </w:pPr>
    </w:p>
    <w:p>
      <w:pPr>
        <w:spacing w:line="441" w:lineRule="auto" w:before="0"/>
        <w:ind w:left="153" w:right="651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十三、公司发行公司债券的情况</w:t>
      </w:r>
      <w:r>
        <w:rPr>
          <w:rFonts w:ascii="宋体" w:hAnsi="宋体" w:cs="宋体" w:eastAsia="宋体" w:hint="default"/>
          <w:sz w:val="24"/>
          <w:szCs w:val="24"/>
        </w:rPr>
      </w:r>
    </w:p>
    <w:p>
      <w:pPr>
        <w:pStyle w:val="Heading5"/>
        <w:spacing w:line="240" w:lineRule="auto" w:before="97"/>
        <w:ind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82" w:top="1100" w:bottom="1180" w:left="9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0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left="394"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394"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5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035"/>
        <w:gridCol w:w="1226"/>
        <w:gridCol w:w="709"/>
        <w:gridCol w:w="991"/>
        <w:gridCol w:w="568"/>
        <w:gridCol w:w="566"/>
        <w:gridCol w:w="1134"/>
        <w:gridCol w:w="1134"/>
        <w:gridCol w:w="1134"/>
        <w:gridCol w:w="815"/>
      </w:tblGrid>
      <w:tr>
        <w:trPr>
          <w:trHeight w:val="402" w:hRule="exact"/>
        </w:trPr>
        <w:tc>
          <w:tcPr>
            <w:tcW w:w="2035" w:type="dxa"/>
            <w:vMerge w:val="restart"/>
            <w:tcBorders>
              <w:top w:val="single" w:sz="4" w:space="0" w:color="000000"/>
              <w:left w:val="single" w:sz="4" w:space="0" w:color="000000"/>
              <w:right w:val="single" w:sz="4" w:space="0" w:color="000000"/>
            </w:tcBorders>
            <w:shd w:val="clear" w:color="auto" w:fill="D3D3D3"/>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6" w:hRule="exact"/>
        </w:trPr>
        <w:tc>
          <w:tcPr>
            <w:tcW w:w="2035" w:type="dxa"/>
            <w:vMerge/>
            <w:tcBorders>
              <w:left w:val="single" w:sz="4" w:space="0" w:color="000000"/>
              <w:bottom w:val="single" w:sz="4" w:space="0" w:color="000000"/>
              <w:right w:val="single" w:sz="4" w:space="0" w:color="000000"/>
            </w:tcBorders>
            <w:shd w:val="clear" w:color="auto" w:fill="D3D3D3"/>
          </w:tcPr>
          <w:p>
            <w:pP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486,880,401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134,760,955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-319,193,581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-184,432,626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302,447,775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486,880,401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134,760,955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-319,193,581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-184,432,626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302,447,775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486,880,401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84,448,462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-319,193,581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-234,745,119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252,135,282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12.76%</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50,312,493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50,312,493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50,312,493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1,359,382,576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314,662,345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314,662,345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1,674,044,921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1,359,382,576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314,662,345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314,662,345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1,674,044,921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1,846,262,977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134,760,955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-4,531,236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130,229,719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1,976,492,696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6"/>
        <w:ind w:left="394" w:right="0"/>
        <w:jc w:val="left"/>
      </w:pPr>
      <w:r>
        <w:rPr/>
        <w:t>股份变动的原因</w:t>
      </w:r>
    </w:p>
    <w:p>
      <w:pPr>
        <w:pStyle w:val="BodyText"/>
        <w:spacing w:line="240" w:lineRule="auto" w:before="78"/>
        <w:ind w:left="3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Heading5"/>
        <w:spacing w:line="288" w:lineRule="auto" w:before="114"/>
        <w:ind w:left="394" w:right="0" w:firstLine="561"/>
        <w:jc w:val="left"/>
        <w:rPr>
          <w:rFonts w:ascii="Times New Roman" w:hAnsi="Times New Roman" w:cs="Times New Roman" w:eastAsia="Times New Roman" w:hint="default"/>
        </w:rPr>
      </w:pPr>
      <w:r>
        <w:rPr/>
        <w:t>报告期内，有限售条件股份增加134,760,955股是因为公司向</w:t>
      </w:r>
      <w:r>
        <w:rPr>
          <w:rFonts w:ascii="Times New Roman" w:hAnsi="Times New Roman" w:cs="Times New Roman" w:eastAsia="Times New Roman" w:hint="default"/>
        </w:rPr>
        <w:t>30</w:t>
      </w:r>
      <w:r>
        <w:rPr/>
        <w:t>名交易对方发行股份购</w:t>
      </w:r>
      <w:r>
        <w:rPr>
          <w:spacing w:val="2"/>
        </w:rPr>
        <w:t> </w:t>
      </w:r>
      <w:r>
        <w:rPr/>
        <w:t>买相关资产，具体为：公司向西藏风网发行</w:t>
      </w:r>
      <w:r>
        <w:rPr>
          <w:rFonts w:ascii="Times New Roman" w:hAnsi="Times New Roman" w:cs="Times New Roman" w:eastAsia="Times New Roman" w:hint="default"/>
        </w:rPr>
        <w:t>59,144,736</w:t>
      </w:r>
      <w:r>
        <w:rPr/>
        <w:t>股股份、向精视投资发行</w:t>
      </w:r>
      <w:r>
        <w:rPr>
          <w:rFonts w:ascii="Times New Roman" w:hAnsi="Times New Roman" w:cs="Times New Roman" w:eastAsia="Times New Roman" w:hint="default"/>
        </w:rPr>
        <w:t>13,039,049</w:t>
      </w:r>
      <w:r>
        <w:rPr/>
        <w:t>股</w:t>
      </w:r>
      <w:r>
        <w:rPr>
          <w:spacing w:val="-89"/>
        </w:rPr>
        <w:t> </w:t>
      </w:r>
      <w:r>
        <w:rPr>
          <w:spacing w:val="7"/>
        </w:rPr>
        <w:t>股份、向莫昂投资发行</w:t>
      </w:r>
      <w:r>
        <w:rPr>
          <w:rFonts w:ascii="Times New Roman" w:hAnsi="Times New Roman" w:cs="Times New Roman" w:eastAsia="Times New Roman" w:hint="default"/>
          <w:spacing w:val="7"/>
        </w:rPr>
        <w:t>5,908,319</w:t>
      </w:r>
      <w:r>
        <w:rPr>
          <w:spacing w:val="7"/>
        </w:rPr>
        <w:t>股股份、向程顺玲发行</w:t>
      </w:r>
      <w:r>
        <w:rPr>
          <w:rFonts w:ascii="Times New Roman" w:hAnsi="Times New Roman" w:cs="Times New Roman" w:eastAsia="Times New Roman" w:hint="default"/>
          <w:spacing w:val="7"/>
        </w:rPr>
        <w:t>20,751,789</w:t>
      </w:r>
      <w:r>
        <w:rPr>
          <w:spacing w:val="7"/>
        </w:rPr>
        <w:t>股股份、向李菊莲发行</w:t>
      </w:r>
      <w:r>
        <w:rPr>
          <w:spacing w:val="-95"/>
        </w:rPr>
        <w:t> </w:t>
      </w:r>
      <w:r>
        <w:rPr>
          <w:rFonts w:ascii="Times New Roman" w:hAnsi="Times New Roman" w:cs="Times New Roman" w:eastAsia="Times New Roman" w:hint="default"/>
        </w:rPr>
        <w:t>14,436,421</w:t>
      </w:r>
      <w:r>
        <w:rPr/>
        <w:t>股股份、向曾子帆发行</w:t>
      </w:r>
      <w:r>
        <w:rPr>
          <w:rFonts w:ascii="Times New Roman" w:hAnsi="Times New Roman" w:cs="Times New Roman" w:eastAsia="Times New Roman" w:hint="default"/>
        </w:rPr>
        <w:t>2,706,526</w:t>
      </w:r>
      <w:r>
        <w:rPr/>
        <w:t>股股份、向金城发行</w:t>
      </w:r>
      <w:r>
        <w:rPr>
          <w:rFonts w:ascii="Times New Roman" w:hAnsi="Times New Roman" w:cs="Times New Roman" w:eastAsia="Times New Roman" w:hint="default"/>
        </w:rPr>
        <w:t>11,348,684</w:t>
      </w:r>
      <w:r>
        <w:rPr/>
        <w:t>股股份、向长沙传</w:t>
      </w:r>
      <w:r>
        <w:rPr>
          <w:spacing w:val="-91"/>
        </w:rPr>
        <w:t> </w:t>
      </w:r>
      <w:r>
        <w:rPr>
          <w:spacing w:val="-2"/>
        </w:rPr>
        <w:t>怡发行</w:t>
      </w:r>
      <w:r>
        <w:rPr>
          <w:rFonts w:ascii="Times New Roman" w:hAnsi="Times New Roman" w:cs="Times New Roman" w:eastAsia="Times New Roman" w:hint="default"/>
          <w:spacing w:val="-2"/>
        </w:rPr>
        <w:t>2,691,885</w:t>
      </w:r>
      <w:r>
        <w:rPr>
          <w:spacing w:val="-2"/>
        </w:rPr>
        <w:t>股股份、向湖南富坤发行</w:t>
      </w:r>
      <w:r>
        <w:rPr>
          <w:rFonts w:ascii="Times New Roman" w:hAnsi="Times New Roman" w:cs="Times New Roman" w:eastAsia="Times New Roman" w:hint="default"/>
          <w:spacing w:val="-2"/>
        </w:rPr>
        <w:t>1,096,491</w:t>
      </w:r>
      <w:r>
        <w:rPr>
          <w:spacing w:val="-2"/>
        </w:rPr>
        <w:t>股股份、向北京中技发行</w:t>
      </w:r>
      <w:r>
        <w:rPr>
          <w:rFonts w:ascii="Times New Roman" w:hAnsi="Times New Roman" w:cs="Times New Roman" w:eastAsia="Times New Roman" w:hint="default"/>
          <w:spacing w:val="-2"/>
        </w:rPr>
        <w:t>1,096,491</w:t>
      </w:r>
      <w:r>
        <w:rPr>
          <w:spacing w:val="-2"/>
        </w:rPr>
        <w:t>股股份、</w:t>
      </w:r>
      <w:r>
        <w:rPr>
          <w:spacing w:val="-90"/>
        </w:rPr>
        <w:t> </w:t>
      </w:r>
      <w:r>
        <w:rPr>
          <w:spacing w:val="2"/>
        </w:rPr>
        <w:t>向广东粤文投发行</w:t>
      </w:r>
      <w:r>
        <w:rPr>
          <w:rFonts w:ascii="Times New Roman" w:hAnsi="Times New Roman" w:cs="Times New Roman" w:eastAsia="Times New Roman" w:hint="default"/>
          <w:spacing w:val="2"/>
        </w:rPr>
        <w:t>1,096,491</w:t>
      </w:r>
      <w:r>
        <w:rPr>
          <w:spacing w:val="2"/>
        </w:rPr>
        <w:t>股股份、向广州漫时代发行</w:t>
      </w:r>
      <w:r>
        <w:rPr>
          <w:rFonts w:ascii="Times New Roman" w:hAnsi="Times New Roman" w:cs="Times New Roman" w:eastAsia="Times New Roman" w:hint="default"/>
          <w:spacing w:val="2"/>
        </w:rPr>
        <w:t>375,000</w:t>
      </w:r>
      <w:r>
        <w:rPr>
          <w:spacing w:val="2"/>
        </w:rPr>
        <w:t>股股份、向俞涌发行</w:t>
      </w:r>
      <w:r>
        <w:rPr>
          <w:rFonts w:ascii="Times New Roman" w:hAnsi="Times New Roman" w:cs="Times New Roman" w:eastAsia="Times New Roman" w:hint="default"/>
          <w:spacing w:val="2"/>
        </w:rPr>
        <w:t>230,263</w:t>
      </w:r>
    </w:p>
    <w:p>
      <w:pPr>
        <w:spacing w:after="0" w:line="288" w:lineRule="auto"/>
        <w:jc w:val="left"/>
        <w:rPr>
          <w:rFonts w:ascii="Times New Roman" w:hAnsi="Times New Roman" w:cs="Times New Roman" w:eastAsia="Times New Roman" w:hint="default"/>
        </w:rPr>
        <w:sectPr>
          <w:pgSz w:w="11910" w:h="16840"/>
          <w:pgMar w:header="877" w:footer="982" w:top="1100" w:bottom="1180" w:left="740" w:right="620"/>
        </w:sectPr>
      </w:pPr>
    </w:p>
    <w:p>
      <w:pPr>
        <w:spacing w:line="240" w:lineRule="auto" w:before="1"/>
        <w:rPr>
          <w:rFonts w:ascii="Times New Roman" w:hAnsi="Times New Roman" w:cs="Times New Roman" w:eastAsia="Times New Roman" w:hint="default"/>
          <w:sz w:val="29"/>
          <w:szCs w:val="29"/>
        </w:rPr>
      </w:pPr>
    </w:p>
    <w:p>
      <w:pPr>
        <w:pStyle w:val="Heading5"/>
        <w:spacing w:line="288" w:lineRule="auto" w:before="26"/>
        <w:ind w:right="104"/>
        <w:jc w:val="left"/>
      </w:pPr>
      <w:r>
        <w:rPr>
          <w:spacing w:val="-3"/>
        </w:rPr>
        <w:t>股股份、向邵璐璐发行</w:t>
      </w:r>
      <w:r>
        <w:rPr>
          <w:rFonts w:ascii="Times New Roman" w:hAnsi="Times New Roman" w:cs="Times New Roman" w:eastAsia="Times New Roman" w:hint="default"/>
          <w:spacing w:val="-3"/>
        </w:rPr>
        <w:t>98,684</w:t>
      </w:r>
      <w:r>
        <w:rPr>
          <w:spacing w:val="-3"/>
        </w:rPr>
        <w:t>股股份、向刘洋发行</w:t>
      </w:r>
      <w:r>
        <w:rPr>
          <w:rFonts w:ascii="Times New Roman" w:hAnsi="Times New Roman" w:cs="Times New Roman" w:eastAsia="Times New Roman" w:hint="default"/>
          <w:spacing w:val="-3"/>
        </w:rPr>
        <w:t>78,947</w:t>
      </w:r>
      <w:r>
        <w:rPr>
          <w:spacing w:val="-3"/>
        </w:rPr>
        <w:t>股股份、向张显峰发行</w:t>
      </w:r>
      <w:r>
        <w:rPr>
          <w:rFonts w:ascii="Times New Roman" w:hAnsi="Times New Roman" w:cs="Times New Roman" w:eastAsia="Times New Roman" w:hint="default"/>
          <w:spacing w:val="-3"/>
        </w:rPr>
        <w:t>78,947</w:t>
      </w:r>
      <w:r>
        <w:rPr>
          <w:spacing w:val="-3"/>
        </w:rPr>
        <w:t>股股份、</w:t>
      </w:r>
      <w:r>
        <w:rPr>
          <w:spacing w:val="-108"/>
        </w:rPr>
        <w:t> </w:t>
      </w:r>
      <w:r>
        <w:rPr/>
        <w:t>向张茜发行</w:t>
      </w:r>
      <w:r>
        <w:rPr>
          <w:rFonts w:ascii="Times New Roman" w:hAnsi="Times New Roman" w:cs="Times New Roman" w:eastAsia="Times New Roman" w:hint="default"/>
        </w:rPr>
        <w:t>78,947</w:t>
      </w:r>
      <w:r>
        <w:rPr/>
        <w:t>股股份、向朱斌发行</w:t>
      </w:r>
      <w:r>
        <w:rPr>
          <w:rFonts w:ascii="Times New Roman" w:hAnsi="Times New Roman" w:cs="Times New Roman" w:eastAsia="Times New Roman" w:hint="default"/>
        </w:rPr>
        <w:t>78,947</w:t>
      </w:r>
      <w:r>
        <w:rPr/>
        <w:t>股股份、向崔伟良发行</w:t>
      </w:r>
      <w:r>
        <w:rPr>
          <w:rFonts w:ascii="Times New Roman" w:hAnsi="Times New Roman" w:cs="Times New Roman" w:eastAsia="Times New Roman" w:hint="default"/>
        </w:rPr>
        <w:t>49,342</w:t>
      </w:r>
      <w:r>
        <w:rPr/>
        <w:t>股股份、向施桂贤 发行</w:t>
      </w:r>
      <w:r>
        <w:rPr>
          <w:rFonts w:ascii="Times New Roman" w:hAnsi="Times New Roman" w:cs="Times New Roman" w:eastAsia="Times New Roman" w:hint="default"/>
        </w:rPr>
        <w:t>49,342</w:t>
      </w:r>
      <w:r>
        <w:rPr/>
        <w:t>股股份、向许勇和发行</w:t>
      </w:r>
      <w:r>
        <w:rPr>
          <w:rFonts w:ascii="Times New Roman" w:hAnsi="Times New Roman" w:cs="Times New Roman" w:eastAsia="Times New Roman" w:hint="default"/>
        </w:rPr>
        <w:t>49,342</w:t>
      </w:r>
      <w:r>
        <w:rPr/>
        <w:t>股股份、向曹凌玲发行</w:t>
      </w:r>
      <w:r>
        <w:rPr>
          <w:rFonts w:ascii="Times New Roman" w:hAnsi="Times New Roman" w:cs="Times New Roman" w:eastAsia="Times New Roman" w:hint="default"/>
        </w:rPr>
        <w:t>49,342</w:t>
      </w:r>
      <w:r>
        <w:rPr/>
        <w:t>股股份、向赖春晖发行 </w:t>
      </w:r>
      <w:r>
        <w:rPr>
          <w:rFonts w:ascii="Times New Roman" w:hAnsi="Times New Roman" w:cs="Times New Roman" w:eastAsia="Times New Roman" w:hint="default"/>
          <w:spacing w:val="-4"/>
        </w:rPr>
        <w:t>49,342</w:t>
      </w:r>
      <w:r>
        <w:rPr>
          <w:spacing w:val="-4"/>
        </w:rPr>
        <w:t>股股份、向邵洪涛发行</w:t>
      </w:r>
      <w:r>
        <w:rPr>
          <w:rFonts w:ascii="Times New Roman" w:hAnsi="Times New Roman" w:cs="Times New Roman" w:eastAsia="Times New Roman" w:hint="default"/>
          <w:spacing w:val="-4"/>
        </w:rPr>
        <w:t>29,605</w:t>
      </w:r>
      <w:r>
        <w:rPr>
          <w:spacing w:val="-4"/>
        </w:rPr>
        <w:t>股股份、向祖雅乐发行</w:t>
      </w:r>
      <w:r>
        <w:rPr>
          <w:rFonts w:ascii="Times New Roman" w:hAnsi="Times New Roman" w:cs="Times New Roman" w:eastAsia="Times New Roman" w:hint="default"/>
          <w:spacing w:val="-4"/>
        </w:rPr>
        <w:t>29,605</w:t>
      </w:r>
      <w:r>
        <w:rPr>
          <w:spacing w:val="-4"/>
        </w:rPr>
        <w:t>股股份、向邱月仙发行</w:t>
      </w:r>
      <w:r>
        <w:rPr>
          <w:rFonts w:ascii="Times New Roman" w:hAnsi="Times New Roman" w:cs="Times New Roman" w:eastAsia="Times New Roman" w:hint="default"/>
          <w:spacing w:val="-4"/>
        </w:rPr>
        <w:t>29,605</w:t>
      </w:r>
      <w:r>
        <w:rPr>
          <w:rFonts w:ascii="Times New Roman" w:hAnsi="Times New Roman" w:cs="Times New Roman" w:eastAsia="Times New Roman" w:hint="default"/>
          <w:spacing w:val="-48"/>
        </w:rPr>
        <w:t> </w:t>
      </w:r>
      <w:r>
        <w:rPr/>
        <w:t>股股份、向葛重葳发行</w:t>
      </w:r>
      <w:r>
        <w:rPr>
          <w:rFonts w:ascii="Times New Roman" w:hAnsi="Times New Roman" w:cs="Times New Roman" w:eastAsia="Times New Roman" w:hint="default"/>
        </w:rPr>
        <w:t>29,605</w:t>
      </w:r>
      <w:r>
        <w:rPr/>
        <w:t>股股份、向韩露发行</w:t>
      </w:r>
      <w:r>
        <w:rPr>
          <w:rFonts w:ascii="Times New Roman" w:hAnsi="Times New Roman" w:cs="Times New Roman" w:eastAsia="Times New Roman" w:hint="default"/>
        </w:rPr>
        <w:t>19,736</w:t>
      </w:r>
      <w:r>
        <w:rPr/>
        <w:t>股股份、向丁冰发行</w:t>
      </w:r>
      <w:r>
        <w:rPr>
          <w:rFonts w:ascii="Times New Roman" w:hAnsi="Times New Roman" w:cs="Times New Roman" w:eastAsia="Times New Roman" w:hint="default"/>
        </w:rPr>
        <w:t>19,736</w:t>
      </w:r>
      <w:r>
        <w:rPr/>
        <w:t>股股份、 向李凌彪发行</w:t>
      </w:r>
      <w:r>
        <w:rPr>
          <w:rFonts w:ascii="Times New Roman" w:hAnsi="Times New Roman" w:cs="Times New Roman" w:eastAsia="Times New Roman" w:hint="default"/>
        </w:rPr>
        <w:t>19,736</w:t>
      </w:r>
      <w:r>
        <w:rPr/>
        <w:t>股股份。</w:t>
      </w:r>
    </w:p>
    <w:p>
      <w:pPr>
        <w:pStyle w:val="Heading5"/>
        <w:spacing w:line="288" w:lineRule="auto" w:before="14"/>
        <w:ind w:left="154" w:right="426" w:firstLine="561"/>
        <w:jc w:val="both"/>
      </w:pPr>
      <w:r>
        <w:rPr/>
        <w:t>报告期内，有限售条件股份减少</w:t>
      </w:r>
      <w:r>
        <w:rPr>
          <w:rFonts w:ascii="Times New Roman" w:hAnsi="Times New Roman" w:cs="Times New Roman" w:eastAsia="Times New Roman" w:hint="default"/>
        </w:rPr>
        <w:t>319,193,581</w:t>
      </w:r>
      <w:r>
        <w:rPr/>
        <w:t>股的原因为：公司申请将</w:t>
      </w:r>
      <w:r>
        <w:rPr>
          <w:rFonts w:ascii="Times New Roman" w:hAnsi="Times New Roman" w:cs="Times New Roman" w:eastAsia="Times New Roman" w:hint="default"/>
        </w:rPr>
        <w:t>314,662,345</w:t>
      </w:r>
      <w:r>
        <w:rPr/>
        <w:t>股解</w:t>
      </w:r>
      <w:r>
        <w:rPr>
          <w:spacing w:val="1"/>
          <w:w w:val="99"/>
        </w:rPr>
        <w:t> </w:t>
      </w:r>
      <w:r>
        <w:rPr/>
        <w:t>除限售，公司无偿回购并注销拉萨澄怀持有的公司股份</w:t>
      </w:r>
      <w:r>
        <w:rPr>
          <w:rFonts w:ascii="Times New Roman" w:hAnsi="Times New Roman" w:cs="Times New Roman" w:eastAsia="Times New Roman" w:hint="default"/>
        </w:rPr>
        <w:t>906,247</w:t>
      </w:r>
      <w:r>
        <w:rPr/>
        <w:t>股和拉萨观道持有的公司股</w:t>
      </w:r>
      <w:r>
        <w:rPr>
          <w:spacing w:val="1"/>
          <w:w w:val="99"/>
        </w:rPr>
        <w:t> </w:t>
      </w:r>
      <w:r>
        <w:rPr/>
        <w:t>份</w:t>
      </w:r>
      <w:r>
        <w:rPr>
          <w:rFonts w:ascii="Times New Roman" w:hAnsi="Times New Roman" w:cs="Times New Roman" w:eastAsia="Times New Roman" w:hint="default"/>
        </w:rPr>
        <w:t>3,624,989</w:t>
      </w:r>
      <w:r>
        <w:rPr/>
        <w:t>股。</w:t>
      </w:r>
    </w:p>
    <w:p>
      <w:pPr>
        <w:spacing w:line="240" w:lineRule="auto" w:before="13"/>
        <w:rPr>
          <w:rFonts w:ascii="宋体" w:hAnsi="宋体" w:cs="宋体" w:eastAsia="宋体" w:hint="default"/>
          <w:sz w:val="21"/>
          <w:szCs w:val="21"/>
        </w:rPr>
      </w:pPr>
    </w:p>
    <w:p>
      <w:pPr>
        <w:pStyle w:val="Heading5"/>
        <w:spacing w:line="240" w:lineRule="auto" w:before="0"/>
        <w:ind w:left="154" w:right="94"/>
        <w:jc w:val="left"/>
      </w:pPr>
      <w:r>
        <w:rPr/>
        <w:t>股份变动的批准情况</w:t>
      </w:r>
    </w:p>
    <w:p>
      <w:pPr>
        <w:pStyle w:val="Heading5"/>
        <w:spacing w:line="240" w:lineRule="auto" w:before="38"/>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5"/>
        <w:spacing w:line="297" w:lineRule="auto" w:before="97"/>
        <w:ind w:right="268"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日，公司取得中国证监会《关于核准华闻传媒投资集团股份有限公司向西 藏风网科技有限公司等发行股份购买资产并募集配套资金的批复》（证监许可〔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1077 </w:t>
      </w:r>
      <w:r>
        <w:rPr/>
        <w:t>号），核准公司发行股份购买资产并募集配套资金事宜。报告期内，公司按照中国证监会核 准文件要求及公司股东大会的授权，实施了其中的发行股份购买资产事项，公司非公开发行 不超过</w:t>
      </w:r>
      <w:r>
        <w:rPr>
          <w:rFonts w:ascii="Times New Roman" w:hAnsi="Times New Roman" w:cs="Times New Roman" w:eastAsia="Times New Roman" w:hint="default"/>
        </w:rPr>
        <w:t>74,735,987</w:t>
      </w:r>
      <w:r>
        <w:rPr/>
        <w:t>股新股募集配套资金事项尚未实施完毕。</w:t>
      </w:r>
    </w:p>
    <w:p>
      <w:pPr>
        <w:spacing w:line="240" w:lineRule="auto" w:before="13"/>
        <w:rPr>
          <w:rFonts w:ascii="宋体" w:hAnsi="宋体" w:cs="宋体" w:eastAsia="宋体" w:hint="default"/>
          <w:sz w:val="27"/>
          <w:szCs w:val="27"/>
        </w:rPr>
      </w:pPr>
    </w:p>
    <w:p>
      <w:pPr>
        <w:pStyle w:val="Heading5"/>
        <w:spacing w:line="240" w:lineRule="auto" w:before="0"/>
        <w:ind w:left="154" w:right="94"/>
        <w:jc w:val="left"/>
      </w:pPr>
      <w:r>
        <w:rPr/>
        <w:t>股份变动的过户情况</w:t>
      </w:r>
    </w:p>
    <w:p>
      <w:pPr>
        <w:pStyle w:val="Heading5"/>
        <w:spacing w:line="309" w:lineRule="auto" w:before="38"/>
        <w:ind w:left="634" w:right="250" w:hanging="4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2014年11月19日，公司收到中登公司出具的《股份登记申请受理确认书》。本次发行的</w:t>
      </w:r>
    </w:p>
    <w:p>
      <w:pPr>
        <w:pStyle w:val="Heading5"/>
        <w:spacing w:line="304" w:lineRule="auto" w:before="16"/>
        <w:ind w:left="154" w:right="104"/>
        <w:jc w:val="left"/>
      </w:pPr>
      <w:r>
        <w:rPr/>
        <w:t>134,760,955股A股股份已分别登记至西藏风网、精视投资、莫昂投资、程顺玲、李菊莲、曾 子帆、金城、长沙传怡、湖南富坤、北京中技、广东粤文投、广州漫时代、俞涌、邵璐璐、 </w:t>
      </w:r>
      <w:r>
        <w:rPr>
          <w:spacing w:val="-3"/>
        </w:rPr>
        <w:t>刘洋、张显峰、张茜、朱斌、崔伟良、施桂贤、许勇和、曹凌玲、赖春晖、邵洪涛、祖雅乐、</w:t>
      </w:r>
      <w:r>
        <w:rPr>
          <w:spacing w:val="-87"/>
        </w:rPr>
        <w:t> </w:t>
      </w:r>
      <w:r>
        <w:rPr>
          <w:spacing w:val="-87"/>
        </w:rPr>
      </w:r>
      <w:r>
        <w:rPr/>
        <w:t>邱月仙、葛重葳、韩露、丁冰和李凌彪名下。本次新增发行股份于该批股份上市日（2014年 </w:t>
      </w:r>
      <w:r>
        <w:rPr>
          <w:spacing w:val="-2"/>
        </w:rPr>
        <w:t>11月27日）的前一交易日（2014年11月26日）日终登记到账，并正式列入本公司的股东名册。</w:t>
      </w:r>
    </w:p>
    <w:p>
      <w:pPr>
        <w:spacing w:line="240" w:lineRule="auto" w:before="9"/>
        <w:rPr>
          <w:rFonts w:ascii="宋体" w:hAnsi="宋体" w:cs="宋体" w:eastAsia="宋体" w:hint="default"/>
          <w:sz w:val="28"/>
          <w:szCs w:val="28"/>
        </w:rPr>
      </w:pPr>
    </w:p>
    <w:p>
      <w:pPr>
        <w:pStyle w:val="Heading5"/>
        <w:spacing w:line="312" w:lineRule="exact" w:before="0"/>
        <w:ind w:left="154" w:right="250"/>
        <w:jc w:val="left"/>
      </w:pPr>
      <w:r>
        <w:rPr/>
        <w:t>股份变动对最近一年和最近一期基本每股收益和稀释每股收益、归属于公司普通股股东的每 股净资产等财务指标的影响</w:t>
      </w:r>
    </w:p>
    <w:p>
      <w:pPr>
        <w:pStyle w:val="Heading5"/>
        <w:spacing w:line="312" w:lineRule="auto" w:before="9"/>
        <w:ind w:left="634" w:right="250" w:hanging="4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本次新增发行股份于2014年11月26日日终登记到账，股份变动对2014年度的基本每股收</w:t>
      </w:r>
    </w:p>
    <w:p>
      <w:pPr>
        <w:pStyle w:val="Heading5"/>
        <w:spacing w:line="304" w:lineRule="auto" w:before="13"/>
        <w:ind w:left="154" w:right="268"/>
        <w:jc w:val="both"/>
      </w:pPr>
      <w:r>
        <w:rPr/>
        <w:t>益和稀释每股收益影响为：发行前基本每股收益0.5029元、稀释每股收益0.5029元，发行后 基本每股收益0.5300元、稀释每股收益0.5300元；对2014年12月31日归属于公司普通股股东 的每股净资产的影响为：发行前每股净资产2.72元，发行后每股净资产3.73元，每股净资产 增加1.01元。</w:t>
      </w:r>
    </w:p>
    <w:p>
      <w:pPr>
        <w:spacing w:after="0" w:line="304" w:lineRule="auto"/>
        <w:jc w:val="both"/>
        <w:sectPr>
          <w:pgSz w:w="11910" w:h="16840"/>
          <w:pgMar w:header="877" w:footer="982" w:top="1100" w:bottom="1180" w:left="980" w:right="900"/>
        </w:sectPr>
      </w:pPr>
    </w:p>
    <w:p>
      <w:pPr>
        <w:spacing w:line="240" w:lineRule="auto" w:before="8"/>
        <w:rPr>
          <w:rFonts w:ascii="宋体" w:hAnsi="宋体" w:cs="宋体" w:eastAsia="宋体" w:hint="default"/>
          <w:sz w:val="19"/>
          <w:szCs w:val="19"/>
        </w:rPr>
      </w:pPr>
    </w:p>
    <w:p>
      <w:pPr>
        <w:pStyle w:val="Heading5"/>
        <w:spacing w:line="240" w:lineRule="auto" w:before="26"/>
        <w:ind w:left="154" w:right="0"/>
        <w:jc w:val="left"/>
      </w:pPr>
      <w:r>
        <w:rPr/>
        <w:t>公司认为必要或证券监管机构要求披露的其他内容</w:t>
      </w:r>
    </w:p>
    <w:p>
      <w:pPr>
        <w:pStyle w:val="Heading5"/>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21"/>
          <w:szCs w:val="21"/>
        </w:rPr>
      </w:pPr>
    </w:p>
    <w:p>
      <w:pPr>
        <w:pStyle w:val="Heading4"/>
        <w:spacing w:line="240" w:lineRule="auto" w:before="0"/>
        <w:ind w:left="153"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820"/>
        </w:sectPr>
      </w:pPr>
    </w:p>
    <w:p>
      <w:pPr>
        <w:pStyle w:val="Heading5"/>
        <w:spacing w:line="240" w:lineRule="auto" w:before="2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80" w:left="980" w:right="820"/>
          <w:cols w:num="2" w:equalWidth="0">
            <w:col w:w="1992" w:space="6927"/>
            <w:col w:w="119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07" w:firstLine="0"/>
        <w:jc w:val="right"/>
        <w:rPr>
          <w:rFonts w:ascii="宋体" w:hAnsi="宋体" w:cs="宋体" w:eastAsia="宋体" w:hint="default"/>
          <w:sz w:val="18"/>
          <w:szCs w:val="18"/>
        </w:rPr>
      </w:pPr>
      <w:r>
        <w:rPr/>
        <w:pict>
          <v:shape style="position:absolute;margin-left:56.459999pt;margin-top:-437.567963pt;width:489.8pt;height:572.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040"/>
                    <w:gridCol w:w="1134"/>
                    <w:gridCol w:w="1001"/>
                    <w:gridCol w:w="985"/>
                    <w:gridCol w:w="1366"/>
                    <w:gridCol w:w="2886"/>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24" w:right="65"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5" w:right="4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61,666,667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104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66" w:lineRule="auto" w:before="110"/>
                          <w:ind w:left="22" w:right="74"/>
                          <w:jc w:val="both"/>
                          <w:rPr>
                            <w:rFonts w:ascii="宋体" w:hAnsi="宋体" w:cs="宋体" w:eastAsia="宋体" w:hint="default"/>
                            <w:sz w:val="18"/>
                            <w:szCs w:val="18"/>
                          </w:rPr>
                        </w:pPr>
                        <w:r>
                          <w:rPr>
                            <w:rFonts w:ascii="宋体" w:hAnsi="宋体" w:cs="宋体" w:eastAsia="宋体" w:hint="default"/>
                            <w:sz w:val="18"/>
                            <w:szCs w:val="18"/>
                          </w:rPr>
                          <w:t>新疆锐盈股权投 资合伙企业（有 限合伙）</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154,166,667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61,666,667</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92,500,000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59" w:lineRule="auto" w:before="110"/>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日上市流通，</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日拟解</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30,833,333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30,833,333</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15,416,667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15,416,667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上海大黎资产管 理有限公司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86,805,555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86,805,555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9"/>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86,805,555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324"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tc>
                  </w:tr>
                  <w:tr>
                    <w:trPr>
                      <w:trHeight w:val="259"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30,671,296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104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陕西华路新型塑 料建材有限公司</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76,678,241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30,671,296</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46,006,945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59" w:lineRule="auto" w:before="110"/>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日上市流通，</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日拟解</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15,335,648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15,335,648</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w:t>
                        </w:r>
                      </w:p>
                    </w:tc>
                  </w:tr>
                  <w:tr>
                    <w:trPr>
                      <w:trHeight w:val="261"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7,667,824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w:t>
                        </w:r>
                      </w:p>
                    </w:tc>
                  </w:tr>
                  <w:tr>
                    <w:trPr>
                      <w:trHeight w:val="28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7,667,825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上海常喜投资有 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60,763,889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60,763,889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60,763,889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天津大振资产管 理有限公司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52,780,864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52,780,864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52,780,864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32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13,356,790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78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66" w:lineRule="auto" w:before="110"/>
                          <w:ind w:left="22" w:right="74"/>
                          <w:jc w:val="left"/>
                          <w:rPr>
                            <w:rFonts w:ascii="宋体" w:hAnsi="宋体" w:cs="宋体" w:eastAsia="宋体" w:hint="default"/>
                            <w:sz w:val="18"/>
                            <w:szCs w:val="18"/>
                          </w:rPr>
                        </w:pPr>
                        <w:r>
                          <w:rPr>
                            <w:rFonts w:ascii="宋体" w:hAnsi="宋体" w:cs="宋体" w:eastAsia="宋体" w:hint="default"/>
                            <w:sz w:val="18"/>
                            <w:szCs w:val="18"/>
                          </w:rPr>
                          <w:t>拉萨观道管理咨 询有限公司</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33,391,975</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13,356,790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16,410,196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p>
                        <w:pPr>
                          <w:pStyle w:val="TableParagraph"/>
                          <w:spacing w:line="26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产认购公司发行 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日上市流通，</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日拟解</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6,678,395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日拟解除限售股份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6,678,395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日拟解除限售股份</w:t>
                        </w:r>
                      </w:p>
                    </w:tc>
                  </w:tr>
                  <w:tr>
                    <w:trPr>
                      <w:trHeight w:val="28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3,053,406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日收市后解除限售</w:t>
                        </w:r>
                      </w:p>
                    </w:tc>
                  </w:tr>
                  <w:tr>
                    <w:trPr>
                      <w:trHeight w:val="25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8,617,284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79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66" w:lineRule="auto" w:before="100"/>
                          <w:ind w:left="22" w:right="74"/>
                          <w:jc w:val="left"/>
                          <w:rPr>
                            <w:rFonts w:ascii="宋体" w:hAnsi="宋体" w:cs="宋体" w:eastAsia="宋体" w:hint="default"/>
                            <w:sz w:val="18"/>
                            <w:szCs w:val="18"/>
                          </w:rPr>
                        </w:pPr>
                        <w:r>
                          <w:rPr>
                            <w:rFonts w:ascii="宋体" w:hAnsi="宋体" w:cs="宋体" w:eastAsia="宋体" w:hint="default"/>
                            <w:sz w:val="18"/>
                            <w:szCs w:val="18"/>
                          </w:rPr>
                          <w:t>拉萨澄怀管理咨 询有限公司</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21,543,210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8,617,284</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12,019,679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p>
                        <w:pPr>
                          <w:pStyle w:val="TableParagraph"/>
                          <w:spacing w:line="26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产认购公司发行 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日上市流通，</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4,308,642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日拟解除限售股份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4,308,642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日拟解除限售股份</w:t>
                        </w:r>
                      </w:p>
                    </w:tc>
                  </w:tr>
                  <w:tr>
                    <w:trPr>
                      <w:trHeight w:val="248"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2,154,321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日拟解</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63"/>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80" w:left="980" w:right="820"/>
        </w:sectPr>
      </w:pPr>
    </w:p>
    <w:p>
      <w:pPr>
        <w:spacing w:line="240" w:lineRule="auto" w:before="0"/>
        <w:rPr>
          <w:rFonts w:ascii="宋体" w:hAnsi="宋体" w:cs="宋体" w:eastAsia="宋体" w:hint="default"/>
          <w:sz w:val="20"/>
          <w:szCs w:val="20"/>
        </w:rPr>
      </w:pPr>
      <w:r>
        <w:rPr/>
        <w:pict>
          <v:shape style="position:absolute;margin-left:56.459999pt;margin-top:71.999962pt;width:489.8pt;height:689.55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040"/>
                    <w:gridCol w:w="1134"/>
                    <w:gridCol w:w="1001"/>
                    <w:gridCol w:w="985"/>
                    <w:gridCol w:w="1366"/>
                    <w:gridCol w:w="2886"/>
                  </w:tblGrid>
                  <w:tr>
                    <w:trPr>
                      <w:trHeight w:val="31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1,248,074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78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66" w:lineRule="auto" w:before="110"/>
                          <w:ind w:left="22" w:right="74"/>
                          <w:jc w:val="left"/>
                          <w:rPr>
                            <w:rFonts w:ascii="宋体" w:hAnsi="宋体" w:cs="宋体" w:eastAsia="宋体" w:hint="default"/>
                            <w:sz w:val="18"/>
                            <w:szCs w:val="18"/>
                          </w:rPr>
                        </w:pPr>
                        <w:r>
                          <w:rPr>
                            <w:rFonts w:ascii="宋体" w:hAnsi="宋体" w:cs="宋体" w:eastAsia="宋体" w:hint="default"/>
                            <w:sz w:val="18"/>
                            <w:szCs w:val="18"/>
                          </w:rPr>
                          <w:t>西藏风网科技有 限公司</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59,144,736</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59,144,736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p>
                        <w:pPr>
                          <w:pStyle w:val="TableParagraph"/>
                          <w:spacing w:line="26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产认购公司发行 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23,657,894</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17,743,421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8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17,743,421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6,225,537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6,225,537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程顺玲</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z w:val="18"/>
                          </w:rPr>
                          <w:t>20,751,789</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20,751,789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产认购公司发行</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日拟解除限售股份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4,150,358</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限售股</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2,075,179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2,075,178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59"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4,330,926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4,330,926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李菊莲</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z w:val="18"/>
                          </w:rPr>
                          <w:t>14,436,421</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14,436,421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产认购公司发行</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日拟解除限售股份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2,887,284</w:t>
                        </w:r>
                      </w:p>
                    </w:tc>
                  </w:tr>
                  <w:tr>
                    <w:trPr>
                      <w:trHeight w:val="259"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限售股</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1,443,642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1,443,643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德清精视投资发 展有限公司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13,039,049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13,039,049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13,039,049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4,539,474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金城</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pacing w:val="-1"/>
                            <w:sz w:val="18"/>
                          </w:rPr>
                          <w:t>11,348,684</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pacing w:val="-1"/>
                            <w:sz w:val="18"/>
                          </w:rPr>
                          <w:t>11,348,684</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产认购公司发行</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3,404,605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日拟解除限售股份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3,404,605</w:t>
                        </w:r>
                      </w:p>
                    </w:tc>
                  </w:tr>
                  <w:tr>
                    <w:trPr>
                      <w:trHeight w:val="28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2" w:right="74"/>
                          <w:jc w:val="both"/>
                          <w:rPr>
                            <w:rFonts w:ascii="宋体" w:hAnsi="宋体" w:cs="宋体" w:eastAsia="宋体" w:hint="default"/>
                            <w:sz w:val="18"/>
                            <w:szCs w:val="18"/>
                          </w:rPr>
                        </w:pPr>
                        <w:r>
                          <w:rPr>
                            <w:rFonts w:ascii="宋体" w:hAnsi="宋体" w:cs="宋体" w:eastAsia="宋体" w:hint="default"/>
                            <w:sz w:val="18"/>
                            <w:szCs w:val="18"/>
                          </w:rPr>
                          <w:t>上海莫昂投资合 伙企业（有限合 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5,908,319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5,908,319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9"/>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5,908,319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4"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2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59"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811,958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日拟解</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811,958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曾子帆</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z w:val="18"/>
                          </w:rPr>
                          <w:t>2,706,526</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z w:val="18"/>
                          </w:rPr>
                          <w:t>2,706,526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产认购公司发行</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日拟解除限售股份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59"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tc>
                  </w:tr>
                  <w:tr>
                    <w:trPr>
                      <w:trHeight w:val="260" w:hRule="exact"/>
                    </w:trPr>
                    <w:tc>
                      <w:tcPr>
                        <w:tcW w:w="136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886"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270,653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日拟解</w:t>
                        </w:r>
                      </w:p>
                    </w:tc>
                  </w:tr>
                  <w:tr>
                    <w:trPr>
                      <w:trHeight w:val="28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8"/>
                          <w:ind w:left="22" w:right="74"/>
                          <w:jc w:val="left"/>
                          <w:rPr>
                            <w:rFonts w:ascii="宋体" w:hAnsi="宋体" w:cs="宋体" w:eastAsia="宋体" w:hint="default"/>
                            <w:sz w:val="18"/>
                            <w:szCs w:val="18"/>
                          </w:rPr>
                        </w:pPr>
                        <w:r>
                          <w:rPr>
                            <w:rFonts w:ascii="宋体" w:hAnsi="宋体" w:cs="宋体" w:eastAsia="宋体" w:hint="default"/>
                            <w:sz w:val="18"/>
                            <w:szCs w:val="18"/>
                          </w:rPr>
                          <w:t>长沙传怡合盛股 权投资合伙企业</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2,691,885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2,691,885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2,691,885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74"/>
                          <w:jc w:val="both"/>
                          <w:rPr>
                            <w:rFonts w:ascii="宋体" w:hAnsi="宋体" w:cs="宋体" w:eastAsia="宋体" w:hint="default"/>
                            <w:sz w:val="18"/>
                            <w:szCs w:val="18"/>
                          </w:rPr>
                        </w:pPr>
                        <w:r>
                          <w:rPr>
                            <w:rFonts w:ascii="宋体" w:hAnsi="宋体" w:cs="宋体" w:eastAsia="宋体" w:hint="default"/>
                            <w:sz w:val="18"/>
                            <w:szCs w:val="18"/>
                          </w:rPr>
                          <w:t>湖南富坤文化传 媒投资中心（有 限合伙）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1,096,491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1,096,491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74"/>
                          <w:jc w:val="both"/>
                          <w:rPr>
                            <w:rFonts w:ascii="宋体" w:hAnsi="宋体" w:cs="宋体" w:eastAsia="宋体" w:hint="default"/>
                            <w:sz w:val="18"/>
                            <w:szCs w:val="18"/>
                          </w:rPr>
                        </w:pPr>
                        <w:r>
                          <w:rPr>
                            <w:rFonts w:ascii="宋体" w:hAnsi="宋体" w:cs="宋体" w:eastAsia="宋体" w:hint="default"/>
                            <w:sz w:val="18"/>
                            <w:szCs w:val="18"/>
                          </w:rPr>
                          <w:t>北京中技富坤创 业投资中心（有 限合伙）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1,096,491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8"/>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1,096,491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6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8"/>
                          <w:ind w:left="22" w:right="74"/>
                          <w:jc w:val="left"/>
                          <w:rPr>
                            <w:rFonts w:ascii="宋体" w:hAnsi="宋体" w:cs="宋体" w:eastAsia="宋体" w:hint="default"/>
                            <w:sz w:val="18"/>
                            <w:szCs w:val="18"/>
                          </w:rPr>
                        </w:pPr>
                        <w:r>
                          <w:rPr>
                            <w:rFonts w:ascii="宋体" w:hAnsi="宋体" w:cs="宋体" w:eastAsia="宋体" w:hint="default"/>
                            <w:sz w:val="18"/>
                            <w:szCs w:val="18"/>
                          </w:rPr>
                          <w:t>广东粤文投一号 文化产业投资合</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1,096,491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58"/>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1,096,491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82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040"/>
        <w:gridCol w:w="1134"/>
        <w:gridCol w:w="1001"/>
        <w:gridCol w:w="985"/>
        <w:gridCol w:w="1366"/>
        <w:gridCol w:w="2886"/>
      </w:tblGrid>
      <w:tr>
        <w:trPr>
          <w:trHeight w:val="5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2" w:right="74"/>
              <w:jc w:val="left"/>
              <w:rPr>
                <w:rFonts w:ascii="宋体" w:hAnsi="宋体" w:cs="宋体" w:eastAsia="宋体" w:hint="default"/>
                <w:sz w:val="18"/>
                <w:szCs w:val="18"/>
              </w:rPr>
            </w:pPr>
            <w:r>
              <w:rPr>
                <w:rFonts w:ascii="宋体" w:hAnsi="宋体" w:cs="宋体" w:eastAsia="宋体" w:hint="default"/>
                <w:sz w:val="18"/>
                <w:szCs w:val="18"/>
              </w:rPr>
              <w:t>伙企业（有限合 伙）</w:t>
            </w:r>
          </w:p>
        </w:tc>
        <w:tc>
          <w:tcPr>
            <w:tcW w:w="104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2886"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4" w:lineRule="auto"/>
              <w:ind w:left="22" w:right="74"/>
              <w:jc w:val="both"/>
              <w:rPr>
                <w:rFonts w:ascii="宋体" w:hAnsi="宋体" w:cs="宋体" w:eastAsia="宋体" w:hint="default"/>
                <w:sz w:val="18"/>
                <w:szCs w:val="18"/>
              </w:rPr>
            </w:pPr>
            <w:r>
              <w:rPr>
                <w:rFonts w:ascii="宋体" w:hAnsi="宋体" w:cs="宋体" w:eastAsia="宋体" w:hint="default"/>
                <w:sz w:val="18"/>
                <w:szCs w:val="18"/>
              </w:rPr>
              <w:t>广州漫时代投资 管理中心（有限 合伙）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日拟解</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日拟解除限售股份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230,263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邵璐璐</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98,684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39,474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张显峰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崔伟良</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施桂贤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许勇和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曹凌玲</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7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赖春晖</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z w:val="18"/>
              </w:rPr>
              <w:t>49,342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z w:val="18"/>
              </w:rPr>
              <w:t>49,342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9"/>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86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040"/>
        <w:gridCol w:w="1134"/>
        <w:gridCol w:w="1001"/>
        <w:gridCol w:w="985"/>
        <w:gridCol w:w="1366"/>
        <w:gridCol w:w="2886"/>
      </w:tblGrid>
      <w:tr>
        <w:trPr>
          <w:trHeight w:val="31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邵洪涛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29,605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祖雅乐</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29,605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邱月仙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29,605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葛重葳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29,605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韩露</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6"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2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13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李凌彪</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59" w:lineRule="auto"/>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年以相关资 产认购公司发行 的股份</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日拟解除限售股份</w:t>
            </w:r>
          </w:p>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6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74"/>
              <w:jc w:val="left"/>
              <w:rPr>
                <w:rFonts w:ascii="宋体" w:hAnsi="宋体" w:cs="宋体" w:eastAsia="宋体" w:hint="default"/>
                <w:sz w:val="18"/>
                <w:szCs w:val="18"/>
              </w:rPr>
            </w:pPr>
            <w:r>
              <w:rPr>
                <w:rFonts w:ascii="宋体" w:hAnsi="宋体" w:cs="宋体" w:eastAsia="宋体" w:hint="default"/>
                <w:sz w:val="18"/>
                <w:szCs w:val="18"/>
              </w:rPr>
              <w:t>海口市长秀工程 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限售期已满，尚未办理上市流通手续</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486,880,401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314,662,345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134,760,955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302,447,775</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ind w:right="133"/>
        <w:jc w:val="left"/>
        <w:rPr>
          <w:b w:val="0"/>
          <w:bCs w:val="0"/>
        </w:rPr>
      </w:pPr>
      <w:r>
        <w:rPr/>
        <w:t>二、证券发行与上市情况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13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154" w:right="133"/>
        <w:jc w:val="left"/>
      </w:pPr>
      <w:r>
        <w:rPr/>
        <w:pict>
          <v:shape style="position:absolute;margin-left:126.780602pt;margin-top:75.755936pt;width:95.2pt;height:19.650pt;mso-position-horizontal-relative:page;mso-position-vertical-relative:paragraph;z-index:-121784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126.780602pt;margin-top:95.855934pt;width:95.2pt;height:19.650pt;mso-position-horizontal-relative:page;mso-position-vertical-relative:paragraph;z-index:-12178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710"/>
        <w:gridCol w:w="1592"/>
        <w:gridCol w:w="1103"/>
        <w:gridCol w:w="1367"/>
        <w:gridCol w:w="1650"/>
        <w:gridCol w:w="1367"/>
        <w:gridCol w:w="852"/>
      </w:tblGrid>
      <w:tr>
        <w:trPr>
          <w:trHeight w:val="714" w:hRule="exact"/>
        </w:trPr>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4" w:right="43" w:hanging="720"/>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0" w:right="20" w:hanging="249"/>
              <w:jc w:val="left"/>
              <w:rPr>
                <w:rFonts w:ascii="宋体" w:hAnsi="宋体" w:cs="宋体" w:eastAsia="宋体" w:hint="default"/>
                <w:sz w:val="18"/>
                <w:szCs w:val="18"/>
              </w:rPr>
            </w:pPr>
            <w:r>
              <w:rPr>
                <w:rFonts w:ascii="宋体" w:hAnsi="宋体" w:cs="宋体" w:eastAsia="宋体" w:hint="default"/>
                <w:spacing w:val="-7"/>
                <w:sz w:val="18"/>
                <w:szCs w:val="18"/>
              </w:rPr>
              <w:t>发行价格（或</w:t>
            </w:r>
            <w:r>
              <w:rPr>
                <w:rFonts w:ascii="宋体" w:hAnsi="宋体" w:cs="宋体" w:eastAsia="宋体" w:hint="default"/>
                <w:sz w:val="18"/>
                <w:szCs w:val="18"/>
              </w:rPr>
              <w:t> 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71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人民币普通股（A</w:t>
            </w:r>
          </w:p>
        </w:tc>
        <w:tc>
          <w:tcPr>
            <w:tcW w:w="1592"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sz w:val="18"/>
              </w:rPr>
              <w:t>486,130,401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486,130,401</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人民币普通股（A</w:t>
            </w:r>
          </w:p>
        </w:tc>
        <w:tc>
          <w:tcPr>
            <w:tcW w:w="1592"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sz w:val="18"/>
              </w:rPr>
              <w:t>134,760,955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134,760,955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860"/>
        </w:sectPr>
      </w:pPr>
    </w:p>
    <w:p>
      <w:pPr>
        <w:spacing w:line="240" w:lineRule="auto" w:before="8"/>
        <w:rPr>
          <w:rFonts w:ascii="宋体" w:hAnsi="宋体" w:cs="宋体" w:eastAsia="宋体" w:hint="default"/>
          <w:sz w:val="19"/>
          <w:szCs w:val="19"/>
        </w:rPr>
      </w:pPr>
    </w:p>
    <w:p>
      <w:pPr>
        <w:pStyle w:val="Heading5"/>
        <w:spacing w:line="240" w:lineRule="auto" w:before="26"/>
        <w:ind w:left="154" w:right="0"/>
        <w:jc w:val="left"/>
      </w:pPr>
      <w:r>
        <w:rPr/>
        <w:t>前三年历次证券发行情况的说明</w:t>
      </w:r>
    </w:p>
    <w:p>
      <w:pPr>
        <w:pStyle w:val="Heading5"/>
        <w:spacing w:line="307" w:lineRule="auto" w:before="115"/>
        <w:ind w:left="154" w:right="0" w:firstLine="481"/>
        <w:jc w:val="left"/>
      </w:pPr>
      <w:r>
        <w:rPr/>
        <w:t>（1）2013年，公司通过向特定对象非公开发行股份的方式，发行股份486,130,401股， 购买华商传媒及其八家附属公司的少数股东权益和澄怀科技100%股权。</w:t>
      </w:r>
    </w:p>
    <w:p>
      <w:pPr>
        <w:pStyle w:val="Heading5"/>
        <w:spacing w:line="304" w:lineRule="auto" w:before="18"/>
        <w:ind w:left="154" w:right="0" w:firstLine="480"/>
        <w:jc w:val="left"/>
      </w:pPr>
      <w:r>
        <w:rPr>
          <w:spacing w:val="16"/>
        </w:rPr>
        <w:t>（2）2014年，公司通过向特定对象非公开发行股份并支付现金的方式，发行股份</w:t>
      </w:r>
      <w:r>
        <w:rPr>
          <w:spacing w:val="18"/>
        </w:rPr>
        <w:t> </w:t>
      </w:r>
      <w:r>
        <w:rPr/>
        <w:t>134,760,955股，购买掌视亿通100%股权、精视文化60%股权、邦富软件100%股权、漫友文化</w:t>
      </w:r>
    </w:p>
    <w:p>
      <w:pPr>
        <w:pStyle w:val="Heading5"/>
        <w:spacing w:line="240" w:lineRule="auto" w:before="22"/>
        <w:ind w:left="154" w:right="0"/>
        <w:jc w:val="left"/>
      </w:pPr>
      <w:r>
        <w:rPr/>
        <w:t>85.61%股权。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1"/>
          <w:szCs w:val="21"/>
        </w:rPr>
      </w:pPr>
    </w:p>
    <w:p>
      <w:pPr>
        <w:pStyle w:val="Heading5"/>
        <w:spacing w:line="319" w:lineRule="auto" w:before="0"/>
        <w:ind w:left="574" w:right="143"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w:t>
      </w:r>
      <w:r>
        <w:rPr>
          <w:spacing w:val="-3"/>
        </w:rPr>
        <w:t>报告期内，公司发行普通股134,760,955股，本次股份发行前公司总股本为1,841,731,741</w:t>
      </w:r>
    </w:p>
    <w:p>
      <w:pPr>
        <w:pStyle w:val="Heading5"/>
        <w:spacing w:line="240" w:lineRule="auto" w:before="6"/>
        <w:ind w:right="0"/>
        <w:jc w:val="left"/>
      </w:pPr>
      <w:r>
        <w:rPr/>
        <w:t>股，发行后总股本为1,976,492,696股。本次发行前后公司的股份结构变化如下表所示：</w:t>
      </w:r>
    </w:p>
    <w:p>
      <w:pPr>
        <w:spacing w:line="240" w:lineRule="auto" w:before="7"/>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410"/>
        <w:gridCol w:w="1772"/>
        <w:gridCol w:w="1772"/>
        <w:gridCol w:w="1771"/>
        <w:gridCol w:w="1772"/>
      </w:tblGrid>
      <w:tr>
        <w:trPr>
          <w:trHeight w:val="334" w:hRule="exact"/>
        </w:trPr>
        <w:tc>
          <w:tcPr>
            <w:tcW w:w="2410" w:type="dxa"/>
            <w:vMerge w:val="restart"/>
            <w:tcBorders>
              <w:top w:val="single" w:sz="6" w:space="0" w:color="000000"/>
              <w:left w:val="single" w:sz="6" w:space="0" w:color="000000"/>
              <w:right w:val="single" w:sz="6" w:space="0" w:color="000000"/>
            </w:tcBorders>
            <w:shd w:val="clear" w:color="auto" w:fill="CCCCCC"/>
          </w:tcPr>
          <w:p>
            <w:pPr/>
          </w:p>
        </w:tc>
        <w:tc>
          <w:tcPr>
            <w:tcW w:w="35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本次发行前</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本次发行后</w:t>
            </w:r>
          </w:p>
        </w:tc>
      </w:tr>
      <w:tr>
        <w:trPr>
          <w:trHeight w:val="347" w:hRule="exact"/>
        </w:trPr>
        <w:tc>
          <w:tcPr>
            <w:tcW w:w="2410" w:type="dxa"/>
            <w:vMerge/>
            <w:tcBorders>
              <w:left w:val="single" w:sz="6" w:space="0" w:color="000000"/>
              <w:bottom w:val="single" w:sz="6" w:space="0" w:color="000000"/>
              <w:right w:val="single" w:sz="6" w:space="0" w:color="000000"/>
            </w:tcBorders>
            <w:shd w:val="clear" w:color="auto" w:fill="CCCCCC"/>
          </w:tcPr>
          <w:p>
            <w:pP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77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352"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482,349,165</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26.19%</w:t>
            </w:r>
          </w:p>
        </w:tc>
        <w:tc>
          <w:tcPr>
            <w:tcW w:w="17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617,110,120</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31.22%</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其中：国有法人持股</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1,359,382,576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73.81%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1,359,382,576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68.78%</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1,841,731,741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1,976,492,696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82" w:top="1100" w:bottom="1180" w:left="980" w:right="980"/>
        </w:sectPr>
      </w:pPr>
    </w:p>
    <w:p>
      <w:pPr>
        <w:pStyle w:val="Heading5"/>
        <w:spacing w:line="240" w:lineRule="auto" w:before="26"/>
        <w:ind w:left="634" w:right="-20"/>
        <w:jc w:val="left"/>
        <w:rPr>
          <w:rFonts w:ascii="Times New Roman" w:hAnsi="Times New Roman" w:cs="Times New Roman" w:eastAsia="Times New Roman" w:hint="default"/>
        </w:rPr>
      </w:pPr>
      <w:r>
        <w:rPr/>
        <w:t>本次发行前后公司资产和负债结构的变动情况如下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before="132"/>
        <w:ind w:left="633" w:right="0"/>
        <w:jc w:val="left"/>
      </w:pPr>
      <w:r>
        <w:rPr/>
        <w:t>单位：万元</w:t>
      </w:r>
    </w:p>
    <w:p>
      <w:pPr>
        <w:spacing w:after="0" w:line="240" w:lineRule="auto"/>
        <w:jc w:val="left"/>
        <w:sectPr>
          <w:type w:val="continuous"/>
          <w:pgSz w:w="11910" w:h="16840"/>
          <w:pgMar w:top="1060" w:bottom="1180" w:left="980" w:right="980"/>
          <w:cols w:num="2" w:equalWidth="0">
            <w:col w:w="5981" w:space="223"/>
            <w:col w:w="3746"/>
          </w:cols>
        </w:sectPr>
      </w:pPr>
    </w:p>
    <w:p>
      <w:pPr>
        <w:spacing w:line="240" w:lineRule="auto" w:before="0"/>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130"/>
        <w:gridCol w:w="1735"/>
        <w:gridCol w:w="1831"/>
        <w:gridCol w:w="1462"/>
        <w:gridCol w:w="1385"/>
      </w:tblGrid>
      <w:tr>
        <w:trPr>
          <w:trHeight w:val="346" w:hRule="exact"/>
        </w:trPr>
        <w:tc>
          <w:tcPr>
            <w:tcW w:w="313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31" w:right="228" w:firstLine="104"/>
              <w:jc w:val="left"/>
              <w:rPr>
                <w:rFonts w:ascii="宋体" w:hAnsi="宋体" w:cs="宋体" w:eastAsia="宋体" w:hint="default"/>
                <w:sz w:val="21"/>
                <w:szCs w:val="21"/>
              </w:rPr>
            </w:pPr>
            <w:r>
              <w:rPr>
                <w:rFonts w:ascii="宋体" w:hAnsi="宋体" w:cs="宋体" w:eastAsia="宋体" w:hint="default"/>
                <w:sz w:val="21"/>
                <w:szCs w:val="21"/>
              </w:rPr>
              <w:t>发行完成后 (2014-12-31)</w:t>
            </w:r>
          </w:p>
        </w:tc>
        <w:tc>
          <w:tcPr>
            <w:tcW w:w="1831"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78" w:right="277" w:firstLine="104"/>
              <w:jc w:val="left"/>
              <w:rPr>
                <w:rFonts w:ascii="宋体" w:hAnsi="宋体" w:cs="宋体" w:eastAsia="宋体" w:hint="default"/>
                <w:sz w:val="21"/>
                <w:szCs w:val="21"/>
              </w:rPr>
            </w:pPr>
            <w:r>
              <w:rPr>
                <w:rFonts w:ascii="宋体" w:hAnsi="宋体" w:cs="宋体" w:eastAsia="宋体" w:hint="default"/>
                <w:sz w:val="21"/>
                <w:szCs w:val="21"/>
              </w:rPr>
              <w:t>发行完成前 (2014-12-31)</w:t>
            </w:r>
          </w:p>
        </w:tc>
        <w:tc>
          <w:tcPr>
            <w:tcW w:w="284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784" w:right="0"/>
              <w:jc w:val="left"/>
              <w:rPr>
                <w:rFonts w:ascii="宋体" w:hAnsi="宋体" w:cs="宋体" w:eastAsia="宋体" w:hint="default"/>
                <w:sz w:val="21"/>
                <w:szCs w:val="21"/>
              </w:rPr>
            </w:pPr>
            <w:r>
              <w:rPr>
                <w:rFonts w:ascii="宋体" w:hAnsi="宋体" w:cs="宋体" w:eastAsia="宋体" w:hint="default"/>
                <w:sz w:val="21"/>
                <w:szCs w:val="21"/>
              </w:rPr>
              <w:t>发行前后比较</w:t>
            </w:r>
          </w:p>
        </w:tc>
      </w:tr>
      <w:tr>
        <w:trPr>
          <w:trHeight w:val="347" w:hRule="exact"/>
        </w:trPr>
        <w:tc>
          <w:tcPr>
            <w:tcW w:w="3130" w:type="dxa"/>
            <w:vMerge/>
            <w:tcBorders>
              <w:left w:val="single" w:sz="6" w:space="0" w:color="000000"/>
              <w:bottom w:val="single" w:sz="6" w:space="0" w:color="000000"/>
              <w:right w:val="single" w:sz="6" w:space="0" w:color="000000"/>
            </w:tcBorders>
            <w:shd w:val="clear" w:color="auto" w:fill="CCCCCC"/>
          </w:tcPr>
          <w:p>
            <w:pPr/>
          </w:p>
        </w:tc>
        <w:tc>
          <w:tcPr>
            <w:tcW w:w="1735" w:type="dxa"/>
            <w:vMerge/>
            <w:tcBorders>
              <w:left w:val="single" w:sz="6" w:space="0" w:color="000000"/>
              <w:bottom w:val="single" w:sz="6" w:space="0" w:color="000000"/>
              <w:right w:val="single" w:sz="6" w:space="0" w:color="000000"/>
            </w:tcBorders>
            <w:shd w:val="clear" w:color="auto" w:fill="CCCCCC"/>
          </w:tcPr>
          <w:p>
            <w:pPr/>
          </w:p>
        </w:tc>
        <w:tc>
          <w:tcPr>
            <w:tcW w:w="1831" w:type="dxa"/>
            <w:vMerge/>
            <w:tcBorders>
              <w:left w:val="single" w:sz="6" w:space="0" w:color="000000"/>
              <w:bottom w:val="single" w:sz="6" w:space="0" w:color="000000"/>
              <w:right w:val="single" w:sz="6" w:space="0" w:color="000000"/>
            </w:tcBorders>
            <w:shd w:val="clear" w:color="auto" w:fill="CCCCCC"/>
          </w:tcPr>
          <w:p>
            <w:pPr/>
          </w:p>
        </w:tc>
        <w:tc>
          <w:tcPr>
            <w:tcW w:w="14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407" w:right="0"/>
              <w:jc w:val="left"/>
              <w:rPr>
                <w:rFonts w:ascii="宋体" w:hAnsi="宋体" w:cs="宋体" w:eastAsia="宋体" w:hint="default"/>
                <w:sz w:val="21"/>
                <w:szCs w:val="21"/>
              </w:rPr>
            </w:pPr>
            <w:r>
              <w:rPr>
                <w:rFonts w:ascii="宋体" w:hAnsi="宋体" w:cs="宋体" w:eastAsia="宋体" w:hint="default"/>
                <w:sz w:val="21"/>
                <w:szCs w:val="21"/>
              </w:rPr>
              <w:t>增长额</w:t>
            </w:r>
          </w:p>
        </w:tc>
        <w:tc>
          <w:tcPr>
            <w:tcW w:w="13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370"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385,090.98</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324,866.49</w:t>
            </w:r>
          </w:p>
        </w:tc>
        <w:tc>
          <w:tcPr>
            <w:tcW w:w="14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60,224.49</w:t>
            </w:r>
          </w:p>
        </w:tc>
        <w:tc>
          <w:tcPr>
            <w:tcW w:w="13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18.54%</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698,602.16</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557,849.51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140,752.65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25.23%</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1,083,693.14</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882,716.00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200,977.14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22.77%</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189,751.95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187,261.29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2,490.66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1.33%</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166,372.18</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165,703.02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669.16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0.40%</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356,124.13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352,964.30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3,159.82</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0.90%</w:t>
            </w:r>
          </w:p>
        </w:tc>
      </w:tr>
      <w:tr>
        <w:trPr>
          <w:trHeight w:val="426"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691,224.36</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501,579.60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189,644.76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37.81%</w:t>
            </w:r>
          </w:p>
        </w:tc>
      </w:tr>
      <w:tr>
        <w:trPr>
          <w:trHeight w:val="42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727,569.01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529,751.69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197,817.32</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37.34%</w:t>
            </w:r>
          </w:p>
        </w:tc>
      </w:tr>
      <w:tr>
        <w:trPr>
          <w:trHeight w:val="428"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32.86%</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39.99%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-7.12%</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-17.82%</w:t>
            </w:r>
          </w:p>
        </w:tc>
      </w:tr>
    </w:tbl>
    <w:p>
      <w:pPr>
        <w:pStyle w:val="Heading5"/>
        <w:spacing w:line="240" w:lineRule="auto" w:before="82"/>
        <w:ind w:left="634" w:right="0"/>
        <w:jc w:val="left"/>
      </w:pPr>
      <w:r>
        <w:rPr/>
        <w:t>本次发行完成后，公司的资产规模提高，资产负债率降低，抗风险能力进一步增强。</w:t>
      </w:r>
    </w:p>
    <w:p>
      <w:pPr>
        <w:spacing w:after="0" w:line="240" w:lineRule="auto"/>
        <w:jc w:val="left"/>
        <w:sectPr>
          <w:type w:val="continuous"/>
          <w:pgSz w:w="11910" w:h="16840"/>
          <w:pgMar w:top="1060" w:bottom="1180" w:left="980" w:right="980"/>
        </w:sectPr>
      </w:pPr>
    </w:p>
    <w:p>
      <w:pPr>
        <w:spacing w:line="240" w:lineRule="auto" w:before="8"/>
        <w:rPr>
          <w:rFonts w:ascii="宋体" w:hAnsi="宋体" w:cs="宋体" w:eastAsia="宋体" w:hint="default"/>
          <w:sz w:val="19"/>
          <w:szCs w:val="19"/>
        </w:rPr>
      </w:pPr>
    </w:p>
    <w:p>
      <w:pPr>
        <w:pStyle w:val="Heading4"/>
        <w:spacing w:line="240" w:lineRule="auto"/>
        <w:ind w:right="706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1"/>
          <w:szCs w:val="21"/>
        </w:rPr>
      </w:pPr>
    </w:p>
    <w:p>
      <w:pPr>
        <w:spacing w:line="456" w:lineRule="auto" w:before="0"/>
        <w:ind w:left="153" w:right="706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、公司股东数量及持股情况</w:t>
      </w:r>
      <w:r>
        <w:rPr>
          <w:rFonts w:ascii="宋体" w:hAnsi="宋体" w:cs="宋体" w:eastAsia="宋体" w:hint="default"/>
          <w:sz w:val="24"/>
          <w:szCs w:val="24"/>
        </w:rPr>
      </w:r>
    </w:p>
    <w:p>
      <w:pPr>
        <w:spacing w:before="90"/>
        <w:ind w:left="0" w:right="4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233"/>
        <w:gridCol w:w="672"/>
        <w:gridCol w:w="396"/>
        <w:gridCol w:w="401"/>
        <w:gridCol w:w="1046"/>
        <w:gridCol w:w="395"/>
        <w:gridCol w:w="598"/>
        <w:gridCol w:w="992"/>
        <w:gridCol w:w="395"/>
        <w:gridCol w:w="739"/>
        <w:gridCol w:w="1379"/>
        <w:gridCol w:w="1356"/>
      </w:tblGrid>
      <w:tr>
        <w:trPr>
          <w:trHeight w:val="1026" w:hRule="exact"/>
        </w:trPr>
        <w:tc>
          <w:tcPr>
            <w:tcW w:w="15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报告期末普通股股 东总数（户）</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91,554</w:t>
            </w:r>
          </w:p>
        </w:tc>
        <w:tc>
          <w:tcPr>
            <w:tcW w:w="18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个交易日末普通股股 东总数（户）</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85,905</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报告期末表决权恢复的优 </w:t>
            </w:r>
            <w:r>
              <w:rPr>
                <w:rFonts w:ascii="宋体" w:hAnsi="宋体" w:cs="宋体" w:eastAsia="宋体" w:hint="default"/>
                <w:spacing w:val="-8"/>
                <w:sz w:val="18"/>
                <w:szCs w:val="18"/>
              </w:rPr>
              <w:t>先股股东总数（如有）（参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965"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905" w:type="dxa"/>
            <w:gridSpan w:val="2"/>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1046" w:type="dxa"/>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9"/>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国广环球资产管 理有限公司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13.52%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267,205,570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267,205,570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210,223,274</w:t>
            </w:r>
          </w:p>
        </w:tc>
      </w:tr>
      <w:tr>
        <w:trPr>
          <w:trHeight w:val="102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新疆锐盈股权 投资合伙企业</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154,166,667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61,666,667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40,380,000</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上海大黎资产 管理有限公司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86,805,555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86,805,555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86,805,555</w:t>
            </w:r>
          </w:p>
        </w:tc>
      </w:tr>
      <w:tr>
        <w:trPr>
          <w:trHeight w:val="102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陕西华路新型 塑料建材有限公 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76,678,241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46,006,945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30,671,296</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上海常喜投资 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60,798,789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34900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60,798,789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60,729,927</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西藏风网科技有 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59,144,736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59,144,736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59,144,736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天津大振资产 管理有限公司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52,780,864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52,780,864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52,780,864</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拉萨观道管理 咨询有限公司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29,766,986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-3,624,989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16,410,196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13,356,790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质押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程顺玲</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20,751,789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20,751,789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20,751,789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拉萨澄怀管理 咨询有限公司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20,636,963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-906,247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12,019,679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8,617,284</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69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42"/>
              <w:jc w:val="left"/>
              <w:rPr>
                <w:rFonts w:ascii="宋体" w:hAnsi="宋体" w:cs="宋体" w:eastAsia="宋体" w:hint="default"/>
                <w:sz w:val="18"/>
                <w:szCs w:val="18"/>
              </w:rPr>
            </w:pPr>
            <w:r>
              <w:rPr>
                <w:rFonts w:ascii="宋体" w:hAnsi="宋体" w:cs="宋体" w:eastAsia="宋体" w:hint="default"/>
                <w:sz w:val="18"/>
                <w:szCs w:val="18"/>
              </w:rPr>
              <w:t>拉萨观道与拉萨澄怀为一致行动人，拉萨观道持有国广资产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12.3496%</w:t>
            </w:r>
            <w:r>
              <w:rPr>
                <w:rFonts w:ascii="宋体" w:hAnsi="宋体" w:cs="宋体" w:eastAsia="宋体" w:hint="default"/>
                <w:sz w:val="18"/>
                <w:szCs w:val="18"/>
              </w:rPr>
              <w:t>股权，公司未知上述其他股 东之间是否存在关联关系，也未知上述股东是否属于《上市公司收购管理办法》规定的一致行动</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6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3118"/>
        <w:gridCol w:w="1794"/>
        <w:gridCol w:w="1367"/>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402" w:hRule="exact"/>
        </w:trPr>
        <w:tc>
          <w:tcPr>
            <w:tcW w:w="996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68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11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68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6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686" w:type="dxa"/>
            <w:gridSpan w:val="2"/>
            <w:vMerge/>
            <w:tcBorders>
              <w:left w:val="single" w:sz="4" w:space="0" w:color="000000"/>
              <w:bottom w:val="nil" w:sz="6" w:space="0" w:color="auto"/>
              <w:right w:val="single" w:sz="4" w:space="0" w:color="000000"/>
            </w:tcBorders>
            <w:shd w:val="clear" w:color="auto" w:fill="D3D3D3"/>
          </w:tcPr>
          <w:p>
            <w:pPr/>
          </w:p>
        </w:tc>
        <w:tc>
          <w:tcPr>
            <w:tcW w:w="3118" w:type="dxa"/>
            <w:vMerge/>
            <w:tcBorders>
              <w:left w:val="single" w:sz="4" w:space="0" w:color="000000"/>
              <w:bottom w:val="nil" w:sz="6" w:space="0" w:color="auto"/>
              <w:right w:val="single" w:sz="4" w:space="0" w:color="000000"/>
            </w:tcBorders>
            <w:shd w:val="clear" w:color="auto" w:fill="D3D3D3"/>
          </w:tcPr>
          <w:p>
            <w:pPr/>
          </w:p>
        </w:tc>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68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1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94"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267,205,570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267,205,570</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上海大黎资产管理有限公司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86,805,555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86,805,555</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新疆锐盈股权投资合伙企业（有限合伙）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61,666,667</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61,666,667</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上海常喜投资有限公司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60,798,789</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60,798,789</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天津大振资产管理有限公司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52,780,864</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52,780,864</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陕西华路新型塑料建材有限公司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30,671,296</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30,671,296</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正德人寿保险股份有限公司－万能保险产品</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20,364,877</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20,364,877</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拉萨观道管理咨询有限公司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13,356,790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13,356,790</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海口市燃气集团公司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11,812,652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11,812,652</w:t>
            </w: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8,980,000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8,980,000</w:t>
            </w:r>
          </w:p>
        </w:tc>
      </w:tr>
      <w:tr>
        <w:trPr>
          <w:trHeight w:val="1026" w:hRule="exact"/>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p>
            <w:pPr>
              <w:pStyle w:val="TableParagraph"/>
              <w:spacing w:line="302" w:lineRule="auto" w:before="61"/>
              <w:ind w:left="22" w:right="143"/>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6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拉萨观道与拉萨澄怀为一致行动人，拉萨观道持有国广资产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12.3496%</w:t>
            </w:r>
            <w:r>
              <w:rPr>
                <w:rFonts w:ascii="宋体" w:hAnsi="宋体" w:cs="宋体" w:eastAsia="宋体" w:hint="default"/>
                <w:sz w:val="18"/>
                <w:szCs w:val="18"/>
              </w:rPr>
              <w:t>股权，公 </w:t>
            </w:r>
            <w:r>
              <w:rPr>
                <w:rFonts w:ascii="宋体" w:hAnsi="宋体" w:cs="宋体" w:eastAsia="宋体" w:hint="default"/>
                <w:spacing w:val="-3"/>
                <w:sz w:val="18"/>
                <w:szCs w:val="18"/>
              </w:rPr>
              <w:t>司未知上述其他股东之间是否存在关联关系，也未知上述股东是否属于《上市公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司收购管理办法》规定的一致行动人。</w:t>
            </w:r>
          </w:p>
        </w:tc>
      </w:tr>
    </w:tbl>
    <w:p>
      <w:pPr>
        <w:pStyle w:val="BodyText"/>
        <w:spacing w:line="260" w:lineRule="exact" w:before="0"/>
        <w:ind w:right="0"/>
        <w:jc w:val="left"/>
      </w:pPr>
      <w:r>
        <w:rPr/>
        <w:t>注：证券账户名称前标注“*”的股东所持股份含有登记日收市后由限售股解限而来的股份，该股份可于</w:t>
      </w:r>
    </w:p>
    <w:p>
      <w:pPr>
        <w:pStyle w:val="BodyText"/>
        <w:spacing w:line="240" w:lineRule="auto" w:before="37"/>
        <w:ind w:right="0"/>
        <w:jc w:val="left"/>
      </w:pPr>
      <w:r>
        <w:rPr/>
        <w:t>次一日上市交易。限售股定义参见中国证监会信息披露内容与格式准则第</w:t>
      </w:r>
      <w:r>
        <w:rPr>
          <w:spacing w:val="-53"/>
        </w:rPr>
        <w:t> </w:t>
      </w:r>
      <w:r>
        <w:rPr/>
        <w:t>5</w:t>
      </w:r>
      <w:r>
        <w:rPr>
          <w:spacing w:val="-52"/>
        </w:rPr>
        <w:t> </w:t>
      </w:r>
      <w:r>
        <w:rPr/>
        <w:t>号。</w:t>
      </w:r>
    </w:p>
    <w:p>
      <w:pPr>
        <w:spacing w:line="240" w:lineRule="auto" w:before="0"/>
        <w:rPr>
          <w:rFonts w:ascii="宋体" w:hAnsi="宋体" w:cs="宋体" w:eastAsia="宋体" w:hint="default"/>
          <w:sz w:val="20"/>
          <w:szCs w:val="20"/>
        </w:rPr>
      </w:pPr>
    </w:p>
    <w:p>
      <w:pPr>
        <w:pStyle w:val="Heading5"/>
        <w:spacing w:line="240" w:lineRule="auto" w:before="145"/>
        <w:ind w:left="154" w:right="0"/>
        <w:jc w:val="left"/>
      </w:pPr>
      <w:r>
        <w:rPr/>
        <w:t>公司前</w:t>
      </w:r>
      <w:r>
        <w:rPr>
          <w:spacing w:val="-60"/>
        </w:rPr>
        <w:t> </w:t>
      </w:r>
      <w:r>
        <w:rPr>
          <w:rFonts w:ascii="Times New Roman" w:hAnsi="Times New Roman" w:cs="Times New Roman" w:eastAsia="Times New Roman" w:hint="default"/>
        </w:rPr>
        <w:t>10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pStyle w:val="Heading5"/>
        <w:spacing w:line="240" w:lineRule="auto" w:before="19"/>
        <w:ind w:left="154" w:right="70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Heading5"/>
        <w:spacing w:line="240" w:lineRule="auto" w:before="19"/>
        <w:ind w:left="154" w:right="0"/>
        <w:jc w:val="left"/>
      </w:pPr>
      <w:r>
        <w:rPr/>
        <w:t>公司前</w:t>
      </w:r>
      <w:r>
        <w:rPr>
          <w:spacing w:val="-60"/>
        </w:rPr>
        <w:t> </w:t>
      </w:r>
      <w:r>
        <w:rPr>
          <w:rFonts w:ascii="Times New Roman" w:hAnsi="Times New Roman" w:cs="Times New Roman" w:eastAsia="Times New Roman" w:hint="default"/>
        </w:rPr>
        <w:t>10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6"/>
        <w:rPr>
          <w:rFonts w:ascii="宋体" w:hAnsi="宋体" w:cs="宋体" w:eastAsia="宋体" w:hint="default"/>
          <w:sz w:val="21"/>
          <w:szCs w:val="21"/>
        </w:rPr>
      </w:pPr>
    </w:p>
    <w:p>
      <w:pPr>
        <w:pStyle w:val="Heading4"/>
        <w:spacing w:line="441" w:lineRule="auto" w:before="0"/>
        <w:ind w:right="7781"/>
        <w:jc w:val="left"/>
        <w:rPr>
          <w:rFonts w:ascii="宋体" w:hAnsi="宋体" w:cs="宋体" w:eastAsia="宋体" w:hint="default"/>
          <w:b w:val="0"/>
          <w:bCs w:val="0"/>
        </w:rPr>
      </w:pPr>
      <w:r>
        <w:rPr>
          <w:rFonts w:ascii="Times New Roman" w:hAnsi="Times New Roman" w:cs="Times New Roman" w:eastAsia="Times New Roman" w:hint="default"/>
        </w:rPr>
        <w:t>2</w:t>
      </w:r>
      <w:r>
        <w:rPr/>
        <w:t>、公司控股股东情况</w:t>
      </w:r>
      <w:r>
        <w:rPr>
          <w:spacing w:val="1"/>
          <w:w w:val="99"/>
        </w:rPr>
        <w:t> </w:t>
      </w:r>
      <w:r>
        <w:rPr>
          <w:rFonts w:ascii="宋体" w:hAnsi="宋体" w:cs="宋体" w:eastAsia="宋体" w:hint="default"/>
          <w:b w:val="0"/>
          <w:bCs w:val="0"/>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487" w:firstLine="0"/>
        <w:jc w:val="right"/>
        <w:rPr>
          <w:rFonts w:ascii="宋体" w:hAnsi="宋体" w:cs="宋体" w:eastAsia="宋体" w:hint="default"/>
          <w:sz w:val="18"/>
          <w:szCs w:val="18"/>
        </w:rPr>
      </w:pPr>
      <w:r>
        <w:rPr/>
        <w:pict>
          <v:shape style="position:absolute;margin-left:56.459999pt;margin-top:-87.847984pt;width:479.1pt;height:194.6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93"/>
                    <w:gridCol w:w="1327"/>
                    <w:gridCol w:w="1460"/>
                    <w:gridCol w:w="1592"/>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国广环球资产管理有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王政</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sz w:val="18"/>
                          </w:rPr>
                          <w:t>56652574-6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70,650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both"/>
                          <w:rPr>
                            <w:rFonts w:ascii="宋体" w:hAnsi="宋体" w:cs="宋体" w:eastAsia="宋体" w:hint="default"/>
                            <w:sz w:val="18"/>
                            <w:szCs w:val="18"/>
                          </w:rPr>
                        </w:pPr>
                        <w:r>
                          <w:rPr>
                            <w:rFonts w:ascii="宋体" w:hAnsi="宋体" w:cs="宋体" w:eastAsia="宋体" w:hint="default"/>
                            <w:sz w:val="18"/>
                            <w:szCs w:val="18"/>
                          </w:rPr>
                          <w:t>资产管理、投资管理、 商务信息咨询、企业管 理咨询</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8"/>
                          <w:jc w:val="left"/>
                          <w:rPr>
                            <w:rFonts w:ascii="宋体" w:hAnsi="宋体" w:cs="宋体" w:eastAsia="宋体" w:hint="default"/>
                            <w:sz w:val="18"/>
                            <w:szCs w:val="18"/>
                          </w:rPr>
                        </w:pPr>
                        <w:r>
                          <w:rPr>
                            <w:rFonts w:ascii="宋体" w:hAnsi="宋体" w:cs="宋体" w:eastAsia="宋体" w:hint="default"/>
                            <w:sz w:val="18"/>
                            <w:szCs w:val="18"/>
                          </w:rPr>
                          <w:t>国广资产作为本公司的控股股东，拟将本公司打造成国内一流、世界知名、持续创新、面向全球 垂直多元的“现代、新型、综合、国际”传媒集团。</w:t>
                        </w:r>
                      </w:p>
                    </w:tc>
                  </w:tr>
                  <w:tr>
                    <w:trPr>
                      <w:trHeight w:val="1026"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日，国广资产未经审计（不含华闻传媒）的资产总额</w:t>
                        </w:r>
                        <w:r>
                          <w:rPr>
                            <w:rFonts w:ascii="宋体" w:hAnsi="宋体" w:cs="宋体" w:eastAsia="宋体" w:hint="default"/>
                            <w:spacing w:val="-51"/>
                            <w:sz w:val="18"/>
                            <w:szCs w:val="18"/>
                          </w:rPr>
                          <w:t> </w:t>
                        </w:r>
                        <w:r>
                          <w:rPr>
                            <w:rFonts w:ascii="宋体" w:hAnsi="宋体" w:cs="宋体" w:eastAsia="宋体" w:hint="default"/>
                            <w:sz w:val="18"/>
                            <w:szCs w:val="18"/>
                          </w:rPr>
                          <w:t>173,880.63</w:t>
                        </w:r>
                        <w:r>
                          <w:rPr>
                            <w:rFonts w:ascii="宋体" w:hAnsi="宋体" w:cs="宋体" w:eastAsia="宋体" w:hint="default"/>
                            <w:spacing w:val="-51"/>
                            <w:sz w:val="18"/>
                            <w:szCs w:val="18"/>
                          </w:rPr>
                          <w:t> </w:t>
                        </w:r>
                        <w:r>
                          <w:rPr>
                            <w:rFonts w:ascii="宋体" w:hAnsi="宋体" w:cs="宋体" w:eastAsia="宋体" w:hint="default"/>
                            <w:spacing w:val="-4"/>
                            <w:sz w:val="18"/>
                            <w:szCs w:val="18"/>
                          </w:rPr>
                          <w:t>万元，所有</w:t>
                        </w:r>
                        <w:r>
                          <w:rPr>
                            <w:rFonts w:ascii="宋体" w:hAnsi="宋体" w:cs="宋体" w:eastAsia="宋体" w:hint="default"/>
                            <w:sz w:val="18"/>
                            <w:szCs w:val="18"/>
                          </w:rPr>
                          <w:t> 者权益</w:t>
                        </w:r>
                        <w:r>
                          <w:rPr>
                            <w:rFonts w:ascii="宋体" w:hAnsi="宋体" w:cs="宋体" w:eastAsia="宋体" w:hint="default"/>
                            <w:spacing w:val="-49"/>
                            <w:sz w:val="18"/>
                            <w:szCs w:val="18"/>
                          </w:rPr>
                          <w:t> </w:t>
                        </w:r>
                        <w:r>
                          <w:rPr>
                            <w:rFonts w:ascii="宋体" w:hAnsi="宋体" w:cs="宋体" w:eastAsia="宋体" w:hint="default"/>
                            <w:sz w:val="18"/>
                            <w:szCs w:val="18"/>
                          </w:rPr>
                          <w:t>47,958.20</w:t>
                        </w:r>
                        <w:r>
                          <w:rPr>
                            <w:rFonts w:ascii="宋体" w:hAnsi="宋体" w:cs="宋体" w:eastAsia="宋体" w:hint="default"/>
                            <w:spacing w:val="-49"/>
                            <w:sz w:val="18"/>
                            <w:szCs w:val="18"/>
                          </w:rPr>
                          <w:t> </w:t>
                        </w:r>
                        <w:r>
                          <w:rPr>
                            <w:rFonts w:ascii="宋体" w:hAnsi="宋体" w:cs="宋体" w:eastAsia="宋体" w:hint="default"/>
                            <w:sz w:val="18"/>
                            <w:szCs w:val="18"/>
                          </w:rPr>
                          <w:t>万元；2014</w:t>
                        </w:r>
                        <w:r>
                          <w:rPr>
                            <w:rFonts w:ascii="宋体" w:hAnsi="宋体" w:cs="宋体" w:eastAsia="宋体" w:hint="default"/>
                            <w:spacing w:val="-48"/>
                            <w:sz w:val="18"/>
                            <w:szCs w:val="18"/>
                          </w:rPr>
                          <w:t> </w:t>
                        </w:r>
                        <w:r>
                          <w:rPr>
                            <w:rFonts w:ascii="宋体" w:hAnsi="宋体" w:cs="宋体" w:eastAsia="宋体" w:hint="default"/>
                            <w:sz w:val="18"/>
                            <w:szCs w:val="18"/>
                          </w:rPr>
                          <w:t>年度实现营业收入</w:t>
                        </w:r>
                        <w:r>
                          <w:rPr>
                            <w:rFonts w:ascii="宋体" w:hAnsi="宋体" w:cs="宋体" w:eastAsia="宋体" w:hint="default"/>
                            <w:spacing w:val="-49"/>
                            <w:sz w:val="18"/>
                            <w:szCs w:val="18"/>
                          </w:rPr>
                          <w:t> </w:t>
                        </w:r>
                        <w:r>
                          <w:rPr>
                            <w:rFonts w:ascii="宋体" w:hAnsi="宋体" w:cs="宋体" w:eastAsia="宋体" w:hint="default"/>
                            <w:sz w:val="18"/>
                            <w:szCs w:val="18"/>
                          </w:rPr>
                          <w:t>3,961.09</w:t>
                        </w:r>
                        <w:r>
                          <w:rPr>
                            <w:rFonts w:ascii="宋体" w:hAnsi="宋体" w:cs="宋体" w:eastAsia="宋体" w:hint="default"/>
                            <w:spacing w:val="-48"/>
                            <w:sz w:val="18"/>
                            <w:szCs w:val="18"/>
                          </w:rPr>
                          <w:t> </w:t>
                        </w:r>
                        <w:r>
                          <w:rPr>
                            <w:rFonts w:ascii="宋体" w:hAnsi="宋体" w:cs="宋体" w:eastAsia="宋体" w:hint="default"/>
                            <w:sz w:val="18"/>
                            <w:szCs w:val="18"/>
                          </w:rPr>
                          <w:t>万元，净利润-5,122.42</w:t>
                        </w:r>
                        <w:r>
                          <w:rPr>
                            <w:rFonts w:ascii="宋体" w:hAnsi="宋体" w:cs="宋体" w:eastAsia="宋体" w:hint="default"/>
                            <w:spacing w:val="-49"/>
                            <w:sz w:val="18"/>
                            <w:szCs w:val="18"/>
                          </w:rPr>
                          <w:t> </w:t>
                        </w:r>
                        <w:r>
                          <w:rPr>
                            <w:rFonts w:ascii="宋体" w:hAnsi="宋体" w:cs="宋体" w:eastAsia="宋体" w:hint="default"/>
                            <w:sz w:val="18"/>
                            <w:szCs w:val="18"/>
                          </w:rPr>
                          <w:t>万元。2014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z w:val="18"/>
                            <w:szCs w:val="18"/>
                          </w:rPr>
                          <w:t> 末经营活动产生的现金流量净额为-9,106.05</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2"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w:t>
                        </w:r>
                      </w:p>
                    </w:tc>
                    <w:tc>
                      <w:tcPr>
                        <w:tcW w:w="7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680"/>
        </w:sectPr>
      </w:pPr>
    </w:p>
    <w:p>
      <w:pPr>
        <w:spacing w:line="240" w:lineRule="auto" w:before="2"/>
        <w:rPr>
          <w:rFonts w:ascii="宋体" w:hAnsi="宋体" w:cs="宋体" w:eastAsia="宋体" w:hint="default"/>
          <w:sz w:val="24"/>
          <w:szCs w:val="24"/>
        </w:rPr>
      </w:pPr>
    </w:p>
    <w:p>
      <w:pPr>
        <w:spacing w:line="1005" w:lineRule="exact"/>
        <w:ind w:left="144"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35pt;height:50.3pt;mso-position-horizontal-relative:char;mso-position-vertical-relative:line" coordorigin="0,0" coordsize="9587,1006">
            <v:group style="position:absolute;left:14;top:14;width:1824;height:977" coordorigin="14,14" coordsize="1824,977">
              <v:shape style="position:absolute;left:14;top:14;width:1824;height:977" coordorigin="14,14" coordsize="1824,977" path="m14,991l1838,991,1838,14,14,14,14,991xe" filled="true" fillcolor="#d3d3d3" stroked="false">
                <v:path arrowok="t"/>
                <v:fill type="solid"/>
              </v:shape>
            </v:group>
            <v:group style="position:absolute;left:37;top:14;width:1779;height:312" coordorigin="37,14" coordsize="1779,312">
              <v:shape style="position:absolute;left:37;top:14;width:1779;height:312" coordorigin="37,14" coordsize="1779,312" path="m37,326l1816,326,1816,14,37,14,37,326xe" filled="true" fillcolor="#d3d3d3" stroked="false">
                <v:path arrowok="t"/>
                <v:fill type="solid"/>
              </v:shape>
            </v:group>
            <v:group style="position:absolute;left:37;top:326;width:1779;height:312" coordorigin="37,326" coordsize="1779,312">
              <v:shape style="position:absolute;left:37;top:326;width:1779;height:312" coordorigin="37,326" coordsize="1779,312" path="m37,638l1816,638,1816,326,37,326,37,638xe" filled="true" fillcolor="#d3d3d3" stroked="false">
                <v:path arrowok="t"/>
                <v:fill type="solid"/>
              </v:shape>
            </v:group>
            <v:group style="position:absolute;left:37;top:638;width:1779;height:353" coordorigin="37,638" coordsize="1779,353">
              <v:shape style="position:absolute;left:37;top:638;width:1779;height:353" coordorigin="37,638" coordsize="1779,353" path="m37,991l1816,991,1816,638,37,638,37,991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996" coordorigin="10,5" coordsize="2,996">
              <v:shape style="position:absolute;left:10;top:5;width:2;height:996" coordorigin="10,5" coordsize="0,996" path="m10,5l10,1001e" filled="false" stroked="true" strokeweight=".48001pt" strokecolor="#000000">
                <v:path arrowok="t"/>
              </v:shape>
            </v:group>
            <v:group style="position:absolute;left:5;top:996;width:1834;height:2" coordorigin="5,996" coordsize="1834,2">
              <v:shape style="position:absolute;left:5;top:996;width:1834;height:2" coordorigin="5,996" coordsize="1834,0" path="m5,996l1838,996e" filled="false" stroked="true" strokeweight=".47998pt" strokecolor="#000000">
                <v:path arrowok="t"/>
              </v:shape>
            </v:group>
            <v:group style="position:absolute;left:1843;top:14;width:2;height:987" coordorigin="1843,14" coordsize="2,987">
              <v:shape style="position:absolute;left:1843;top:14;width:2;height:987" coordorigin="1843,14" coordsize="0,987" path="m1843,14l1843,1001e" filled="false" stroked="true" strokeweight=".48pt" strokecolor="#000000">
                <v:path arrowok="t"/>
              </v:shape>
            </v:group>
            <v:group style="position:absolute;left:1848;top:996;width:7725;height:2" coordorigin="1848,996" coordsize="7725,2">
              <v:shape style="position:absolute;left:1848;top:996;width:7725;height:2" coordorigin="1848,996" coordsize="7725,0" path="m1848,996l9572,996e" filled="false" stroked="true" strokeweight=".47998pt" strokecolor="#000000">
                <v:path arrowok="t"/>
              </v:shape>
            </v:group>
            <v:group style="position:absolute;left:9577;top:5;width:2;height:996" coordorigin="9577,5" coordsize="2,996">
              <v:shape style="position:absolute;left:9577;top:5;width:2;height:996" coordorigin="9577,5" coordsize="0,996" path="m9577,5l9577,1001e" filled="false" stroked="true" strokeweight=".47998pt" strokecolor="#000000">
                <v:path arrowok="t"/>
              </v:shape>
              <v:shape style="position:absolute;left:10;top:10;width:1834;height:987" type="#_x0000_t202" filled="false" stroked="false">
                <v:textbox inset="0,0,0,0">
                  <w:txbxContent>
                    <w:p>
                      <w:pPr>
                        <w:spacing w:line="319" w:lineRule="auto" w:before="15"/>
                        <w:ind w:left="27" w:right="185" w:firstLine="0"/>
                        <w:jc w:val="both"/>
                        <w:rPr>
                          <w:rFonts w:ascii="宋体" w:hAnsi="宋体" w:cs="宋体" w:eastAsia="宋体" w:hint="default"/>
                          <w:sz w:val="18"/>
                          <w:szCs w:val="18"/>
                        </w:rPr>
                      </w:pPr>
                      <w:r>
                        <w:rPr>
                          <w:rFonts w:ascii="宋体" w:hAnsi="宋体" w:cs="宋体" w:eastAsia="宋体" w:hint="default"/>
                          <w:sz w:val="18"/>
                          <w:szCs w:val="18"/>
                        </w:rPr>
                        <w:t>股和参股的其他境内 外上市公司的股权情 况</w:t>
                      </w:r>
                    </w:p>
                  </w:txbxContent>
                </v:textbox>
                <w10:wrap type="none"/>
              </v:shape>
            </v:group>
          </v:group>
        </w:pict>
      </w:r>
      <w:r>
        <w:rPr>
          <w:rFonts w:ascii="宋体" w:hAnsi="宋体" w:cs="宋体" w:eastAsia="宋体" w:hint="default"/>
          <w:position w:val="-19"/>
          <w:sz w:val="20"/>
          <w:szCs w:val="20"/>
        </w:rPr>
      </w:r>
    </w:p>
    <w:p>
      <w:pPr>
        <w:pStyle w:val="Heading5"/>
        <w:spacing w:line="312" w:lineRule="exact" w:before="0"/>
        <w:ind w:left="154" w:right="0"/>
        <w:jc w:val="left"/>
      </w:pPr>
      <w:r>
        <w:rPr/>
        <w:t>控股股东报告期内变更</w:t>
      </w:r>
    </w:p>
    <w:p>
      <w:pPr>
        <w:pStyle w:val="Heading5"/>
        <w:spacing w:line="254" w:lineRule="auto" w:before="38"/>
        <w:ind w:right="61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line="240" w:lineRule="auto" w:before="9"/>
        <w:rPr>
          <w:rFonts w:ascii="宋体" w:hAnsi="宋体" w:cs="宋体" w:eastAsia="宋体" w:hint="default"/>
          <w:sz w:val="21"/>
          <w:szCs w:val="21"/>
        </w:rPr>
      </w:pPr>
    </w:p>
    <w:p>
      <w:pPr>
        <w:pStyle w:val="Heading4"/>
        <w:spacing w:line="444" w:lineRule="auto" w:before="0"/>
        <w:ind w:left="153" w:right="7242"/>
        <w:jc w:val="left"/>
        <w:rPr>
          <w:rFonts w:ascii="宋体" w:hAnsi="宋体" w:cs="宋体" w:eastAsia="宋体" w:hint="default"/>
          <w:b w:val="0"/>
          <w:bCs w:val="0"/>
        </w:rPr>
      </w:pPr>
      <w:r>
        <w:rPr>
          <w:rFonts w:ascii="Times New Roman" w:hAnsi="Times New Roman" w:cs="Times New Roman" w:eastAsia="Times New Roman" w:hint="default"/>
        </w:rPr>
        <w:t>3</w:t>
      </w:r>
      <w:r>
        <w:rPr/>
        <w:t>、公司实际控制人情况</w:t>
      </w:r>
      <w:r>
        <w:rPr>
          <w:w w:val="99"/>
        </w:rPr>
        <w:t> </w:t>
      </w:r>
      <w:r>
        <w:rPr>
          <w:rFonts w:ascii="宋体" w:hAnsi="宋体" w:cs="宋体" w:eastAsia="宋体" w:hint="default"/>
          <w:b w:val="0"/>
          <w:bCs w:val="0"/>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4"/>
        <w:ind w:left="0" w:right="157" w:firstLine="0"/>
        <w:jc w:val="right"/>
        <w:rPr>
          <w:rFonts w:ascii="宋体" w:hAnsi="宋体" w:cs="宋体" w:eastAsia="宋体" w:hint="default"/>
          <w:sz w:val="18"/>
          <w:szCs w:val="18"/>
        </w:rPr>
      </w:pPr>
      <w:r>
        <w:rPr/>
        <w:pict>
          <v:shape style="position:absolute;margin-left:56.459999pt;margin-top:-114.51796pt;width:479.1pt;height:335.0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5"/>
                    <w:gridCol w:w="1142"/>
                    <w:gridCol w:w="992"/>
                    <w:gridCol w:w="1276"/>
                    <w:gridCol w:w="1418"/>
                    <w:gridCol w:w="2904"/>
                  </w:tblGrid>
                  <w:tr>
                    <w:trPr>
                      <w:trHeight w:val="713"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5" w:right="90"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835"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9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项目投资，投资管理；资产管理；投</w:t>
                        </w:r>
                      </w:p>
                    </w:tc>
                  </w:tr>
                  <w:tr>
                    <w:trPr>
                      <w:trHeight w:val="311" w:hRule="exact"/>
                    </w:trPr>
                    <w:tc>
                      <w:tcPr>
                        <w:tcW w:w="1835"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资咨询；企业管理；组织文化交流活</w:t>
                        </w:r>
                      </w:p>
                    </w:tc>
                  </w:tr>
                  <w:tr>
                    <w:trPr>
                      <w:trHeight w:val="936" w:hRule="exact"/>
                    </w:trPr>
                    <w:tc>
                      <w:tcPr>
                        <w:tcW w:w="1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80"/>
                          <w:jc w:val="left"/>
                          <w:rPr>
                            <w:rFonts w:ascii="宋体" w:hAnsi="宋体" w:cs="宋体" w:eastAsia="宋体" w:hint="default"/>
                            <w:sz w:val="18"/>
                            <w:szCs w:val="18"/>
                          </w:rPr>
                        </w:pPr>
                        <w:r>
                          <w:rPr>
                            <w:rFonts w:ascii="宋体" w:hAnsi="宋体" w:cs="宋体" w:eastAsia="宋体" w:hint="default"/>
                            <w:sz w:val="18"/>
                            <w:szCs w:val="18"/>
                          </w:rPr>
                          <w:t>国广环球传媒控股有 限公司</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王云鹏</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sz w:val="18"/>
                          </w:rPr>
                          <w:t>56580806-6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10,182.18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
                          <w:jc w:val="both"/>
                          <w:rPr>
                            <w:rFonts w:ascii="宋体" w:hAnsi="宋体" w:cs="宋体" w:eastAsia="宋体" w:hint="default"/>
                            <w:sz w:val="18"/>
                            <w:szCs w:val="18"/>
                          </w:rPr>
                        </w:pPr>
                        <w:r>
                          <w:rPr>
                            <w:rFonts w:ascii="宋体" w:hAnsi="宋体" w:cs="宋体" w:eastAsia="宋体" w:hint="default"/>
                            <w:spacing w:val="-6"/>
                            <w:sz w:val="18"/>
                            <w:szCs w:val="18"/>
                          </w:rPr>
                          <w:t>动（演出除外）；承办展览展示；影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视策划；企业形象策划；市场营销策</w:t>
                        </w:r>
                        <w:r>
                          <w:rPr>
                            <w:rFonts w:ascii="宋体" w:hAnsi="宋体" w:cs="宋体" w:eastAsia="宋体" w:hint="default"/>
                            <w:sz w:val="18"/>
                            <w:szCs w:val="18"/>
                          </w:rPr>
                          <w:t> 划；设计、制作、代理、发布广告；</w:t>
                        </w:r>
                      </w:p>
                    </w:tc>
                  </w:tr>
                  <w:tr>
                    <w:trPr>
                      <w:trHeight w:val="313" w:hRule="exact"/>
                    </w:trPr>
                    <w:tc>
                      <w:tcPr>
                        <w:tcW w:w="1835"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网络技术开发、技术服务、技术转让</w:t>
                        </w:r>
                      </w:p>
                    </w:tc>
                  </w:tr>
                  <w:tr>
                    <w:trPr>
                      <w:trHeight w:val="356" w:hRule="exact"/>
                    </w:trPr>
                    <w:tc>
                      <w:tcPr>
                        <w:tcW w:w="1835"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9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技术咨询</w:t>
                        </w:r>
                      </w:p>
                    </w:tc>
                  </w:tr>
                  <w:tr>
                    <w:trPr>
                      <w:trHeight w:val="358" w:hRule="exact"/>
                    </w:trPr>
                    <w:tc>
                      <w:tcPr>
                        <w:tcW w:w="18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733"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国广控股将充分依托国际台资源优势，加快互联网电视、手机电视等新媒体业态发展，积极构建现</w:t>
                        </w:r>
                      </w:p>
                    </w:tc>
                  </w:tr>
                  <w:tr>
                    <w:trPr>
                      <w:trHeight w:val="624" w:hRule="exact"/>
                    </w:trPr>
                    <w:tc>
                      <w:tcPr>
                        <w:tcW w:w="18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代、综合、新型、国际的全业务媒体架构，以雄厚的资金实力、坚实的媒介服务投资运营和商业管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理能力,牢牢抓住新技术革命带来的机遇,把握核心技术和知识产权,逐步在新闻、财经、体育、娱</w:t>
                        </w:r>
                      </w:p>
                    </w:tc>
                  </w:tr>
                  <w:tr>
                    <w:trPr>
                      <w:trHeight w:val="356" w:hRule="exact"/>
                    </w:trPr>
                    <w:tc>
                      <w:tcPr>
                        <w:tcW w:w="1835" w:type="dxa"/>
                        <w:tcBorders>
                          <w:top w:val="nil" w:sz="6" w:space="0" w:color="auto"/>
                          <w:left w:val="single" w:sz="4" w:space="0" w:color="000000"/>
                          <w:bottom w:val="single" w:sz="4" w:space="0" w:color="000000"/>
                          <w:right w:val="single" w:sz="4" w:space="0" w:color="000000"/>
                        </w:tcBorders>
                        <w:shd w:val="clear" w:color="auto" w:fill="D3D3D3"/>
                      </w:tcPr>
                      <w:p>
                        <w:pPr/>
                      </w:p>
                    </w:tc>
                    <w:tc>
                      <w:tcPr>
                        <w:tcW w:w="7733"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乐乃至综合民生资讯服务领域形成完整、全终端的强势业务和媒介服务品牌。</w:t>
                        </w:r>
                      </w:p>
                    </w:tc>
                  </w:tr>
                  <w:tr>
                    <w:trPr>
                      <w:trHeight w:val="358" w:hRule="exact"/>
                    </w:trPr>
                    <w:tc>
                      <w:tcPr>
                        <w:tcW w:w="1835" w:type="dxa"/>
                        <w:tcBorders>
                          <w:top w:val="single" w:sz="4" w:space="0" w:color="000000"/>
                          <w:left w:val="single" w:sz="4" w:space="0" w:color="000000"/>
                          <w:bottom w:val="nil" w:sz="6" w:space="0" w:color="auto"/>
                          <w:right w:val="single" w:sz="4" w:space="0" w:color="000000"/>
                        </w:tcBorders>
                        <w:shd w:val="clear" w:color="auto" w:fill="D3D3D3"/>
                      </w:tcPr>
                      <w:p>
                        <w:pPr/>
                      </w:p>
                    </w:tc>
                    <w:tc>
                      <w:tcPr>
                        <w:tcW w:w="7733"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日，国广控股未经审计(不含国广资产)的资产总额</w:t>
                        </w:r>
                        <w:r>
                          <w:rPr>
                            <w:rFonts w:ascii="宋体" w:hAnsi="宋体" w:cs="宋体" w:eastAsia="宋体" w:hint="default"/>
                            <w:spacing w:val="-46"/>
                            <w:sz w:val="18"/>
                            <w:szCs w:val="18"/>
                          </w:rPr>
                          <w:t> </w:t>
                        </w:r>
                        <w:r>
                          <w:rPr>
                            <w:rFonts w:ascii="宋体" w:hAnsi="宋体" w:cs="宋体" w:eastAsia="宋体" w:hint="default"/>
                            <w:sz w:val="18"/>
                            <w:szCs w:val="18"/>
                          </w:rPr>
                          <w:t>158,542.93 万元，归属</w:t>
                        </w:r>
                      </w:p>
                    </w:tc>
                  </w:tr>
                  <w:tr>
                    <w:trPr>
                      <w:trHeight w:val="312" w:hRule="exact"/>
                    </w:trPr>
                    <w:tc>
                      <w:tcPr>
                        <w:tcW w:w="18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于母公司所有者权益</w:t>
                        </w:r>
                        <w:r>
                          <w:rPr>
                            <w:rFonts w:ascii="宋体" w:hAnsi="宋体" w:cs="宋体" w:eastAsia="宋体" w:hint="default"/>
                            <w:spacing w:val="-45"/>
                            <w:sz w:val="18"/>
                            <w:szCs w:val="18"/>
                          </w:rPr>
                          <w:t> </w:t>
                        </w:r>
                        <w:r>
                          <w:rPr>
                            <w:rFonts w:ascii="宋体" w:hAnsi="宋体" w:cs="宋体" w:eastAsia="宋体" w:hint="default"/>
                            <w:sz w:val="18"/>
                            <w:szCs w:val="18"/>
                          </w:rPr>
                          <w:t>26,537.36</w:t>
                        </w:r>
                        <w:r>
                          <w:rPr>
                            <w:rFonts w:ascii="宋体" w:hAnsi="宋体" w:cs="宋体" w:eastAsia="宋体" w:hint="default"/>
                            <w:spacing w:val="-45"/>
                            <w:sz w:val="18"/>
                            <w:szCs w:val="18"/>
                          </w:rPr>
                          <w:t> </w:t>
                        </w:r>
                        <w:r>
                          <w:rPr>
                            <w:rFonts w:ascii="宋体" w:hAnsi="宋体" w:cs="宋体" w:eastAsia="宋体" w:hint="default"/>
                            <w:spacing w:val="-5"/>
                            <w:sz w:val="18"/>
                            <w:szCs w:val="18"/>
                          </w:rPr>
                          <w:t>万元；2014</w:t>
                        </w:r>
                        <w:r>
                          <w:rPr>
                            <w:rFonts w:ascii="宋体" w:hAnsi="宋体" w:cs="宋体" w:eastAsia="宋体" w:hint="default"/>
                            <w:spacing w:val="-44"/>
                            <w:sz w:val="18"/>
                            <w:szCs w:val="18"/>
                          </w:rPr>
                          <w:t> </w:t>
                        </w:r>
                        <w:r>
                          <w:rPr>
                            <w:rFonts w:ascii="宋体" w:hAnsi="宋体" w:cs="宋体" w:eastAsia="宋体" w:hint="default"/>
                            <w:sz w:val="18"/>
                            <w:szCs w:val="18"/>
                          </w:rPr>
                          <w:t>年度实现营业收入</w:t>
                        </w:r>
                        <w:r>
                          <w:rPr>
                            <w:rFonts w:ascii="宋体" w:hAnsi="宋体" w:cs="宋体" w:eastAsia="宋体" w:hint="default"/>
                            <w:spacing w:val="-45"/>
                            <w:sz w:val="18"/>
                            <w:szCs w:val="18"/>
                          </w:rPr>
                          <w:t> </w:t>
                        </w:r>
                        <w:r>
                          <w:rPr>
                            <w:rFonts w:ascii="宋体" w:hAnsi="宋体" w:cs="宋体" w:eastAsia="宋体" w:hint="default"/>
                            <w:sz w:val="18"/>
                            <w:szCs w:val="18"/>
                          </w:rPr>
                          <w:t>128,009.02</w:t>
                        </w:r>
                        <w:r>
                          <w:rPr>
                            <w:rFonts w:ascii="宋体" w:hAnsi="宋体" w:cs="宋体" w:eastAsia="宋体" w:hint="default"/>
                            <w:spacing w:val="-45"/>
                            <w:sz w:val="18"/>
                            <w:szCs w:val="18"/>
                          </w:rPr>
                          <w:t> </w:t>
                        </w:r>
                        <w:r>
                          <w:rPr>
                            <w:rFonts w:ascii="宋体" w:hAnsi="宋体" w:cs="宋体" w:eastAsia="宋体" w:hint="default"/>
                            <w:spacing w:val="-6"/>
                            <w:sz w:val="18"/>
                            <w:szCs w:val="18"/>
                          </w:rPr>
                          <w:t>万元，净利润</w:t>
                        </w:r>
                        <w:r>
                          <w:rPr>
                            <w:rFonts w:ascii="宋体" w:hAnsi="宋体" w:cs="宋体" w:eastAsia="宋体" w:hint="default"/>
                            <w:spacing w:val="-45"/>
                            <w:sz w:val="18"/>
                            <w:szCs w:val="18"/>
                          </w:rPr>
                          <w:t> </w:t>
                        </w:r>
                        <w:r>
                          <w:rPr>
                            <w:rFonts w:ascii="宋体" w:hAnsi="宋体" w:cs="宋体" w:eastAsia="宋体" w:hint="default"/>
                            <w:sz w:val="18"/>
                            <w:szCs w:val="18"/>
                          </w:rPr>
                          <w:t>6,215.67</w:t>
                        </w:r>
                      </w:p>
                    </w:tc>
                  </w:tr>
                  <w:tr>
                    <w:trPr>
                      <w:trHeight w:val="313" w:hRule="exact"/>
                    </w:trPr>
                    <w:tc>
                      <w:tcPr>
                        <w:tcW w:w="18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现金流等</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万元，归属于母公司所有者净利润</w:t>
                        </w:r>
                        <w:r>
                          <w:rPr>
                            <w:rFonts w:ascii="宋体" w:hAnsi="宋体" w:cs="宋体" w:eastAsia="宋体" w:hint="default"/>
                            <w:spacing w:val="-46"/>
                            <w:sz w:val="18"/>
                            <w:szCs w:val="18"/>
                          </w:rPr>
                          <w:t> </w:t>
                        </w:r>
                        <w:r>
                          <w:rPr>
                            <w:rFonts w:ascii="宋体" w:hAnsi="宋体" w:cs="宋体" w:eastAsia="宋体" w:hint="default"/>
                            <w:sz w:val="18"/>
                            <w:szCs w:val="18"/>
                          </w:rPr>
                          <w:t>10,920.92</w:t>
                        </w:r>
                        <w:r>
                          <w:rPr>
                            <w:rFonts w:ascii="宋体" w:hAnsi="宋体" w:cs="宋体" w:eastAsia="宋体" w:hint="default"/>
                            <w:spacing w:val="-46"/>
                            <w:sz w:val="18"/>
                            <w:szCs w:val="18"/>
                          </w:rPr>
                          <w:t> </w:t>
                        </w:r>
                        <w:r>
                          <w:rPr>
                            <w:rFonts w:ascii="宋体" w:hAnsi="宋体" w:cs="宋体" w:eastAsia="宋体" w:hint="default"/>
                            <w:sz w:val="18"/>
                            <w:szCs w:val="18"/>
                          </w:rPr>
                          <w:t>万元。2014</w:t>
                        </w:r>
                        <w:r>
                          <w:rPr>
                            <w:rFonts w:ascii="宋体" w:hAnsi="宋体" w:cs="宋体" w:eastAsia="宋体" w:hint="default"/>
                            <w:spacing w:val="-45"/>
                            <w:sz w:val="18"/>
                            <w:szCs w:val="18"/>
                          </w:rPr>
                          <w:t> </w:t>
                        </w:r>
                        <w:r>
                          <w:rPr>
                            <w:rFonts w:ascii="宋体" w:hAnsi="宋体" w:cs="宋体" w:eastAsia="宋体" w:hint="default"/>
                            <w:sz w:val="18"/>
                            <w:szCs w:val="18"/>
                          </w:rPr>
                          <w:t>年末经营活动产生的现金流量净额为</w:t>
                        </w:r>
                      </w:p>
                    </w:tc>
                  </w:tr>
                  <w:tr>
                    <w:trPr>
                      <w:trHeight w:val="355" w:hRule="exact"/>
                    </w:trPr>
                    <w:tc>
                      <w:tcPr>
                        <w:tcW w:w="1835" w:type="dxa"/>
                        <w:tcBorders>
                          <w:top w:val="nil" w:sz="6" w:space="0" w:color="auto"/>
                          <w:left w:val="single" w:sz="4" w:space="0" w:color="000000"/>
                          <w:bottom w:val="single" w:sz="4" w:space="0" w:color="000000"/>
                          <w:right w:val="single" w:sz="4" w:space="0" w:color="000000"/>
                        </w:tcBorders>
                        <w:shd w:val="clear" w:color="auto" w:fill="D3D3D3"/>
                      </w:tcPr>
                      <w:p>
                        <w:pPr/>
                      </w:p>
                    </w:tc>
                    <w:tc>
                      <w:tcPr>
                        <w:tcW w:w="7733"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304.34</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8" w:hRule="exact"/>
                    </w:trPr>
                    <w:tc>
                      <w:tcPr>
                        <w:tcW w:w="183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实际控制人报告期内</w:t>
                        </w:r>
                      </w:p>
                    </w:tc>
                    <w:tc>
                      <w:tcPr>
                        <w:tcW w:w="7733" w:type="dxa"/>
                        <w:gridSpan w:val="5"/>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8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控制的其他境内外上</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8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733"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5"/>
        <w:spacing w:line="240" w:lineRule="auto" w:before="26"/>
        <w:ind w:left="154" w:right="0"/>
        <w:jc w:val="left"/>
      </w:pPr>
      <w:r>
        <w:rPr/>
        <w:t>实际控制人报告期内变更</w:t>
      </w:r>
    </w:p>
    <w:p>
      <w:pPr>
        <w:pStyle w:val="Heading5"/>
        <w:spacing w:line="261" w:lineRule="auto" w:before="37"/>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after="0" w:line="261"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54" w:lineRule="exact"/>
        <w:ind w:left="35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40.9pt;height:22.75pt;mso-position-horizontal-relative:char;mso-position-vertical-relative:line" type="#_x0000_t202" filled="false" stroked="true" strokeweight=".75pt" strokecolor="#000000">
            <w10:anchorlock/>
            <v:textbox inset="0,0,0,0">
              <w:txbxContent>
                <w:p>
                  <w:pPr>
                    <w:spacing w:before="124"/>
                    <w:ind w:left="1050" w:right="0" w:firstLine="0"/>
                    <w:jc w:val="left"/>
                    <w:rPr>
                      <w:rFonts w:ascii="宋体" w:hAnsi="宋体" w:cs="宋体" w:eastAsia="宋体" w:hint="default"/>
                      <w:sz w:val="18"/>
                      <w:szCs w:val="18"/>
                    </w:rPr>
                  </w:pPr>
                  <w:r>
                    <w:rPr>
                      <w:rFonts w:ascii="宋体" w:hAnsi="宋体" w:cs="宋体" w:eastAsia="宋体" w:hint="default"/>
                      <w:sz w:val="18"/>
                      <w:szCs w:val="18"/>
                    </w:rPr>
                    <w:t>无锡市滨湖区区有资产管理委员会</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5"/>
          <w:szCs w:val="5"/>
        </w:rPr>
      </w:pPr>
    </w:p>
    <w:p>
      <w:pPr>
        <w:spacing w:before="44"/>
        <w:ind w:left="2422" w:right="1747" w:firstLine="0"/>
        <w:jc w:val="center"/>
        <w:rPr>
          <w:rFonts w:ascii="宋体" w:hAnsi="宋体" w:cs="宋体" w:eastAsia="宋体" w:hint="default"/>
          <w:sz w:val="18"/>
          <w:szCs w:val="18"/>
        </w:rPr>
      </w:pPr>
      <w:r>
        <w:rPr/>
        <w:pict>
          <v:group style="position:absolute;margin-left:344.040009pt;margin-top:-4.568006pt;width:6pt;height:23.7pt;mso-position-horizontal-relative:page;mso-position-vertical-relative:paragraph;z-index:-1217416" coordorigin="6881,-91" coordsize="120,474">
            <v:shape style="position:absolute;left:6881;top:-91;width:120;height:474" coordorigin="6881,-91" coordsize="120,474" path="m6934,263l6881,263,6941,383,6987,290,6941,290,6936,288,6934,283,6934,263xe" filled="true" fillcolor="#000000" stroked="false">
              <v:path arrowok="t"/>
              <v:fill type="solid"/>
            </v:shape>
            <v:shape style="position:absolute;left:6881;top:-91;width:120;height:474" coordorigin="6881,-91" coordsize="120,474" path="m6941,-91l6936,-89,6934,-83,6934,283,6936,288,6941,290,6947,288,6948,283,6948,-83,6947,-89,6941,-91xe" filled="true" fillcolor="#000000" stroked="false">
              <v:path arrowok="t"/>
              <v:fill type="solid"/>
            </v:shape>
            <v:shape style="position:absolute;left:6881;top:-91;width:120;height:474" coordorigin="6881,-91" coordsize="120,474" path="m7001,263l6948,263,6948,283,6947,288,6941,290,6987,290,7001,263xe" filled="true" fillcolor="#000000" stroked="false">
              <v:path arrowok="t"/>
              <v:fill type="solid"/>
            </v:shape>
            <w10:wrap type="none"/>
          </v:group>
        </w:pict>
      </w:r>
      <w:r>
        <w:rPr/>
        <w:pict>
          <v:group style="position:absolute;margin-left:132.600006pt;margin-top:7.371994pt;width:6pt;height:104.9pt;mso-position-horizontal-relative:page;mso-position-vertical-relative:paragraph;z-index:2344" coordorigin="2652,147" coordsize="120,2098">
            <v:shape style="position:absolute;left:2652;top:147;width:120;height:2098" coordorigin="2652,147" coordsize="120,2098" path="m2705,2125l2652,2125,2712,2245,2758,2153,2712,2153,2707,2150,2705,2144,2705,2125xe" filled="true" fillcolor="#000000" stroked="false">
              <v:path arrowok="t"/>
              <v:fill type="solid"/>
            </v:shape>
            <v:shape style="position:absolute;left:2652;top:147;width:120;height:2098" coordorigin="2652,147" coordsize="120,2098" path="m2712,147l2707,150,2705,155,2705,2144,2707,2150,2712,2153,2717,2150,2719,2144,2719,155,2717,150,2712,147xe" filled="true" fillcolor="#000000" stroked="false">
              <v:path arrowok="t"/>
              <v:fill type="solid"/>
            </v:shape>
            <v:shape style="position:absolute;left:2652;top:147;width:120;height:2098" coordorigin="2652,147" coordsize="120,2098" path="m2772,2125l2719,2125,2719,2144,2717,2150,2712,2153,2758,2153,2772,2125xe" filled="true" fillcolor="#000000" stroked="false">
              <v:path arrowok="t"/>
              <v:fill type="solid"/>
            </v:shape>
            <w10:wrap type="none"/>
          </v:group>
        </w:pict>
      </w:r>
      <w:r>
        <w:rPr/>
        <w:pict>
          <v:group style="position:absolute;margin-left:344.040009pt;margin-top:41.451996pt;width:6pt;height:23.7pt;mso-position-horizontal-relative:page;mso-position-vertical-relative:paragraph;z-index:2368" coordorigin="6881,829" coordsize="120,474">
            <v:shape style="position:absolute;left:6881;top:829;width:120;height:474" coordorigin="6881,829" coordsize="120,474" path="m6934,1183l6881,1183,6941,1303,6987,1211,6941,1211,6936,1208,6934,1202,6934,1183xe" filled="true" fillcolor="#000000" stroked="false">
              <v:path arrowok="t"/>
              <v:fill type="solid"/>
            </v:shape>
            <v:shape style="position:absolute;left:6881;top:829;width:120;height:474" coordorigin="6881,829" coordsize="120,474" path="m6941,829l6936,831,6934,836,6934,1202,6936,1208,6941,1211,6947,1208,6948,1202,6948,836,6947,831,6941,829xe" filled="true" fillcolor="#000000" stroked="false">
              <v:path arrowok="t"/>
              <v:fill type="solid"/>
            </v:shape>
            <v:shape style="position:absolute;left:6881;top:829;width:120;height:474" coordorigin="6881,829" coordsize="120,474" path="m7001,1183l6948,1183,6948,1202,6947,1208,6941,1211,6987,1211,7001,1183xe" filled="true" fillcolor="#000000" stroked="false">
              <v:path arrowok="t"/>
              <v:fill type="solid"/>
            </v:shape>
            <w10:wrap type="none"/>
          </v:group>
        </w:pict>
      </w:r>
      <w:r>
        <w:rPr/>
        <w:pict>
          <v:shape style="position:absolute;margin-left:57.419998pt;margin-top:-27.008005pt;width:155.7pt;height:34.75pt;mso-position-horizontal-relative:page;mso-position-vertical-relative:paragraph;z-index:2464" type="#_x0000_t202" filled="false" stroked="true" strokeweight=".75pt" strokecolor="#000000">
            <v:textbox inset="0,0,0,0">
              <w:txbxContent>
                <w:p>
                  <w:pPr>
                    <w:spacing w:before="94"/>
                    <w:ind w:left="1" w:right="0" w:firstLine="0"/>
                    <w:jc w:val="center"/>
                    <w:rPr>
                      <w:rFonts w:ascii="宋体" w:hAnsi="宋体" w:cs="宋体" w:eastAsia="宋体" w:hint="default"/>
                      <w:sz w:val="18"/>
                      <w:szCs w:val="18"/>
                    </w:rPr>
                  </w:pPr>
                  <w:r>
                    <w:rPr>
                      <w:rFonts w:ascii="宋体" w:hAnsi="宋体" w:cs="宋体" w:eastAsia="宋体" w:hint="default"/>
                      <w:sz w:val="18"/>
                      <w:szCs w:val="18"/>
                    </w:rPr>
                    <w:t>中国国际广播电台</w:t>
                  </w:r>
                </w:p>
                <w:p>
                  <w:pPr>
                    <w:spacing w:before="86"/>
                    <w:ind w:left="1" w:right="0" w:firstLine="0"/>
                    <w:jc w:val="center"/>
                    <w:rPr>
                      <w:rFonts w:ascii="Times New Roman" w:hAnsi="Times New Roman" w:cs="Times New Roman" w:eastAsia="Times New Roman" w:hint="default"/>
                      <w:sz w:val="18"/>
                      <w:szCs w:val="18"/>
                    </w:rPr>
                  </w:pPr>
                  <w:r>
                    <w:rPr>
                      <w:rFonts w:ascii="Times New Roman"/>
                      <w:sz w:val="18"/>
                    </w:rPr>
                    <w:t>CRI</w:t>
                  </w:r>
                </w:p>
              </w:txbxContent>
            </v:textbox>
            <w10:wrap type="none"/>
          </v:shape>
        </w:pict>
      </w:r>
      <w:r>
        <w:rPr>
          <w:rFonts w:ascii="宋体"/>
          <w:sz w:val="18"/>
        </w:rPr>
        <w:t>100.00%</w:t>
      </w:r>
    </w:p>
    <w:p>
      <w:pPr>
        <w:spacing w:line="240" w:lineRule="auto" w:before="1"/>
        <w:rPr>
          <w:rFonts w:ascii="宋体" w:hAnsi="宋体" w:cs="宋体" w:eastAsia="宋体" w:hint="default"/>
          <w:sz w:val="7"/>
          <w:szCs w:val="7"/>
        </w:rPr>
      </w:pPr>
    </w:p>
    <w:p>
      <w:pPr>
        <w:spacing w:line="453" w:lineRule="exact"/>
        <w:ind w:left="3551"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41pt;height:22.7pt;mso-position-horizontal-relative:char;mso-position-vertical-relative:line" type="#_x0000_t202" filled="false" stroked="true" strokeweight=".75pt" strokecolor="#000000">
            <w10:anchorlock/>
            <v:textbox inset="0,0,0,0">
              <w:txbxContent>
                <w:p>
                  <w:pPr>
                    <w:spacing w:before="123"/>
                    <w:ind w:left="870" w:right="0" w:firstLine="0"/>
                    <w:jc w:val="left"/>
                    <w:rPr>
                      <w:rFonts w:ascii="宋体" w:hAnsi="宋体" w:cs="宋体" w:eastAsia="宋体" w:hint="default"/>
                      <w:sz w:val="18"/>
                      <w:szCs w:val="18"/>
                    </w:rPr>
                  </w:pPr>
                  <w:r>
                    <w:rPr>
                      <w:rFonts w:ascii="宋体" w:hAnsi="宋体" w:cs="宋体" w:eastAsia="宋体" w:hint="default"/>
                      <w:sz w:val="18"/>
                      <w:szCs w:val="18"/>
                    </w:rPr>
                    <w:t>江苏省无锡蠡园经济开发区管理委员会</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7" w:footer="982" w:top="1100" w:bottom="1180" w:left="980" w:right="980"/>
        </w:sectPr>
      </w:pPr>
    </w:p>
    <w:p>
      <w:pPr>
        <w:spacing w:line="240" w:lineRule="auto" w:before="10"/>
        <w:rPr>
          <w:rFonts w:ascii="宋体" w:hAnsi="宋体" w:cs="宋体" w:eastAsia="宋体" w:hint="default"/>
          <w:sz w:val="12"/>
          <w:szCs w:val="12"/>
        </w:rPr>
      </w:pPr>
    </w:p>
    <w:p>
      <w:pPr>
        <w:spacing w:before="0"/>
        <w:ind w:left="740" w:right="-20" w:firstLine="0"/>
        <w:jc w:val="left"/>
        <w:rPr>
          <w:rFonts w:ascii="宋体" w:hAnsi="宋体" w:cs="宋体" w:eastAsia="宋体" w:hint="default"/>
          <w:sz w:val="18"/>
          <w:szCs w:val="18"/>
        </w:rPr>
      </w:pPr>
      <w:r>
        <w:rPr>
          <w:rFonts w:ascii="宋体"/>
          <w:sz w:val="18"/>
        </w:rPr>
        <w:t>100.00%</w:t>
      </w:r>
    </w:p>
    <w:p>
      <w:pPr>
        <w:spacing w:before="44"/>
        <w:ind w:left="740" w:right="0" w:firstLine="0"/>
        <w:jc w:val="left"/>
        <w:rPr>
          <w:rFonts w:ascii="宋体" w:hAnsi="宋体" w:cs="宋体" w:eastAsia="宋体" w:hint="default"/>
          <w:sz w:val="18"/>
          <w:szCs w:val="18"/>
        </w:rPr>
      </w:pPr>
      <w:r>
        <w:rPr/>
        <w:br w:type="column"/>
      </w:r>
      <w:r>
        <w:rPr>
          <w:rFonts w:ascii="宋体"/>
          <w:sz w:val="18"/>
        </w:rPr>
        <w:t>100.00%</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371" w:space="2904"/>
            <w:col w:w="567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422" w:right="1681" w:firstLine="0"/>
        <w:jc w:val="center"/>
        <w:rPr>
          <w:rFonts w:ascii="宋体" w:hAnsi="宋体" w:cs="宋体" w:eastAsia="宋体" w:hint="default"/>
          <w:sz w:val="18"/>
          <w:szCs w:val="18"/>
        </w:rPr>
      </w:pPr>
      <w:r>
        <w:rPr/>
        <w:pict>
          <v:group style="position:absolute;margin-left:344.76001pt;margin-top:-3.427986pt;width:6pt;height:23.7pt;mso-position-horizontal-relative:page;mso-position-vertical-relative:paragraph;z-index:2392" coordorigin="6895,-69" coordsize="120,474">
            <v:shape style="position:absolute;left:6895;top:-69;width:120;height:474" coordorigin="6895,-69" coordsize="120,474" path="m6948,285l6895,285,6955,405,7001,313,6955,313,6949,311,6948,305,6948,285xe" filled="true" fillcolor="#000000" stroked="false">
              <v:path arrowok="t"/>
              <v:fill type="solid"/>
            </v:shape>
            <v:shape style="position:absolute;left:6895;top:-69;width:120;height:474" coordorigin="6895,-69" coordsize="120,474" path="m6955,-69l6949,-66,6948,-61,6948,305,6949,311,6955,313,6960,311,6962,305,6962,-61,6960,-66,6955,-69xe" filled="true" fillcolor="#000000" stroked="false">
              <v:path arrowok="t"/>
              <v:fill type="solid"/>
            </v:shape>
            <v:shape style="position:absolute;left:6895;top:-69;width:120;height:474" coordorigin="6895,-69" coordsize="120,474" path="m7015,285l6962,285,6962,305,6960,311,6955,313,7001,313,7015,285xe" filled="true" fillcolor="#000000" stroked="false">
              <v:path arrowok="t"/>
              <v:fill type="solid"/>
            </v:shape>
            <w10:wrap type="none"/>
          </v:group>
        </w:pict>
      </w:r>
      <w:r>
        <w:rPr/>
        <w:pict>
          <v:shape style="position:absolute;margin-left:226.740005pt;margin-top:-26.767986pt;width:241pt;height:22.75pt;mso-position-horizontal-relative:page;mso-position-vertical-relative:paragraph;z-index:2488" type="#_x0000_t202" filled="false" stroked="true" strokeweight=".75pt" strokecolor="#000000">
            <v:textbox inset="0,0,0,0">
              <w:txbxContent>
                <w:p>
                  <w:pPr>
                    <w:spacing w:before="124"/>
                    <w:ind w:left="782" w:right="0" w:firstLine="0"/>
                    <w:jc w:val="left"/>
                    <w:rPr>
                      <w:rFonts w:ascii="宋体" w:hAnsi="宋体" w:cs="宋体" w:eastAsia="宋体" w:hint="default"/>
                      <w:sz w:val="18"/>
                      <w:szCs w:val="18"/>
                    </w:rPr>
                  </w:pPr>
                  <w:r>
                    <w:rPr>
                      <w:rFonts w:ascii="宋体" w:hAnsi="宋体" w:cs="宋体" w:eastAsia="宋体" w:hint="default"/>
                      <w:sz w:val="18"/>
                      <w:szCs w:val="18"/>
                    </w:rPr>
                    <w:t>无锡市滨湖区经济发展总公司管理委员会</w:t>
                  </w:r>
                </w:p>
              </w:txbxContent>
            </v:textbox>
            <w10:wrap type="none"/>
          </v:shape>
        </w:pict>
      </w:r>
      <w:r>
        <w:rPr>
          <w:rFonts w:ascii="宋体"/>
          <w:sz w:val="18"/>
        </w:rPr>
        <w:t>62.00%</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472" w:lineRule="exact"/>
        <w:ind w:left="59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6pt;height:23.65pt;mso-position-horizontal-relative:char;mso-position-vertical-relative:line" coordorigin="0,0" coordsize="120,473">
            <v:group style="position:absolute;left:0;top:0;width:120;height:473" coordorigin="0,0" coordsize="120,473">
              <v:shape style="position:absolute;left:0;top:0;width:120;height:473" coordorigin="0,0" coordsize="120,473" path="m53,353l0,353,60,473,106,380,60,380,54,378,53,373,53,353xe" filled="true" fillcolor="#000000" stroked="false">
                <v:path arrowok="t"/>
                <v:fill type="solid"/>
              </v:shape>
              <v:shape style="position:absolute;left:0;top:0;width:120;height:473" coordorigin="0,0" coordsize="120,473" path="m60,0l54,2,53,7,53,373,54,378,60,380,65,378,67,373,67,7,65,2,60,0xe" filled="true" fillcolor="#000000" stroked="false">
                <v:path arrowok="t"/>
                <v:fill type="solid"/>
              </v:shape>
              <v:shape style="position:absolute;left:0;top:0;width:120;height:473" coordorigin="0,0" coordsize="120,473" path="m120,353l67,353,67,373,65,378,60,380,106,380,120,353xe" filled="true" fillcolor="#000000" stroked="false">
                <v:path arrowok="t"/>
                <v:fill type="solid"/>
              </v:shape>
            </v:group>
          </v:group>
        </w:pict>
      </w:r>
      <w:r>
        <w:rPr>
          <w:rFonts w:ascii="宋体" w:hAnsi="宋体" w:cs="宋体" w:eastAsia="宋体" w:hint="default"/>
          <w:position w:val="-8"/>
          <w:sz w:val="20"/>
          <w:szCs w:val="20"/>
        </w:rPr>
      </w:r>
    </w:p>
    <w:p>
      <w:pPr>
        <w:spacing w:before="69"/>
        <w:ind w:left="786" w:right="0" w:firstLine="0"/>
        <w:jc w:val="left"/>
        <w:rPr>
          <w:rFonts w:ascii="宋体" w:hAnsi="宋体" w:cs="宋体" w:eastAsia="宋体" w:hint="default"/>
          <w:sz w:val="18"/>
          <w:szCs w:val="18"/>
        </w:rPr>
      </w:pPr>
      <w:r>
        <w:rPr/>
        <w:pict>
          <v:group style="position:absolute;margin-left:57.419998pt;margin-top:-45.917988pt;width:410.1pt;height:108.7pt;mso-position-horizontal-relative:page;mso-position-vertical-relative:paragraph;z-index:-1217440" coordorigin="1148,-918" coordsize="8202,2174">
            <v:shape style="position:absolute;left:4753;top:914;width:120;height:341" type="#_x0000_t75" stroked="false">
              <v:imagedata r:id="rId27" o:title=""/>
            </v:shape>
            <v:group style="position:absolute;left:2712;top:921;width:4244;height:2" coordorigin="2712,921" coordsize="4244,2">
              <v:shape style="position:absolute;left:2712;top:921;width:4244;height:2" coordorigin="2712,921" coordsize="4244,0" path="m2712,921l6955,921e" filled="false" stroked="true" strokeweight=".75pt" strokecolor="#000000">
                <v:path arrowok="t"/>
              </v:shape>
            </v:group>
            <v:group style="position:absolute;left:2651;top:-472;width:120;height:1394" coordorigin="2651,-472" coordsize="120,1394">
              <v:shape style="position:absolute;left:2651;top:-472;width:120;height:1394" coordorigin="2651,-472" coordsize="120,1394" path="m2704,801l2651,801,2711,921,2757,829,2711,829,2706,826,2704,822,2704,801xe" filled="true" fillcolor="#000000" stroked="false">
                <v:path arrowok="t"/>
                <v:fill type="solid"/>
              </v:shape>
              <v:shape style="position:absolute;left:2651;top:-472;width:120;height:1394" coordorigin="2651,-472" coordsize="120,1394" path="m2711,-472l2706,-470,2704,-465,2704,822,2706,826,2711,829,2717,826,2718,822,2718,-465,2717,-470,2711,-472xe" filled="true" fillcolor="#000000" stroked="false">
                <v:path arrowok="t"/>
                <v:fill type="solid"/>
              </v:shape>
              <v:shape style="position:absolute;left:2651;top:-472;width:120;height:1394" coordorigin="2651,-472" coordsize="120,1394" path="m2771,801l2718,801,2718,822,2717,826,2711,829,2757,829,2771,801xe" filled="true" fillcolor="#000000" stroked="false">
                <v:path arrowok="t"/>
                <v:fill type="solid"/>
              </v:shape>
            </v:group>
            <v:group style="position:absolute;left:6895;top:447;width:120;height:474" coordorigin="6895,447" coordsize="120,474">
              <v:shape style="position:absolute;left:6895;top:447;width:120;height:474" coordorigin="6895,447" coordsize="120,474" path="m6948,801l6895,801,6955,921,7001,829,6955,829,6949,826,6948,822,6948,801xe" filled="true" fillcolor="#000000" stroked="false">
                <v:path arrowok="t"/>
                <v:fill type="solid"/>
              </v:shape>
              <v:shape style="position:absolute;left:6895;top:447;width:120;height:474" coordorigin="6895,447" coordsize="120,474" path="m6955,447l6949,450,6948,456,6948,822,6949,826,6955,829,6960,826,6962,822,6962,456,6960,450,6955,447xe" filled="true" fillcolor="#000000" stroked="false">
                <v:path arrowok="t"/>
                <v:fill type="solid"/>
              </v:shape>
              <v:shape style="position:absolute;left:6895;top:447;width:120;height:474" coordorigin="6895,447" coordsize="120,474" path="m7015,801l6962,801,6962,822,6960,826,6955,829,7001,829,7015,801xe" filled="true" fillcolor="#000000" stroked="false">
                <v:path arrowok="t"/>
                <v:fill type="solid"/>
              </v:shape>
              <v:shape style="position:absolute;left:6052;top:-27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txbxContent>
                </v:textbox>
                <w10:wrap type="none"/>
              </v:shape>
              <v:shape style="position:absolute;left:6071;top:60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w:t>
                      </w:r>
                    </w:p>
                  </w:txbxContent>
                </v:textbox>
                <w10:wrap type="none"/>
              </v:shape>
              <v:shape style="position:absolute;left:1148;top:-918;width:3119;height:454" type="#_x0000_t202" filled="false" stroked="true" strokeweight=".75pt" strokecolor="#000000">
                <v:textbox inset="0,0,0,0">
                  <w:txbxContent>
                    <w:p>
                      <w:pPr>
                        <w:spacing w:before="123"/>
                        <w:ind w:left="652" w:right="0" w:firstLine="0"/>
                        <w:jc w:val="left"/>
                        <w:rPr>
                          <w:rFonts w:ascii="宋体" w:hAnsi="宋体" w:cs="宋体" w:eastAsia="宋体" w:hint="default"/>
                          <w:sz w:val="18"/>
                          <w:szCs w:val="18"/>
                        </w:rPr>
                      </w:pPr>
                      <w:r>
                        <w:rPr>
                          <w:rFonts w:ascii="宋体" w:hAnsi="宋体" w:cs="宋体" w:eastAsia="宋体" w:hint="default"/>
                          <w:sz w:val="18"/>
                          <w:szCs w:val="18"/>
                        </w:rPr>
                        <w:t>国广传媒发展有限公司</w:t>
                      </w:r>
                    </w:p>
                  </w:txbxContent>
                </v:textbox>
                <w10:wrap type="none"/>
              </v:shape>
              <v:shape style="position:absolute;left:4532;top:-918;width:4818;height:454" type="#_x0000_t202" filled="false" stroked="true" strokeweight=".75pt" strokecolor="#000000">
                <v:textbox inset="0,0,0,0">
                  <w:txbxContent>
                    <w:p>
                      <w:pPr>
                        <w:spacing w:before="123"/>
                        <w:ind w:left="960" w:right="0" w:firstLine="0"/>
                        <w:jc w:val="left"/>
                        <w:rPr>
                          <w:rFonts w:ascii="宋体" w:hAnsi="宋体" w:cs="宋体" w:eastAsia="宋体" w:hint="default"/>
                          <w:sz w:val="18"/>
                          <w:szCs w:val="18"/>
                        </w:rPr>
                      </w:pPr>
                      <w:r>
                        <w:rPr>
                          <w:rFonts w:ascii="宋体" w:hAnsi="宋体" w:cs="宋体" w:eastAsia="宋体" w:hint="default"/>
                          <w:sz w:val="18"/>
                          <w:szCs w:val="18"/>
                        </w:rPr>
                        <w:t>无锡金源产业投资发展集团有限公司</w:t>
                      </w:r>
                    </w:p>
                  </w:txbxContent>
                </v:textbox>
                <w10:wrap type="none"/>
              </v:shape>
              <v:shape style="position:absolute;left:4531;top:1;width:4820;height:455" type="#_x0000_t202" filled="false" stroked="true" strokeweight=".75pt" strokecolor="#000000">
                <v:textbox inset="0,0,0,0">
                  <w:txbxContent>
                    <w:p>
                      <w:pPr>
                        <w:spacing w:before="124"/>
                        <w:ind w:left="1230" w:right="0" w:firstLine="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xbxContent>
                </v:textbox>
                <w10:wrap type="none"/>
              </v:shape>
            </v:group>
            <w10:wrap type="none"/>
          </v:group>
        </w:pict>
      </w:r>
      <w:r>
        <w:rPr>
          <w:rFonts w:ascii="宋体"/>
          <w:sz w:val="18"/>
        </w:rPr>
        <w:t>50.00%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454" w:lineRule="exact"/>
        <w:ind w:left="170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12.6pt;height:22.75pt;mso-position-horizontal-relative:char;mso-position-vertical-relative:line" type="#_x0000_t202" filled="false" stroked="true" strokeweight=".75pt" strokecolor="#000000">
            <w10:anchorlock/>
            <v:textbox inset="0,0,0,0">
              <w:txbxContent>
                <w:p>
                  <w:pPr>
                    <w:spacing w:before="124"/>
                    <w:ind w:left="1038" w:right="0" w:firstLine="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sz w:val="5"/>
          <w:szCs w:val="5"/>
        </w:rPr>
      </w:pPr>
    </w:p>
    <w:p>
      <w:pPr>
        <w:spacing w:before="44"/>
        <w:ind w:left="2874" w:right="0" w:firstLine="0"/>
        <w:jc w:val="left"/>
        <w:rPr>
          <w:rFonts w:ascii="宋体" w:hAnsi="宋体" w:cs="宋体" w:eastAsia="宋体" w:hint="default"/>
          <w:sz w:val="18"/>
          <w:szCs w:val="18"/>
        </w:rPr>
      </w:pPr>
      <w:r>
        <w:rPr/>
        <w:pict>
          <v:group style="position:absolute;margin-left:237.720001pt;margin-top:-4.147980pt;width:6pt;height:23.7pt;mso-position-horizontal-relative:page;mso-position-vertical-relative:paragraph;z-index:-1217320" coordorigin="4754,-83" coordsize="120,474">
            <v:shape style="position:absolute;left:4754;top:-83;width:120;height:474" coordorigin="4754,-83" coordsize="120,474" path="m4806,271l4754,271,4814,391,4861,299,4814,299,4808,296,4806,291,4806,271xe" filled="true" fillcolor="#000000" stroked="false">
              <v:path arrowok="t"/>
              <v:fill type="solid"/>
            </v:shape>
            <v:shape style="position:absolute;left:4754;top:-83;width:120;height:474" coordorigin="4754,-83" coordsize="120,474" path="m4814,-83l4808,-81,4806,-75,4806,291,4808,296,4814,299,4819,296,4822,291,4822,-75,4819,-81,4814,-83xe" filled="true" fillcolor="#000000" stroked="false">
              <v:path arrowok="t"/>
              <v:fill type="solid"/>
            </v:shape>
            <v:shape style="position:absolute;left:4754;top:-83;width:120;height:474" coordorigin="4754,-83" coordsize="120,474" path="m4874,271l4822,271,4822,291,4819,296,4814,299,4861,299,4874,271xe" filled="true" fillcolor="#000000" stroked="false">
              <v:path arrowok="t"/>
              <v:fill type="solid"/>
            </v:shape>
            <w10:wrap type="none"/>
          </v:group>
        </w:pict>
      </w:r>
      <w:r>
        <w:rPr>
          <w:rFonts w:ascii="宋体"/>
          <w:sz w:val="18"/>
        </w:rPr>
        <w:t>58.0344%</w:t>
      </w:r>
    </w:p>
    <w:p>
      <w:pPr>
        <w:spacing w:line="240" w:lineRule="auto" w:before="7"/>
        <w:rPr>
          <w:rFonts w:ascii="宋体" w:hAnsi="宋体" w:cs="宋体" w:eastAsia="宋体" w:hint="default"/>
          <w:sz w:val="8"/>
          <w:szCs w:val="8"/>
        </w:rPr>
      </w:pPr>
    </w:p>
    <w:p>
      <w:pPr>
        <w:spacing w:line="453" w:lineRule="exact"/>
        <w:ind w:left="169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12.6pt;height:22.7pt;mso-position-horizontal-relative:char;mso-position-vertical-relative:line" type="#_x0000_t202" filled="false" stroked="true" strokeweight=".75pt" strokecolor="#000000">
            <w10:anchorlock/>
            <v:textbox inset="0,0,0,0">
              <w:txbxContent>
                <w:p>
                  <w:pPr>
                    <w:spacing w:before="124"/>
                    <w:ind w:left="1038" w:right="0" w:firstLine="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xbxContent>
            </v:textbox>
          </v:shape>
        </w:pict>
      </w:r>
      <w:r>
        <w:rPr>
          <w:rFonts w:ascii="宋体" w:hAnsi="宋体" w:cs="宋体" w:eastAsia="宋体" w:hint="default"/>
          <w:position w:val="-8"/>
          <w:sz w:val="20"/>
          <w:szCs w:val="20"/>
        </w:rPr>
      </w:r>
    </w:p>
    <w:p>
      <w:pPr>
        <w:spacing w:line="240" w:lineRule="auto" w:before="1"/>
        <w:rPr>
          <w:rFonts w:ascii="宋体" w:hAnsi="宋体" w:cs="宋体" w:eastAsia="宋体" w:hint="default"/>
          <w:sz w:val="6"/>
          <w:szCs w:val="6"/>
        </w:rPr>
      </w:pPr>
    </w:p>
    <w:p>
      <w:pPr>
        <w:spacing w:before="44"/>
        <w:ind w:left="3034" w:right="0" w:firstLine="0"/>
        <w:jc w:val="left"/>
        <w:rPr>
          <w:rFonts w:ascii="宋体" w:hAnsi="宋体" w:cs="宋体" w:eastAsia="宋体" w:hint="default"/>
          <w:sz w:val="18"/>
          <w:szCs w:val="18"/>
        </w:rPr>
      </w:pPr>
      <w:r>
        <w:rPr/>
        <w:pict>
          <v:group style="position:absolute;margin-left:237.660004pt;margin-top:-4.327992pt;width:6pt;height:23.7pt;mso-position-horizontal-relative:page;mso-position-vertical-relative:paragraph;z-index:-1217296" coordorigin="4753,-87" coordsize="120,474">
            <v:shape style="position:absolute;left:4753;top:-87;width:120;height:474" coordorigin="4753,-87" coordsize="120,474" path="m4806,267l4753,267,4813,387,4859,295,4813,295,4807,293,4806,287,4806,267xe" filled="true" fillcolor="#000000" stroked="false">
              <v:path arrowok="t"/>
              <v:fill type="solid"/>
            </v:shape>
            <v:shape style="position:absolute;left:4753;top:-87;width:120;height:474" coordorigin="4753,-87" coordsize="120,474" path="m4813,-87l4807,-84,4806,-79,4806,287,4807,293,4813,295,4818,293,4820,287,4820,-79,4818,-84,4813,-87xe" filled="true" fillcolor="#000000" stroked="false">
              <v:path arrowok="t"/>
              <v:fill type="solid"/>
            </v:shape>
            <v:shape style="position:absolute;left:4753;top:-87;width:120;height:474" coordorigin="4753,-87" coordsize="120,474" path="m4873,267l4820,267,4820,287,4818,293,4813,295,4859,295,4873,267xe" filled="true" fillcolor="#000000" stroked="false">
              <v:path arrowok="t"/>
              <v:fill type="solid"/>
            </v:shape>
            <w10:wrap type="none"/>
          </v:group>
        </w:pict>
      </w:r>
      <w:r>
        <w:rPr>
          <w:rFonts w:ascii="宋体"/>
          <w:sz w:val="18"/>
        </w:rPr>
        <w:t>13.52%</w:t>
      </w:r>
    </w:p>
    <w:p>
      <w:pPr>
        <w:spacing w:line="240" w:lineRule="auto" w:before="4"/>
        <w:rPr>
          <w:rFonts w:ascii="宋体" w:hAnsi="宋体" w:cs="宋体" w:eastAsia="宋体" w:hint="default"/>
          <w:sz w:val="7"/>
          <w:szCs w:val="7"/>
        </w:rPr>
      </w:pPr>
    </w:p>
    <w:p>
      <w:pPr>
        <w:spacing w:line="454" w:lineRule="exact"/>
        <w:ind w:left="168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12.6pt;height:22.75pt;mso-position-horizontal-relative:char;mso-position-vertical-relative:line" type="#_x0000_t202" filled="false" stroked="true" strokeweight=".75pt" strokecolor="#000000">
            <w10:anchorlock/>
            <v:textbox inset="0,0,0,0">
              <w:txbxContent>
                <w:p>
                  <w:pPr>
                    <w:spacing w:before="89"/>
                    <w:ind w:left="858"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19"/>
          <w:szCs w:val="19"/>
        </w:rPr>
      </w:pPr>
    </w:p>
    <w:p>
      <w:pPr>
        <w:pStyle w:val="Heading5"/>
        <w:spacing w:line="240" w:lineRule="auto" w:before="26"/>
        <w:ind w:left="154" w:right="0"/>
        <w:jc w:val="left"/>
      </w:pPr>
      <w:r>
        <w:rPr/>
        <w:t>实际控制人通过信托或其他资产管理方式控制公司</w:t>
      </w:r>
    </w:p>
    <w:p>
      <w:pPr>
        <w:pStyle w:val="Heading5"/>
        <w:spacing w:line="240" w:lineRule="auto" w:before="19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21"/>
          <w:szCs w:val="21"/>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、其他持股在</w:t>
      </w:r>
      <w:r>
        <w:rPr>
          <w:spacing w:val="-6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1"/>
          <w:szCs w:val="21"/>
        </w:rPr>
      </w:pPr>
    </w:p>
    <w:p>
      <w:pPr>
        <w:spacing w:line="444" w:lineRule="auto" w:before="0"/>
        <w:ind w:left="154" w:right="23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四、公司股东及其一致行动人在报告期提出或实施股份增持计划的情况</w:t>
      </w:r>
      <w:r>
        <w:rPr>
          <w:rFonts w:ascii="宋体" w:hAnsi="宋体" w:cs="宋体" w:eastAsia="宋体" w:hint="default"/>
          <w:sz w:val="24"/>
          <w:szCs w:val="24"/>
        </w:rPr>
      </w:r>
    </w:p>
    <w:p>
      <w:pPr>
        <w:pStyle w:val="Heading5"/>
        <w:spacing w:line="254" w:lineRule="auto" w:before="94"/>
        <w:ind w:left="154"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在公司所知的范围内，没有公司股东及其一致行动人在报告期提出或实施股份增持计划。</w:t>
      </w:r>
    </w:p>
    <w:p>
      <w:pPr>
        <w:spacing w:after="0" w:line="254"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5"/>
        <w:spacing w:line="254" w:lineRule="auto" w:before="26"/>
        <w:ind w:left="154"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254"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温子健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刘东明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  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吕聚杰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金伯富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李慧中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李志勇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赵泳涛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  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毛建中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蔡亲波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张仁磊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李晓峰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金  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储一丰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齐  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韩  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Heading5"/>
        <w:spacing w:line="285" w:lineRule="auto" w:before="64"/>
        <w:ind w:right="151"/>
        <w:jc w:val="both"/>
      </w:pPr>
      <w:r>
        <w:rPr>
          <w:spacing w:val="-28"/>
        </w:rPr>
        <w:t>注：</w:t>
      </w:r>
      <w:r>
        <w:rPr>
          <w:rFonts w:ascii="Times New Roman" w:hAnsi="Times New Roman" w:cs="Times New Roman" w:eastAsia="Times New Roman" w:hint="default"/>
          <w:spacing w:val="-28"/>
        </w:rPr>
        <w:t>1.</w:t>
      </w:r>
      <w:r>
        <w:rPr>
          <w:rFonts w:ascii="Times New Roman" w:hAnsi="Times New Roman" w:cs="Times New Roman" w:eastAsia="Times New Roman" w:hint="default"/>
          <w:spacing w:val="30"/>
        </w:rPr>
        <w:t> </w:t>
      </w:r>
      <w:r>
        <w:rPr/>
        <w:t>公司于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日收到李志勇先生因个人原因辞去公司独立董事的书面辞职报 </w:t>
      </w:r>
      <w:r>
        <w:rPr>
          <w:spacing w:val="-6"/>
        </w:rPr>
        <w:t>告。根据《关于在上市公司建立独立董事制度的指导意见》、《公司章程》等有关规定，由于</w:t>
      </w:r>
      <w:r>
        <w:rPr>
          <w:spacing w:val="-114"/>
        </w:rPr>
        <w:t> </w:t>
      </w:r>
      <w:r>
        <w:rPr>
          <w:spacing w:val="-114"/>
        </w:rPr>
      </w:r>
      <w:r>
        <w:rPr/>
        <w:t>李志勇先生的辞职导致公司独立董事占董事会人数的比例低于法定要求，李志勇先生的辞职 报告应当在新任独立董事填补其缺额后生效。</w:t>
      </w:r>
    </w:p>
    <w:p>
      <w:pPr>
        <w:pStyle w:val="Heading5"/>
        <w:spacing w:line="276" w:lineRule="auto" w:before="59"/>
        <w:ind w:right="188"/>
        <w:jc w:val="both"/>
      </w:pPr>
      <w:r>
        <w:rPr>
          <w:rFonts w:ascii="Times New Roman" w:hAnsi="Times New Roman" w:cs="Times New Roman" w:eastAsia="Times New Roman" w:hint="default"/>
        </w:rPr>
        <w:t>2.</w:t>
      </w:r>
      <w:r>
        <w:rPr/>
        <w:t>公司监事会于</w:t>
      </w:r>
      <w:r>
        <w:rPr>
          <w:spacing w:val="2"/>
        </w:rPr>
        <w:t> </w:t>
      </w:r>
      <w:r>
        <w:rPr>
          <w:spacing w:val="25"/>
        </w:rPr>
        <w:t>2015年3月</w:t>
      </w:r>
      <w:r>
        <w:rPr>
          <w:spacing w:val="-59"/>
        </w:rPr>
        <w:t> </w:t>
      </w:r>
      <w:r>
        <w:rPr/>
        <w:t>20</w:t>
      </w:r>
      <w:r>
        <w:rPr>
          <w:spacing w:val="-59"/>
        </w:rPr>
        <w:t> </w:t>
      </w:r>
      <w:r>
        <w:rPr/>
        <w:t>日收到刘涛先生因个人工作需要辞去公司监事职务的书面辞</w:t>
      </w:r>
      <w:r>
        <w:rPr/>
        <w:t> 职报告。该辞职报告自</w:t>
      </w:r>
      <w:r>
        <w:rPr>
          <w:spacing w:val="-59"/>
        </w:rPr>
        <w:t> </w:t>
      </w:r>
      <w:r>
        <w:rPr>
          <w:spacing w:val="25"/>
        </w:rPr>
        <w:t>2015年3月</w:t>
      </w:r>
      <w:r>
        <w:rPr>
          <w:spacing w:val="-59"/>
        </w:rPr>
        <w:t> </w:t>
      </w:r>
      <w:r>
        <w:rPr/>
        <w:t>20</w:t>
      </w:r>
      <w:r>
        <w:rPr>
          <w:spacing w:val="-59"/>
        </w:rPr>
        <w:t> </w:t>
      </w:r>
      <w:r>
        <w:rPr/>
        <w:t>日起生效。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pStyle w:val="Heading4"/>
        <w:spacing w:line="240" w:lineRule="auto" w:before="0"/>
        <w:ind w:left="153" w:right="0"/>
        <w:jc w:val="both"/>
        <w:rPr>
          <w:b w:val="0"/>
          <w:bCs w:val="0"/>
        </w:rPr>
      </w:pPr>
      <w:r>
        <w:rPr/>
        <w:t>二、任职情况</w:t>
      </w:r>
      <w:r>
        <w:rPr>
          <w:b w:val="0"/>
          <w:bCs w:val="0"/>
        </w:rPr>
      </w:r>
    </w:p>
    <w:p>
      <w:pPr>
        <w:spacing w:line="240" w:lineRule="auto" w:before="11"/>
        <w:rPr>
          <w:rFonts w:ascii="宋体" w:hAnsi="宋体" w:cs="宋体" w:eastAsia="宋体" w:hint="default"/>
          <w:b/>
          <w:bCs/>
          <w:sz w:val="22"/>
          <w:szCs w:val="22"/>
        </w:rPr>
      </w:pPr>
    </w:p>
    <w:p>
      <w:pPr>
        <w:pStyle w:val="Heading5"/>
        <w:spacing w:line="309" w:lineRule="auto" w:before="0"/>
        <w:ind w:left="636" w:right="0" w:hanging="483"/>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 </w:t>
      </w:r>
      <w:r>
        <w:rPr>
          <w:rFonts w:ascii="宋体" w:hAnsi="宋体" w:cs="宋体" w:eastAsia="宋体" w:hint="default"/>
          <w:b/>
          <w:bCs/>
        </w:rPr>
        <w:t>董事长：温子健</w:t>
      </w:r>
      <w:r>
        <w:rPr/>
        <w:t>，硕士。曾任本公司监事会主席、党委书记，任职于人民日报社事业发</w:t>
      </w:r>
    </w:p>
    <w:p>
      <w:pPr>
        <w:pStyle w:val="Heading5"/>
        <w:spacing w:line="304" w:lineRule="auto" w:before="16"/>
        <w:ind w:right="148"/>
        <w:jc w:val="both"/>
      </w:pPr>
      <w:r>
        <w:rPr/>
        <w:t>展部；曾任上海新华闻投资有限公司董事、副总裁，中泰信托投资有限责任公司董事，中国</w:t>
      </w:r>
      <w:r>
        <w:rPr>
          <w:spacing w:val="-83"/>
        </w:rPr>
        <w:t> </w:t>
      </w:r>
      <w:r>
        <w:rPr>
          <w:spacing w:val="-83"/>
        </w:rPr>
      </w:r>
      <w:r>
        <w:rPr/>
        <w:t>华闻投资控股有限公司副总裁。现任深圳证券时报社有限公司社长兼总编辑，国广环球传媒</w:t>
      </w:r>
      <w:r>
        <w:rPr>
          <w:spacing w:val="-83"/>
        </w:rPr>
        <w:t> </w:t>
      </w:r>
      <w:r>
        <w:rPr>
          <w:spacing w:val="-83"/>
        </w:rPr>
      </w:r>
      <w:r>
        <w:rPr/>
        <w:t>控股有限公司副董事长，国广环球资产管理有限公司副董事长，深圳证券时报传媒有限公司</w:t>
      </w:r>
      <w:r>
        <w:rPr>
          <w:spacing w:val="-83"/>
        </w:rPr>
        <w:t> </w:t>
      </w:r>
      <w:r>
        <w:rPr>
          <w:spacing w:val="-83"/>
        </w:rPr>
      </w:r>
      <w:r>
        <w:rPr/>
        <w:t>董事长。</w:t>
      </w:r>
    </w:p>
    <w:p>
      <w:pPr>
        <w:pStyle w:val="Heading5"/>
        <w:spacing w:line="304" w:lineRule="auto" w:before="22"/>
        <w:ind w:right="148" w:firstLine="482"/>
        <w:jc w:val="both"/>
      </w:pPr>
      <w:r>
        <w:rPr>
          <w:rFonts w:ascii="宋体" w:hAnsi="宋体" w:cs="宋体" w:eastAsia="宋体" w:hint="default"/>
          <w:b/>
          <w:bCs/>
        </w:rPr>
        <w:t>副董事长：汪方怀</w:t>
      </w:r>
      <w:r>
        <w:rPr/>
        <w:t>，硕士，复旦大学经济系毕业。曾任本公司总裁，上海新华闻投资有 限公司董事，海南上市公司董秘协会理事长，海南民生管道燃气有限公司董事长，安徽国元</w:t>
      </w:r>
      <w:r>
        <w:rPr>
          <w:spacing w:val="-83"/>
        </w:rPr>
        <w:t> </w:t>
      </w:r>
      <w:r>
        <w:rPr>
          <w:spacing w:val="-83"/>
        </w:rPr>
      </w:r>
      <w:r>
        <w:rPr/>
        <w:t>信托投资有限责任公司副董事长，黄山长江徽杭高速公路有限责任公司董事长，上海新黄浦</w:t>
      </w:r>
    </w:p>
    <w:p>
      <w:pPr>
        <w:pStyle w:val="Heading5"/>
        <w:spacing w:line="304" w:lineRule="auto" w:before="22"/>
        <w:ind w:right="148"/>
        <w:jc w:val="both"/>
      </w:pPr>
      <w:r>
        <w:rPr/>
        <w:t>（集团）有限责任公司总裁、党委书记，上海市黄浦区政协委员，中国华闻投资控股有限公</w:t>
      </w:r>
      <w:r>
        <w:rPr>
          <w:spacing w:val="-83"/>
        </w:rPr>
        <w:t> </w:t>
      </w:r>
      <w:r>
        <w:rPr>
          <w:spacing w:val="-83"/>
        </w:rPr>
      </w:r>
      <w:r>
        <w:rPr/>
        <w:t>司副总裁，国广环球资产管理有限公司董事长。现任本公司党委书记，国广环球资产管理有</w:t>
      </w:r>
      <w:r>
        <w:rPr>
          <w:spacing w:val="-83"/>
        </w:rPr>
        <w:t> </w:t>
      </w:r>
      <w:r>
        <w:rPr>
          <w:spacing w:val="-83"/>
        </w:rPr>
      </w:r>
      <w:r>
        <w:rPr/>
        <w:t>限公司董事、总经理，国广环球传媒控股有限公司董事、总裁，中华网（香港）科技有限公</w:t>
      </w:r>
      <w:r>
        <w:rPr>
          <w:spacing w:val="-83"/>
        </w:rPr>
        <w:t> </w:t>
      </w:r>
      <w:r>
        <w:rPr>
          <w:spacing w:val="-83"/>
        </w:rPr>
      </w:r>
      <w:r>
        <w:rPr/>
        <w:t>司董事长，海南省政协委员。</w:t>
      </w:r>
    </w:p>
    <w:p>
      <w:pPr>
        <w:pStyle w:val="Heading5"/>
        <w:spacing w:line="240" w:lineRule="auto"/>
        <w:ind w:left="636" w:right="0"/>
        <w:jc w:val="left"/>
      </w:pPr>
      <w:r>
        <w:rPr>
          <w:rFonts w:ascii="宋体" w:hAnsi="宋体" w:cs="宋体" w:eastAsia="宋体" w:hint="default"/>
          <w:b/>
          <w:bCs/>
        </w:rPr>
        <w:t>董事：刘东明</w:t>
      </w:r>
      <w:r>
        <w:rPr/>
        <w:t>，研究生。曾任陕西三秦都市报编委兼新闻部主任，华商报社副总编辑、</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pStyle w:val="Heading5"/>
        <w:spacing w:line="304" w:lineRule="auto" w:before="26"/>
        <w:ind w:right="94"/>
        <w:jc w:val="left"/>
      </w:pPr>
      <w:r>
        <w:rPr/>
        <w:t>总编辑，辽宁华商晨报社总编辑，陕西华商传媒集团总经理。现任本公司总裁，兼任陕西华</w:t>
      </w:r>
      <w:r>
        <w:rPr>
          <w:spacing w:val="-83"/>
        </w:rPr>
        <w:t> </w:t>
      </w:r>
      <w:r>
        <w:rPr>
          <w:spacing w:val="-83"/>
        </w:rPr>
      </w:r>
      <w:r>
        <w:rPr/>
        <w:t>商传媒集团副董事长、海南民生管道燃气有限公司董事长，上海鸿立股权投资有限公司董事</w:t>
      </w:r>
      <w:r>
        <w:rPr>
          <w:spacing w:val="-83"/>
        </w:rPr>
        <w:t> </w:t>
      </w:r>
      <w:r>
        <w:rPr>
          <w:spacing w:val="-83"/>
        </w:rPr>
      </w:r>
      <w:r>
        <w:rPr/>
        <w:t>长，海南新海岸置业股份有限公司董事长，北京国广光荣广告有限公司董事长，深圳证券时</w:t>
      </w:r>
      <w:r>
        <w:rPr>
          <w:spacing w:val="-83"/>
        </w:rPr>
        <w:t> </w:t>
      </w:r>
      <w:r>
        <w:rPr>
          <w:spacing w:val="-83"/>
        </w:rPr>
      </w:r>
      <w:r>
        <w:rPr/>
        <w:t>报传媒有限公司副董事长，上海精视文化传播有限公司董事长，广州市邦富软件有限公司董</w:t>
      </w:r>
      <w:r>
        <w:rPr>
          <w:spacing w:val="-83"/>
        </w:rPr>
        <w:t> </w:t>
      </w:r>
      <w:r>
        <w:rPr>
          <w:spacing w:val="-83"/>
        </w:rPr>
      </w:r>
      <w:r>
        <w:rPr>
          <w:spacing w:val="-3"/>
        </w:rPr>
        <w:t>事长，海南省文化产业促进会会长，海南省企业家协会执行副会长，海南上市公司协会会长，</w:t>
      </w:r>
      <w:r>
        <w:rPr>
          <w:spacing w:val="-81"/>
        </w:rPr>
        <w:t> </w:t>
      </w:r>
      <w:r>
        <w:rPr>
          <w:spacing w:val="-81"/>
        </w:rPr>
      </w:r>
      <w:r>
        <w:rPr/>
        <w:t>国广环球资产管理有限公司董事。</w:t>
      </w:r>
    </w:p>
    <w:p>
      <w:pPr>
        <w:pStyle w:val="Heading5"/>
        <w:spacing w:line="304" w:lineRule="auto"/>
        <w:ind w:left="154" w:right="227" w:firstLine="482"/>
        <w:jc w:val="both"/>
      </w:pPr>
      <w:r>
        <w:rPr>
          <w:rFonts w:ascii="宋体" w:hAnsi="宋体" w:cs="宋体" w:eastAsia="宋体" w:hint="default"/>
          <w:b/>
          <w:bCs/>
        </w:rPr>
        <w:t>董事：杨力</w:t>
      </w:r>
      <w:r>
        <w:rPr/>
        <w:t>，本科，北京大学中文系毕业。曾任新华社半月谈杂志社总经理，音像中心 副主任，上海证券报副总编辑，中视都市传媒投资管理公司董事、副总经理，国广传媒投资</w:t>
      </w:r>
      <w:r>
        <w:rPr>
          <w:spacing w:val="-83"/>
        </w:rPr>
        <w:t> </w:t>
      </w:r>
      <w:r>
        <w:rPr>
          <w:spacing w:val="-83"/>
        </w:rPr>
      </w:r>
      <w:r>
        <w:rPr/>
        <w:t>有限公司董事、副总经理，国广环球传媒控股有限公司董事。</w:t>
      </w:r>
    </w:p>
    <w:p>
      <w:pPr>
        <w:pStyle w:val="Heading5"/>
        <w:spacing w:line="304" w:lineRule="auto"/>
        <w:ind w:left="154" w:right="227" w:firstLine="482"/>
        <w:jc w:val="both"/>
      </w:pPr>
      <w:r>
        <w:rPr>
          <w:rFonts w:ascii="宋体" w:hAnsi="宋体" w:cs="宋体" w:eastAsia="宋体" w:hint="default"/>
          <w:b/>
          <w:bCs/>
        </w:rPr>
        <w:t>董事：吕聚杰</w:t>
      </w:r>
      <w:r>
        <w:rPr/>
        <w:t>，硕士研究生，中国社会科学院研究生院财贸经济系商业经济专业毕业。 曾任北京新世纪饭店董事、副总经理，北京喜来登长城饭店董事、副总经理，北京长富宫中</w:t>
      </w:r>
      <w:r>
        <w:rPr>
          <w:spacing w:val="-83"/>
        </w:rPr>
        <w:t> </w:t>
      </w:r>
      <w:r>
        <w:rPr>
          <w:spacing w:val="-83"/>
        </w:rPr>
      </w:r>
      <w:r>
        <w:rPr/>
        <w:t>心董事、总经理，乐成老年事业投资公司运营总经理，兼职北京旅游协会饭店支会副会长。</w:t>
      </w:r>
      <w:r>
        <w:rPr>
          <w:spacing w:val="-83"/>
        </w:rPr>
        <w:t> </w:t>
      </w:r>
      <w:r>
        <w:rPr>
          <w:spacing w:val="-83"/>
        </w:rPr>
      </w:r>
      <w:r>
        <w:rPr/>
        <w:t>现任北京京海大厦副总经理。</w:t>
      </w:r>
    </w:p>
    <w:p>
      <w:pPr>
        <w:pStyle w:val="Heading5"/>
        <w:spacing w:line="307" w:lineRule="auto"/>
        <w:ind w:left="154" w:right="227" w:firstLine="482"/>
        <w:jc w:val="both"/>
      </w:pPr>
      <w:r>
        <w:rPr>
          <w:rFonts w:ascii="宋体" w:hAnsi="宋体" w:cs="宋体" w:eastAsia="宋体" w:hint="default"/>
          <w:b/>
          <w:bCs/>
        </w:rPr>
        <w:t>董事：金伯富</w:t>
      </w:r>
      <w:r>
        <w:rPr/>
        <w:t>，经济学博士、副教授，复旦大学毕业。现任本公司副总裁兼财务总监， 兼任上海鸿立股权投资有限公司董事、总经理。</w:t>
      </w:r>
    </w:p>
    <w:p>
      <w:pPr>
        <w:pStyle w:val="Heading5"/>
        <w:spacing w:line="304" w:lineRule="auto" w:before="18"/>
        <w:ind w:left="154" w:right="228" w:firstLine="482"/>
        <w:jc w:val="both"/>
      </w:pPr>
      <w:r>
        <w:rPr>
          <w:rFonts w:ascii="宋体" w:hAnsi="宋体" w:cs="宋体" w:eastAsia="宋体" w:hint="default"/>
          <w:b/>
          <w:bCs/>
        </w:rPr>
        <w:t>独立董事：李慧中</w:t>
      </w:r>
      <w:r>
        <w:rPr/>
        <w:t>，经济学博士，复旦大学毕业，复旦大学教授、博士生导师。曾任复 旦大学经济学系主任。现兼任国家发改委价格司专家咨询委员会委员、中国服务贸易专家委</w:t>
      </w:r>
      <w:r>
        <w:rPr>
          <w:spacing w:val="-83"/>
        </w:rPr>
        <w:t> </w:t>
      </w:r>
      <w:r>
        <w:rPr>
          <w:spacing w:val="-83"/>
        </w:rPr>
      </w:r>
      <w:r>
        <w:rPr/>
        <w:t>员会委员、上海市价格协会副会长、全国高校价格理论研究会副会长，兼任浙富控股集团股</w:t>
      </w:r>
      <w:r>
        <w:rPr>
          <w:spacing w:val="-83"/>
        </w:rPr>
        <w:t> </w:t>
      </w:r>
      <w:r>
        <w:rPr>
          <w:spacing w:val="-83"/>
        </w:rPr>
      </w:r>
      <w:r>
        <w:rPr/>
        <w:t>份有限公司和民生控股股份有限公司独立董事。</w:t>
      </w:r>
    </w:p>
    <w:p>
      <w:pPr>
        <w:pStyle w:val="Heading5"/>
        <w:spacing w:line="304" w:lineRule="auto"/>
        <w:ind w:left="154" w:right="228" w:firstLine="482"/>
        <w:jc w:val="both"/>
      </w:pPr>
      <w:r>
        <w:rPr>
          <w:rFonts w:ascii="宋体" w:hAnsi="宋体" w:cs="宋体" w:eastAsia="宋体" w:hint="default"/>
          <w:b/>
          <w:bCs/>
        </w:rPr>
        <w:t>独立董事：李志勇</w:t>
      </w:r>
      <w:r>
        <w:rPr/>
        <w:t>，本科，高级记者，复旦大学中文系毕业。曾任新华社西藏分社副社 长，新华社江苏分社副社长、社长，新华社上海分社社长、党组书记，新华社上海分社党组</w:t>
      </w:r>
      <w:r>
        <w:rPr>
          <w:spacing w:val="-83"/>
        </w:rPr>
        <w:t> </w:t>
      </w:r>
      <w:r>
        <w:rPr>
          <w:spacing w:val="-83"/>
        </w:rPr>
      </w:r>
      <w:r>
        <w:rPr/>
        <w:t>书记，新华社上海分社高级记者。</w:t>
      </w:r>
    </w:p>
    <w:p>
      <w:pPr>
        <w:pStyle w:val="Heading5"/>
        <w:spacing w:line="304" w:lineRule="auto"/>
        <w:ind w:left="154" w:right="94" w:firstLine="482"/>
        <w:jc w:val="left"/>
      </w:pPr>
      <w:r>
        <w:rPr>
          <w:rFonts w:ascii="宋体" w:hAnsi="宋体" w:cs="宋体" w:eastAsia="宋体" w:hint="default"/>
          <w:b/>
          <w:bCs/>
          <w:spacing w:val="-3"/>
        </w:rPr>
        <w:t>独立董事：陈建根，</w:t>
      </w:r>
      <w:r>
        <w:rPr>
          <w:spacing w:val="-3"/>
        </w:rPr>
        <w:t>江西财经学院（现江西财经大学）会计专业毕业，高级会计师职称，</w:t>
      </w:r>
      <w:r>
        <w:rPr>
          <w:spacing w:val="-1"/>
        </w:rPr>
        <w:t> </w:t>
      </w:r>
      <w:r>
        <w:rPr/>
        <w:t>具有中国注册会计师会员资格。曾任蓝山投资有限公司副总裁，现任浙江金海棠投资管理有</w:t>
      </w:r>
      <w:r>
        <w:rPr>
          <w:spacing w:val="-83"/>
        </w:rPr>
        <w:t> </w:t>
      </w:r>
      <w:r>
        <w:rPr>
          <w:spacing w:val="-83"/>
        </w:rPr>
      </w:r>
      <w:r>
        <w:rPr/>
        <w:t>限公司总裁，兼任民盟浙江省经济委员会副主任委员，同时兼任晋亿实业股份有限公司、喜</w:t>
      </w:r>
      <w:r>
        <w:rPr>
          <w:spacing w:val="-83"/>
        </w:rPr>
        <w:t> </w:t>
      </w:r>
      <w:r>
        <w:rPr>
          <w:spacing w:val="-83"/>
        </w:rPr>
      </w:r>
      <w:r>
        <w:rPr/>
        <w:t>临门家具股份有限公司、钱江水利开发股份有限公司独立董事、浙江嘉欣丝绸股份有限公司</w:t>
      </w:r>
      <w:r>
        <w:rPr>
          <w:spacing w:val="-83"/>
        </w:rPr>
        <w:t> </w:t>
      </w:r>
      <w:r>
        <w:rPr>
          <w:spacing w:val="-83"/>
        </w:rPr>
      </w:r>
      <w:r>
        <w:rPr/>
        <w:t>独立董事。</w:t>
      </w:r>
    </w:p>
    <w:p>
      <w:pPr>
        <w:pStyle w:val="Heading5"/>
        <w:spacing w:line="288" w:lineRule="auto"/>
        <w:ind w:left="636" w:right="94" w:hanging="3"/>
        <w:jc w:val="left"/>
      </w:pPr>
      <w:r>
        <w:rPr/>
        <w:t>（</w:t>
      </w:r>
      <w:r>
        <w:rPr>
          <w:rFonts w:ascii="Times New Roman" w:hAnsi="Times New Roman" w:cs="Times New Roman" w:eastAsia="Times New Roman" w:hint="default"/>
        </w:rPr>
        <w:t>2</w:t>
      </w:r>
      <w:r>
        <w:rPr/>
        <w:t>）监事会成员 </w:t>
      </w:r>
      <w:r>
        <w:rPr>
          <w:rFonts w:ascii="宋体" w:hAnsi="宋体" w:cs="宋体" w:eastAsia="宋体" w:hint="default"/>
          <w:b/>
          <w:bCs/>
        </w:rPr>
        <w:t>监事会主席：赵泳涛</w:t>
      </w:r>
      <w:r>
        <w:rPr/>
        <w:t>，研究生。曾任无锡金铃集团有限公司副总经理、总经理，蠡园经</w:t>
      </w:r>
    </w:p>
    <w:p>
      <w:pPr>
        <w:pStyle w:val="Heading5"/>
        <w:spacing w:line="304" w:lineRule="auto" w:before="38"/>
        <w:ind w:left="154" w:right="228"/>
        <w:jc w:val="both"/>
      </w:pPr>
      <w:r>
        <w:rPr/>
        <w:t>济开发区副主任科员，滨湖国有资产联合投资有限公司董事会成员、副总经理、总经理，滨</w:t>
      </w:r>
      <w:r>
        <w:rPr>
          <w:spacing w:val="-83"/>
        </w:rPr>
        <w:t> </w:t>
      </w:r>
      <w:r>
        <w:rPr>
          <w:spacing w:val="-83"/>
        </w:rPr>
      </w:r>
      <w:r>
        <w:rPr/>
        <w:t>湖区经济发展总公司副总经理、董事，滨湖区财政局副主任科员，无锡市金源产业投资发展</w:t>
      </w:r>
      <w:r>
        <w:rPr>
          <w:spacing w:val="-83"/>
        </w:rPr>
        <w:t> </w:t>
      </w:r>
      <w:r>
        <w:rPr>
          <w:spacing w:val="-83"/>
        </w:rPr>
      </w:r>
      <w:r>
        <w:rPr/>
        <w:t>有限公司董事长、总经理，无锡金源产业投资发展集团有限公司董事长、总经理，无锡金源</w:t>
      </w:r>
      <w:r>
        <w:rPr>
          <w:spacing w:val="-83"/>
        </w:rPr>
        <w:t> </w:t>
      </w:r>
      <w:r>
        <w:rPr>
          <w:spacing w:val="-83"/>
        </w:rPr>
      </w:r>
      <w:r>
        <w:rPr/>
        <w:t>产业投资发展集团有限公司董事长，蠡园经济开发区党工委委员、管委会副主任。现任无锡</w:t>
      </w:r>
      <w:r>
        <w:rPr>
          <w:spacing w:val="-83"/>
        </w:rPr>
        <w:t> </w:t>
      </w:r>
      <w:r>
        <w:rPr>
          <w:spacing w:val="-83"/>
        </w:rPr>
      </w:r>
      <w:r>
        <w:rPr/>
        <w:t>蠡园经济开发区主任科员、滨湖金源投资产业发展促进管理中心副主任。</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5"/>
        <w:spacing w:line="304" w:lineRule="auto" w:before="26"/>
        <w:ind w:left="154" w:right="227" w:firstLine="482"/>
        <w:jc w:val="both"/>
      </w:pPr>
      <w:r>
        <w:rPr>
          <w:rFonts w:ascii="宋体" w:hAnsi="宋体" w:cs="宋体" w:eastAsia="宋体" w:hint="default"/>
          <w:b/>
          <w:bCs/>
        </w:rPr>
        <w:t>监事：刘涛</w:t>
      </w:r>
      <w:r>
        <w:rPr/>
        <w:t>，研究生，高级编辑。曾任中国国际广播电台多媒体发展办公室副主任，新 闻中心副主任、主任，总编室主任，国广传媒发展有限公司总经理，国广环球传媒控股有限</w:t>
      </w:r>
      <w:r>
        <w:rPr>
          <w:spacing w:val="-83"/>
        </w:rPr>
        <w:t> </w:t>
      </w:r>
      <w:r>
        <w:rPr>
          <w:spacing w:val="-83"/>
        </w:rPr>
      </w:r>
      <w:r>
        <w:rPr/>
        <w:t>公司常务副总裁。现任中国国际广播电台办公室主任，国广环球传媒控股有限公司董事。</w:t>
      </w:r>
    </w:p>
    <w:p>
      <w:pPr>
        <w:pStyle w:val="Heading5"/>
        <w:spacing w:line="304" w:lineRule="auto"/>
        <w:ind w:left="154" w:right="227" w:firstLine="482"/>
        <w:jc w:val="both"/>
      </w:pPr>
      <w:r>
        <w:rPr>
          <w:rFonts w:ascii="宋体" w:hAnsi="宋体" w:cs="宋体" w:eastAsia="宋体" w:hint="default"/>
          <w:b/>
          <w:bCs/>
        </w:rPr>
        <w:t>监事：覃海燕</w:t>
      </w:r>
      <w:r>
        <w:rPr/>
        <w:t>，研究生。曾任广联（南宁）投资股份有限公司计划管理部副经理，广西 新长江高速公路有限责任公司计划部经理、总裁助理，中国华闻投资控股有限公司计划部经</w:t>
      </w:r>
      <w:r>
        <w:rPr>
          <w:spacing w:val="-83"/>
        </w:rPr>
        <w:t> </w:t>
      </w:r>
      <w:r>
        <w:rPr>
          <w:spacing w:val="-83"/>
        </w:rPr>
      </w:r>
      <w:r>
        <w:rPr/>
        <w:t>理、资本运营部总经理。现任国广环球传媒控股有限公司董事，国广环球资产管理有限公司</w:t>
      </w:r>
      <w:r>
        <w:rPr>
          <w:spacing w:val="-83"/>
        </w:rPr>
        <w:t> </w:t>
      </w:r>
      <w:r>
        <w:rPr>
          <w:spacing w:val="-83"/>
        </w:rPr>
      </w:r>
      <w:r>
        <w:rPr/>
        <w:t>监事，金正源联合投资控股有限公司副总裁。</w:t>
      </w:r>
    </w:p>
    <w:p>
      <w:pPr>
        <w:pStyle w:val="Heading5"/>
        <w:spacing w:line="307" w:lineRule="auto"/>
        <w:ind w:left="154" w:right="228" w:firstLine="482"/>
        <w:jc w:val="both"/>
      </w:pPr>
      <w:r>
        <w:rPr>
          <w:rFonts w:ascii="宋体" w:hAnsi="宋体" w:cs="宋体" w:eastAsia="宋体" w:hint="default"/>
          <w:b/>
          <w:bCs/>
        </w:rPr>
        <w:t>职工监事：毛建中</w:t>
      </w:r>
      <w:r>
        <w:rPr/>
        <w:t>，本科，成都科技大学化学工程系毕业，城市燃气高级工程师。曾任 本公司发展计划部经理、总裁助理。现任海南民生管道燃气有限公司副总经理。</w:t>
      </w:r>
    </w:p>
    <w:p>
      <w:pPr>
        <w:spacing w:before="18"/>
        <w:ind w:left="636" w:right="94" w:firstLine="0"/>
        <w:jc w:val="left"/>
        <w:rPr>
          <w:rFonts w:ascii="宋体" w:hAnsi="宋体" w:cs="宋体" w:eastAsia="宋体" w:hint="default"/>
          <w:sz w:val="24"/>
          <w:szCs w:val="24"/>
        </w:rPr>
      </w:pPr>
      <w:r>
        <w:rPr>
          <w:rFonts w:ascii="宋体" w:hAnsi="宋体" w:cs="宋体" w:eastAsia="宋体" w:hint="default"/>
          <w:b/>
          <w:bCs/>
          <w:spacing w:val="-3"/>
          <w:sz w:val="24"/>
          <w:szCs w:val="24"/>
        </w:rPr>
        <w:t>职工监事：蔡亲波</w:t>
      </w:r>
      <w:r>
        <w:rPr>
          <w:rFonts w:ascii="宋体" w:hAnsi="宋体" w:cs="宋体" w:eastAsia="宋体" w:hint="default"/>
          <w:spacing w:val="-3"/>
          <w:sz w:val="24"/>
          <w:szCs w:val="24"/>
        </w:rPr>
        <w:t>，本科。曾任本公司投资管理部经理。现任本公司资金管理部总经理。</w:t>
      </w:r>
    </w:p>
    <w:p>
      <w:pPr>
        <w:spacing w:line="290" w:lineRule="auto" w:before="85"/>
        <w:ind w:left="636" w:right="5042" w:hanging="3"/>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）高级管理人员 </w:t>
      </w:r>
      <w:r>
        <w:rPr>
          <w:rFonts w:ascii="宋体" w:hAnsi="宋体" w:cs="宋体" w:eastAsia="宋体" w:hint="default"/>
          <w:b/>
          <w:bCs/>
          <w:sz w:val="24"/>
          <w:szCs w:val="24"/>
        </w:rPr>
        <w:t>总裁：刘东明</w:t>
      </w:r>
      <w:r>
        <w:rPr>
          <w:rFonts w:ascii="宋体" w:hAnsi="宋体" w:cs="宋体" w:eastAsia="宋体" w:hint="default"/>
          <w:sz w:val="24"/>
          <w:szCs w:val="24"/>
        </w:rPr>
        <w:t>，简历见董事会成员介绍。</w:t>
      </w:r>
    </w:p>
    <w:p>
      <w:pPr>
        <w:pStyle w:val="Heading5"/>
        <w:spacing w:line="304" w:lineRule="auto" w:before="35"/>
        <w:ind w:left="154" w:right="227" w:firstLine="482"/>
        <w:jc w:val="both"/>
      </w:pPr>
      <w:r>
        <w:rPr>
          <w:rFonts w:ascii="宋体" w:hAnsi="宋体" w:cs="宋体" w:eastAsia="宋体" w:hint="default"/>
          <w:b/>
          <w:bCs/>
        </w:rPr>
        <w:t>副总裁：张仁磊</w:t>
      </w:r>
      <w:r>
        <w:rPr/>
        <w:t>，本科，南京大学毕业，经济师。曾在中共连云港市委宣传部、中共南 通市委研究室、海南省证券管理办公室任职。现兼任本公司党委副书记，海南新海岸置业股</w:t>
      </w:r>
      <w:r>
        <w:rPr>
          <w:spacing w:val="-83"/>
        </w:rPr>
        <w:t> </w:t>
      </w:r>
      <w:r>
        <w:rPr>
          <w:spacing w:val="-83"/>
        </w:rPr>
      </w:r>
      <w:r>
        <w:rPr/>
        <w:t>份有限公司副董事长兼总经理，海南省文化产业促进会副会长兼秘书长。</w:t>
      </w:r>
    </w:p>
    <w:p>
      <w:pPr>
        <w:spacing w:line="304" w:lineRule="auto" w:before="20"/>
        <w:ind w:left="636" w:right="94" w:firstLine="0"/>
        <w:jc w:val="left"/>
        <w:rPr>
          <w:rFonts w:ascii="宋体" w:hAnsi="宋体" w:cs="宋体" w:eastAsia="宋体" w:hint="default"/>
          <w:sz w:val="24"/>
          <w:szCs w:val="24"/>
        </w:rPr>
      </w:pPr>
      <w:r>
        <w:rPr>
          <w:rFonts w:ascii="宋体" w:hAnsi="宋体" w:cs="宋体" w:eastAsia="宋体" w:hint="default"/>
          <w:b/>
          <w:bCs/>
          <w:sz w:val="24"/>
          <w:szCs w:val="24"/>
        </w:rPr>
        <w:t>副总裁兼财务总监：金伯富</w:t>
      </w:r>
      <w:r>
        <w:rPr>
          <w:rFonts w:ascii="宋体" w:hAnsi="宋体" w:cs="宋体" w:eastAsia="宋体" w:hint="default"/>
          <w:sz w:val="24"/>
          <w:szCs w:val="24"/>
        </w:rPr>
        <w:t>，简历见董事会成员介绍。 </w:t>
      </w:r>
      <w:r>
        <w:rPr>
          <w:rFonts w:ascii="宋体" w:hAnsi="宋体" w:cs="宋体" w:eastAsia="宋体" w:hint="default"/>
          <w:b/>
          <w:bCs/>
          <w:sz w:val="24"/>
          <w:szCs w:val="24"/>
        </w:rPr>
        <w:t>副总裁：李晓峰</w:t>
      </w:r>
      <w:r>
        <w:rPr>
          <w:rFonts w:ascii="宋体" w:hAnsi="宋体" w:cs="宋体" w:eastAsia="宋体" w:hint="default"/>
          <w:sz w:val="24"/>
          <w:szCs w:val="24"/>
        </w:rPr>
        <w:t>，本科，重庆建筑大学城市燃气专业毕业，城市燃气高级工程师。曾任</w:t>
      </w:r>
    </w:p>
    <w:p>
      <w:pPr>
        <w:pStyle w:val="Heading5"/>
        <w:spacing w:line="304" w:lineRule="auto" w:before="22"/>
        <w:ind w:left="154" w:right="94"/>
        <w:jc w:val="left"/>
      </w:pPr>
      <w:r>
        <w:rPr/>
        <w:t>黄山长江徽杭高速公路有限责任公司总经理。现兼任海南民生管道燃气有限公司总经理，海</w:t>
      </w:r>
      <w:r>
        <w:rPr>
          <w:spacing w:val="-83"/>
        </w:rPr>
        <w:t> </w:t>
      </w:r>
      <w:r>
        <w:rPr>
          <w:spacing w:val="-83"/>
        </w:rPr>
      </w:r>
      <w:r>
        <w:rPr/>
        <w:t>口市政协常委，海口市政府投资环境（机关效能）监督专员。</w:t>
      </w:r>
    </w:p>
    <w:p>
      <w:pPr>
        <w:pStyle w:val="Heading5"/>
        <w:spacing w:line="307" w:lineRule="auto"/>
        <w:ind w:left="154" w:right="228" w:firstLine="482"/>
        <w:jc w:val="both"/>
      </w:pPr>
      <w:r>
        <w:rPr>
          <w:rFonts w:ascii="宋体" w:hAnsi="宋体" w:cs="宋体" w:eastAsia="宋体" w:hint="default"/>
          <w:b/>
          <w:bCs/>
        </w:rPr>
        <w:t>董事会秘书：金日</w:t>
      </w:r>
      <w:r>
        <w:rPr/>
        <w:t>，本科，南京大学毕业，经济师。现兼任上海鸿立股权投资有限公司 副总经理。</w:t>
      </w:r>
    </w:p>
    <w:p>
      <w:pPr>
        <w:pStyle w:val="Heading5"/>
        <w:spacing w:line="304" w:lineRule="auto" w:before="18"/>
        <w:ind w:left="154" w:right="228" w:firstLine="482"/>
        <w:jc w:val="both"/>
      </w:pPr>
      <w:r>
        <w:rPr>
          <w:rFonts w:ascii="宋体" w:hAnsi="宋体" w:cs="宋体" w:eastAsia="宋体" w:hint="default"/>
          <w:b/>
          <w:bCs/>
        </w:rPr>
        <w:t>行政总监：储一丰</w:t>
      </w:r>
      <w:r>
        <w:rPr/>
        <w:t>，硕士，律师，经济师。曾任中国证监会海口特派办综合处副处长、 上市公司监管处副处长，海南上市公司董秘协会秘书长。</w:t>
      </w:r>
    </w:p>
    <w:p>
      <w:pPr>
        <w:spacing w:line="240" w:lineRule="auto" w:before="6"/>
        <w:rPr>
          <w:rFonts w:ascii="宋体" w:hAnsi="宋体" w:cs="宋体" w:eastAsia="宋体" w:hint="default"/>
          <w:sz w:val="24"/>
          <w:szCs w:val="24"/>
        </w:rPr>
      </w:pPr>
    </w:p>
    <w:p>
      <w:pPr>
        <w:pStyle w:val="BodyText"/>
        <w:spacing w:line="240" w:lineRule="auto" w:before="0"/>
        <w:ind w:right="94"/>
        <w:jc w:val="left"/>
      </w:pPr>
      <w:r>
        <w:rPr/>
        <w:t>在股东单位任职情况</w:t>
      </w:r>
    </w:p>
    <w:p>
      <w:pPr>
        <w:pStyle w:val="BodyText"/>
        <w:spacing w:line="240" w:lineRule="auto" w:before="76"/>
        <w:ind w:left="153"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1"/>
        <w:gridCol w:w="1493"/>
        <w:gridCol w:w="1559"/>
        <w:gridCol w:w="1702"/>
        <w:gridCol w:w="1700"/>
        <w:gridCol w:w="1589"/>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4" w:right="53"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温子健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刘东明</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Heading5"/>
        <w:spacing w:line="240" w:lineRule="auto" w:before="1"/>
        <w:ind w:left="154" w:right="94"/>
        <w:jc w:val="left"/>
      </w:pPr>
      <w:r>
        <w:rPr/>
        <w:t>在其他单位任职情况</w:t>
      </w:r>
    </w:p>
    <w:p>
      <w:pPr>
        <w:pStyle w:val="Heading5"/>
        <w:spacing w:line="240" w:lineRule="auto" w:before="38"/>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2485"/>
        <w:gridCol w:w="1417"/>
        <w:gridCol w:w="1560"/>
        <w:gridCol w:w="1700"/>
        <w:gridCol w:w="1417"/>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温子健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社长兼总编辑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温子健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无锡金源产业投资发展集团有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无锡蠡园经济开发区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党工委委员、管委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无锡蠡园经济开发区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主任科员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滨湖金源投资产业发展促进管 理中心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中国国际广播电台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4"/>
        <w:spacing w:line="240" w:lineRule="auto"/>
        <w:ind w:right="133"/>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2"/>
          <w:szCs w:val="22"/>
        </w:rPr>
      </w:pPr>
    </w:p>
    <w:p>
      <w:pPr>
        <w:pStyle w:val="Heading5"/>
        <w:spacing w:line="328" w:lineRule="auto" w:before="0"/>
        <w:ind w:left="636" w:right="2451" w:hanging="483"/>
        <w:jc w:val="left"/>
      </w:pPr>
      <w:r>
        <w:rPr/>
        <w:t>董事、监事、高级管理人员报酬的决策程序、确定依据、实际支付情况 1．报酬的决策程序、报酬确定依据。</w:t>
      </w:r>
    </w:p>
    <w:p>
      <w:pPr>
        <w:pStyle w:val="Heading5"/>
        <w:spacing w:line="304" w:lineRule="auto" w:before="0"/>
        <w:ind w:left="154" w:right="265" w:firstLine="482"/>
        <w:jc w:val="both"/>
      </w:pPr>
      <w:r>
        <w:rPr/>
        <w:t>2014年，根据2012年度股东大会审议批准的《董事、监事薪酬制度》（2013年修订）， 内部董事不领取津贴，其薪酬由基本年薪、绩效薪酬和专项奖惩构成；独立董事津贴为每人</w:t>
      </w:r>
      <w:r>
        <w:rPr>
          <w:spacing w:val="-83"/>
        </w:rPr>
        <w:t> </w:t>
      </w:r>
      <w:r>
        <w:rPr>
          <w:spacing w:val="-83"/>
        </w:rPr>
      </w:r>
      <w:r>
        <w:rPr>
          <w:spacing w:val="3"/>
        </w:rPr>
        <w:t>每年96,000元，平均每人每月8,000元；外部董事、股东监事和职工监事的津贴为每人每年</w:t>
      </w:r>
      <w:r>
        <w:rPr>
          <w:spacing w:val="-115"/>
        </w:rPr>
        <w:t> </w:t>
      </w:r>
      <w:r>
        <w:rPr>
          <w:spacing w:val="-115"/>
        </w:rPr>
      </w:r>
      <w:r>
        <w:rPr/>
        <w:t>48,000元，平均每人每月4,000元。以上津贴标准为税前标准。</w:t>
      </w:r>
    </w:p>
    <w:p>
      <w:pPr>
        <w:pStyle w:val="Heading5"/>
        <w:spacing w:line="304" w:lineRule="auto"/>
        <w:ind w:left="154" w:right="268" w:firstLine="482"/>
        <w:jc w:val="both"/>
      </w:pPr>
      <w:r>
        <w:rPr/>
        <w:t>在公司领取薪酬的董事、监事、高级管理人员的年度报酬依据公司股东大会批准的《董</w:t>
      </w:r>
      <w:r>
        <w:rPr>
          <w:spacing w:val="1"/>
        </w:rPr>
        <w:t> </w:t>
      </w:r>
      <w:r>
        <w:rPr/>
        <w:t>事、监事薪酬制度》或董事会批准的《薪资管理制度》和年度经营班子目标管理责任书进行</w:t>
      </w:r>
      <w:r>
        <w:rPr>
          <w:spacing w:val="-83"/>
        </w:rPr>
        <w:t> </w:t>
      </w:r>
      <w:r>
        <w:rPr>
          <w:spacing w:val="-83"/>
        </w:rPr>
      </w:r>
      <w:r>
        <w:rPr/>
        <w:t>考核、发放。在公司领取薪酬的董事、监事按其在公司担任除董事、监事外的最高职务的薪</w:t>
      </w:r>
      <w:r>
        <w:rPr>
          <w:spacing w:val="-83"/>
        </w:rPr>
        <w:t> </w:t>
      </w:r>
      <w:r>
        <w:rPr>
          <w:spacing w:val="-83"/>
        </w:rPr>
      </w:r>
      <w:r>
        <w:rPr/>
        <w:t>资标准领取薪酬。兼任公司高级管理人员的内部董事，以内部董事薪酬标准和高级管理人员</w:t>
      </w:r>
      <w:r>
        <w:rPr>
          <w:spacing w:val="-83"/>
        </w:rPr>
        <w:t> </w:t>
      </w:r>
      <w:r>
        <w:rPr>
          <w:spacing w:val="-83"/>
        </w:rPr>
      </w:r>
      <w:r>
        <w:rPr/>
        <w:t>薪酬标准按孰高原则确定基本年薪。</w:t>
      </w:r>
    </w:p>
    <w:p>
      <w:pPr>
        <w:pStyle w:val="Heading5"/>
        <w:spacing w:line="304" w:lineRule="auto"/>
        <w:ind w:left="636" w:right="133"/>
        <w:jc w:val="left"/>
      </w:pPr>
      <w:r>
        <w:rPr/>
        <w:t>2．2014年度报酬情况 </w:t>
      </w:r>
      <w:r>
        <w:rPr>
          <w:spacing w:val="-3"/>
        </w:rPr>
        <w:t>报告期内，离任高级管理人员2人。截至报告期末公司现任董事、监事、高级管理人员18</w:t>
      </w:r>
    </w:p>
    <w:p>
      <w:pPr>
        <w:pStyle w:val="Heading5"/>
        <w:spacing w:line="304" w:lineRule="auto" w:before="22"/>
        <w:ind w:left="636" w:right="133" w:hanging="483"/>
        <w:jc w:val="left"/>
      </w:pPr>
      <w:r>
        <w:rPr/>
        <w:t>人，报告期后辞职监事1人。 2014年度公司每一位现任、离任董事、监事和高级管理人员在报告期内从公司获得的报</w:t>
      </w:r>
    </w:p>
    <w:p>
      <w:pPr>
        <w:pStyle w:val="Heading5"/>
        <w:spacing w:line="307" w:lineRule="auto"/>
        <w:ind w:left="154" w:right="133"/>
        <w:jc w:val="left"/>
      </w:pPr>
      <w:r>
        <w:rPr/>
        <w:t>酬总额详见下述基本情况表，独立董事、外部董事、监事均在公司领取津贴，全体现任、离</w:t>
      </w:r>
      <w:r>
        <w:rPr>
          <w:spacing w:val="-83"/>
        </w:rPr>
        <w:t> </w:t>
      </w:r>
      <w:r>
        <w:rPr>
          <w:spacing w:val="-83"/>
        </w:rPr>
      </w:r>
      <w:r>
        <w:rPr/>
        <w:t>任董事、监事和高级管理人员的报酬总额为1,886.64万元，实际所得报酬为1,246.09万元。</w:t>
      </w:r>
    </w:p>
    <w:p>
      <w:pPr>
        <w:spacing w:after="0" w:line="307" w:lineRule="auto"/>
        <w:jc w:val="left"/>
        <w:sectPr>
          <w:pgSz w:w="11910" w:h="16840"/>
          <w:pgMar w:header="877" w:footer="982" w:top="1100" w:bottom="1180" w:left="98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980" w:right="980"/>
        </w:sectPr>
      </w:pPr>
    </w:p>
    <w:p>
      <w:pPr>
        <w:pStyle w:val="Heading5"/>
        <w:spacing w:line="240" w:lineRule="auto" w:before="26"/>
        <w:ind w:left="154"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435" w:space="3304"/>
            <w:col w:w="1211"/>
          </w:cols>
        </w:sectPr>
      </w:pPr>
    </w:p>
    <w:p>
      <w:pPr>
        <w:spacing w:line="240" w:lineRule="auto" w:before="0"/>
        <w:rPr>
          <w:rFonts w:ascii="宋体" w:hAnsi="宋体" w:cs="宋体" w:eastAsia="宋体" w:hint="default"/>
          <w:sz w:val="20"/>
          <w:szCs w:val="20"/>
        </w:rPr>
      </w:pPr>
      <w:r>
        <w:rPr/>
        <w:pict>
          <v:shape style="position:absolute;margin-left:126.060303pt;margin-top:279.119995pt;width:92.55pt;height:35.2pt;mso-position-horizontal-relative:page;mso-position-vertical-relative:page;z-index:-12172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副总裁、</w:t>
                  </w:r>
                </w:p>
              </w:txbxContent>
            </v:textbox>
            <w10:wrap type="none"/>
          </v:shape>
        </w:pict>
      </w:r>
      <w:r>
        <w:rPr/>
        <w:pict>
          <v:group style="position:absolute;margin-left:159.240005pt;margin-top:279.119995pt;width:59.35pt;height:35.2pt;mso-position-horizontal-relative:page;mso-position-vertical-relative:page;z-index:-1217200" coordorigin="3185,5582" coordsize="1187,704">
            <v:group style="position:absolute;left:3185;top:5582;width:1187;height:704" coordorigin="3185,5582" coordsize="1187,704">
              <v:shape style="position:absolute;left:3185;top:5582;width:1187;height:704" coordorigin="3185,5582" coordsize="1187,704" path="m3185,6286l4372,6286,4372,5582,3185,5582,3185,6286xe" filled="true" fillcolor="#ffffff" stroked="false">
                <v:path arrowok="t"/>
                <v:fill type="solid"/>
              </v:shape>
            </v:group>
            <v:group style="position:absolute;left:3208;top:5738;width:1140;height:392" coordorigin="3208,5738" coordsize="1140,392">
              <v:shape style="position:absolute;left:3208;top:5738;width:1140;height:392" coordorigin="3208,5738" coordsize="1140,392" path="m3208,6130l4348,6130,4348,5738,3208,5738,3208,6130xe" filled="true" fillcolor="#ffffff" stroked="false">
                <v:path arrowok="t"/>
                <v:fill type="solid"/>
              </v:shape>
            </v:group>
            <w10:wrap type="none"/>
          </v:group>
        </w:pict>
      </w: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51"/>
        <w:gridCol w:w="1195"/>
        <w:gridCol w:w="1196"/>
        <w:gridCol w:w="1195"/>
        <w:gridCol w:w="1196"/>
        <w:gridCol w:w="1196"/>
        <w:gridCol w:w="1195"/>
        <w:gridCol w:w="119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4"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温子健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汪方怀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71.11</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刘东明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299.10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184.85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杨  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吕聚杰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金伯富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4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270.32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李慧中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李志勇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陈建根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赵泳涛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刘  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覃海燕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毛建中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41.72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蔡亲波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43.51</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张仁磊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177.30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120.03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李晓峰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189.40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126.44</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金  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储一丰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齐  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45.10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韩  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71.43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1,246.09</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before="0"/>
        <w:ind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44"/>
        <w:ind w:left="0" w:right="369" w:firstLine="0"/>
        <w:jc w:val="right"/>
        <w:rPr>
          <w:rFonts w:ascii="宋体" w:hAnsi="宋体" w:cs="宋体" w:eastAsia="宋体" w:hint="default"/>
          <w:sz w:val="18"/>
          <w:szCs w:val="18"/>
        </w:rPr>
      </w:pPr>
      <w:r>
        <w:rPr/>
        <w:pict>
          <v:shape style="position:absolute;margin-left:56.459999pt;margin-top:-52.17799pt;width:468.55pt;height:71.9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851"/>
                    <w:gridCol w:w="1560"/>
                    <w:gridCol w:w="1134"/>
                    <w:gridCol w:w="4961"/>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9" w:right="59" w:hanging="270"/>
                          <w:jc w:val="left"/>
                          <w:rPr>
                            <w:rFonts w:ascii="宋体" w:hAnsi="宋体" w:cs="宋体" w:eastAsia="宋体" w:hint="default"/>
                            <w:sz w:val="18"/>
                            <w:szCs w:val="18"/>
                          </w:rPr>
                        </w:pPr>
                        <w:r>
                          <w:rPr>
                            <w:rFonts w:ascii="宋体" w:hAnsi="宋体" w:cs="宋体" w:eastAsia="宋体" w:hint="default"/>
                            <w:sz w:val="18"/>
                            <w:szCs w:val="18"/>
                          </w:rPr>
                          <w:t>担任的职 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齐东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日收到齐东先生因个人原因辞去公司副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总裁的书面辞职报告。该辞职报告自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日起生效</w:t>
                        </w:r>
                      </w:p>
                    </w:tc>
                  </w:tr>
                </w:tbl>
                <w:p>
                  <w:pPr/>
                </w:p>
              </w:txbxContent>
            </v:textbox>
            <w10:wrap type="none"/>
          </v:shape>
        </w:pict>
      </w:r>
      <w:r>
        <w:rPr>
          <w:rFonts w:ascii="宋体" w:hAnsi="宋体" w:cs="宋体" w:eastAsia="宋体" w:hint="default"/>
          <w:spacing w:val="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1560"/>
        <w:gridCol w:w="1134"/>
        <w:gridCol w:w="4961"/>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韩瑜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公司技术总监（原总工程师）韩瑜先生已达到法定退休年龄， 其任期至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bl>
    <w:p>
      <w:pPr>
        <w:spacing w:line="240" w:lineRule="auto" w:before="2"/>
        <w:rPr>
          <w:rFonts w:ascii="宋体" w:hAnsi="宋体" w:cs="宋体" w:eastAsia="宋体" w:hint="default"/>
          <w:sz w:val="18"/>
          <w:szCs w:val="18"/>
        </w:rPr>
      </w:pPr>
    </w:p>
    <w:p>
      <w:pPr>
        <w:pStyle w:val="Heading4"/>
        <w:spacing w:line="240" w:lineRule="auto"/>
        <w:ind w:right="946"/>
        <w:jc w:val="left"/>
        <w:rPr>
          <w:b w:val="0"/>
          <w:bCs w:val="0"/>
        </w:rPr>
      </w:pPr>
      <w:r>
        <w:rPr/>
        <w:t>五、报告期核心技术团队或关键技术人员变动情况（非董事、监事、高级管理人员）</w:t>
      </w:r>
      <w:r>
        <w:rPr>
          <w:b w:val="0"/>
          <w:bCs w:val="0"/>
        </w:rPr>
      </w:r>
    </w:p>
    <w:p>
      <w:pPr>
        <w:spacing w:line="240" w:lineRule="auto" w:before="10"/>
        <w:rPr>
          <w:rFonts w:ascii="宋体" w:hAnsi="宋体" w:cs="宋体" w:eastAsia="宋体" w:hint="default"/>
          <w:b/>
          <w:bCs/>
          <w:sz w:val="28"/>
          <w:szCs w:val="28"/>
        </w:rPr>
      </w:pPr>
    </w:p>
    <w:p>
      <w:pPr>
        <w:pStyle w:val="Heading5"/>
        <w:spacing w:line="307" w:lineRule="auto" w:before="0"/>
        <w:ind w:right="946" w:firstLine="482"/>
        <w:jc w:val="left"/>
      </w:pPr>
      <w:r>
        <w:rPr/>
        <w:t>报告期内，公司核心技术团队或关键技术人员（非董事、监事、高级管理人员）等对公</w:t>
      </w:r>
      <w:r>
        <w:rPr>
          <w:spacing w:val="1"/>
        </w:rPr>
        <w:t> </w:t>
      </w:r>
      <w:r>
        <w:rPr/>
        <w:t>司核心竞争力有重大影响的人员未发生变动，未对公司经营产生影响。</w:t>
      </w:r>
    </w:p>
    <w:p>
      <w:pPr>
        <w:spacing w:line="240" w:lineRule="auto" w:before="9"/>
        <w:rPr>
          <w:rFonts w:ascii="宋体" w:hAnsi="宋体" w:cs="宋体" w:eastAsia="宋体" w:hint="default"/>
          <w:sz w:val="19"/>
          <w:szCs w:val="19"/>
        </w:rPr>
      </w:pPr>
    </w:p>
    <w:p>
      <w:pPr>
        <w:pStyle w:val="Heading5"/>
        <w:spacing w:line="610" w:lineRule="atLeast" w:before="0"/>
        <w:ind w:left="634" w:right="946" w:hanging="480"/>
        <w:jc w:val="left"/>
      </w:pPr>
      <w:r>
        <w:rPr>
          <w:rFonts w:ascii="宋体" w:hAnsi="宋体" w:cs="宋体" w:eastAsia="宋体" w:hint="default"/>
          <w:b/>
          <w:bCs/>
        </w:rPr>
        <w:t>六、公司员工情况</w:t>
      </w:r>
      <w:r>
        <w:rPr>
          <w:rFonts w:ascii="宋体" w:hAnsi="宋体" w:cs="宋体" w:eastAsia="宋体" w:hint="default"/>
          <w:b/>
          <w:bCs/>
          <w:spacing w:val="1"/>
          <w:w w:val="99"/>
        </w:rPr>
        <w:t> </w:t>
      </w:r>
      <w:r>
        <w:rPr>
          <w:spacing w:val="-2"/>
        </w:rPr>
        <w:t>截止2014年12月31日，公司在职员工总数为11,079人，其中生产人员30,53人，销售人员</w:t>
      </w:r>
    </w:p>
    <w:p>
      <w:pPr>
        <w:pStyle w:val="Heading5"/>
        <w:spacing w:line="312" w:lineRule="exact" w:before="28"/>
        <w:ind w:left="154" w:right="946"/>
        <w:jc w:val="left"/>
      </w:pPr>
      <w:r>
        <w:rPr/>
        <w:t>6,117人、技术人员703人、财务人员259人、行政人员887人。员工的教育程度如下：博士4 人，硕士186人，本科2,139人，大专1,826人，大专以下学历员工6,924人；中级职称以上员 </w:t>
      </w:r>
      <w:r>
        <w:rPr>
          <w:spacing w:val="-3"/>
        </w:rPr>
        <w:t>工268人。员工薪酬按照《薪资管理制度》和各单位的目标管理责任书进行考核、发放。员工</w:t>
      </w:r>
      <w:r>
        <w:rPr>
          <w:spacing w:val="-79"/>
        </w:rPr>
        <w:t> </w:t>
      </w:r>
      <w:r>
        <w:rPr>
          <w:spacing w:val="-79"/>
        </w:rPr>
      </w:r>
      <w:r>
        <w:rPr/>
        <w:t>培训主要是各单位根据需要进行培训。离退休员工的养老金按月在社会保障局领取，目前公 司没有需要承担费用的离退休职工。</w:t>
      </w:r>
    </w:p>
    <w:p>
      <w:pPr>
        <w:spacing w:line="240" w:lineRule="auto" w:before="2"/>
        <w:rPr>
          <w:rFonts w:ascii="宋体" w:hAnsi="宋体" w:cs="宋体" w:eastAsia="宋体" w:hint="default"/>
          <w:sz w:val="7"/>
          <w:szCs w:val="7"/>
        </w:rPr>
      </w:pPr>
    </w:p>
    <w:p>
      <w:pPr>
        <w:spacing w:line="3885" w:lineRule="exact"/>
        <w:ind w:left="15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6655042" cy="2466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8" cstate="print"/>
                    <a:stretch>
                      <a:fillRect/>
                    </a:stretch>
                  </pic:blipFill>
                  <pic:spPr>
                    <a:xfrm>
                      <a:off x="0" y="0"/>
                      <a:ext cx="6655042" cy="2466975"/>
                    </a:xfrm>
                    <a:prstGeom prst="rect">
                      <a:avLst/>
                    </a:prstGeom>
                  </pic:spPr>
                </pic:pic>
              </a:graphicData>
            </a:graphic>
          </wp:inline>
        </w:drawing>
      </w:r>
      <w:r>
        <w:rPr>
          <w:rFonts w:ascii="宋体" w:hAnsi="宋体" w:cs="宋体" w:eastAsia="宋体" w:hint="default"/>
          <w:position w:val="-77"/>
          <w:sz w:val="20"/>
          <w:szCs w:val="20"/>
        </w:rPr>
      </w:r>
    </w:p>
    <w:p>
      <w:pPr>
        <w:spacing w:after="0" w:line="3885" w:lineRule="exact"/>
        <w:rPr>
          <w:rFonts w:ascii="宋体" w:hAnsi="宋体" w:cs="宋体" w:eastAsia="宋体" w:hint="default"/>
          <w:sz w:val="20"/>
          <w:szCs w:val="20"/>
        </w:rPr>
        <w:sectPr>
          <w:pgSz w:w="11910" w:h="16840"/>
          <w:pgMar w:header="877" w:footer="982" w:top="1100" w:bottom="1180" w:left="980" w:righ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751" w:right="376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Heading5"/>
        <w:spacing w:line="304" w:lineRule="auto" w:before="0"/>
        <w:ind w:right="168" w:firstLine="482"/>
        <w:jc w:val="both"/>
      </w:pPr>
      <w:r>
        <w:rPr/>
        <w:t>报告期内，公司严格按照《公司法》、《证券法》、《上市公司治理准则》等有关法律</w:t>
      </w:r>
      <w:r>
        <w:rPr>
          <w:spacing w:val="1"/>
        </w:rPr>
        <w:t> </w:t>
      </w:r>
      <w:r>
        <w:rPr/>
        <w:t>法规的要求，规范运作，公司未收到被监管部门采取行政监管措施的有关文件。</w:t>
      </w:r>
    </w:p>
    <w:p>
      <w:pPr>
        <w:pStyle w:val="Heading5"/>
        <w:spacing w:line="304" w:lineRule="auto"/>
        <w:ind w:right="168" w:firstLine="482"/>
        <w:jc w:val="both"/>
      </w:pPr>
      <w:r>
        <w:rPr/>
        <w:t>报告期内，根据《公司法》、中国证监会《关于进一步落实上市公司现金分红有关事项</w:t>
      </w:r>
      <w:r>
        <w:rPr>
          <w:spacing w:val="1"/>
        </w:rPr>
        <w:t> </w:t>
      </w:r>
      <w:r>
        <w:rPr/>
        <w:t>的通知》、《上市公司监管指引第3</w:t>
      </w:r>
      <w:r>
        <w:rPr>
          <w:spacing w:val="16"/>
        </w:rPr>
        <w:t> </w:t>
      </w:r>
      <w:r>
        <w:rPr/>
        <w:t>号——上市公司现金分红》以及《公司章程》的相关规</w:t>
      </w:r>
      <w:r>
        <w:rPr>
          <w:spacing w:val="-117"/>
        </w:rPr>
        <w:t> </w:t>
      </w:r>
      <w:r>
        <w:rPr>
          <w:spacing w:val="-117"/>
        </w:rPr>
      </w:r>
      <w:r>
        <w:rPr/>
        <w:t>定，综合公司所处行业特征、公司发展战略和经营计划、股东回报、社会资金成本以及外部</w:t>
      </w:r>
      <w:r>
        <w:rPr>
          <w:spacing w:val="-83"/>
        </w:rPr>
        <w:t> </w:t>
      </w:r>
      <w:r>
        <w:rPr>
          <w:spacing w:val="-83"/>
        </w:rPr>
      </w:r>
      <w:r>
        <w:rPr>
          <w:spacing w:val="-2"/>
        </w:rPr>
        <w:t>融资环境等因素，公司制定了《公司未来三年股东分红回报规划（2014-2016年）》。根据中</w:t>
      </w:r>
      <w:r>
        <w:rPr>
          <w:spacing w:val="-116"/>
        </w:rPr>
        <w:t> </w:t>
      </w:r>
      <w:r>
        <w:rPr>
          <w:spacing w:val="-116"/>
        </w:rPr>
      </w:r>
      <w:r>
        <w:rPr>
          <w:spacing w:val="-3"/>
        </w:rPr>
        <w:t>国证监会《上市公司监管指引第3号——上市公司现金分红》等规定的相关内容，为规范公司</w:t>
      </w:r>
      <w:r>
        <w:rPr>
          <w:spacing w:val="-81"/>
        </w:rPr>
        <w:t> </w:t>
      </w:r>
      <w:r>
        <w:rPr>
          <w:spacing w:val="-81"/>
        </w:rPr>
      </w:r>
      <w:r>
        <w:rPr/>
        <w:t>现金分红，增强现金分红透明程度，维护公司股东及投资者的合法权益，公司修订了《公司</w:t>
      </w:r>
      <w:r>
        <w:rPr>
          <w:spacing w:val="-83"/>
        </w:rPr>
        <w:t> </w:t>
      </w:r>
      <w:r>
        <w:rPr>
          <w:spacing w:val="-83"/>
        </w:rPr>
      </w:r>
      <w:r>
        <w:rPr/>
        <w:t>章程》。根据《深圳证券交易所主板上市公司规范运作指引》、中国证监会《上市公司监管</w:t>
      </w:r>
      <w:r>
        <w:rPr>
          <w:spacing w:val="-83"/>
        </w:rPr>
        <w:t> </w:t>
      </w:r>
      <w:r>
        <w:rPr>
          <w:spacing w:val="-83"/>
        </w:rPr>
      </w:r>
      <w:r>
        <w:rPr>
          <w:spacing w:val="-3"/>
        </w:rPr>
        <w:t>指引第2号——上市公司募集资金管理和使用的监管要求》的相关规定，公司修订了《募集资</w:t>
      </w:r>
      <w:r>
        <w:rPr>
          <w:spacing w:val="-81"/>
        </w:rPr>
        <w:t> </w:t>
      </w:r>
      <w:r>
        <w:rPr>
          <w:spacing w:val="-81"/>
        </w:rPr>
      </w:r>
      <w:r>
        <w:rPr/>
        <w:t>金管理制度》。此外，为了加强对控股子公司的管理控制，规范控股子公司行为，公司修订</w:t>
      </w:r>
      <w:r>
        <w:rPr>
          <w:spacing w:val="-83"/>
        </w:rPr>
        <w:t> </w:t>
      </w:r>
      <w:r>
        <w:rPr>
          <w:spacing w:val="-83"/>
        </w:rPr>
      </w:r>
      <w:r>
        <w:rPr/>
        <w:t>了《控股子公司管理办法》。</w:t>
      </w:r>
    </w:p>
    <w:p>
      <w:pPr>
        <w:pStyle w:val="Heading5"/>
        <w:spacing w:line="304" w:lineRule="auto" w:before="22"/>
        <w:ind w:right="168" w:firstLine="482"/>
        <w:jc w:val="both"/>
      </w:pPr>
      <w:r>
        <w:rPr/>
        <w:t>目前公司法人治理结构的实际情况符合中国证监会有关上市公司治理规范性文件的相关</w:t>
      </w:r>
      <w:r>
        <w:rPr>
          <w:spacing w:val="1"/>
        </w:rPr>
        <w:t> </w:t>
      </w:r>
      <w:r>
        <w:rPr/>
        <w:t>要求。</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5"/>
        <w:spacing w:line="240" w:lineRule="auto" w:before="0"/>
        <w:ind w:left="154" w:right="0"/>
        <w:jc w:val="left"/>
      </w:pPr>
      <w:r>
        <w:rPr/>
        <w:t>公司治理与《公司法》和中国证监会相关规定的要求是否存在差异</w:t>
      </w:r>
    </w:p>
    <w:p>
      <w:pPr>
        <w:pStyle w:val="Heading5"/>
        <w:spacing w:line="254" w:lineRule="auto" w:before="38"/>
        <w:ind w:right="28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公司治理与《公司法》和中国证监会相关规定的要求不存在差异。</w:t>
      </w:r>
    </w:p>
    <w:p>
      <w:pPr>
        <w:pStyle w:val="Heading5"/>
        <w:spacing w:line="328" w:lineRule="auto" w:before="24"/>
        <w:ind w:left="633" w:right="0" w:hanging="480"/>
        <w:jc w:val="left"/>
      </w:pPr>
      <w:r>
        <w:rPr/>
        <w:t>公司治理专项活动开展情况以及内幕信息知情人登记管理制度的制定、实施情况 </w:t>
      </w:r>
      <w:r>
        <w:rPr>
          <w:spacing w:val="-1"/>
        </w:rPr>
        <w:t>报告期内，公司严格按照</w:t>
      </w:r>
      <w:r>
        <w:rPr>
          <w:spacing w:val="-50"/>
        </w:rPr>
        <w:t> </w:t>
      </w:r>
      <w:r>
        <w:rPr/>
        <w:t>2012</w:t>
      </w:r>
      <w:r>
        <w:rPr>
          <w:spacing w:val="-50"/>
        </w:rPr>
        <w:t> </w:t>
      </w:r>
      <w:r>
        <w:rPr>
          <w:spacing w:val="1"/>
        </w:rPr>
        <w:t>年修订的《内幕信息知情人登记管理制度》（2012年3月</w:t>
      </w:r>
      <w:r>
        <w:rPr>
          <w:spacing w:val="-60"/>
        </w:rPr>
        <w:t> </w:t>
      </w:r>
      <w:r>
        <w:rPr/>
      </w:r>
    </w:p>
    <w:p>
      <w:pPr>
        <w:pStyle w:val="Heading5"/>
        <w:spacing w:line="304" w:lineRule="auto" w:before="0"/>
        <w:ind w:left="154" w:right="190"/>
        <w:jc w:val="left"/>
      </w:pPr>
      <w:r>
        <w:rPr/>
        <w:t>8</w:t>
      </w:r>
      <w:r>
        <w:rPr>
          <w:spacing w:val="-60"/>
        </w:rPr>
        <w:t> </w:t>
      </w:r>
      <w:r>
        <w:rPr/>
        <w:t>日在巨潮网上披露）及中国证监会《关于上市公司建立内幕信息知情人登记管理制度的规</w:t>
      </w:r>
      <w:r>
        <w:rPr/>
        <w:t> 定》等相关规定做好内幕信息保密工作，做好内幕信息知情人登记备案工作。经自查，未发 现</w:t>
      </w:r>
      <w:r>
        <w:rPr>
          <w:spacing w:val="-60"/>
        </w:rPr>
        <w:t> </w:t>
      </w:r>
      <w:r>
        <w:rPr/>
        <w:t>2014</w:t>
      </w:r>
      <w:r>
        <w:rPr>
          <w:spacing w:val="-60"/>
        </w:rPr>
        <w:t> </w:t>
      </w:r>
      <w:r>
        <w:rPr/>
        <w:t>年度公司内幕信息知情人在影响公司股价的重大敏感信息披露前利用内幕信息买卖</w:t>
      </w:r>
      <w:r>
        <w:rPr/>
        <w:t> 公司股份的情况。公司及相关人员不存在因内幕信息知情人登记管理制度执行或涉嫌内幕交 易被监管部门采取监管措施及行政处罚情况。公司董事、监事和高级管理人员不存在违规买 卖公司股票的情况。</w:t>
      </w:r>
    </w:p>
    <w:p>
      <w:pPr>
        <w:spacing w:after="0" w:line="304" w:lineRule="auto"/>
        <w:jc w:val="left"/>
        <w:sectPr>
          <w:pgSz w:w="11910" w:h="16840"/>
          <w:pgMar w:header="877" w:footer="982" w:top="1100" w:bottom="1180" w:left="980" w:right="960"/>
        </w:sectPr>
      </w:pPr>
    </w:p>
    <w:p>
      <w:pPr>
        <w:spacing w:line="240" w:lineRule="auto" w:before="12"/>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ind w:left="539" w:right="0"/>
        <w:jc w:val="left"/>
        <w:rPr>
          <w:b w:val="0"/>
          <w:bCs w:val="0"/>
        </w:rPr>
      </w:pPr>
      <w:r>
        <w:rPr/>
        <w:t>二、报告期内召开的年度股东大会和临时股东大会的有关情况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539"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44"/>
        <w:ind w:left="0" w:right="101" w:firstLine="0"/>
        <w:jc w:val="right"/>
        <w:rPr>
          <w:rFonts w:ascii="宋体" w:hAnsi="宋体" w:cs="宋体" w:eastAsia="宋体" w:hint="default"/>
          <w:sz w:val="18"/>
          <w:szCs w:val="18"/>
        </w:rPr>
      </w:pPr>
      <w:r>
        <w:rPr/>
        <w:pict>
          <v:shape style="position:absolute;margin-left:498.410492pt;margin-top:-39.308285pt;width:112pt;height:82pt;mso-position-horizontal-relative:page;mso-position-vertical-relative:paragraph;z-index:-12171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04.591003pt;margin-top:-39.308285pt;width:105.8pt;height:82pt;mso-position-horizontal-relative:page;mso-position-vertical-relative:paragraph;z-index:2632" coordorigin="10092,-786" coordsize="2116,1640">
            <v:group style="position:absolute;left:10092;top:-786;width:2116;height:1640" coordorigin="10092,-786" coordsize="2116,1640">
              <v:shape style="position:absolute;left:10092;top:-786;width:2116;height:1640" coordorigin="10092,-786" coordsize="2116,1640" path="m10092,-786l10092,853,12207,853,12207,-786,10092,-786xe" filled="true" fillcolor="#ffffff" stroked="false">
                <v:path arrowok="t"/>
                <v:fill type="solid"/>
              </v:shape>
            </v:group>
            <v:group style="position:absolute;left:10115;top:-318;width:2070;height:352" coordorigin="10115,-318" coordsize="2070,352">
              <v:shape style="position:absolute;left:10115;top:-318;width:2070;height:352" coordorigin="10115,-318" coordsize="2070,352" path="m10115,-318l10115,33,12185,33,12185,-318,10115,-318xe" filled="true" fillcolor="#ffffff" stroked="false">
                <v:path arrowok="t"/>
                <v:fill type="solid"/>
              </v:shape>
            </v:group>
            <v:group style="position:absolute;left:10115;top:33;width:2070;height:352" coordorigin="10115,33" coordsize="2070,352">
              <v:shape style="position:absolute;left:10115;top:33;width:2070;height:352" coordorigin="10115,33" coordsize="2070,352" path="m10115,33l10115,385,12185,385,12185,33,10115,33xe" filled="true" fillcolor="#ffffff" stroked="false">
                <v:path arrowok="t"/>
                <v:fill type="solid"/>
              </v:shape>
            </v:group>
            <w10:wrap type="none"/>
          </v:group>
        </w:pict>
      </w:r>
      <w:r>
        <w:rPr/>
        <w:pict>
          <v:shape style="position:absolute;margin-left:50.451pt;margin-top:-59.918285pt;width:730.8pt;height:103.1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595"/>
                    <w:gridCol w:w="5777"/>
                    <w:gridCol w:w="2126"/>
                    <w:gridCol w:w="1558"/>
                    <w:gridCol w:w="184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5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财务决算报告</w:t>
                        </w:r>
                        <w:r>
                          <w:rPr>
                            <w:rFonts w:ascii="宋体" w:hAnsi="宋体" w:cs="宋体" w:eastAsia="宋体" w:hint="default"/>
                            <w:spacing w:val="-90"/>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年度利润分配预案及公积金转增股本预案</w:t>
                        </w:r>
                        <w:r>
                          <w:rPr>
                            <w:rFonts w:ascii="宋体" w:hAnsi="宋体" w:cs="宋体" w:eastAsia="宋体" w:hint="default"/>
                            <w:spacing w:val="-90"/>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年年度报告及报告摘要</w:t>
                        </w:r>
                        <w:r>
                          <w:rPr>
                            <w:rFonts w:ascii="宋体" w:hAnsi="宋体" w:cs="宋体" w:eastAsia="宋体" w:hint="default"/>
                            <w:spacing w:val="-90"/>
                            <w:sz w:val="18"/>
                            <w:szCs w:val="18"/>
                          </w:rPr>
                          <w:t>》、</w:t>
                        </w:r>
                        <w:r>
                          <w:rPr>
                            <w:rFonts w:ascii="宋体" w:hAnsi="宋体" w:cs="宋体" w:eastAsia="宋体" w:hint="default"/>
                            <w:sz w:val="18"/>
                            <w:szCs w:val="18"/>
                          </w:rPr>
                          <w:t>《关于重大资产重组相关资产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诺股份补偿实施方案的议案</w:t>
                        </w:r>
                        <w:r>
                          <w:rPr>
                            <w:rFonts w:ascii="宋体" w:hAnsi="宋体" w:cs="宋体" w:eastAsia="宋体" w:hint="default"/>
                            <w:spacing w:val="-90"/>
                            <w:sz w:val="18"/>
                            <w:szCs w:val="18"/>
                          </w:rPr>
                          <w:t>》</w:t>
                        </w:r>
                        <w:r>
                          <w:rPr>
                            <w:rFonts w:ascii="宋体" w:hAnsi="宋体" w:cs="宋体" w:eastAsia="宋体" w:hint="default"/>
                            <w:spacing w:val="-180"/>
                            <w:sz w:val="18"/>
                            <w:szCs w:val="18"/>
                          </w:rPr>
                          <w:t>、</w:t>
                        </w:r>
                        <w:r>
                          <w:rPr>
                            <w:rFonts w:ascii="宋体" w:hAnsi="宋体" w:cs="宋体" w:eastAsia="宋体" w:hint="default"/>
                            <w:sz w:val="18"/>
                            <w:szCs w:val="18"/>
                          </w:rPr>
                          <w:t>《关于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年度续聘会计师事务所的议案》</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年度续聘内控审计会计师事务所的议案》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本次股东大会议案全部获 得通过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在巨潮网上披露的</w:t>
                        </w:r>
                      </w:p>
                      <w:p>
                        <w:pPr>
                          <w:pStyle w:val="TableParagraph"/>
                          <w:spacing w:line="309" w:lineRule="auto" w:before="75"/>
                          <w:ind w:left="22" w:right="11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w:t>
                        </w:r>
                        <w:r>
                          <w:rPr>
                            <w:rFonts w:ascii="宋体" w:hAnsi="宋体" w:cs="宋体" w:eastAsia="宋体" w:hint="default"/>
                            <w:spacing w:val="-11"/>
                            <w:sz w:val="18"/>
                            <w:szCs w:val="18"/>
                          </w:rPr>
                          <w:t>决议公告》（公告编号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2014-035</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left="539"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135"/>
        <w:gridCol w:w="1559"/>
        <w:gridCol w:w="7372"/>
        <w:gridCol w:w="1416"/>
        <w:gridCol w:w="1595"/>
        <w:gridCol w:w="1525"/>
      </w:tblGrid>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7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7372"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在巨潮网上披露的</w:t>
            </w:r>
          </w:p>
        </w:tc>
      </w:tr>
      <w:tr>
        <w:trPr>
          <w:trHeight w:val="937"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 大会</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《关于购买国视通讯（上海）有限公司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股权的议案》</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121"/>
              <w:jc w:val="left"/>
              <w:rPr>
                <w:rFonts w:ascii="宋体" w:hAnsi="宋体" w:cs="宋体" w:eastAsia="宋体" w:hint="default"/>
                <w:sz w:val="18"/>
                <w:szCs w:val="18"/>
              </w:rPr>
            </w:pPr>
            <w:r>
              <w:rPr>
                <w:rFonts w:ascii="宋体" w:hAnsi="宋体" w:cs="宋体" w:eastAsia="宋体" w:hint="default"/>
                <w:sz w:val="18"/>
                <w:szCs w:val="18"/>
              </w:rPr>
              <w:t>本次股东大会议 案全部获得通过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7372"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2014-045</w:t>
            </w:r>
            <w:r>
              <w:rPr>
                <w:rFonts w:ascii="宋体" w:hAnsi="宋体" w:cs="宋体" w:eastAsia="宋体" w:hint="default"/>
                <w:sz w:val="18"/>
                <w:szCs w:val="18"/>
              </w:rPr>
              <w:t>）</w:t>
            </w:r>
          </w:p>
        </w:tc>
      </w:tr>
      <w:tr>
        <w:trPr>
          <w:trHeight w:val="358"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7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《关于公司符合发行股份及支付现金购买资产并募集配套资金条件的议案</w:t>
            </w:r>
            <w:r>
              <w:rPr>
                <w:rFonts w:ascii="宋体" w:hAnsi="宋体" w:cs="宋体" w:eastAsia="宋体" w:hint="default"/>
                <w:spacing w:val="-90"/>
                <w:sz w:val="18"/>
                <w:szCs w:val="18"/>
              </w:rPr>
              <w:t>》</w:t>
            </w:r>
            <w:r>
              <w:rPr>
                <w:rFonts w:ascii="宋体" w:hAnsi="宋体" w:cs="宋体" w:eastAsia="宋体" w:hint="default"/>
                <w:spacing w:val="-155"/>
                <w:sz w:val="18"/>
                <w:szCs w:val="18"/>
              </w:rPr>
              <w:t>、</w:t>
            </w:r>
            <w:r>
              <w:rPr>
                <w:rFonts w:ascii="宋体" w:hAnsi="宋体" w:cs="宋体" w:eastAsia="宋体" w:hint="default"/>
                <w:sz w:val="18"/>
                <w:szCs w:val="18"/>
              </w:rPr>
              <w:t>《关于公司发行股</w:t>
            </w:r>
          </w:p>
        </w:tc>
        <w:tc>
          <w:tcPr>
            <w:tcW w:w="1416"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25" w:type="dxa"/>
            <w:tcBorders>
              <w:top w:val="single" w:sz="4" w:space="0" w:color="000000"/>
              <w:left w:val="single" w:sz="4" w:space="0" w:color="000000"/>
              <w:bottom w:val="nil" w:sz="6" w:space="0" w:color="auto"/>
              <w:right w:val="single" w:sz="4" w:space="0" w:color="000000"/>
            </w:tcBorders>
          </w:tcPr>
          <w:p>
            <w:pPr/>
          </w:p>
        </w:tc>
      </w:tr>
      <w:tr>
        <w:trPr>
          <w:trHeight w:val="1877"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309" w:lineRule="auto"/>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 大会</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份及支付现金购买资产并募集配套资金方案的议案》、《关于本次发行股份及支付现金购买资产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并募集配套资金不构成关联交易的议案》、《关于本次重大资产重组符合</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关于规范上市公司重</w:t>
            </w:r>
            <w:r>
              <w:rPr>
                <w:rFonts w:ascii="宋体" w:hAnsi="宋体" w:cs="宋体" w:eastAsia="宋体" w:hint="default"/>
                <w:spacing w:val="-60"/>
                <w:sz w:val="18"/>
                <w:szCs w:val="18"/>
              </w:rPr>
              <w:t> </w:t>
            </w:r>
            <w:r>
              <w:rPr>
                <w:rFonts w:ascii="宋体" w:hAnsi="宋体" w:cs="宋体" w:eastAsia="宋体" w:hint="default"/>
                <w:spacing w:val="-7"/>
                <w:sz w:val="18"/>
                <w:szCs w:val="18"/>
              </w:rPr>
              <w:t>大资产重组若干问题的规定</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第四条规定的议案》、《关于本次重大资产重组符合</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上市公司重大</w:t>
            </w:r>
            <w:r>
              <w:rPr>
                <w:rFonts w:ascii="宋体" w:hAnsi="宋体" w:cs="宋体" w:eastAsia="宋体" w:hint="default"/>
                <w:spacing w:val="-57"/>
                <w:sz w:val="18"/>
                <w:szCs w:val="18"/>
              </w:rPr>
              <w:t> </w:t>
            </w:r>
            <w:r>
              <w:rPr>
                <w:rFonts w:ascii="宋体" w:hAnsi="宋体" w:cs="宋体" w:eastAsia="宋体" w:hint="default"/>
                <w:spacing w:val="-7"/>
                <w:sz w:val="18"/>
                <w:szCs w:val="18"/>
              </w:rPr>
              <w:t>资产重组管理办法</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第四十二条第一款第（二）项规定的议案》、《关于本次重大资产重组符合</w:t>
            </w:r>
            <w:r>
              <w:rPr>
                <w:rFonts w:ascii="Times New Roman" w:hAnsi="Times New Roman" w:cs="Times New Roman" w:eastAsia="Times New Roman" w:hint="default"/>
                <w:spacing w:val="-7"/>
                <w:sz w:val="18"/>
                <w:szCs w:val="18"/>
              </w:rPr>
              <w:t>&lt;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上市公司重大资产重组管理办法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第四十二条第二款和</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关于修改上市公司重大资产重组与配 </w:t>
            </w:r>
            <w:r>
              <w:rPr>
                <w:rFonts w:ascii="宋体" w:hAnsi="宋体" w:cs="宋体" w:eastAsia="宋体" w:hint="default"/>
                <w:spacing w:val="-5"/>
                <w:sz w:val="18"/>
                <w:szCs w:val="18"/>
              </w:rPr>
              <w:t>套融资相关规定的决定</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第七条规定的议案》、《关于公司与西藏风网科技有限公司、风网科技</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4"/>
              <w:ind w:left="22" w:right="121"/>
              <w:jc w:val="left"/>
              <w:rPr>
                <w:rFonts w:ascii="宋体" w:hAnsi="宋体" w:cs="宋体" w:eastAsia="宋体" w:hint="default"/>
                <w:sz w:val="18"/>
                <w:szCs w:val="18"/>
              </w:rPr>
            </w:pPr>
            <w:r>
              <w:rPr>
                <w:rFonts w:ascii="宋体" w:hAnsi="宋体" w:cs="宋体" w:eastAsia="宋体" w:hint="default"/>
                <w:sz w:val="18"/>
                <w:szCs w:val="18"/>
              </w:rPr>
              <w:t>本次股东大会议 案全部获得通过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在巨潮网上披露的</w:t>
            </w:r>
          </w:p>
          <w:p>
            <w:pPr>
              <w:pStyle w:val="TableParagraph"/>
              <w:spacing w:line="312"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2014-056</w:t>
            </w:r>
            <w:r>
              <w:rPr>
                <w:rFonts w:ascii="宋体" w:hAnsi="宋体" w:cs="宋体" w:eastAsia="宋体" w:hint="default"/>
                <w:sz w:val="18"/>
                <w:szCs w:val="18"/>
              </w:rPr>
              <w:t>）</w:t>
            </w:r>
          </w:p>
        </w:tc>
      </w:tr>
      <w:tr>
        <w:trPr>
          <w:trHeight w:val="312"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7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5"/>
                <w:sz w:val="18"/>
                <w:szCs w:val="18"/>
              </w:rPr>
              <w:t>）</w:t>
            </w:r>
            <w:r>
              <w:rPr>
                <w:rFonts w:ascii="宋体" w:hAnsi="宋体" w:cs="宋体" w:eastAsia="宋体" w:hint="default"/>
                <w:sz w:val="18"/>
                <w:szCs w:val="18"/>
              </w:rPr>
              <w:t>有限公司签署附生效条件的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发行股份及现金购买资产协议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《关于公司与西</w:t>
            </w:r>
          </w:p>
        </w:tc>
        <w:tc>
          <w:tcPr>
            <w:tcW w:w="1416"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25"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6840" w:h="11910" w:orient="landscape"/>
          <w:pgMar w:header="867" w:footer="978" w:top="1060" w:bottom="1160" w:left="900" w:right="1060"/>
          <w:pgNumType w:start="86"/>
        </w:sectPr>
      </w:pPr>
    </w:p>
    <w:p>
      <w:pPr>
        <w:spacing w:line="240" w:lineRule="auto" w:before="12"/>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1135"/>
        <w:gridCol w:w="1559"/>
        <w:gridCol w:w="7372"/>
        <w:gridCol w:w="1416"/>
        <w:gridCol w:w="1595"/>
        <w:gridCol w:w="1525"/>
      </w:tblGrid>
      <w:tr>
        <w:trPr>
          <w:trHeight w:val="336" w:hRule="exact"/>
        </w:trPr>
        <w:tc>
          <w:tcPr>
            <w:tcW w:w="1135"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737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藏风网科技有限公司、风网科技（北京）有限公司签署附生效条件的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标的资产盈利预测补偿</w:t>
            </w:r>
          </w:p>
        </w:tc>
        <w:tc>
          <w:tcPr>
            <w:tcW w:w="1416" w:type="dxa"/>
            <w:vMerge w:val="restart"/>
            <w:tcBorders>
              <w:top w:val="single" w:sz="15" w:space="0" w:color="000000"/>
              <w:left w:val="single" w:sz="4" w:space="0" w:color="000000"/>
              <w:right w:val="single" w:sz="4" w:space="0" w:color="000000"/>
            </w:tcBorders>
          </w:tcPr>
          <w:p>
            <w:pPr>
              <w:pStyle w:val="TableParagraph"/>
              <w:spacing w:line="5032" w:lineRule="exact"/>
              <w:ind w:right="-51"/>
              <w:jc w:val="left"/>
              <w:rPr>
                <w:rFonts w:ascii="宋体" w:hAnsi="宋体" w:cs="宋体" w:eastAsia="宋体" w:hint="default"/>
                <w:sz w:val="20"/>
                <w:szCs w:val="20"/>
              </w:rPr>
            </w:pPr>
            <w:r>
              <w:rPr>
                <w:rFonts w:ascii="宋体" w:hAnsi="宋体" w:cs="宋体" w:eastAsia="宋体" w:hint="default"/>
                <w:position w:val="-100"/>
                <w:sz w:val="20"/>
                <w:szCs w:val="20"/>
              </w:rPr>
              <w:pict>
                <v:group style="width:70.350pt;height:251.65pt;mso-position-horizontal-relative:char;mso-position-vertical-relative:line" coordorigin="0,0" coordsize="1407,5033">
                  <v:group style="position:absolute;left:0;top:0;width:1407;height:5033" coordorigin="0,0" coordsize="1407,5033">
                    <v:shape style="position:absolute;left:0;top:0;width:1407;height:5033" coordorigin="0,0" coordsize="1407,5033" path="m0,0l0,5033,1406,5033,1406,0,0,0xe" filled="true" fillcolor="#ffffff" stroked="false">
                      <v:path arrowok="t"/>
                      <v:fill type="solid"/>
                    </v:shape>
                  </v:group>
                </v:group>
              </w:pict>
            </w:r>
            <w:r>
              <w:rPr>
                <w:rFonts w:ascii="宋体" w:hAnsi="宋体" w:cs="宋体" w:eastAsia="宋体" w:hint="default"/>
                <w:position w:val="-100"/>
                <w:sz w:val="20"/>
                <w:szCs w:val="20"/>
              </w:rPr>
            </w:r>
          </w:p>
        </w:tc>
        <w:tc>
          <w:tcPr>
            <w:tcW w:w="1595" w:type="dxa"/>
            <w:vMerge w:val="restart"/>
            <w:tcBorders>
              <w:top w:val="single" w:sz="15" w:space="0" w:color="000000"/>
              <w:left w:val="single" w:sz="4" w:space="0" w:color="000000"/>
              <w:right w:val="single" w:sz="4" w:space="0" w:color="000000"/>
            </w:tcBorders>
          </w:tcPr>
          <w:p>
            <w:pPr/>
          </w:p>
        </w:tc>
        <w:tc>
          <w:tcPr>
            <w:tcW w:w="1525" w:type="dxa"/>
            <w:vMerge w:val="restart"/>
            <w:tcBorders>
              <w:top w:val="single" w:sz="15" w:space="0" w:color="000000"/>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46"/>
                <w:sz w:val="18"/>
                <w:szCs w:val="18"/>
              </w:rPr>
              <w:t>、</w:t>
            </w:r>
            <w:r>
              <w:rPr>
                <w:rFonts w:ascii="宋体" w:hAnsi="宋体" w:cs="宋体" w:eastAsia="宋体" w:hint="default"/>
                <w:sz w:val="18"/>
                <w:szCs w:val="18"/>
              </w:rPr>
              <w:t>《关于公司与上海精视投资发展有限公司</w:t>
            </w:r>
            <w:r>
              <w:rPr>
                <w:rFonts w:ascii="宋体" w:hAnsi="宋体" w:cs="宋体" w:eastAsia="宋体" w:hint="default"/>
                <w:spacing w:val="-56"/>
                <w:sz w:val="18"/>
                <w:szCs w:val="18"/>
              </w:rPr>
              <w:t>、</w:t>
            </w:r>
            <w:r>
              <w:rPr>
                <w:rFonts w:ascii="宋体" w:hAnsi="宋体" w:cs="宋体" w:eastAsia="宋体" w:hint="default"/>
                <w:sz w:val="18"/>
                <w:szCs w:val="18"/>
              </w:rPr>
              <w:t>上海莫昂投资合伙企</w:t>
            </w:r>
            <w:r>
              <w:rPr>
                <w:rFonts w:ascii="宋体" w:hAnsi="宋体" w:cs="宋体" w:eastAsia="宋体" w:hint="default"/>
                <w:spacing w:val="-56"/>
                <w:sz w:val="18"/>
                <w:szCs w:val="18"/>
              </w:rPr>
              <w:t>业</w:t>
            </w:r>
            <w:r>
              <w:rPr>
                <w:rFonts w:ascii="宋体" w:hAnsi="宋体" w:cs="宋体" w:eastAsia="宋体" w:hint="default"/>
                <w:sz w:val="18"/>
                <w:szCs w:val="18"/>
              </w:rPr>
              <w:t>（有限合伙）</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傅广平</w:t>
            </w:r>
            <w:r>
              <w:rPr>
                <w:rFonts w:ascii="宋体" w:hAnsi="宋体" w:cs="宋体" w:eastAsia="宋体" w:hint="default"/>
                <w:spacing w:val="-45"/>
                <w:sz w:val="18"/>
                <w:szCs w:val="18"/>
              </w:rPr>
              <w:t>、</w:t>
            </w:r>
            <w:r>
              <w:rPr>
                <w:rFonts w:ascii="宋体" w:hAnsi="宋体" w:cs="宋体" w:eastAsia="宋体" w:hint="default"/>
                <w:sz w:val="18"/>
                <w:szCs w:val="18"/>
              </w:rPr>
              <w:t>蔡德春签署附生效条件的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发行股份及现金购买资产协议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《关于公司与上海</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07"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精视投资发展有限公司、上海莫昂投资合伙企业（有限合伙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、傅广平、蔡德春签署附生效条</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7"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标的资产盈利预测补偿协议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《关于公司与程顺玲</w:t>
            </w:r>
            <w:r>
              <w:rPr>
                <w:rFonts w:ascii="宋体" w:hAnsi="宋体" w:cs="宋体" w:eastAsia="宋体" w:hint="default"/>
                <w:spacing w:val="-29"/>
                <w:sz w:val="18"/>
                <w:szCs w:val="18"/>
              </w:rPr>
              <w:t>、</w:t>
            </w:r>
            <w:r>
              <w:rPr>
                <w:rFonts w:ascii="宋体" w:hAnsi="宋体" w:cs="宋体" w:eastAsia="宋体" w:hint="default"/>
                <w:sz w:val="18"/>
                <w:szCs w:val="18"/>
              </w:rPr>
              <w:t>李菊莲</w:t>
            </w:r>
            <w:r>
              <w:rPr>
                <w:rFonts w:ascii="宋体" w:hAnsi="宋体" w:cs="宋体" w:eastAsia="宋体" w:hint="default"/>
                <w:spacing w:val="-29"/>
                <w:sz w:val="18"/>
                <w:szCs w:val="18"/>
              </w:rPr>
              <w:t>、</w:t>
            </w:r>
            <w:r>
              <w:rPr>
                <w:rFonts w:ascii="宋体" w:hAnsi="宋体" w:cs="宋体" w:eastAsia="宋体" w:hint="default"/>
                <w:sz w:val="18"/>
                <w:szCs w:val="18"/>
              </w:rPr>
              <w:t>曾子帆签署附</w:t>
            </w:r>
            <w:r>
              <w:rPr>
                <w:rFonts w:ascii="宋体" w:hAnsi="宋体" w:cs="宋体" w:eastAsia="宋体" w:hint="default"/>
                <w:spacing w:val="-2"/>
                <w:sz w:val="18"/>
                <w:szCs w:val="18"/>
              </w:rPr>
              <w:t>生</w:t>
            </w:r>
            <w:r>
              <w:rPr>
                <w:rFonts w:ascii="宋体" w:hAnsi="宋体" w:cs="宋体" w:eastAsia="宋体" w:hint="default"/>
                <w:sz w:val="18"/>
                <w:szCs w:val="18"/>
              </w:rPr>
              <w:t>效</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发行股份及现金购买资产协议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《关于公司与程顺玲</w:t>
            </w:r>
            <w:r>
              <w:rPr>
                <w:rFonts w:ascii="宋体" w:hAnsi="宋体" w:cs="宋体" w:eastAsia="宋体" w:hint="default"/>
                <w:spacing w:val="-29"/>
                <w:sz w:val="18"/>
                <w:szCs w:val="18"/>
              </w:rPr>
              <w:t>、</w:t>
            </w:r>
            <w:r>
              <w:rPr>
                <w:rFonts w:ascii="宋体" w:hAnsi="宋体" w:cs="宋体" w:eastAsia="宋体" w:hint="default"/>
                <w:sz w:val="18"/>
                <w:szCs w:val="18"/>
              </w:rPr>
              <w:t>李菊莲</w:t>
            </w:r>
            <w:r>
              <w:rPr>
                <w:rFonts w:ascii="宋体" w:hAnsi="宋体" w:cs="宋体" w:eastAsia="宋体" w:hint="default"/>
                <w:spacing w:val="-29"/>
                <w:sz w:val="18"/>
                <w:szCs w:val="18"/>
              </w:rPr>
              <w:t>、</w:t>
            </w:r>
            <w:r>
              <w:rPr>
                <w:rFonts w:ascii="宋体" w:hAnsi="宋体" w:cs="宋体" w:eastAsia="宋体" w:hint="default"/>
                <w:sz w:val="18"/>
                <w:szCs w:val="18"/>
              </w:rPr>
              <w:t>曾子帆签</w:t>
            </w:r>
            <w:r>
              <w:rPr>
                <w:rFonts w:ascii="宋体" w:hAnsi="宋体" w:cs="宋体" w:eastAsia="宋体" w:hint="default"/>
                <w:spacing w:val="-2"/>
                <w:sz w:val="18"/>
                <w:szCs w:val="18"/>
              </w:rPr>
              <w:t>署</w:t>
            </w:r>
            <w:r>
              <w:rPr>
                <w:rFonts w:ascii="宋体" w:hAnsi="宋体" w:cs="宋体" w:eastAsia="宋体" w:hint="default"/>
                <w:sz w:val="18"/>
                <w:szCs w:val="18"/>
              </w:rPr>
              <w:t>附</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生效条件的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标的资产盈利预测补偿协议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《关于公司与金城等交易对方签署附生效条</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发行股份及现金购买资产协议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《关于公司与金城等交易对方签署附生效条件的</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标的资产盈利预测补偿协议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华闻传媒投资集团股份有限公司发行股份及支</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付现金购买资产并募集配套资金报告书（草案）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及摘要的议案</w:t>
            </w:r>
            <w:r>
              <w:rPr>
                <w:rFonts w:ascii="宋体" w:hAnsi="宋体" w:cs="宋体" w:eastAsia="宋体" w:hint="default"/>
                <w:spacing w:val="-90"/>
                <w:sz w:val="18"/>
                <w:szCs w:val="18"/>
              </w:rPr>
              <w:t>》、</w:t>
            </w:r>
            <w:r>
              <w:rPr>
                <w:rFonts w:ascii="宋体" w:hAnsi="宋体" w:cs="宋体" w:eastAsia="宋体" w:hint="default"/>
                <w:sz w:val="18"/>
                <w:szCs w:val="18"/>
              </w:rPr>
              <w:t>《关于批准本次重大资产重</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07"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组有关审计报告</w:t>
            </w:r>
            <w:r>
              <w:rPr>
                <w:rFonts w:ascii="宋体" w:hAnsi="宋体" w:cs="宋体" w:eastAsia="宋体" w:hint="default"/>
                <w:spacing w:val="-22"/>
                <w:sz w:val="18"/>
                <w:szCs w:val="18"/>
              </w:rPr>
              <w:t>、</w:t>
            </w:r>
            <w:r>
              <w:rPr>
                <w:rFonts w:ascii="宋体" w:hAnsi="宋体" w:cs="宋体" w:eastAsia="宋体" w:hint="default"/>
                <w:sz w:val="18"/>
                <w:szCs w:val="18"/>
              </w:rPr>
              <w:t>盈利预测报告及评估报告的议案</w:t>
            </w:r>
            <w:r>
              <w:rPr>
                <w:rFonts w:ascii="宋体" w:hAnsi="宋体" w:cs="宋体" w:eastAsia="宋体" w:hint="default"/>
                <w:spacing w:val="-90"/>
                <w:sz w:val="18"/>
                <w:szCs w:val="18"/>
              </w:rPr>
              <w:t>》</w:t>
            </w:r>
            <w:r>
              <w:rPr>
                <w:rFonts w:ascii="宋体" w:hAnsi="宋体" w:cs="宋体" w:eastAsia="宋体" w:hint="default"/>
                <w:spacing w:val="-112"/>
                <w:sz w:val="18"/>
                <w:szCs w:val="18"/>
              </w:rPr>
              <w:t>、</w:t>
            </w:r>
            <w:r>
              <w:rPr>
                <w:rFonts w:ascii="宋体" w:hAnsi="宋体" w:cs="宋体" w:eastAsia="宋体" w:hint="default"/>
                <w:sz w:val="18"/>
                <w:szCs w:val="18"/>
              </w:rPr>
              <w:t>《关于评估机构的独立性</w:t>
            </w:r>
            <w:r>
              <w:rPr>
                <w:rFonts w:ascii="宋体" w:hAnsi="宋体" w:cs="宋体" w:eastAsia="宋体" w:hint="default"/>
                <w:spacing w:val="-22"/>
                <w:sz w:val="18"/>
                <w:szCs w:val="18"/>
              </w:rPr>
              <w:t>、</w:t>
            </w:r>
            <w:r>
              <w:rPr>
                <w:rFonts w:ascii="宋体" w:hAnsi="宋体" w:cs="宋体" w:eastAsia="宋体" w:hint="default"/>
                <w:sz w:val="18"/>
                <w:szCs w:val="18"/>
              </w:rPr>
              <w:t>评估假设前提</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的合理性</w:t>
            </w:r>
            <w:r>
              <w:rPr>
                <w:rFonts w:ascii="宋体" w:hAnsi="宋体" w:cs="宋体" w:eastAsia="宋体" w:hint="default"/>
                <w:spacing w:val="-33"/>
                <w:sz w:val="18"/>
                <w:szCs w:val="18"/>
              </w:rPr>
              <w:t>、</w:t>
            </w:r>
            <w:r>
              <w:rPr>
                <w:rFonts w:ascii="宋体" w:hAnsi="宋体" w:cs="宋体" w:eastAsia="宋体" w:hint="default"/>
                <w:sz w:val="18"/>
                <w:szCs w:val="18"/>
              </w:rPr>
              <w:t>评估方法与评估目的的相关性以及评估定价的公允性的议案</w:t>
            </w:r>
            <w:r>
              <w:rPr>
                <w:rFonts w:ascii="宋体" w:hAnsi="宋体" w:cs="宋体" w:eastAsia="宋体" w:hint="default"/>
                <w:spacing w:val="-90"/>
                <w:sz w:val="18"/>
                <w:szCs w:val="18"/>
              </w:rPr>
              <w:t>》</w:t>
            </w:r>
            <w:r>
              <w:rPr>
                <w:rFonts w:ascii="宋体" w:hAnsi="宋体" w:cs="宋体" w:eastAsia="宋体" w:hint="default"/>
                <w:spacing w:val="-123"/>
                <w:sz w:val="18"/>
                <w:szCs w:val="18"/>
              </w:rPr>
              <w:t>、</w:t>
            </w:r>
            <w:r>
              <w:rPr>
                <w:rFonts w:ascii="宋体" w:hAnsi="宋体" w:cs="宋体" w:eastAsia="宋体" w:hint="default"/>
                <w:sz w:val="18"/>
                <w:szCs w:val="18"/>
              </w:rPr>
              <w:t>《关于本次交易定价</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的依据及公平合理性说明的议案</w:t>
            </w:r>
            <w:r>
              <w:rPr>
                <w:rFonts w:ascii="宋体" w:hAnsi="宋体" w:cs="宋体" w:eastAsia="宋体" w:hint="default"/>
                <w:spacing w:val="-90"/>
                <w:sz w:val="18"/>
                <w:szCs w:val="18"/>
              </w:rPr>
              <w:t>》</w:t>
            </w:r>
            <w:r>
              <w:rPr>
                <w:rFonts w:ascii="宋体" w:hAnsi="宋体" w:cs="宋体" w:eastAsia="宋体" w:hint="default"/>
                <w:spacing w:val="-123"/>
                <w:sz w:val="18"/>
                <w:szCs w:val="18"/>
              </w:rPr>
              <w:t>、</w:t>
            </w:r>
            <w:r>
              <w:rPr>
                <w:rFonts w:ascii="宋体" w:hAnsi="宋体" w:cs="宋体" w:eastAsia="宋体" w:hint="default"/>
                <w:sz w:val="18"/>
                <w:szCs w:val="18"/>
              </w:rPr>
              <w:t>《关于本次重大资产重组履行法定程序的完备性</w:t>
            </w:r>
            <w:r>
              <w:rPr>
                <w:rFonts w:ascii="宋体" w:hAnsi="宋体" w:cs="宋体" w:eastAsia="宋体" w:hint="default"/>
                <w:spacing w:val="-33"/>
                <w:sz w:val="18"/>
                <w:szCs w:val="18"/>
              </w:rPr>
              <w:t>、</w:t>
            </w:r>
            <w:r>
              <w:rPr>
                <w:rFonts w:ascii="宋体" w:hAnsi="宋体" w:cs="宋体" w:eastAsia="宋体" w:hint="default"/>
                <w:sz w:val="18"/>
                <w:szCs w:val="18"/>
              </w:rPr>
              <w:t>合规性及</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2"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提交法律文件的有效性的说明</w:t>
            </w:r>
            <w:r>
              <w:rPr>
                <w:rFonts w:ascii="宋体" w:hAnsi="宋体" w:cs="宋体" w:eastAsia="宋体" w:hint="default"/>
                <w:spacing w:val="-90"/>
                <w:sz w:val="18"/>
                <w:szCs w:val="18"/>
              </w:rPr>
              <w:t>》</w:t>
            </w:r>
            <w:r>
              <w:rPr>
                <w:rFonts w:ascii="宋体" w:hAnsi="宋体" w:cs="宋体" w:eastAsia="宋体" w:hint="default"/>
                <w:spacing w:val="-155"/>
                <w:sz w:val="18"/>
                <w:szCs w:val="18"/>
              </w:rPr>
              <w:t>、</w:t>
            </w:r>
            <w:r>
              <w:rPr>
                <w:rFonts w:ascii="宋体" w:hAnsi="宋体" w:cs="宋体" w:eastAsia="宋体" w:hint="default"/>
                <w:sz w:val="18"/>
                <w:szCs w:val="18"/>
              </w:rPr>
              <w:t>《关于提请股东大会授权董事会办理本次重大资产重组相关事</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18" w:hRule="exact"/>
        </w:trPr>
        <w:tc>
          <w:tcPr>
            <w:tcW w:w="1135"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7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宜的议案</w:t>
            </w:r>
            <w:r>
              <w:rPr>
                <w:rFonts w:ascii="宋体" w:hAnsi="宋体" w:cs="宋体" w:eastAsia="宋体" w:hint="default"/>
                <w:spacing w:val="-90"/>
                <w:sz w:val="18"/>
                <w:szCs w:val="18"/>
              </w:rPr>
              <w:t>》、</w:t>
            </w:r>
            <w:r>
              <w:rPr>
                <w:rFonts w:ascii="宋体" w:hAnsi="宋体" w:cs="宋体" w:eastAsia="宋体" w:hint="default"/>
                <w:sz w:val="18"/>
                <w:szCs w:val="18"/>
              </w:rPr>
              <w:t>《公司未来三年股东分红回报规划（</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416"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352" w:hRule="exact"/>
        </w:trPr>
        <w:tc>
          <w:tcPr>
            <w:tcW w:w="113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7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416"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4"/>
        <w:spacing w:line="240" w:lineRule="auto"/>
        <w:ind w:left="539" w:right="0"/>
        <w:jc w:val="left"/>
        <w:rPr>
          <w:b w:val="0"/>
          <w:bCs w:val="0"/>
        </w:rPr>
      </w:pPr>
      <w:r>
        <w:rPr/>
        <w:pict>
          <v:shape style="position:absolute;margin-left:548.089905pt;margin-top:-263.984375pt;width:76.45pt;height:251.65pt;mso-position-horizontal-relative:page;mso-position-vertical-relative:paragraph;z-index:-1217032" type="#_x0000_t202" filled="false" stroked="false">
            <v:textbox inset="0,0,0,0">
              <w:txbxContent>
                <w:p>
                  <w:pPr>
                    <w:spacing w:line="240" w:lineRule="auto" w:before="9"/>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5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6840" w:h="11910" w:orient="landscape"/>
          <w:pgMar w:header="867" w:footer="978" w:top="1060" w:bottom="1160" w:left="90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李慧中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Heading5"/>
        <w:spacing w:line="240" w:lineRule="auto" w:before="1"/>
        <w:ind w:left="154" w:right="0"/>
        <w:jc w:val="left"/>
      </w:pPr>
      <w:r>
        <w:rPr/>
        <w:t>连续两次未亲自出席董事会的说明：不适用。</w:t>
      </w:r>
    </w:p>
    <w:p>
      <w:pPr>
        <w:spacing w:line="590" w:lineRule="atLeast" w:before="41"/>
        <w:ind w:left="153" w:right="50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spacing w:val="1"/>
          <w:w w:val="99"/>
          <w:sz w:val="24"/>
          <w:szCs w:val="24"/>
        </w:rPr>
        <w:t> </w:t>
      </w:r>
      <w:r>
        <w:rPr>
          <w:rFonts w:ascii="宋体" w:hAnsi="宋体" w:cs="宋体" w:eastAsia="宋体" w:hint="default"/>
          <w:sz w:val="24"/>
          <w:szCs w:val="24"/>
        </w:rPr>
        <w:t>独立董事对公司有关事项是否提出异议</w:t>
      </w:r>
    </w:p>
    <w:p>
      <w:pPr>
        <w:pStyle w:val="Heading5"/>
        <w:spacing w:line="254" w:lineRule="auto" w:before="37"/>
        <w:ind w:right="47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590" w:lineRule="atLeast" w:before="27"/>
        <w:ind w:left="153" w:right="59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spacing w:val="1"/>
          <w:w w:val="99"/>
          <w:sz w:val="24"/>
          <w:szCs w:val="24"/>
        </w:rPr>
        <w:t> </w:t>
      </w:r>
      <w:r>
        <w:rPr>
          <w:rFonts w:ascii="宋体" w:hAnsi="宋体" w:cs="宋体" w:eastAsia="宋体" w:hint="default"/>
          <w:sz w:val="24"/>
          <w:szCs w:val="24"/>
        </w:rPr>
        <w:t>独立董事对公司有关建议是否被采纳</w:t>
      </w:r>
    </w:p>
    <w:p>
      <w:pPr>
        <w:pStyle w:val="Heading5"/>
        <w:spacing w:line="254" w:lineRule="auto" w:before="38"/>
        <w:ind w:right="44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Heading5"/>
        <w:spacing w:line="276" w:lineRule="auto" w:before="68"/>
        <w:ind w:left="154" w:right="146" w:firstLine="488"/>
        <w:jc w:val="both"/>
      </w:pPr>
      <w:r>
        <w:rPr/>
        <w:t>在公司2013年及2014年进行重大重组之后，公司的子公司较多，独立董事建议公司加强 控股子公司的管理，加强风险防范，并充分利用好子公司的优质资源。</w:t>
      </w:r>
    </w:p>
    <w:p>
      <w:pPr>
        <w:pStyle w:val="Heading5"/>
        <w:spacing w:line="276" w:lineRule="auto" w:before="10"/>
        <w:ind w:right="147" w:firstLine="488"/>
        <w:jc w:val="both"/>
      </w:pPr>
      <w:r>
        <w:rPr/>
        <w:t>公司采纳独立董事建议，及时对主要子公司（含新并购的子公司）进行董事、监事换届</w:t>
      </w:r>
      <w:r>
        <w:rPr>
          <w:spacing w:val="1"/>
        </w:rPr>
        <w:t> </w:t>
      </w:r>
      <w:r>
        <w:rPr/>
        <w:t>改选，重新聘任高级管理人员，并修订《控股子公司管理办法》，对控股子公司董事会、总</w:t>
      </w:r>
      <w:r>
        <w:rPr>
          <w:spacing w:val="-83"/>
        </w:rPr>
        <w:t> </w:t>
      </w:r>
      <w:r>
        <w:rPr>
          <w:spacing w:val="-83"/>
        </w:rPr>
      </w:r>
      <w:r>
        <w:rPr/>
        <w:t>经理决策权限予以合理授权，以便各子公司充分发挥潜能，更好地实现经营、管理等目标。</w:t>
      </w:r>
      <w:r>
        <w:rPr>
          <w:spacing w:val="-83"/>
        </w:rPr>
        <w:t> </w:t>
      </w:r>
      <w:r>
        <w:rPr>
          <w:spacing w:val="-83"/>
        </w:rPr>
      </w:r>
      <w:r>
        <w:rPr/>
        <w:t>同时，鼓励各子公司之间相互配合、资源共享，积极参与打造互联网平台型传媒集团。</w:t>
      </w:r>
    </w:p>
    <w:p>
      <w:pPr>
        <w:spacing w:line="658" w:lineRule="exact" w:before="19"/>
        <w:ind w:left="755" w:right="0" w:hanging="602"/>
        <w:jc w:val="left"/>
        <w:rPr>
          <w:rFonts w:ascii="宋体" w:hAnsi="宋体" w:cs="宋体" w:eastAsia="宋体" w:hint="default"/>
          <w:sz w:val="24"/>
          <w:szCs w:val="24"/>
        </w:rPr>
      </w:pPr>
      <w:r>
        <w:rPr>
          <w:rFonts w:ascii="宋体" w:hAnsi="宋体" w:cs="宋体" w:eastAsia="宋体" w:hint="default"/>
          <w:b/>
          <w:bCs/>
          <w:sz w:val="24"/>
          <w:szCs w:val="24"/>
        </w:rPr>
        <w:t>四、董事会下设专门委员会在报告期内履行职责情况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薪酬与考核委员会审议了“关于2013年度经营班子目标责任考核的议案”、“关于签订</w:t>
      </w:r>
    </w:p>
    <w:p>
      <w:pPr>
        <w:pStyle w:val="Heading5"/>
        <w:spacing w:line="262" w:lineRule="exact" w:before="0"/>
        <w:ind w:left="154" w:right="0"/>
        <w:jc w:val="left"/>
      </w:pPr>
      <w:r>
        <w:rPr>
          <w:spacing w:val="-5"/>
        </w:rPr>
        <w:t>《2014年度经营班子目标管理责任书》的议案”，并对公司董事、监事和高级管理人员在2013</w:t>
      </w:r>
    </w:p>
    <w:p>
      <w:pPr>
        <w:pStyle w:val="Heading5"/>
        <w:spacing w:line="276" w:lineRule="auto" w:before="46"/>
        <w:ind w:left="755" w:right="0" w:hanging="602"/>
        <w:jc w:val="left"/>
      </w:pPr>
      <w:r>
        <w:rPr/>
        <w:t>年报中所披露薪酬进行了审核。 </w:t>
      </w:r>
      <w:r>
        <w:rPr>
          <w:spacing w:val="-3"/>
        </w:rPr>
        <w:t>审计委员会积极开展2013年报相关工作，与年审注册会计师协商确定年度审计工作时间</w:t>
      </w:r>
    </w:p>
    <w:p>
      <w:pPr>
        <w:pStyle w:val="Heading5"/>
        <w:spacing w:line="276" w:lineRule="auto" w:before="10"/>
        <w:ind w:right="0"/>
        <w:jc w:val="left"/>
      </w:pPr>
      <w:r>
        <w:rPr/>
        <w:t>安排，沟通审计重点，督促会计师事务所在约定时限内提交审计报告，对公司编制的财务报</w:t>
      </w:r>
      <w:r>
        <w:rPr>
          <w:spacing w:val="-83"/>
        </w:rPr>
        <w:t> </w:t>
      </w:r>
      <w:r>
        <w:rPr>
          <w:spacing w:val="-83"/>
        </w:rPr>
      </w:r>
      <w:r>
        <w:rPr/>
        <w:t>表发表意见，并向董事会提交了会计师事务所从事2013年度公司审计工作的总结报告和2014</w:t>
      </w:r>
    </w:p>
    <w:p>
      <w:pPr>
        <w:spacing w:after="0" w:line="276" w:lineRule="auto"/>
        <w:jc w:val="left"/>
        <w:sectPr>
          <w:headerReference w:type="default" r:id="rId31"/>
          <w:footerReference w:type="default" r:id="rId32"/>
          <w:pgSz w:w="11910" w:h="16840"/>
          <w:pgMar w:header="877" w:footer="982" w:top="1060" w:bottom="1180" w:left="980" w:right="980"/>
          <w:pgNumType w:start="88"/>
        </w:sectPr>
      </w:pPr>
    </w:p>
    <w:p>
      <w:pPr>
        <w:spacing w:line="240" w:lineRule="auto" w:before="1"/>
        <w:rPr>
          <w:rFonts w:ascii="宋体" w:hAnsi="宋体" w:cs="宋体" w:eastAsia="宋体" w:hint="default"/>
          <w:sz w:val="23"/>
          <w:szCs w:val="23"/>
        </w:rPr>
      </w:pPr>
    </w:p>
    <w:p>
      <w:pPr>
        <w:pStyle w:val="Heading5"/>
        <w:spacing w:line="276" w:lineRule="auto" w:before="26"/>
        <w:ind w:right="0"/>
        <w:jc w:val="left"/>
      </w:pPr>
      <w:r>
        <w:rPr/>
        <w:t>年度续聘会计师事务所的决议，在公司年报审计过程中发挥了积极的作用。同时，审计委员</w:t>
      </w:r>
      <w:r>
        <w:rPr>
          <w:spacing w:val="-83"/>
        </w:rPr>
        <w:t> </w:t>
      </w:r>
      <w:r>
        <w:rPr>
          <w:spacing w:val="-83"/>
        </w:rPr>
      </w:r>
      <w:r>
        <w:rPr/>
        <w:t>会审核了公司的2014年第一季度及第三季度财务会计报告、2014年半年度财务报告。</w:t>
      </w:r>
    </w:p>
    <w:p>
      <w:pPr>
        <w:spacing w:line="612" w:lineRule="exact" w:before="56"/>
        <w:ind w:left="154" w:right="4010" w:firstLine="0"/>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监事会在报告期内的监督活动中发现公司是否存在风险</w:t>
      </w:r>
    </w:p>
    <w:p>
      <w:pPr>
        <w:pStyle w:val="Heading5"/>
        <w:spacing w:line="281" w:lineRule="exact"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468" w:lineRule="auto" w:before="20"/>
        <w:ind w:left="153" w:right="1097" w:firstLine="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sz w:val="24"/>
          <w:szCs w:val="24"/>
        </w:rPr>
      </w:r>
    </w:p>
    <w:p>
      <w:pPr>
        <w:pStyle w:val="Heading5"/>
        <w:spacing w:line="259" w:lineRule="auto" w:before="101"/>
        <w:ind w:right="148" w:firstLine="482"/>
        <w:jc w:val="both"/>
      </w:pPr>
      <w:r>
        <w:rPr/>
        <w:t>业务独立方面：公司业务独立于控股股东，控股股东及其下属的其他单位未从事与公司</w:t>
      </w:r>
      <w:r>
        <w:rPr>
          <w:spacing w:val="1"/>
        </w:rPr>
        <w:t> </w:t>
      </w:r>
      <w:r>
        <w:rPr/>
        <w:t>存在同业竞争的业务。</w:t>
      </w:r>
    </w:p>
    <w:p>
      <w:pPr>
        <w:pStyle w:val="Heading5"/>
        <w:spacing w:line="259" w:lineRule="auto" w:before="47"/>
        <w:ind w:right="148" w:firstLine="482"/>
        <w:jc w:val="both"/>
      </w:pPr>
      <w:r>
        <w:rPr/>
        <w:t>人员分开方面：公司人员独立于控股股东，公司总裁、财务负责人、董事会秘书及其他</w:t>
      </w:r>
      <w:r>
        <w:rPr>
          <w:spacing w:val="1"/>
        </w:rPr>
        <w:t> </w:t>
      </w:r>
      <w:r>
        <w:rPr/>
        <w:t>高级管理人员未在控股股东单位担任除董事以外的其他职务，财务人员在关联公司无兼职。</w:t>
      </w:r>
      <w:r>
        <w:rPr>
          <w:spacing w:val="-83"/>
        </w:rPr>
        <w:t> </w:t>
      </w:r>
      <w:r>
        <w:rPr>
          <w:spacing w:val="-83"/>
        </w:rPr>
      </w:r>
      <w:r>
        <w:rPr/>
        <w:t>公司制定了独立的劳动、人事及薪资管理制度，建立了独立的劳动人事管理部门，劳动、人</w:t>
      </w:r>
      <w:r>
        <w:rPr>
          <w:spacing w:val="-83"/>
        </w:rPr>
        <w:t> </w:t>
      </w:r>
      <w:r>
        <w:rPr>
          <w:spacing w:val="-83"/>
        </w:rPr>
      </w:r>
      <w:r>
        <w:rPr/>
        <w:t>事及工资管理完全独立。</w:t>
      </w:r>
    </w:p>
    <w:p>
      <w:pPr>
        <w:pStyle w:val="Heading5"/>
        <w:spacing w:line="261" w:lineRule="auto" w:before="46"/>
        <w:ind w:right="148" w:firstLine="482"/>
        <w:jc w:val="both"/>
      </w:pPr>
      <w:r>
        <w:rPr/>
        <w:t>资产完整方面：公司资产独立完整，拥有独立的产、供、销系统，与控股股东不存在从</w:t>
      </w:r>
      <w:r>
        <w:rPr>
          <w:spacing w:val="1"/>
        </w:rPr>
        <w:t> </w:t>
      </w:r>
      <w:r>
        <w:rPr/>
        <w:t>事相同产品生产经营的同业竞争情况。</w:t>
      </w:r>
    </w:p>
    <w:p>
      <w:pPr>
        <w:pStyle w:val="Heading5"/>
        <w:spacing w:line="261" w:lineRule="auto" w:before="43"/>
        <w:ind w:right="148" w:firstLine="482"/>
        <w:jc w:val="both"/>
      </w:pPr>
      <w:r>
        <w:rPr/>
        <w:t>机构独立方面：公司机构完整，控股股东及其职能部门与公司及公司职能部门之间没有</w:t>
      </w:r>
      <w:r>
        <w:rPr>
          <w:spacing w:val="1"/>
        </w:rPr>
        <w:t> </w:t>
      </w:r>
      <w:r>
        <w:rPr/>
        <w:t>上下级关系。公司董事会、监事会及其他内部机构完全独立运作。</w:t>
      </w:r>
    </w:p>
    <w:p>
      <w:pPr>
        <w:pStyle w:val="Heading5"/>
        <w:spacing w:line="261" w:lineRule="auto" w:before="43"/>
        <w:ind w:right="148" w:firstLine="482"/>
        <w:jc w:val="both"/>
      </w:pPr>
      <w:r>
        <w:rPr/>
        <w:t>财务分开方面：公司财务完全独立，设立独立的财务部门，并建立了独立会计核算体系</w:t>
      </w:r>
      <w:r>
        <w:rPr>
          <w:spacing w:val="1"/>
        </w:rPr>
        <w:t> </w:t>
      </w:r>
      <w:r>
        <w:rPr/>
        <w:t>和财务会计管理制度，独立核算，独立在银行开户，独立缴税。</w:t>
      </w:r>
    </w:p>
    <w:p>
      <w:pPr>
        <w:pStyle w:val="Heading5"/>
        <w:spacing w:line="261" w:lineRule="auto" w:before="43"/>
        <w:ind w:right="148" w:firstLine="482"/>
        <w:jc w:val="both"/>
      </w:pPr>
      <w:r>
        <w:rPr/>
        <w:t>综上所述，公司与控股股东在业务、人员、资产、机构、财务等方面完全分开，具有独</w:t>
      </w:r>
      <w:r>
        <w:rPr>
          <w:spacing w:val="1"/>
        </w:rPr>
        <w:t> </w:t>
      </w:r>
      <w:r>
        <w:rPr/>
        <w:t>立完整的业务及自主经营能力。</w:t>
      </w:r>
    </w:p>
    <w:p>
      <w:pPr>
        <w:spacing w:line="240" w:lineRule="auto" w:before="12"/>
        <w:rPr>
          <w:rFonts w:ascii="宋体" w:hAnsi="宋体" w:cs="宋体" w:eastAsia="宋体" w:hint="default"/>
          <w:sz w:val="20"/>
          <w:szCs w:val="20"/>
        </w:rPr>
      </w:pPr>
    </w:p>
    <w:p>
      <w:pPr>
        <w:pStyle w:val="Heading4"/>
        <w:spacing w:line="240" w:lineRule="auto" w:before="0"/>
        <w:ind w:right="0"/>
        <w:jc w:val="left"/>
        <w:rPr>
          <w:b w:val="0"/>
          <w:bCs w:val="0"/>
        </w:rPr>
      </w:pPr>
      <w:r>
        <w:rPr/>
        <w:t>七、同业竞争情况</w:t>
      </w:r>
      <w:r>
        <w:rPr>
          <w:b w:val="0"/>
          <w:bCs w:val="0"/>
        </w:rPr>
      </w:r>
    </w:p>
    <w:p>
      <w:pPr>
        <w:spacing w:line="240" w:lineRule="auto" w:before="11"/>
        <w:rPr>
          <w:rFonts w:ascii="宋体" w:hAnsi="宋体" w:cs="宋体" w:eastAsia="宋体" w:hint="default"/>
          <w:b/>
          <w:bCs/>
          <w:sz w:val="22"/>
          <w:szCs w:val="22"/>
        </w:rPr>
      </w:pPr>
    </w:p>
    <w:p>
      <w:pPr>
        <w:spacing w:line="444" w:lineRule="auto" w:before="0"/>
        <w:ind w:left="154" w:right="591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5"/>
        <w:spacing w:line="276" w:lineRule="auto" w:before="139"/>
        <w:ind w:right="142" w:firstLine="482"/>
        <w:jc w:val="both"/>
      </w:pPr>
      <w:r>
        <w:rPr/>
        <w:t>公司对高级管理人员实行年度目标管理责任制度，年初根据公司总体发展战略和年度经</w:t>
      </w:r>
      <w:r>
        <w:rPr>
          <w:spacing w:val="1"/>
        </w:rPr>
        <w:t> </w:t>
      </w:r>
      <w:r>
        <w:rPr/>
        <w:t>营目标确定目标及具体的考核和奖惩办法，制定年度经营班子目标管理责任书，报经董事会</w:t>
      </w:r>
      <w:r>
        <w:rPr>
          <w:spacing w:val="-83"/>
        </w:rPr>
        <w:t> </w:t>
      </w:r>
      <w:r>
        <w:rPr>
          <w:spacing w:val="-83"/>
        </w:rPr>
      </w:r>
      <w:r>
        <w:rPr/>
        <w:t>批准后由董事会和经营班子签订年度经营班子目标管理责任书，并由经营班子组织实施。公</w:t>
      </w:r>
      <w:r>
        <w:rPr>
          <w:spacing w:val="-83"/>
        </w:rPr>
        <w:t> </w:t>
      </w:r>
      <w:r>
        <w:rPr>
          <w:spacing w:val="-83"/>
        </w:rPr>
      </w:r>
      <w:r>
        <w:rPr/>
        <w:t>司对高级管理人员实行年薪制，年薪构成包括基本年薪和绩效奖惩两部分。绩效奖惩包括利</w:t>
      </w:r>
      <w:r>
        <w:rPr>
          <w:spacing w:val="-83"/>
        </w:rPr>
        <w:t> </w:t>
      </w:r>
      <w:r>
        <w:rPr>
          <w:spacing w:val="-83"/>
        </w:rPr>
      </w:r>
      <w:r>
        <w:rPr/>
        <w:t>润目标效益奖惩、专项效益奖惩、其他奖惩等。高级管理人员基本年薪根据职位级别确定，</w:t>
      </w:r>
      <w:r>
        <w:rPr>
          <w:spacing w:val="-83"/>
        </w:rPr>
        <w:t> </w:t>
      </w:r>
      <w:r>
        <w:rPr>
          <w:spacing w:val="-83"/>
        </w:rPr>
      </w:r>
      <w:r>
        <w:rPr>
          <w:spacing w:val="7"/>
        </w:rPr>
        <w:t>绩效奖惩根据董事会批准的年度经营班子目标管理责任书约定和年度目标完成情况考核确</w:t>
      </w:r>
      <w:r>
        <w:rPr>
          <w:spacing w:val="7"/>
        </w:rPr>
        <w:t> </w:t>
      </w:r>
      <w:r>
        <w:rPr/>
        <w:t>定。绩效奖惩根据年初签订的年度经营班子目标管理责任书约定的考核和奖惩办法进行考核</w:t>
      </w:r>
      <w:r>
        <w:rPr>
          <w:spacing w:val="-83"/>
        </w:rPr>
        <w:t> </w:t>
      </w:r>
      <w:r>
        <w:rPr>
          <w:spacing w:val="-83"/>
        </w:rPr>
      </w:r>
      <w:r>
        <w:rPr/>
        <w:t>和奖惩。考核依据为经会计师事务所审计的财务报告。年度绩效奖惩在董事会进行考核后实</w:t>
      </w:r>
      <w:r>
        <w:rPr>
          <w:spacing w:val="-83"/>
        </w:rPr>
        <w:t> </w:t>
      </w:r>
      <w:r>
        <w:rPr>
          <w:spacing w:val="-83"/>
        </w:rPr>
      </w:r>
      <w:r>
        <w:rPr/>
        <w:t>施。</w:t>
      </w:r>
    </w:p>
    <w:p>
      <w:pPr>
        <w:spacing w:after="0" w:line="276" w:lineRule="auto"/>
        <w:jc w:val="both"/>
        <w:sectPr>
          <w:footerReference w:type="default" r:id="rId33"/>
          <w:pgSz w:w="11910" w:h="16840"/>
          <w:pgMar w:footer="982" w:header="877" w:top="1100" w:bottom="1180" w:left="980" w:right="980"/>
          <w:pgNumType w:start="8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591" w:right="3667"/>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both"/>
        <w:rPr>
          <w:b w:val="0"/>
          <w:bCs w:val="0"/>
        </w:rPr>
      </w:pPr>
      <w:r>
        <w:rPr/>
        <w:t>一、内部控制建设情况</w:t>
      </w:r>
      <w:r>
        <w:rPr>
          <w:b w:val="0"/>
          <w:bCs w:val="0"/>
        </w:rPr>
      </w:r>
    </w:p>
    <w:p>
      <w:pPr>
        <w:spacing w:line="240" w:lineRule="auto" w:before="11"/>
        <w:rPr>
          <w:rFonts w:ascii="宋体" w:hAnsi="宋体" w:cs="宋体" w:eastAsia="宋体" w:hint="default"/>
          <w:b/>
          <w:bCs/>
          <w:sz w:val="28"/>
          <w:szCs w:val="28"/>
        </w:rPr>
      </w:pPr>
    </w:p>
    <w:p>
      <w:pPr>
        <w:pStyle w:val="Heading5"/>
        <w:spacing w:line="304" w:lineRule="auto" w:before="0"/>
        <w:ind w:right="228" w:firstLine="482"/>
        <w:jc w:val="both"/>
      </w:pPr>
      <w:r>
        <w:rPr/>
        <w:t>目前，公司已建立了一套完整的涵盖经营、财务管理、人力资源管理、投资管理、关联</w:t>
      </w:r>
      <w:r>
        <w:rPr>
          <w:spacing w:val="1"/>
        </w:rPr>
        <w:t> </w:t>
      </w:r>
      <w:r>
        <w:rPr/>
        <w:t>交易、对外担保、信息沟通与披露等方面的内部控制制度，基本涉及了公司经营管理活动的</w:t>
      </w:r>
      <w:r>
        <w:rPr>
          <w:spacing w:val="-83"/>
        </w:rPr>
        <w:t> </w:t>
      </w:r>
      <w:r>
        <w:rPr>
          <w:spacing w:val="-83"/>
        </w:rPr>
      </w:r>
      <w:r>
        <w:rPr>
          <w:spacing w:val="-5"/>
        </w:rPr>
        <w:t>所有运营环节，并得到有效执行，符合国家有关法规和证券监管部门的要求，符合财政部《企</w:t>
      </w:r>
      <w:r>
        <w:rPr/>
        <w:t> 业内部控制基本规范》及配套指引的有关规定。</w:t>
      </w:r>
    </w:p>
    <w:p>
      <w:pPr>
        <w:spacing w:line="240" w:lineRule="auto" w:before="8"/>
        <w:rPr>
          <w:rFonts w:ascii="宋体" w:hAnsi="宋体" w:cs="宋体" w:eastAsia="宋体" w:hint="default"/>
          <w:sz w:val="18"/>
          <w:szCs w:val="18"/>
        </w:rPr>
      </w:pPr>
    </w:p>
    <w:p>
      <w:pPr>
        <w:pStyle w:val="Heading4"/>
        <w:spacing w:line="240" w:lineRule="auto" w:before="0"/>
        <w:ind w:right="0"/>
        <w:jc w:val="both"/>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28"/>
          <w:szCs w:val="28"/>
        </w:rPr>
      </w:pPr>
    </w:p>
    <w:p>
      <w:pPr>
        <w:pStyle w:val="Heading5"/>
        <w:spacing w:line="304" w:lineRule="auto" w:before="0"/>
        <w:ind w:right="228" w:firstLine="482"/>
        <w:jc w:val="both"/>
      </w:pPr>
      <w:r>
        <w:rPr/>
        <w:t>建立健全并有效实施内部控制是公司董事会的责任。根据公司财务报告内部控制重大缺</w:t>
      </w:r>
      <w:r>
        <w:rPr>
          <w:spacing w:val="1"/>
        </w:rPr>
        <w:t> </w:t>
      </w:r>
      <w:r>
        <w:rPr/>
        <w:t>陷的认定情况，于内部控制评价报告基准日，公司不存在财务报告内部控制重大缺陷，董事</w:t>
      </w:r>
      <w:r>
        <w:rPr>
          <w:spacing w:val="-83"/>
        </w:rPr>
        <w:t> </w:t>
      </w:r>
      <w:r>
        <w:rPr>
          <w:spacing w:val="-83"/>
        </w:rPr>
      </w:r>
      <w:r>
        <w:rPr/>
        <w:t>会认为，公司已按照企业内部控制规范体系和相关规定的要求在所有重大方面保持了有效的</w:t>
      </w:r>
      <w:r>
        <w:rPr>
          <w:spacing w:val="-83"/>
        </w:rPr>
        <w:t> </w:t>
      </w:r>
      <w:r>
        <w:rPr>
          <w:spacing w:val="-83"/>
        </w:rPr>
      </w:r>
      <w:r>
        <w:rPr/>
        <w:t>财务报告内部控制。</w:t>
      </w:r>
    </w:p>
    <w:p>
      <w:pPr>
        <w:spacing w:line="240" w:lineRule="auto" w:before="8"/>
        <w:rPr>
          <w:rFonts w:ascii="宋体" w:hAnsi="宋体" w:cs="宋体" w:eastAsia="宋体" w:hint="default"/>
          <w:sz w:val="18"/>
          <w:szCs w:val="18"/>
        </w:rPr>
      </w:pPr>
    </w:p>
    <w:p>
      <w:pPr>
        <w:pStyle w:val="Heading4"/>
        <w:spacing w:line="240" w:lineRule="auto" w:before="0"/>
        <w:ind w:right="0"/>
        <w:jc w:val="both"/>
        <w:rPr>
          <w:b w:val="0"/>
          <w:bCs w:val="0"/>
        </w:rPr>
      </w:pPr>
      <w:r>
        <w:rPr/>
        <w:t>三、建立财务报告内部控制的依据</w:t>
      </w:r>
      <w:r>
        <w:rPr>
          <w:b w:val="0"/>
          <w:bCs w:val="0"/>
        </w:rPr>
      </w:r>
    </w:p>
    <w:p>
      <w:pPr>
        <w:spacing w:line="240" w:lineRule="auto" w:before="10"/>
        <w:rPr>
          <w:rFonts w:ascii="宋体" w:hAnsi="宋体" w:cs="宋体" w:eastAsia="宋体" w:hint="default"/>
          <w:b/>
          <w:bCs/>
          <w:sz w:val="28"/>
          <w:szCs w:val="28"/>
        </w:rPr>
      </w:pPr>
    </w:p>
    <w:p>
      <w:pPr>
        <w:pStyle w:val="Heading5"/>
        <w:spacing w:line="307" w:lineRule="auto" w:before="0"/>
        <w:ind w:right="107" w:firstLine="482"/>
        <w:jc w:val="left"/>
      </w:pPr>
      <w:r>
        <w:rPr/>
        <w:t>根据《会计法》、《企业财务通则》、《企业会计准则》、《企业内部控制基本规范》</w:t>
      </w:r>
      <w:r>
        <w:rPr>
          <w:spacing w:val="1"/>
        </w:rPr>
        <w:t> </w:t>
      </w:r>
      <w:r>
        <w:rPr>
          <w:spacing w:val="-8"/>
        </w:rPr>
        <w:t>等国家有关法律、法规，结合本公司的实际情况，公司制定《会计制度》、《财务管理制度》、</w:t>
      </w:r>
    </w:p>
    <w:p>
      <w:pPr>
        <w:pStyle w:val="Heading5"/>
        <w:spacing w:line="304" w:lineRule="auto" w:before="18"/>
        <w:ind w:right="228"/>
        <w:jc w:val="both"/>
      </w:pPr>
      <w:r>
        <w:rPr/>
        <w:t>《内部审计制度》、《会计报表及附注编制制度》、《控股子公司管理办法》等制度，加强</w:t>
      </w:r>
      <w:r>
        <w:rPr>
          <w:spacing w:val="-83"/>
        </w:rPr>
        <w:t> </w:t>
      </w:r>
      <w:r>
        <w:rPr>
          <w:spacing w:val="-83"/>
        </w:rPr>
      </w:r>
      <w:r>
        <w:rPr/>
        <w:t>公司财务报告的编制、对外提供和分析利用全过程的管理，确保财务报告合法合规、真实完</w:t>
      </w:r>
      <w:r>
        <w:rPr>
          <w:spacing w:val="-83"/>
        </w:rPr>
        <w:t> </w:t>
      </w:r>
      <w:r>
        <w:rPr>
          <w:spacing w:val="-83"/>
        </w:rPr>
      </w:r>
      <w:r>
        <w:rPr/>
        <w:t>整和有效利用。</w:t>
      </w:r>
    </w:p>
    <w:p>
      <w:pPr>
        <w:spacing w:line="240" w:lineRule="auto" w:before="8"/>
        <w:rPr>
          <w:rFonts w:ascii="宋体" w:hAnsi="宋体" w:cs="宋体" w:eastAsia="宋体" w:hint="default"/>
          <w:sz w:val="18"/>
          <w:szCs w:val="18"/>
        </w:rPr>
      </w:pPr>
    </w:p>
    <w:p>
      <w:pPr>
        <w:pStyle w:val="Heading4"/>
        <w:spacing w:line="240" w:lineRule="auto" w:before="0"/>
        <w:ind w:right="0"/>
        <w:jc w:val="both"/>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内容详见公司在巨潮网披露</w:t>
            </w:r>
            <w:r>
              <w:rPr>
                <w:rFonts w:ascii="宋体" w:hAnsi="宋体" w:cs="宋体" w:eastAsia="宋体" w:hint="default"/>
                <w:spacing w:val="-81"/>
                <w:sz w:val="18"/>
                <w:szCs w:val="18"/>
              </w:rPr>
              <w:t>的</w:t>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度内部控制评价</w:t>
            </w:r>
            <w:r>
              <w:rPr>
                <w:rFonts w:ascii="宋体" w:hAnsi="宋体" w:cs="宋体" w:eastAsia="宋体" w:hint="default"/>
                <w:sz w:val="18"/>
                <w:szCs w:val="18"/>
              </w:rPr>
              <w:t> 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spacing w:line="468" w:lineRule="auto" w:before="26"/>
        <w:ind w:left="154" w:right="6236" w:firstLine="0"/>
        <w:jc w:val="left"/>
        <w:rPr>
          <w:rFonts w:ascii="宋体" w:hAnsi="宋体" w:cs="宋体" w:eastAsia="宋体" w:hint="default"/>
          <w:sz w:val="24"/>
          <w:szCs w:val="24"/>
        </w:rPr>
      </w:pPr>
      <w:r>
        <w:rPr/>
        <w:pict>
          <v:group style="position:absolute;margin-left:56.219994pt;margin-top:51.195911pt;width:479.35pt;height:39.2pt;mso-position-horizontal-relative:page;mso-position-vertical-relative:paragraph;z-index:-1216960" coordorigin="1124,1024" coordsize="9587,784">
            <v:group style="position:absolute;left:10674;top:1038;width:23;height:393" coordorigin="10674,1038" coordsize="23,393">
              <v:shape style="position:absolute;left:10674;top:1038;width:23;height:393" coordorigin="10674,1038" coordsize="23,393" path="m10674,1431l10697,1431,10697,1038,10674,1038,10674,1431xe" filled="true" fillcolor="#d3d3d3" stroked="false">
                <v:path arrowok="t"/>
                <v:fill type="solid"/>
              </v:shape>
            </v:group>
            <v:group style="position:absolute;left:1139;top:1038;width:23;height:393" coordorigin="1139,1038" coordsize="23,393">
              <v:shape style="position:absolute;left:1139;top:1038;width:23;height:393" coordorigin="1139,1038" coordsize="23,393" path="m1139,1431l1162,1431,1162,1038,1139,1038,1139,1431xe" filled="true" fillcolor="#d3d3d3" stroked="false">
                <v:path arrowok="t"/>
                <v:fill type="solid"/>
              </v:shape>
            </v:group>
            <v:group style="position:absolute;left:1162;top:1038;width:9513;height:393" coordorigin="1162,1038" coordsize="9513,393">
              <v:shape style="position:absolute;left:1162;top:1038;width:9513;height:393" coordorigin="1162,1038" coordsize="9513,393" path="m1162,1431l10674,1431,10674,1038,1162,1038,1162,1431xe" filled="true" fillcolor="#d3d3d3" stroked="false">
                <v:path arrowok="t"/>
                <v:fill type="solid"/>
              </v:shape>
            </v:group>
            <v:group style="position:absolute;left:1129;top:1034;width:9578;height:2" coordorigin="1129,1034" coordsize="9578,2">
              <v:shape style="position:absolute;left:1129;top:1034;width:9578;height:2" coordorigin="1129,1034" coordsize="9578,0" path="m1129,1034l10706,1034e" filled="false" stroked="true" strokeweight=".48001pt" strokecolor="#000000">
                <v:path arrowok="t"/>
              </v:shape>
            </v:group>
            <v:group style="position:absolute;left:1129;top:1436;width:9578;height:2" coordorigin="1129,1436" coordsize="9578,2">
              <v:shape style="position:absolute;left:1129;top:1436;width:9578;height:2" coordorigin="1129,1436" coordsize="9578,0" path="m1129,1436l10706,1436e" filled="false" stroked="true" strokeweight=".47998pt" strokecolor="#000000">
                <v:path arrowok="t"/>
              </v:shape>
            </v:group>
            <v:group style="position:absolute;left:1134;top:1029;width:2;height:774" coordorigin="1134,1029" coordsize="2,774">
              <v:shape style="position:absolute;left:1134;top:1029;width:2;height:774" coordorigin="1134,1029" coordsize="0,774" path="m1134,1029l1134,1803e" filled="false" stroked="true" strokeweight=".48001pt" strokecolor="#000000">
                <v:path arrowok="t"/>
              </v:shape>
            </v:group>
            <v:group style="position:absolute;left:1129;top:1798;width:9568;height:2" coordorigin="1129,1798" coordsize="9568,2">
              <v:shape style="position:absolute;left:1129;top:1798;width:9568;height:2" coordorigin="1129,1798" coordsize="9568,0" path="m1129,1798l10697,1798e" filled="false" stroked="true" strokeweight=".48001pt" strokecolor="#000000">
                <v:path arrowok="t"/>
              </v:shape>
            </v:group>
            <v:group style="position:absolute;left:10702;top:1029;width:2;height:774" coordorigin="10702,1029" coordsize="2,774">
              <v:shape style="position:absolute;left:10702;top:1029;width:2;height:774" coordorigin="10702,1029" coordsize="0,774" path="m10702,1029l10702,1803e" filled="false" stroked="true" strokeweight=".47998pt" strokecolor="#000000">
                <v:path arrowok="t"/>
              </v:shape>
              <v:shape style="position:absolute;left:1134;top:1034;width:9568;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xbxContent>
                </v:textbox>
                <w10:wrap type="none"/>
              </v:shape>
              <v:shape style="position:absolute;left:1134;top:1436;width:9568;height:363"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华闻传媒于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w:t>
                      </w:r>
                    </w:p>
                  </w:txbxContent>
                </v:textbox>
                <w10:wrap type="none"/>
              </v:shape>
            </v:group>
            <w10:wrap type="none"/>
          </v:group>
        </w:pict>
      </w:r>
      <w:r>
        <w:rPr>
          <w:rFonts w:ascii="宋体" w:hAnsi="宋体" w:cs="宋体" w:eastAsia="宋体" w:hint="default"/>
          <w:b/>
          <w:bCs/>
          <w:sz w:val="24"/>
          <w:szCs w:val="24"/>
        </w:rPr>
        <w:t>五、内部控制审计报告或鉴证报告</w:t>
      </w:r>
      <w:r>
        <w:rPr>
          <w:rFonts w:ascii="宋体" w:hAnsi="宋体" w:cs="宋体" w:eastAsia="宋体" w:hint="default"/>
          <w:b/>
          <w:bCs/>
          <w:spacing w:val="1"/>
          <w:w w:val="99"/>
          <w:sz w:val="24"/>
          <w:szCs w:val="24"/>
        </w:rPr>
        <w:t> </w:t>
      </w:r>
      <w:r>
        <w:rPr>
          <w:rFonts w:ascii="宋体" w:hAnsi="宋体" w:cs="宋体" w:eastAsia="宋体" w:hint="default"/>
          <w:sz w:val="24"/>
          <w:szCs w:val="24"/>
        </w:rPr>
        <w:t>内部控制审计报告</w:t>
      </w:r>
    </w:p>
    <w:p>
      <w:pPr>
        <w:spacing w:after="0" w:line="468" w:lineRule="auto"/>
        <w:jc w:val="left"/>
        <w:rPr>
          <w:rFonts w:ascii="宋体" w:hAnsi="宋体" w:cs="宋体" w:eastAsia="宋体" w:hint="default"/>
          <w:sz w:val="24"/>
          <w:szCs w:val="24"/>
        </w:rPr>
        <w:sectPr>
          <w:pgSz w:w="11910" w:h="16840"/>
          <w:pgMar w:header="877"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3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内容详见公司在巨潮网披露</w:t>
            </w:r>
            <w:r>
              <w:rPr>
                <w:rFonts w:ascii="宋体" w:hAnsi="宋体" w:cs="宋体" w:eastAsia="宋体" w:hint="default"/>
                <w:spacing w:val="-81"/>
                <w:sz w:val="18"/>
                <w:szCs w:val="18"/>
              </w:rPr>
              <w:t>的</w:t>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度内部控制审计</w:t>
            </w:r>
            <w:r>
              <w:rPr>
                <w:rFonts w:ascii="宋体" w:hAnsi="宋体" w:cs="宋体" w:eastAsia="宋体" w:hint="default"/>
                <w:sz w:val="18"/>
                <w:szCs w:val="18"/>
              </w:rPr>
              <w:t> 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Heading5"/>
        <w:spacing w:line="240" w:lineRule="auto" w:before="1"/>
        <w:ind w:left="154" w:right="0"/>
        <w:jc w:val="left"/>
      </w:pPr>
      <w:r>
        <w:rPr/>
        <w:t>会计师事务所是否出具非标准意见的内部控制审计报告</w:t>
      </w:r>
    </w:p>
    <w:p>
      <w:pPr>
        <w:pStyle w:val="Heading5"/>
        <w:spacing w:line="254" w:lineRule="auto" w:before="38"/>
        <w:ind w:right="16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会计师事务所出具的内部控制审计报告与董事会的自我评价报告意见是否一致</w:t>
      </w:r>
    </w:p>
    <w:p>
      <w:pPr>
        <w:spacing w:line="444" w:lineRule="auto" w:before="23"/>
        <w:ind w:left="153" w:right="39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sz w:val="24"/>
          <w:szCs w:val="24"/>
        </w:rPr>
      </w:r>
    </w:p>
    <w:p>
      <w:pPr>
        <w:pStyle w:val="Heading5"/>
        <w:spacing w:line="304" w:lineRule="auto" w:before="172"/>
        <w:ind w:right="148" w:firstLine="482"/>
        <w:jc w:val="both"/>
      </w:pPr>
      <w:r>
        <w:rPr/>
        <w:t>2010年，在已有制度的基础上，公司修订了《信息披露事务管理制度》，建立年报信息</w:t>
      </w:r>
      <w:r>
        <w:rPr>
          <w:spacing w:val="1"/>
        </w:rPr>
        <w:t> </w:t>
      </w:r>
      <w:r>
        <w:rPr/>
        <w:t>披露重大差错责任追究机制，并经公司2010年3月9日召开的第五届董事会第十四次会议审议</w:t>
      </w:r>
      <w:r>
        <w:rPr>
          <w:spacing w:val="-97"/>
        </w:rPr>
        <w:t> </w:t>
      </w:r>
      <w:r>
        <w:rPr>
          <w:spacing w:val="-97"/>
        </w:rPr>
      </w:r>
      <w:r>
        <w:rPr/>
        <w:t>通过后执行。报告期内，公司没有发生重大会计差错更正、重大遗漏信息补充等情况。</w:t>
      </w:r>
    </w:p>
    <w:p>
      <w:pPr>
        <w:spacing w:after="0" w:line="304"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1.55pt;height:.75pt;mso-position-horizontal-relative:char;mso-position-vertical-relative:line" coordorigin="0,0" coordsize="9431,15">
            <v:group style="position:absolute;left:7;top:7;width:9417;height:2" coordorigin="7,7" coordsize="9417,2">
              <v:shape style="position:absolute;left:7;top:7;width:9417;height:2" coordorigin="7,7" coordsize="9417,0" path="m7,7l9424,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452" w:right="3688"/>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35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高敏、谢晖</w:t>
            </w:r>
          </w:p>
        </w:tc>
      </w:tr>
    </w:tbl>
    <w:p>
      <w:pPr>
        <w:spacing w:before="51"/>
        <w:ind w:left="3449" w:right="368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6"/>
        <w:ind w:left="3448" w:right="368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footerReference w:type="default" r:id="rId34"/>
          <w:pgSz w:w="11910" w:h="16840"/>
          <w:pgMar w:footer="982" w:header="877" w:top="1060" w:bottom="1180" w:left="980" w:right="1020"/>
          <w:pgNumType w:start="92"/>
        </w:sectPr>
      </w:pPr>
    </w:p>
    <w:p>
      <w:pPr>
        <w:spacing w:line="240" w:lineRule="auto" w:before="2"/>
        <w:rPr>
          <w:rFonts w:ascii="宋体" w:hAnsi="宋体" w:cs="宋体" w:eastAsia="宋体" w:hint="default"/>
          <w:b/>
          <w:bCs/>
          <w:sz w:val="27"/>
          <w:szCs w:val="27"/>
        </w:rPr>
      </w:pPr>
    </w:p>
    <w:p>
      <w:pPr>
        <w:pStyle w:val="Heading2"/>
        <w:spacing w:line="240" w:lineRule="auto"/>
        <w:ind w:right="0"/>
        <w:jc w:val="left"/>
        <w:rPr>
          <w:b w:val="0"/>
          <w:bCs w:val="0"/>
        </w:rPr>
      </w:pPr>
      <w:r>
        <w:rPr>
          <w:w w:val="95"/>
        </w:rPr>
        <w:t>华闻传媒投资集团股份有限公司全体股东：</w:t>
      </w:r>
      <w:r>
        <w:rPr>
          <w:b w:val="0"/>
          <w:bCs w:val="0"/>
        </w:rPr>
      </w:r>
    </w:p>
    <w:p>
      <w:pPr>
        <w:pStyle w:val="BodyText"/>
        <w:spacing w:line="240" w:lineRule="auto" w:before="35"/>
        <w:ind w:left="153" w:right="0"/>
        <w:jc w:val="left"/>
      </w:pPr>
      <w:r>
        <w:rPr/>
        <w:br w:type="column"/>
      </w:r>
      <w:r>
        <w:rPr/>
        <w:t>信会师报字[2015]第310216号</w:t>
      </w:r>
    </w:p>
    <w:p>
      <w:pPr>
        <w:spacing w:after="0" w:line="240" w:lineRule="auto"/>
        <w:jc w:val="left"/>
        <w:sectPr>
          <w:type w:val="continuous"/>
          <w:pgSz w:w="11910" w:h="16840"/>
          <w:pgMar w:top="1060" w:bottom="1180" w:left="980" w:right="1020"/>
          <w:cols w:num="2" w:equalWidth="0">
            <w:col w:w="5495" w:space="1133"/>
            <w:col w:w="3282"/>
          </w:cols>
        </w:sectPr>
      </w:pPr>
    </w:p>
    <w:p>
      <w:pPr>
        <w:spacing w:line="240" w:lineRule="auto" w:before="0"/>
        <w:rPr>
          <w:rFonts w:ascii="宋体" w:hAnsi="宋体" w:cs="宋体" w:eastAsia="宋体" w:hint="default"/>
          <w:sz w:val="20"/>
          <w:szCs w:val="20"/>
        </w:rPr>
      </w:pPr>
    </w:p>
    <w:p>
      <w:pPr>
        <w:pStyle w:val="Heading3"/>
        <w:spacing w:line="256" w:lineRule="auto" w:before="171"/>
        <w:ind w:right="389" w:firstLine="560"/>
        <w:jc w:val="both"/>
      </w:pPr>
      <w:r>
        <w:rPr>
          <w:spacing w:val="4"/>
          <w:w w:val="95"/>
        </w:rPr>
        <w:t>我们审计了后附的华闻传媒投资集团股份有限公司（以下简称贵公司）</w:t>
      </w:r>
      <w:r>
        <w:rPr>
          <w:spacing w:val="4"/>
          <w:w w:val="99"/>
        </w:rPr>
        <w:t> </w:t>
      </w:r>
      <w:r>
        <w:rPr>
          <w:spacing w:val="2"/>
        </w:rPr>
        <w:t>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2014</w:t>
      </w:r>
      <w:r>
        <w:rPr>
          <w:spacing w:val="2"/>
        </w:rPr>
        <w:t>年度的合并</w:t>
      </w:r>
      <w:r>
        <w:rPr>
          <w:spacing w:val="-117"/>
        </w:rPr>
        <w:t> </w:t>
      </w:r>
      <w:r>
        <w:rPr>
          <w:spacing w:val="-117"/>
        </w:rPr>
      </w:r>
      <w:r>
        <w:rPr>
          <w:spacing w:val="3"/>
        </w:rPr>
        <w:t>及公司利润表、合并及公司现金流量表、合并及公司所有者权益变动表以及</w:t>
      </w:r>
      <w:r>
        <w:rPr>
          <w:w w:val="99"/>
        </w:rPr>
        <w:t> </w:t>
      </w:r>
      <w:r>
        <w:rPr/>
        <w:t>财务报表附注。</w:t>
      </w:r>
    </w:p>
    <w:p>
      <w:pPr>
        <w:spacing w:line="240" w:lineRule="auto" w:before="9"/>
        <w:rPr>
          <w:rFonts w:ascii="宋体" w:hAnsi="宋体" w:cs="宋体" w:eastAsia="宋体" w:hint="default"/>
          <w:sz w:val="31"/>
          <w:szCs w:val="31"/>
        </w:rPr>
      </w:pPr>
    </w:p>
    <w:p>
      <w:pPr>
        <w:spacing w:line="261" w:lineRule="auto" w:before="0"/>
        <w:ind w:left="714" w:right="350" w:hanging="10"/>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spacing w:val="1"/>
          <w:w w:val="99"/>
          <w:sz w:val="28"/>
          <w:szCs w:val="28"/>
        </w:rPr>
        <w:t> </w:t>
      </w:r>
      <w:r>
        <w:rPr>
          <w:rFonts w:ascii="宋体" w:hAnsi="宋体" w:cs="宋体" w:eastAsia="宋体" w:hint="default"/>
          <w:sz w:val="28"/>
          <w:szCs w:val="28"/>
        </w:rPr>
        <w:t>编制和公允列报财务报表是贵公司管理层的责任。这种责任包括：（</w:t>
      </w:r>
      <w:r>
        <w:rPr>
          <w:rFonts w:ascii="Times New Roman" w:hAnsi="Times New Roman" w:cs="Times New Roman" w:eastAsia="Times New Roman" w:hint="default"/>
          <w:sz w:val="28"/>
          <w:szCs w:val="28"/>
        </w:rPr>
        <w:t>1</w:t>
      </w:r>
      <w:r>
        <w:rPr>
          <w:rFonts w:ascii="宋体" w:hAnsi="宋体" w:cs="宋体" w:eastAsia="宋体" w:hint="default"/>
          <w:sz w:val="28"/>
          <w:szCs w:val="28"/>
        </w:rPr>
        <w:t>）</w:t>
      </w:r>
    </w:p>
    <w:p>
      <w:pPr>
        <w:pStyle w:val="Heading3"/>
        <w:spacing w:line="373" w:lineRule="exact"/>
        <w:ind w:right="0"/>
        <w:jc w:val="both"/>
      </w:pPr>
      <w:r>
        <w:rPr/>
        <w:t>按照企业会计准则的规定编制财务报表，并使其实现公允反映；（</w:t>
      </w:r>
      <w:r>
        <w:rPr>
          <w:rFonts w:ascii="Times New Roman" w:hAnsi="Times New Roman" w:cs="Times New Roman" w:eastAsia="Times New Roman" w:hint="default"/>
        </w:rPr>
        <w:t>2</w:t>
      </w:r>
      <w:r>
        <w:rPr/>
        <w:t>）设计、</w:t>
      </w:r>
    </w:p>
    <w:p>
      <w:pPr>
        <w:pStyle w:val="Heading3"/>
        <w:spacing w:line="261" w:lineRule="auto" w:before="12"/>
        <w:ind w:right="392"/>
        <w:jc w:val="both"/>
      </w:pPr>
      <w:r>
        <w:rPr>
          <w:spacing w:val="3"/>
        </w:rPr>
        <w:t>执行和维护必要的内部控制，以使财务报表不存在由于舞弊或错误导致的重</w:t>
      </w:r>
      <w:r>
        <w:rPr>
          <w:w w:val="99"/>
        </w:rPr>
        <w:t> </w:t>
      </w:r>
      <w:r>
        <w:rPr/>
        <w:t>大错报。</w:t>
      </w:r>
    </w:p>
    <w:p>
      <w:pPr>
        <w:spacing w:line="240" w:lineRule="auto" w:before="3"/>
        <w:rPr>
          <w:rFonts w:ascii="宋体" w:hAnsi="宋体" w:cs="宋体" w:eastAsia="宋体" w:hint="default"/>
          <w:sz w:val="31"/>
          <w:szCs w:val="31"/>
        </w:rPr>
      </w:pPr>
    </w:p>
    <w:p>
      <w:pPr>
        <w:spacing w:line="261" w:lineRule="auto" w:before="0"/>
        <w:ind w:left="714" w:right="350" w:hanging="10"/>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spacing w:val="1"/>
          <w:w w:val="99"/>
          <w:sz w:val="28"/>
          <w:szCs w:val="28"/>
        </w:rPr>
        <w:t> </w:t>
      </w:r>
      <w:r>
        <w:rPr>
          <w:rFonts w:ascii="宋体" w:hAnsi="宋体" w:cs="宋体" w:eastAsia="宋体" w:hint="default"/>
          <w:spacing w:val="4"/>
          <w:w w:val="95"/>
          <w:sz w:val="28"/>
          <w:szCs w:val="28"/>
        </w:rPr>
        <w:t>我们的责任是在执行审计工作的基础上对财务报表发表审计意见。我们</w:t>
      </w:r>
      <w:r>
        <w:rPr>
          <w:rFonts w:ascii="宋体" w:hAnsi="宋体" w:cs="宋体" w:eastAsia="宋体" w:hint="default"/>
          <w:sz w:val="28"/>
          <w:szCs w:val="28"/>
        </w:rPr>
      </w:r>
    </w:p>
    <w:p>
      <w:pPr>
        <w:pStyle w:val="Heading3"/>
        <w:spacing w:line="261" w:lineRule="auto" w:before="9"/>
        <w:ind w:right="392"/>
        <w:jc w:val="both"/>
      </w:pPr>
      <w:r>
        <w:rPr>
          <w:spacing w:val="3"/>
        </w:rPr>
        <w:t>按照中国注册会计师审计准则的规定执行了审计工作。中国注册会计师审计</w:t>
      </w:r>
      <w:r>
        <w:rPr>
          <w:w w:val="99"/>
        </w:rPr>
        <w:t> </w:t>
      </w:r>
      <w:r>
        <w:rPr>
          <w:spacing w:val="3"/>
        </w:rPr>
        <w:t>准则要求我们遵守中国注册会计师职业道德守则，计划和执行审计工作以对</w:t>
      </w:r>
      <w:r>
        <w:rPr>
          <w:w w:val="99"/>
        </w:rPr>
        <w:t> </w:t>
      </w:r>
      <w:r>
        <w:rPr/>
        <w:t>财务报表是否不存在重大错报获取合理保证。</w:t>
      </w:r>
    </w:p>
    <w:p>
      <w:pPr>
        <w:spacing w:after="0" w:line="261" w:lineRule="auto"/>
        <w:jc w:val="both"/>
        <w:sectPr>
          <w:type w:val="continuous"/>
          <w:pgSz w:w="11910" w:h="16840"/>
          <w:pgMar w:top="1060" w:bottom="1180" w:left="980" w:right="1020"/>
        </w:sectPr>
      </w:pPr>
    </w:p>
    <w:p>
      <w:pPr>
        <w:spacing w:line="240" w:lineRule="auto" w:before="13"/>
        <w:rPr>
          <w:rFonts w:ascii="宋体" w:hAnsi="宋体" w:cs="宋体" w:eastAsia="宋体" w:hint="default"/>
          <w:sz w:val="26"/>
          <w:szCs w:val="26"/>
        </w:rPr>
      </w:pPr>
    </w:p>
    <w:p>
      <w:pPr>
        <w:pStyle w:val="Heading3"/>
        <w:spacing w:line="261" w:lineRule="auto" w:before="13"/>
        <w:ind w:left="153" w:right="149" w:firstLine="560"/>
        <w:jc w:val="both"/>
      </w:pPr>
      <w:r>
        <w:rPr>
          <w:spacing w:val="4"/>
          <w:w w:val="95"/>
        </w:rPr>
        <w:t>审计工作涉及实施审计程序，以获取有关财务报表金额和披露的审计证</w:t>
      </w:r>
      <w:r>
        <w:rPr>
          <w:spacing w:val="4"/>
          <w:w w:val="99"/>
        </w:rPr>
        <w:t> </w:t>
      </w:r>
      <w:r>
        <w:rPr>
          <w:spacing w:val="3"/>
        </w:rPr>
        <w:t>据。选择的审计程序取决于注册会计师的判断，包括对由于舞弊或错误导致</w:t>
      </w:r>
      <w:r>
        <w:rPr>
          <w:w w:val="99"/>
        </w:rPr>
        <w:t> </w:t>
      </w:r>
      <w:r>
        <w:rPr>
          <w:spacing w:val="3"/>
        </w:rPr>
        <w:t>的财务报表重大错报风险的评估。在进行风险评估时，注册会计师考虑与财</w:t>
      </w:r>
      <w:r>
        <w:rPr>
          <w:w w:val="99"/>
        </w:rPr>
        <w:t> </w:t>
      </w:r>
      <w:r>
        <w:rPr>
          <w:spacing w:val="3"/>
        </w:rPr>
        <w:t>务报表编制和公允列报相关的内部控制，以设计恰当的审计程序。审计工作</w:t>
      </w:r>
      <w:r>
        <w:rPr>
          <w:w w:val="99"/>
        </w:rPr>
        <w:t> </w:t>
      </w:r>
      <w:r>
        <w:rPr>
          <w:spacing w:val="3"/>
        </w:rPr>
        <w:t>还包括评价管理层选用会计政策的恰当性和作出会计估计的合理性，以及评</w:t>
      </w:r>
      <w:r>
        <w:rPr>
          <w:w w:val="99"/>
        </w:rPr>
        <w:t> </w:t>
      </w:r>
      <w:r>
        <w:rPr/>
        <w:t>价财务报表的总体列报。</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0"/>
          <w:szCs w:val="20"/>
        </w:rPr>
      </w:pPr>
    </w:p>
    <w:p>
      <w:pPr>
        <w:pStyle w:val="Heading3"/>
        <w:spacing w:line="261" w:lineRule="auto"/>
        <w:ind w:left="153" w:right="149" w:firstLine="560"/>
        <w:jc w:val="both"/>
      </w:pPr>
      <w:r>
        <w:rPr>
          <w:spacing w:val="4"/>
          <w:w w:val="95"/>
        </w:rPr>
        <w:t>我们相信，我们获取的审计证据是充分、适当的，为发表审计意见提供</w:t>
      </w:r>
      <w:r>
        <w:rPr>
          <w:spacing w:val="4"/>
          <w:w w:val="99"/>
        </w:rPr>
        <w:t> </w:t>
      </w:r>
      <w:r>
        <w:rPr/>
        <w:t>了基础。</w:t>
      </w:r>
    </w:p>
    <w:p>
      <w:pPr>
        <w:spacing w:line="240" w:lineRule="auto" w:before="3"/>
        <w:rPr>
          <w:rFonts w:ascii="宋体" w:hAnsi="宋体" w:cs="宋体" w:eastAsia="宋体" w:hint="default"/>
          <w:sz w:val="31"/>
          <w:szCs w:val="31"/>
        </w:rPr>
      </w:pPr>
    </w:p>
    <w:p>
      <w:pPr>
        <w:pStyle w:val="Heading3"/>
        <w:spacing w:line="261" w:lineRule="auto"/>
        <w:ind w:left="714" w:right="134" w:hanging="10"/>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4"/>
          <w:w w:val="95"/>
        </w:rPr>
        <w:t>我们认为，贵公司财务报表在所有重大方面按照企业会计准则的规定编</w:t>
      </w:r>
      <w:r>
        <w:rPr/>
      </w:r>
    </w:p>
    <w:p>
      <w:pPr>
        <w:pStyle w:val="Heading3"/>
        <w:spacing w:line="247" w:lineRule="auto" w:before="9"/>
        <w:ind w:right="134" w:hanging="1"/>
        <w:jc w:val="left"/>
      </w:pPr>
      <w:r>
        <w:rPr>
          <w:spacing w:val="3"/>
        </w:rPr>
        <w:t>制，公允反映了贵公司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rFonts w:ascii="Times New Roman" w:hAnsi="Times New Roman" w:cs="Times New Roman" w:eastAsia="Times New Roman" w:hint="default"/>
          <w:spacing w:val="3"/>
        </w:rPr>
        <w:t>2014</w:t>
      </w:r>
      <w:r>
        <w:rPr>
          <w:spacing w:val="3"/>
        </w:rPr>
        <w:t>年度</w:t>
      </w:r>
      <w:r>
        <w:rPr>
          <w:spacing w:val="4"/>
          <w:w w:val="99"/>
        </w:rPr>
        <w:t> </w:t>
      </w:r>
      <w:r>
        <w:rPr/>
        <w:t>的合并及公司经营成果和现金流量。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9"/>
          <w:szCs w:val="39"/>
        </w:rPr>
      </w:pPr>
    </w:p>
    <w:p>
      <w:pPr>
        <w:pStyle w:val="Heading2"/>
        <w:tabs>
          <w:tab w:pos="5475" w:val="left" w:leader="none"/>
        </w:tabs>
        <w:spacing w:line="240" w:lineRule="auto"/>
        <w:ind w:right="134"/>
        <w:jc w:val="left"/>
        <w:rPr>
          <w:b w:val="0"/>
          <w:bCs w:val="0"/>
        </w:rPr>
      </w:pPr>
      <w:r>
        <w:rPr>
          <w:w w:val="95"/>
        </w:rPr>
        <w:t>立信会计师事务所（特殊普通合伙）</w:t>
        <w:tab/>
      </w:r>
      <w:r>
        <w:rPr/>
        <w:t>中国注册会计师：高敏</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5492" w:right="134"/>
        <w:jc w:val="left"/>
        <w:rPr>
          <w:b w:val="0"/>
          <w:bCs w:val="0"/>
        </w:rPr>
      </w:pPr>
      <w:r>
        <w:rPr/>
        <w:t>中国注册会计师：谢晖</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tabs>
          <w:tab w:pos="5531" w:val="left" w:leader="none"/>
        </w:tabs>
        <w:spacing w:line="240" w:lineRule="auto"/>
        <w:ind w:left="1559" w:right="134"/>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一五年三月二十三日</w:t>
      </w:r>
      <w:r>
        <w:rPr>
          <w:b w:val="0"/>
          <w:bCs w:val="0"/>
        </w:rPr>
      </w:r>
    </w:p>
    <w:p>
      <w:pPr>
        <w:spacing w:after="0" w:line="240" w:lineRule="auto"/>
        <w:jc w:val="left"/>
        <w:sectPr>
          <w:pgSz w:w="11910" w:h="16840"/>
          <w:pgMar w:header="877" w:footer="982" w:top="1060" w:bottom="1180" w:left="980" w:right="1260"/>
        </w:sectPr>
      </w:pPr>
    </w:p>
    <w:p>
      <w:pPr>
        <w:spacing w:line="240" w:lineRule="auto" w:before="9"/>
        <w:rPr>
          <w:rFonts w:ascii="宋体" w:hAnsi="宋体" w:cs="宋体" w:eastAsia="宋体" w:hint="default"/>
          <w:b/>
          <w:bCs/>
          <w:sz w:val="23"/>
          <w:szCs w:val="23"/>
        </w:rPr>
      </w:pPr>
    </w:p>
    <w:p>
      <w:pPr>
        <w:pStyle w:val="Heading4"/>
        <w:spacing w:line="240" w:lineRule="auto"/>
        <w:ind w:right="134"/>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3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6"/>
        <w:spacing w:line="240" w:lineRule="auto" w:before="0"/>
        <w:ind w:right="13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2" w:top="1060" w:bottom="1180" w:left="980" w:right="126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w:t>
      </w:r>
    </w:p>
    <w:p>
      <w:pPr>
        <w:spacing w:line="240" w:lineRule="auto" w:before="11"/>
        <w:rPr>
          <w:rFonts w:ascii="宋体" w:hAnsi="宋体" w:cs="宋体" w:eastAsia="宋体" w:hint="default"/>
          <w:sz w:val="24"/>
          <w:szCs w:val="24"/>
        </w:rPr>
      </w:pPr>
      <w:r>
        <w:rPr/>
        <w:br w:type="column"/>
      </w:r>
      <w:r>
        <w:rPr>
          <w:rFonts w:ascii="宋体"/>
          <w:sz w:val="24"/>
        </w:rPr>
      </w:r>
    </w:p>
    <w:p>
      <w:pPr>
        <w:spacing w:before="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1260"/>
          <w:cols w:num="3" w:equalWidth="0">
            <w:col w:w="3575" w:space="362"/>
            <w:col w:w="1639" w:space="3062"/>
            <w:col w:w="1032"/>
          </w:cols>
        </w:sectPr>
      </w:pP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1,790,374,016.66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1,467,273,104.68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72,764,149.18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42,404,690.64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14,609,512.07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5,288,274.00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624,030,934.13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312,196,981.77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97,350,621.90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67,061,608.66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143,000.00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404,235,409.70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424,868,469.28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484,574,731.64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232,384,018.99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358,600,394.51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161,907,054.09</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3,850,909,769.79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2,715,237,202.11</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1,257,795,300.15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1,185,417,592.92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12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386,456,397.50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344,837,142.50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37,916,614.44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39,885,012.24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1,139,300,503.00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1,134,677,121.07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268,731,457.14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142,750,790.59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8,018,495.01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8,188,260.94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285,028,018.49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265,400,123.34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9,597,457.11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3,885,364.06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2,829,287,520.62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582,930,636.71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25,404,785.44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20,447,960.39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44,107,228.42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29,320,822.88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694,377,808.78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684,610,649.00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6,986,021,586.10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4,442,351,476.64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10,836,931,355.89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7,157,588,678.75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48,385,566.34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282,303,206.33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293,497,718.30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467,163,978.09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384,607,818.51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177,286,464.53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142,558,204.46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248,922,943.11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145,826,915.65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43,851,050.00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25,872,633.32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16,969,388.48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16,969,388.48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442,089,195.22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322,503,457.80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060" w:bottom="1180" w:left="980" w:right="12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141,782,565.31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125,083,257.13</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1,898,754,357.41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1,686,719,393.65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695,180,600.00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6,957,191.40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7,739,807.99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166,390,839.84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122,668,848.48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7,309,565.63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54,956.40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10,748,696.14</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1,662,486,893.01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825,644,212.87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3,561,241,250.42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2,512,363,606.52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1,976,492,696.00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1,846,262,977.00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2,612,448,612.90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1,146,083,903.21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-140,372.02</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5,288,405.58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5,338,060.99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293,764,257.44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232,711,966.63</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2,024,390,039.79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1,175,751,531.05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6,912,243,639.69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4,406,148,438.88</w:t>
            </w:r>
          </w:p>
        </w:tc>
      </w:tr>
    </w:tbl>
    <w:p>
      <w:pPr>
        <w:spacing w:after="0" w:line="240" w:lineRule="auto"/>
        <w:jc w:val="right"/>
        <w:rPr>
          <w:rFonts w:ascii="宋体" w:hAnsi="宋体" w:cs="宋体" w:eastAsia="宋体" w:hint="default"/>
          <w:sz w:val="18"/>
          <w:szCs w:val="18"/>
        </w:rPr>
        <w:sectPr>
          <w:pgSz w:w="11910" w:h="16840"/>
          <w:pgMar w:header="877" w:footer="982" w:top="1060" w:bottom="1180" w:left="980" w:right="12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363,446,465.78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239,076,633.35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7,275,690,105.47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4,645,225,072.23</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10,836,931,355.89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7,157,588,678.75</w:t>
            </w:r>
          </w:p>
        </w:tc>
      </w:tr>
    </w:tbl>
    <w:p>
      <w:pPr>
        <w:spacing w:line="240" w:lineRule="auto" w:before="3"/>
        <w:rPr>
          <w:rFonts w:ascii="Times New Roman" w:hAnsi="Times New Roman" w:cs="Times New Roman" w:eastAsia="Times New Roman" w:hint="default"/>
          <w:sz w:val="23"/>
          <w:szCs w:val="23"/>
        </w:rPr>
      </w:pPr>
    </w:p>
    <w:p>
      <w:pPr>
        <w:tabs>
          <w:tab w:pos="3393" w:val="left" w:leader="none"/>
          <w:tab w:pos="7353" w:val="left" w:leader="none"/>
        </w:tabs>
        <w:spacing w:before="44"/>
        <w:ind w:left="154" w:right="134"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t>主管会计工作负责人：金伯富</w:t>
        <w:tab/>
        <w:t>会计机构负责人：刘秀菊</w:t>
      </w:r>
    </w:p>
    <w:p>
      <w:pPr>
        <w:spacing w:line="240" w:lineRule="auto" w:before="11"/>
        <w:rPr>
          <w:rFonts w:ascii="宋体" w:hAnsi="宋体" w:cs="宋体" w:eastAsia="宋体" w:hint="default"/>
          <w:sz w:val="26"/>
          <w:szCs w:val="26"/>
        </w:rPr>
      </w:pPr>
    </w:p>
    <w:p>
      <w:pPr>
        <w:pStyle w:val="Heading6"/>
        <w:spacing w:line="240" w:lineRule="auto" w:before="0"/>
        <w:ind w:right="13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240,713,049.02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135,738,159.82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3,541,915.27</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5,275,000.00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294,805,622.42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298,300,020.62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238,079,371.01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57,995,413.98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777,139,957.72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497,308,594.42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8,347,950,649.77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5,800,831,110.30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162,643,284.45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167,146,938.08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060" w:bottom="1180" w:left="980" w:right="12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496,463.95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518,019.74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744,944.44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774,944.44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8,511,835,342.61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5,969,271,012.56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9,288,975,300.33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6,466,579,606.98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140,136.10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105,150,136.10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369,882.00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31,066,020.26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15,399,666.71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481,605.62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-283,450.34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43,693,200.00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25,506,800.00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906,888.48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906,888.48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497,568,198.76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461,829,478.85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114,598,687.50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110,926,687.50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688,454,736.72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719,806,089.30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695,180,600.00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060" w:bottom="1180" w:left="980" w:right="12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6"/>
        <w:gridCol w:w="2410"/>
        <w:gridCol w:w="2411"/>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695,180,600.00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2,079,535,336.72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1,414,986,689.30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1,976,492,696.00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1,846,262,977.00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4,150,869,194.02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2,659,924,256.07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240,158,236.28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179,105,945.47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841,919,837.31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366,299,739.14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7,209,439,963.61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5,051,592,917.68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9,288,975,300.33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6,466,579,606.98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ind w:right="35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3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87"/>
        <w:gridCol w:w="2126"/>
        <w:gridCol w:w="2126"/>
      </w:tblGrid>
      <w:tr>
        <w:trPr>
          <w:trHeight w:val="39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0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52" w:right="0"/>
              <w:jc w:val="left"/>
              <w:rPr>
                <w:rFonts w:ascii="宋体" w:hAnsi="宋体" w:cs="宋体" w:eastAsia="宋体" w:hint="default"/>
                <w:sz w:val="18"/>
                <w:szCs w:val="18"/>
              </w:rPr>
            </w:pPr>
            <w:r>
              <w:rPr>
                <w:rFonts w:ascii="宋体"/>
                <w:sz w:val="18"/>
              </w:rPr>
              <w:t>3,952,851,471.75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52" w:right="0"/>
              <w:jc w:val="left"/>
              <w:rPr>
                <w:rFonts w:ascii="宋体" w:hAnsi="宋体" w:cs="宋体" w:eastAsia="宋体" w:hint="default"/>
                <w:sz w:val="18"/>
                <w:szCs w:val="18"/>
              </w:rPr>
            </w:pPr>
            <w:r>
              <w:rPr>
                <w:rFonts w:ascii="宋体"/>
                <w:sz w:val="18"/>
              </w:rPr>
              <w:t>3,749,558,004.83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3,952,851,471.75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3,749,558,004.83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3,146,668,133.13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3,214,145,725.58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2,164,040,702.30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2,217,083,952.47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7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06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387"/>
        <w:gridCol w:w="2126"/>
        <w:gridCol w:w="2126"/>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57,889,116.74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91,048,423.09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534,482,195.50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544,283,238.45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350,510,560.89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303,241,636.34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31,950,292.54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45,945,792.44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7,795,265.16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12,542,682.79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36,750,887.13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-4,444,797.33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397,554,928.19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416,526,231.23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-14,744,386.59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-15,551,996.14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1,240,489,153.94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947,493,713.15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25,919,027.52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90,006,598.87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2,224,038.07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72,195,372.07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3,255,770.72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5,055,523.93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1,120,793.07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915,286.93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1,263,152,410.74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1,032,444,788.09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213,273,758.43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130,638,869.10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1,049,878,652.31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901,805,918.99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983,541,318.63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525,875,568.17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66,337,333.68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375,930,350.82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44,137.35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-181,213,633.16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-111,002,227.27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-111,002,227.27</w:t>
            </w: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-110,979,318.97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-22,908.30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982" w:header="877" w:top="106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387"/>
        <w:gridCol w:w="2126"/>
        <w:gridCol w:w="2126"/>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184,509.37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-70,211,405.89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1,049,922,789.66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720,592,285.83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983,400,946.61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414,873,340.90</w:t>
            </w: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66,521,843.05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305,718,944.93</w:t>
            </w:r>
          </w:p>
        </w:tc>
      </w:tr>
      <w:tr>
        <w:trPr>
          <w:trHeight w:val="39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0.5300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0.3866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0.5300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0.3866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本期发生同一控制下企业合并的，被合并方在合并前实现的净利润为：</w:t>
      </w:r>
      <w:r>
        <w:rPr>
          <w:rFonts w:ascii="Times New Roman" w:hAnsi="Times New Roman" w:cs="Times New Roman" w:eastAsia="Times New Roman" w:hint="default"/>
          <w:spacing w:val="-2"/>
          <w:sz w:val="18"/>
          <w:szCs w:val="18"/>
        </w:rPr>
        <w:t>15,629,584.77</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元，上期被合并方实现的净利润为：</w:t>
      </w:r>
    </w:p>
    <w:p>
      <w:pPr>
        <w:spacing w:before="64"/>
        <w:ind w:left="153" w:right="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-1,131,818.50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393" w:val="left" w:leader="none"/>
          <w:tab w:pos="7443" w:val="left" w:leader="none"/>
        </w:tabs>
        <w:spacing w:before="126"/>
        <w:ind w:left="153" w:right="350"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t>主管会计工作负责人：金伯富</w:t>
        <w:tab/>
        <w:t>会计机构负责人：刘秀菊</w:t>
      </w:r>
    </w:p>
    <w:p>
      <w:pPr>
        <w:spacing w:line="240" w:lineRule="auto" w:before="11"/>
        <w:rPr>
          <w:rFonts w:ascii="宋体" w:hAnsi="宋体" w:cs="宋体" w:eastAsia="宋体" w:hint="default"/>
          <w:sz w:val="26"/>
          <w:szCs w:val="26"/>
        </w:rPr>
      </w:pPr>
    </w:p>
    <w:p>
      <w:pPr>
        <w:pStyle w:val="Heading6"/>
        <w:spacing w:line="240" w:lineRule="auto" w:before="0"/>
        <w:ind w:right="35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3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387"/>
        <w:gridCol w:w="2126"/>
        <w:gridCol w:w="1985"/>
      </w:tblGrid>
      <w:tr>
        <w:trPr>
          <w:trHeight w:val="39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6,150,850.23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204,236,593.91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2,351,433.36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211,227,433.60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1,585,243.44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1,286,271.24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89,944,043.14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84,064,756.96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41,357,610.53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17,952,436.74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88,414.92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174,135.84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1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-1,073,827.37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737,692,009.71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93,740,810.07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9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-20,721,378.46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-21,330,624.44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608,516,114.55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-17,801,457.77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3,174,810.04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412,394.10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434,701.88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82,637.90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1,168,016.53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2,947,297.41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167,716.53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176,690.75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610,522,908.06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-20,336,361.08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610,522,908.06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-20,336,361.08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92"/>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82" w:header="877" w:top="1060" w:bottom="1180" w:left="980" w:right="102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387"/>
        <w:gridCol w:w="2126"/>
        <w:gridCol w:w="1985"/>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26" w:type="dxa"/>
            <w:tcBorders>
              <w:top w:val="single" w:sz="4" w:space="0" w:color="000000"/>
              <w:left w:val="single" w:sz="9"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26" w:type="dxa"/>
            <w:tcBorders>
              <w:top w:val="single" w:sz="4" w:space="0" w:color="000000"/>
              <w:left w:val="single" w:sz="9"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sz w:val="18"/>
              </w:rPr>
              <w:t>610,522,908.06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1" w:right="0"/>
              <w:jc w:val="left"/>
              <w:rPr>
                <w:rFonts w:ascii="宋体" w:hAnsi="宋体" w:cs="宋体" w:eastAsia="宋体" w:hint="default"/>
                <w:sz w:val="18"/>
                <w:szCs w:val="18"/>
              </w:rPr>
            </w:pPr>
            <w:r>
              <w:rPr>
                <w:rFonts w:ascii="宋体"/>
                <w:sz w:val="18"/>
              </w:rPr>
              <w:t>-20,336,361.08</w:t>
            </w:r>
          </w:p>
        </w:tc>
      </w:tr>
      <w:tr>
        <w:trPr>
          <w:trHeight w:val="39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35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3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30"/>
        <w:gridCol w:w="2125"/>
        <w:gridCol w:w="1985"/>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4,027,429,698.49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3,815,208,072.84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1,091,615.65</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388,007,182.66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507,690,953.34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4,416,528,496.80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4,322,899,026.18</w:t>
            </w:r>
          </w:p>
        </w:tc>
      </w:tr>
    </w:tbl>
    <w:p>
      <w:pPr>
        <w:spacing w:after="0" w:line="240" w:lineRule="auto"/>
        <w:jc w:val="right"/>
        <w:rPr>
          <w:rFonts w:ascii="宋体" w:hAnsi="宋体" w:cs="宋体" w:eastAsia="宋体" w:hint="default"/>
          <w:sz w:val="18"/>
          <w:szCs w:val="18"/>
        </w:rPr>
        <w:sectPr>
          <w:pgSz w:w="11910" w:h="16840"/>
          <w:pgMar w:header="877" w:footer="982" w:top="106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30"/>
        <w:gridCol w:w="2125"/>
        <w:gridCol w:w="1985"/>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1,928,694,145.78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1,820,095,249.08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704,587,241.83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643,577,378.77</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342,116,984.12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322,670,943.09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641,963,072.84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606,007,512.55</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3,617,361,444.57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3,392,351,083.49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799,167,052.23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930,547,942.69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2,991,065,249.57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4,163,442,250.98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121,930,681.62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91,805,994.10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104,919,644.18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138,831,582.13</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514,856,440.41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97,412,251.13</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109,164,035.80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3,732,772,015.78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4,600,656,114.14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242,614,861.29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245,865,204.74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3,388,463,786.40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4,138,232,986.66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962,175,703.68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575,960,000.00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104,040,000.00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4,697,294,351.37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4,960,058,191.40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-964,522,335.59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-359,402,077.26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21,509,500.00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907,242,052.16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1,945,604.02</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917,509,500.00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1,629,287,656.18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306,080,000.00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1,743,064,836.99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125,863,999.53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74,317,303.59</w:t>
            </w:r>
          </w:p>
        </w:tc>
      </w:tr>
    </w:tbl>
    <w:p>
      <w:pPr>
        <w:spacing w:after="0" w:line="240" w:lineRule="auto"/>
        <w:jc w:val="right"/>
        <w:rPr>
          <w:rFonts w:ascii="宋体" w:hAnsi="宋体" w:cs="宋体" w:eastAsia="宋体" w:hint="default"/>
          <w:sz w:val="18"/>
          <w:szCs w:val="18"/>
        </w:rPr>
        <w:sectPr>
          <w:pgSz w:w="11910" w:h="16840"/>
          <w:pgMar w:header="877" w:footer="982" w:top="106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29"/>
        <w:gridCol w:w="2126"/>
        <w:gridCol w:w="1985"/>
      </w:tblGrid>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6,412,500.00</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8,661,645.06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28,620,928.00</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440,605,644.59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1,846,003,068.58</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476,903,855.41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-216,715,412.40</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-45,372.20</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311,548,572.05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354,385,080.83</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1,460,423,104.68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1,106,038,023.85</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1,771,971,676.73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1,460,423,104.68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ind w:right="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5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87"/>
        <w:gridCol w:w="2268"/>
        <w:gridCol w:w="2126"/>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5,780,968.23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230,139,478.88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1,105,039,346.78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2,213,009,030.98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1,110,820,315.01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2,443,148,509.86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119,666,916.24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28,010,560.03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41,253,697.40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44,552,415.00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4,265,741.32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1,305,769,173.92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2,381,097,320.91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1,378,332,148.95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2,546,283,675.87</w:t>
            </w: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-267,511,833.94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-103,135,166.01</w:t>
            </w:r>
          </w:p>
        </w:tc>
      </w:tr>
      <w:tr>
        <w:trPr>
          <w:trHeight w:val="39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56,000,000.00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2,596,339,562.88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488,574,747.19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170,802,634.27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529,874.18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628,712.59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715,250,000.00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1,260,354,621.37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2,767,770,909.74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8,974,759.15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7,644,263.76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240,042,620.00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2,640,702,985.66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1,117,360,000.00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575,960,000.00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104,040,000.00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r>
    </w:tbl>
    <w:p>
      <w:pPr>
        <w:spacing w:after="0" w:line="240" w:lineRule="auto"/>
        <w:jc w:val="right"/>
        <w:rPr>
          <w:rFonts w:ascii="宋体" w:hAnsi="宋体" w:cs="宋体" w:eastAsia="宋体" w:hint="default"/>
          <w:sz w:val="18"/>
          <w:szCs w:val="18"/>
        </w:rPr>
        <w:sectPr>
          <w:pgSz w:w="11910" w:h="16840"/>
          <w:pgMar w:header="877" w:footer="982" w:top="1060" w:bottom="1180" w:left="98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387"/>
        <w:gridCol w:w="2268"/>
        <w:gridCol w:w="2126"/>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1,470,417,379.15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3,229,307,249.42</w:t>
            </w: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-210,062,757.78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-461,536,339.68</w:t>
            </w:r>
          </w:p>
        </w:tc>
      </w:tr>
      <w:tr>
        <w:trPr>
          <w:trHeight w:val="39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454,095,000.00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1,154,095,000.00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454,095,000.00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108,850,519.08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32,994,056.08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117,450,519.08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515,689,056.08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582,549,480.92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638,405,943.92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104,974,889.20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73,734,438.23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135,738,159.82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62,003,721.59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240,713,049.02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135,738,159.82</w:t>
            </w:r>
          </w:p>
        </w:tc>
      </w:tr>
    </w:tbl>
    <w:p>
      <w:pPr>
        <w:spacing w:after="0" w:line="240" w:lineRule="auto"/>
        <w:jc w:val="right"/>
        <w:rPr>
          <w:rFonts w:ascii="宋体" w:hAnsi="宋体" w:cs="宋体" w:eastAsia="宋体" w:hint="default"/>
          <w:sz w:val="18"/>
          <w:szCs w:val="18"/>
        </w:rPr>
        <w:sectPr>
          <w:pgSz w:w="11910" w:h="16840"/>
          <w:pgMar w:header="877" w:footer="982" w:top="1060" w:bottom="1180" w:left="980" w:right="860"/>
        </w:sectPr>
      </w:pPr>
    </w:p>
    <w:p>
      <w:pPr>
        <w:spacing w:line="240" w:lineRule="auto" w:before="4"/>
        <w:rPr>
          <w:rFonts w:ascii="Times New Roman" w:hAnsi="Times New Roman" w:cs="Times New Roman" w:eastAsia="Times New Roman" w:hint="default"/>
          <w:sz w:val="3"/>
          <w:szCs w:val="3"/>
        </w:rPr>
      </w:pPr>
    </w:p>
    <w:p>
      <w:pPr>
        <w:spacing w:line="20" w:lineRule="exact"/>
        <w:ind w:left="9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6"/>
        <w:spacing w:line="240" w:lineRule="auto"/>
        <w:ind w:left="95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before="44"/>
        <w:ind w:left="95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97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552"/>
        <w:gridCol w:w="1398"/>
        <w:gridCol w:w="530"/>
        <w:gridCol w:w="532"/>
        <w:gridCol w:w="374"/>
        <w:gridCol w:w="1384"/>
        <w:gridCol w:w="445"/>
        <w:gridCol w:w="1433"/>
        <w:gridCol w:w="1274"/>
        <w:gridCol w:w="1276"/>
        <w:gridCol w:w="426"/>
        <w:gridCol w:w="1417"/>
        <w:gridCol w:w="1277"/>
        <w:gridCol w:w="1362"/>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3D3D3"/>
          </w:tcPr>
          <w:p>
            <w:pPr/>
          </w:p>
        </w:tc>
        <w:tc>
          <w:tcPr>
            <w:tcW w:w="13128"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552" w:type="dxa"/>
            <w:vMerge/>
            <w:tcBorders>
              <w:left w:val="single" w:sz="4" w:space="0" w:color="000000"/>
              <w:bottom w:val="nil" w:sz="6" w:space="0" w:color="auto"/>
              <w:right w:val="single" w:sz="4" w:space="0" w:color="000000"/>
            </w:tcBorders>
            <w:shd w:val="clear" w:color="auto" w:fill="D3D3D3"/>
          </w:tcPr>
          <w:p>
            <w:pPr/>
          </w:p>
        </w:tc>
        <w:tc>
          <w:tcPr>
            <w:tcW w:w="1048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77"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4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38" w:right="3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27"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r>
      <w:tr>
        <w:trPr>
          <w:trHeight w:val="738"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92" w:right="90"/>
              <w:jc w:val="left"/>
              <w:rPr>
                <w:rFonts w:ascii="宋体" w:hAnsi="宋体" w:cs="宋体" w:eastAsia="宋体" w:hint="default"/>
                <w:sz w:val="18"/>
                <w:szCs w:val="18"/>
              </w:rPr>
            </w:pPr>
            <w:r>
              <w:rPr>
                <w:rFonts w:ascii="宋体" w:hAnsi="宋体" w:cs="宋体" w:eastAsia="宋体" w:hint="default"/>
                <w:sz w:val="18"/>
                <w:szCs w:val="18"/>
              </w:rPr>
              <w:t>其 他</w:t>
            </w:r>
          </w:p>
        </w:tc>
        <w:tc>
          <w:tcPr>
            <w:tcW w:w="1384" w:type="dxa"/>
            <w:vMerge/>
            <w:tcBorders>
              <w:left w:val="single" w:sz="4" w:space="0" w:color="000000"/>
              <w:bottom w:val="single" w:sz="4" w:space="0" w:color="000000"/>
              <w:right w:val="single" w:sz="4" w:space="0" w:color="000000"/>
            </w:tcBorders>
            <w:shd w:val="clear" w:color="auto" w:fill="D3D3D3"/>
          </w:tcPr>
          <w:p>
            <w:pPr/>
          </w:p>
        </w:tc>
        <w:tc>
          <w:tcPr>
            <w:tcW w:w="445" w:type="dxa"/>
            <w:vMerge/>
            <w:tcBorders>
              <w:left w:val="single" w:sz="4" w:space="0" w:color="000000"/>
              <w:bottom w:val="single" w:sz="4" w:space="0" w:color="000000"/>
              <w:right w:val="single" w:sz="4" w:space="0" w:color="000000"/>
            </w:tcBorders>
            <w:shd w:val="clear" w:color="auto" w:fill="D3D3D3"/>
          </w:tcPr>
          <w:p>
            <w:pPr/>
          </w:p>
        </w:tc>
        <w:tc>
          <w:tcPr>
            <w:tcW w:w="1433"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426"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1,846,262,977.00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1,146,083,903.21</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5,338,060.99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232,711,966.63</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1,175,751,531.05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239,076,633.35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4,645,225,072.23</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9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9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9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1,846,262,977.00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1,146,083,903.21</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5,338,060.99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232,711,966.63</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1,175,751,531.05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239,076,633.35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4,645,225,072.23</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130,229,719.00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1,466,364,709.69</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-140,372.02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-49,655.41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848,638,508.74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124,369,832.43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2,630,465,033.24</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9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-140,372.02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983,541,318.63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66,521,843.05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1,049,922,789.66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130,229,719.00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1,466,364,709.69</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64,047,989.38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1,660,642,418.07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130,229,719.00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1,710,300,145.40</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64,105,183.91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1,904,635,048.31</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398"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398"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6840" w:h="11910" w:orient="landscape"/>
          <w:pgMar w:header="867" w:footer="978" w:top="1060" w:bottom="1160" w:left="480" w:right="460"/>
          <w:pgNumType w:start="106"/>
        </w:sectPr>
      </w:pPr>
    </w:p>
    <w:p>
      <w:pPr>
        <w:spacing w:line="240" w:lineRule="auto" w:before="12"/>
        <w:rPr>
          <w:rFonts w:ascii="宋体" w:hAnsi="宋体" w:cs="宋体" w:eastAsia="宋体" w:hint="default"/>
          <w:sz w:val="2"/>
          <w:szCs w:val="2"/>
        </w:rPr>
      </w:pPr>
      <w:r>
        <w:rPr/>
        <w:pict>
          <v:shape style="position:absolute;margin-left:115.129906pt;margin-top:197.880005pt;width:111.55pt;height:19.650pt;mso-position-horizontal-relative:page;mso-position-vertical-relative:page;z-index:-12168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15.129906pt;margin-top:217.979996pt;width:111.55pt;height:19.650pt;mso-position-horizontal-relative:page;mso-position-vertical-relative:page;z-index:-12168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2546"/>
        <w:gridCol w:w="1404"/>
        <w:gridCol w:w="530"/>
        <w:gridCol w:w="532"/>
        <w:gridCol w:w="374"/>
        <w:gridCol w:w="1384"/>
        <w:gridCol w:w="445"/>
        <w:gridCol w:w="1433"/>
        <w:gridCol w:w="1274"/>
        <w:gridCol w:w="1276"/>
        <w:gridCol w:w="426"/>
        <w:gridCol w:w="1417"/>
        <w:gridCol w:w="1277"/>
        <w:gridCol w:w="1362"/>
      </w:tblGrid>
      <w:tr>
        <w:trPr>
          <w:trHeight w:val="416" w:hRule="exact"/>
        </w:trPr>
        <w:tc>
          <w:tcPr>
            <w:tcW w:w="254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4"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374" w:type="dxa"/>
            <w:tcBorders>
              <w:top w:val="single" w:sz="15" w:space="0" w:color="000000"/>
              <w:left w:val="single" w:sz="4" w:space="0" w:color="000000"/>
              <w:bottom w:val="single" w:sz="4" w:space="0" w:color="000000"/>
              <w:right w:val="single" w:sz="4" w:space="0" w:color="000000"/>
            </w:tcBorders>
          </w:tcPr>
          <w:p>
            <w:pPr/>
          </w:p>
        </w:tc>
        <w:tc>
          <w:tcPr>
            <w:tcW w:w="13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-243,935,435.71</w:t>
            </w:r>
          </w:p>
        </w:tc>
        <w:tc>
          <w:tcPr>
            <w:tcW w:w="445" w:type="dxa"/>
            <w:tcBorders>
              <w:top w:val="single" w:sz="15" w:space="0" w:color="000000"/>
              <w:left w:val="single" w:sz="4" w:space="0" w:color="000000"/>
              <w:bottom w:val="single" w:sz="4" w:space="0" w:color="000000"/>
              <w:right w:val="single" w:sz="4" w:space="0" w:color="000000"/>
            </w:tcBorders>
          </w:tcPr>
          <w:p>
            <w:pPr/>
          </w:p>
        </w:tc>
        <w:tc>
          <w:tcPr>
            <w:tcW w:w="1433"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-57,194.53</w:t>
            </w:r>
          </w:p>
        </w:tc>
        <w:tc>
          <w:tcPr>
            <w:tcW w:w="13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-243,992,630.24</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-134,902,809.89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-80,050,519.08</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-73,850,519.08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-80,050,519.08</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04" w:type="dxa"/>
            <w:tcBorders>
              <w:top w:val="single" w:sz="4" w:space="0" w:color="000000"/>
              <w:left w:val="single" w:sz="9" w:space="0" w:color="FFFFFF"/>
              <w:bottom w:val="single" w:sz="4" w:space="0" w:color="000000"/>
              <w:right w:val="single" w:sz="13" w:space="0" w:color="FFFFFF"/>
            </w:tcBorders>
          </w:tcPr>
          <w:p>
            <w:pPr/>
          </w:p>
        </w:tc>
        <w:tc>
          <w:tcPr>
            <w:tcW w:w="530" w:type="dxa"/>
            <w:tcBorders>
              <w:top w:val="single" w:sz="4" w:space="0" w:color="000000"/>
              <w:left w:val="single" w:sz="13" w:space="0" w:color="FFFFFF"/>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04" w:type="dxa"/>
            <w:tcBorders>
              <w:top w:val="single" w:sz="4" w:space="0" w:color="000000"/>
              <w:left w:val="single" w:sz="9" w:space="0" w:color="FFFFFF"/>
              <w:bottom w:val="single" w:sz="4" w:space="0" w:color="000000"/>
              <w:right w:val="single" w:sz="13" w:space="0" w:color="FFFFFF"/>
            </w:tcBorders>
          </w:tcPr>
          <w:p>
            <w:pPr/>
          </w:p>
        </w:tc>
        <w:tc>
          <w:tcPr>
            <w:tcW w:w="530" w:type="dxa"/>
            <w:tcBorders>
              <w:top w:val="single" w:sz="4" w:space="0" w:color="000000"/>
              <w:left w:val="single" w:sz="13" w:space="0" w:color="FFFFFF"/>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-49,655.41</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-49,655.41</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6,873,144.63</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6,873,144.63</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6,922,800.04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6,922,800.04</w:t>
            </w: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0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1,976,492,696.00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2,612,448,612.90</w:t>
            </w:r>
          </w:p>
        </w:tc>
        <w:tc>
          <w:tcPr>
            <w:tcW w:w="4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-140,372.02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5,288,405.58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293,764,257.44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2,024,390,039.79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363,446,465.78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7,275,690,105.47</w:t>
            </w:r>
          </w:p>
        </w:tc>
      </w:tr>
    </w:tbl>
    <w:p>
      <w:pPr>
        <w:spacing w:before="51"/>
        <w:ind w:left="95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97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552"/>
        <w:gridCol w:w="1417"/>
        <w:gridCol w:w="568"/>
        <w:gridCol w:w="425"/>
        <w:gridCol w:w="425"/>
        <w:gridCol w:w="1418"/>
        <w:gridCol w:w="425"/>
        <w:gridCol w:w="1391"/>
        <w:gridCol w:w="1276"/>
        <w:gridCol w:w="1276"/>
        <w:gridCol w:w="452"/>
        <w:gridCol w:w="1320"/>
        <w:gridCol w:w="1276"/>
        <w:gridCol w:w="1373"/>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3D3D3"/>
          </w:tcPr>
          <w:p>
            <w:pPr/>
          </w:p>
        </w:tc>
        <w:tc>
          <w:tcPr>
            <w:tcW w:w="1304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552" w:type="dxa"/>
            <w:vMerge/>
            <w:tcBorders>
              <w:left w:val="single" w:sz="4" w:space="0" w:color="000000"/>
              <w:bottom w:val="nil" w:sz="6" w:space="0" w:color="auto"/>
              <w:right w:val="single" w:sz="4" w:space="0" w:color="000000"/>
            </w:tcBorders>
            <w:shd w:val="clear" w:color="auto" w:fill="D3D3D3"/>
          </w:tcPr>
          <w:p>
            <w:pPr/>
          </w:p>
        </w:tc>
        <w:tc>
          <w:tcPr>
            <w:tcW w:w="1039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77"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090"/>
              <w:jc w:val="right"/>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6"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0" w:right="4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3D3D3"/>
          </w:tcPr>
          <w:p>
            <w:pPr/>
          </w:p>
        </w:tc>
        <w:tc>
          <w:tcPr>
            <w:tcW w:w="1373" w:type="dxa"/>
            <w:vMerge/>
            <w:tcBorders>
              <w:left w:val="single" w:sz="4" w:space="0" w:color="000000"/>
              <w:right w:val="single" w:sz="4" w:space="0" w:color="000000"/>
            </w:tcBorders>
            <w:shd w:val="clear" w:color="auto" w:fill="D3D3D3"/>
          </w:tcPr>
          <w:p>
            <w:pPr/>
          </w:p>
        </w:tc>
      </w:tr>
      <w:tr>
        <w:trPr>
          <w:trHeight w:val="738"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391"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452" w:type="dxa"/>
            <w:vMerge/>
            <w:tcBorders>
              <w:left w:val="single" w:sz="4" w:space="0" w:color="000000"/>
              <w:bottom w:val="single" w:sz="4" w:space="0" w:color="000000"/>
              <w:right w:val="single" w:sz="4" w:space="0" w:color="000000"/>
            </w:tcBorders>
            <w:shd w:val="clear" w:color="auto" w:fill="D3D3D3"/>
          </w:tcPr>
          <w:p>
            <w:pPr/>
          </w:p>
        </w:tc>
        <w:tc>
          <w:tcPr>
            <w:tcW w:w="1320"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37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78"/>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1,360,132,576.00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62,733,063.07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18"/>
                <w:szCs w:val="18"/>
              </w:rPr>
            </w:pPr>
            <w:r>
              <w:rPr>
                <w:rFonts w:ascii="Times New Roman"/>
                <w:sz w:val="18"/>
              </w:rPr>
              <w:t>110,962,641.04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2,920,650.53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295,921,730.37</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1,221,218,864.80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926,354,977.29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3,980,244,503.10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480" w:right="460"/>
        </w:sectPr>
      </w:pPr>
    </w:p>
    <w:p>
      <w:pPr>
        <w:spacing w:line="240" w:lineRule="auto" w:before="4"/>
        <w:rPr>
          <w:rFonts w:ascii="Times New Roman" w:hAnsi="Times New Roman" w:cs="Times New Roman" w:eastAsia="Times New Roman" w:hint="default"/>
          <w:sz w:val="3"/>
          <w:szCs w:val="3"/>
        </w:rPr>
      </w:pPr>
      <w:r>
        <w:rPr/>
        <w:pict>
          <v:shape style="position:absolute;margin-left:115.129906pt;margin-top:465.779999pt;width:112.6pt;height:19.650pt;mso-position-horizontal-relative:page;mso-position-vertical-relative:page;z-index:-12168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15.129906pt;margin-top:485.880005pt;width:112.6pt;height:19.650pt;mso-position-horizontal-relative:page;mso-position-vertical-relative:page;z-index:-1216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2552"/>
        <w:gridCol w:w="1418"/>
        <w:gridCol w:w="568"/>
        <w:gridCol w:w="425"/>
        <w:gridCol w:w="425"/>
        <w:gridCol w:w="1418"/>
        <w:gridCol w:w="425"/>
        <w:gridCol w:w="1391"/>
        <w:gridCol w:w="1276"/>
        <w:gridCol w:w="1276"/>
        <w:gridCol w:w="452"/>
        <w:gridCol w:w="1320"/>
        <w:gridCol w:w="1276"/>
        <w:gridCol w:w="1373"/>
      </w:tblGrid>
      <w:tr>
        <w:trPr>
          <w:trHeight w:val="416" w:hRule="exact"/>
        </w:trPr>
        <w:tc>
          <w:tcPr>
            <w:tcW w:w="255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39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73"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1,360,132,576.00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62,733,063.07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110,962,641.04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2,920,650.53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295,921,730.37</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1,221,218,864.80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926,354,977.29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3,980,244,503.10</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486,130,401.00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1,083,350,840.14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-110,962,641.04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2,417,410.46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-63,209,763.74</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-45,467,333.75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-687,278,343.94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664,980,569.13</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-111,002,227.27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525,875,568.17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305,718,944.93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720,592,285.83</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486,130,401.00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1,083,350,840.14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-63,209,763.74</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-544,140,250.40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-992,272,288.87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-30,141,061.87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486,130,401.00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1,102,591,246.90</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-988,396,681.19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600,324,966.71</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-19,240,406.76</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-63,209,763.74</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-544,140,250.40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-3,875,607.68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-630,466,028.58</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center"/>
              <w:rPr>
                <w:rFonts w:ascii="Times New Roman" w:hAnsi="Times New Roman" w:cs="Times New Roman" w:eastAsia="Times New Roman" w:hint="default"/>
                <w:sz w:val="18"/>
                <w:szCs w:val="18"/>
              </w:rPr>
            </w:pPr>
            <w:r>
              <w:rPr>
                <w:rFonts w:ascii="Times New Roman"/>
                <w:sz w:val="18"/>
              </w:rPr>
              <w:t>-27,202,651.52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-27,927,651.52</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center"/>
              <w:rPr>
                <w:rFonts w:ascii="Times New Roman" w:hAnsi="Times New Roman" w:cs="Times New Roman" w:eastAsia="Times New Roman" w:hint="default"/>
                <w:sz w:val="18"/>
                <w:szCs w:val="18"/>
              </w:rPr>
            </w:pPr>
            <w:r>
              <w:rPr>
                <w:rFonts w:ascii="Times New Roman"/>
                <w:sz w:val="18"/>
              </w:rPr>
              <w:t>-27,202,651.52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-27,927,651.52</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18" w:type="dxa"/>
            <w:tcBorders>
              <w:top w:val="single" w:sz="4" w:space="0" w:color="000000"/>
              <w:left w:val="single" w:sz="9" w:space="0" w:color="FFFFFF"/>
              <w:bottom w:val="single" w:sz="4" w:space="0" w:color="000000"/>
              <w:right w:val="single" w:sz="13" w:space="0" w:color="FFFFFF"/>
            </w:tcBorders>
          </w:tcPr>
          <w:p>
            <w:pPr/>
          </w:p>
        </w:tc>
        <w:tc>
          <w:tcPr>
            <w:tcW w:w="568" w:type="dxa"/>
            <w:tcBorders>
              <w:top w:val="single" w:sz="4" w:space="0" w:color="000000"/>
              <w:left w:val="single" w:sz="13" w:space="0" w:color="FFFFFF"/>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18" w:type="dxa"/>
            <w:tcBorders>
              <w:top w:val="single" w:sz="4" w:space="0" w:color="000000"/>
              <w:left w:val="single" w:sz="9" w:space="0" w:color="FFFFFF"/>
              <w:bottom w:val="single" w:sz="4" w:space="0" w:color="000000"/>
              <w:right w:val="single" w:sz="13" w:space="0" w:color="FFFFFF"/>
            </w:tcBorders>
          </w:tcPr>
          <w:p>
            <w:pPr/>
          </w:p>
        </w:tc>
        <w:tc>
          <w:tcPr>
            <w:tcW w:w="568" w:type="dxa"/>
            <w:tcBorders>
              <w:top w:val="single" w:sz="4" w:space="0" w:color="000000"/>
              <w:left w:val="single" w:sz="13" w:space="0" w:color="FFFFFF"/>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480" w:right="54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52"/>
        <w:gridCol w:w="1418"/>
        <w:gridCol w:w="568"/>
        <w:gridCol w:w="425"/>
        <w:gridCol w:w="425"/>
        <w:gridCol w:w="1418"/>
        <w:gridCol w:w="425"/>
        <w:gridCol w:w="1391"/>
        <w:gridCol w:w="1276"/>
        <w:gridCol w:w="1276"/>
        <w:gridCol w:w="452"/>
        <w:gridCol w:w="1320"/>
        <w:gridCol w:w="1276"/>
        <w:gridCol w:w="1373"/>
      </w:tblGrid>
      <w:tr>
        <w:trPr>
          <w:trHeight w:val="416" w:hRule="exact"/>
        </w:trPr>
        <w:tc>
          <w:tcPr>
            <w:tcW w:w="255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39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73"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2,417,410.46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2,417,410.46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6,450,690.31</w:t>
            </w: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6,450,690.31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4,033,279.85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4,033,279.85</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39,586.23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39,586.23</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1,846,262,977.00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1,146,083,903.21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5,338,060.99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232,711,966.63</w:t>
            </w:r>
          </w:p>
        </w:tc>
        <w:tc>
          <w:tcPr>
            <w:tcW w:w="4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1,175,751,531.05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239,076,633.35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4,645,225,072.23</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ind w:left="95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95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8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686"/>
        <w:gridCol w:w="1417"/>
        <w:gridCol w:w="426"/>
        <w:gridCol w:w="425"/>
        <w:gridCol w:w="426"/>
        <w:gridCol w:w="1700"/>
        <w:gridCol w:w="798"/>
        <w:gridCol w:w="797"/>
        <w:gridCol w:w="798"/>
        <w:gridCol w:w="1434"/>
        <w:gridCol w:w="1277"/>
        <w:gridCol w:w="1417"/>
      </w:tblGrid>
      <w:tr>
        <w:trPr>
          <w:trHeight w:val="402" w:hRule="exact"/>
        </w:trPr>
        <w:tc>
          <w:tcPr>
            <w:tcW w:w="3686" w:type="dxa"/>
            <w:vMerge w:val="restart"/>
            <w:tcBorders>
              <w:top w:val="single" w:sz="4" w:space="0" w:color="000000"/>
              <w:left w:val="single" w:sz="4" w:space="0" w:color="000000"/>
              <w:right w:val="single" w:sz="4" w:space="0" w:color="000000"/>
            </w:tcBorders>
            <w:shd w:val="clear" w:color="auto" w:fill="D3D3D3"/>
          </w:tcPr>
          <w:p>
            <w:pPr/>
          </w:p>
        </w:tc>
        <w:tc>
          <w:tcPr>
            <w:tcW w:w="1091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1" w:hRule="exact"/>
        </w:trPr>
        <w:tc>
          <w:tcPr>
            <w:tcW w:w="3686" w:type="dxa"/>
            <w:vMerge/>
            <w:tcBorders>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1" w:hRule="exact"/>
        </w:trPr>
        <w:tc>
          <w:tcPr>
            <w:tcW w:w="36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tcBorders>
              <w:left w:val="single" w:sz="4" w:space="0" w:color="000000"/>
              <w:right w:val="single" w:sz="4" w:space="0" w:color="000000"/>
            </w:tcBorders>
            <w:shd w:val="clear" w:color="auto" w:fill="D3D3D3"/>
          </w:tcPr>
          <w:p>
            <w:pPr/>
          </w:p>
        </w:tc>
        <w:tc>
          <w:tcPr>
            <w:tcW w:w="1277" w:type="dxa"/>
            <w:gridSpan w:val="3"/>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1434"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r>
      <w:tr>
        <w:trPr>
          <w:trHeight w:val="151" w:hRule="exact"/>
        </w:trPr>
        <w:tc>
          <w:tcPr>
            <w:tcW w:w="3686" w:type="dxa"/>
            <w:vMerge/>
            <w:tcBorders>
              <w:left w:val="single" w:sz="4" w:space="0" w:color="000000"/>
              <w:bottom w:val="nil" w:sz="6" w:space="0" w:color="auto"/>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4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1434"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r>
      <w:tr>
        <w:trPr>
          <w:trHeight w:val="563" w:hRule="exact"/>
        </w:trPr>
        <w:tc>
          <w:tcPr>
            <w:tcW w:w="3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426"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426" w:type="dxa"/>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1434"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1,846,262,977.00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2,659,924,256.07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179,105,945.47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366,299,739.14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5,051,592,917.68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1,846,262,977.00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2,659,924,256.07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179,105,945.47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366,299,739.14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5,051,592,917.68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1,490,944,937.95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475,620,098.17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2,157,847,045.93</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610,522,908.06</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1,490,944,937.95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1,621,174,656.95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1,710,300,145.40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1,840,529,864.40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480" w:right="54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686"/>
        <w:gridCol w:w="1417"/>
        <w:gridCol w:w="426"/>
        <w:gridCol w:w="425"/>
        <w:gridCol w:w="426"/>
        <w:gridCol w:w="1700"/>
        <w:gridCol w:w="798"/>
        <w:gridCol w:w="797"/>
        <w:gridCol w:w="798"/>
        <w:gridCol w:w="1434"/>
        <w:gridCol w:w="1277"/>
        <w:gridCol w:w="1417"/>
      </w:tblGrid>
      <w:tr>
        <w:trPr>
          <w:trHeight w:val="416" w:hRule="exact"/>
        </w:trPr>
        <w:tc>
          <w:tcPr>
            <w:tcW w:w="368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4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-219,355,207.45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-219,355,207.45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-134,902,809.89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-73,850,519.08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61,052,290.81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-61,052,290.81</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-73,850,519.08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-73,850,519.08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1,976,492,696.00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4,150,869,194.02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240,158,236.28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841,919,837.31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7,209,439,963.61</w:t>
            </w:r>
          </w:p>
        </w:tc>
      </w:tr>
    </w:tbl>
    <w:p>
      <w:pPr>
        <w:spacing w:before="51"/>
        <w:ind w:left="5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3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88"/>
        <w:gridCol w:w="1559"/>
        <w:gridCol w:w="665"/>
        <w:gridCol w:w="665"/>
        <w:gridCol w:w="514"/>
        <w:gridCol w:w="1406"/>
        <w:gridCol w:w="577"/>
        <w:gridCol w:w="709"/>
        <w:gridCol w:w="566"/>
        <w:gridCol w:w="1292"/>
        <w:gridCol w:w="1400"/>
        <w:gridCol w:w="1417"/>
      </w:tblGrid>
      <w:tr>
        <w:trPr>
          <w:trHeight w:val="402" w:hRule="exact"/>
        </w:trPr>
        <w:tc>
          <w:tcPr>
            <w:tcW w:w="3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7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9" w:hRule="exact"/>
        </w:trPr>
        <w:tc>
          <w:tcPr>
            <w:tcW w:w="36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3" w:right="22" w:hanging="81"/>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4" w:hRule="exact"/>
        </w:trPr>
        <w:tc>
          <w:tcPr>
            <w:tcW w:w="3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vMerge/>
            <w:tcBorders>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1292" w:type="dxa"/>
            <w:vMerge/>
            <w:tcBorders>
              <w:left w:val="single" w:sz="4" w:space="0" w:color="000000"/>
              <w:bottom w:val="single" w:sz="4" w:space="0" w:color="000000"/>
              <w:right w:val="single" w:sz="4" w:space="0" w:color="000000"/>
            </w:tcBorders>
            <w:shd w:val="clear" w:color="auto" w:fill="D3D3D3"/>
          </w:tcPr>
          <w:p>
            <w:pPr/>
          </w:p>
        </w:tc>
        <w:tc>
          <w:tcPr>
            <w:tcW w:w="140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5" w:right="0"/>
              <w:jc w:val="left"/>
              <w:rPr>
                <w:rFonts w:ascii="Times New Roman" w:hAnsi="Times New Roman" w:cs="Times New Roman" w:eastAsia="Times New Roman" w:hint="default"/>
                <w:sz w:val="18"/>
                <w:szCs w:val="18"/>
              </w:rPr>
            </w:pPr>
            <w:r>
              <w:rPr>
                <w:rFonts w:ascii="Times New Roman"/>
                <w:sz w:val="18"/>
              </w:rPr>
              <w:t>1,360,132,576.00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48,029,656.11</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209,052,749.26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3" w:right="0"/>
              <w:jc w:val="left"/>
              <w:rPr>
                <w:rFonts w:ascii="Times New Roman" w:hAnsi="Times New Roman" w:cs="Times New Roman" w:eastAsia="Times New Roman" w:hint="default"/>
                <w:sz w:val="18"/>
                <w:szCs w:val="18"/>
              </w:rPr>
            </w:pPr>
            <w:r>
              <w:rPr>
                <w:rFonts w:ascii="Times New Roman"/>
                <w:sz w:val="18"/>
              </w:rPr>
              <w:t>683,359,985.85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2,300,574,967.22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90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687"/>
        <w:gridCol w:w="1559"/>
        <w:gridCol w:w="665"/>
        <w:gridCol w:w="665"/>
        <w:gridCol w:w="514"/>
        <w:gridCol w:w="1406"/>
        <w:gridCol w:w="577"/>
        <w:gridCol w:w="709"/>
        <w:gridCol w:w="566"/>
        <w:gridCol w:w="1292"/>
        <w:gridCol w:w="1400"/>
        <w:gridCol w:w="1417"/>
      </w:tblGrid>
      <w:tr>
        <w:trPr>
          <w:trHeight w:val="416" w:hRule="exact"/>
        </w:trPr>
        <w:tc>
          <w:tcPr>
            <w:tcW w:w="3687"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1406"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92" w:type="dxa"/>
            <w:tcBorders>
              <w:top w:val="single" w:sz="15" w:space="0" w:color="000000"/>
              <w:left w:val="single" w:sz="4" w:space="0" w:color="000000"/>
              <w:bottom w:val="single" w:sz="4" w:space="0" w:color="000000"/>
              <w:right w:val="single" w:sz="4" w:space="0" w:color="000000"/>
            </w:tcBorders>
          </w:tcPr>
          <w:p>
            <w:pPr/>
          </w:p>
        </w:tc>
        <w:tc>
          <w:tcPr>
            <w:tcW w:w="1400"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1,360,132,576.00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48,029,656.11</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209,052,749.26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683,359,985.85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2,300,574,967.22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486,130,401.00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2,611,894,599.96</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-29,946,803.79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-317,060,246.71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2,751,017,950.46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-20,336,361.08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-20,336,361.08</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486,130,401.00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2,611,894,599.96</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-29,946,803.79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-269,521,234.11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2,798,556,963.06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486,130,401.00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2,611,894,599.96</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3,098,025,000.96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-29,946,803.79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-269,521,234.11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-299,468,037.90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-27,202,651.52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-27,202,651.52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-27,202,651.52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-27,202,651.52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687"/>
        <w:gridCol w:w="1559"/>
        <w:gridCol w:w="665"/>
        <w:gridCol w:w="665"/>
        <w:gridCol w:w="514"/>
        <w:gridCol w:w="1406"/>
        <w:gridCol w:w="577"/>
        <w:gridCol w:w="709"/>
        <w:gridCol w:w="566"/>
        <w:gridCol w:w="1292"/>
        <w:gridCol w:w="1400"/>
        <w:gridCol w:w="1417"/>
      </w:tblGrid>
      <w:tr>
        <w:trPr>
          <w:trHeight w:val="416" w:hRule="exact"/>
        </w:trPr>
        <w:tc>
          <w:tcPr>
            <w:tcW w:w="3687"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1406"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92" w:type="dxa"/>
            <w:tcBorders>
              <w:top w:val="single" w:sz="15" w:space="0" w:color="000000"/>
              <w:left w:val="single" w:sz="4" w:space="0" w:color="000000"/>
              <w:bottom w:val="single" w:sz="4" w:space="0" w:color="000000"/>
              <w:right w:val="single" w:sz="4" w:space="0" w:color="000000"/>
            </w:tcBorders>
          </w:tcPr>
          <w:p>
            <w:pPr/>
          </w:p>
        </w:tc>
        <w:tc>
          <w:tcPr>
            <w:tcW w:w="1400"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1,846,262,977.00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2,659,924,256.07</w:t>
            </w:r>
          </w:p>
        </w:tc>
        <w:tc>
          <w:tcPr>
            <w:tcW w:w="5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179,105,945.47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366,299,739.14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5,051,592,917.68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900" w:right="12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4"/>
        <w:spacing w:line="240" w:lineRule="auto"/>
        <w:ind w:right="94"/>
        <w:jc w:val="left"/>
        <w:rPr>
          <w:b w:val="0"/>
          <w:bCs w:val="0"/>
        </w:rPr>
      </w:pPr>
      <w:r>
        <w:rPr/>
        <w:t>三、公司基本情况</w:t>
      </w:r>
      <w:r>
        <w:rPr>
          <w:b w:val="0"/>
          <w:bCs w:val="0"/>
        </w:rPr>
      </w:r>
    </w:p>
    <w:p>
      <w:pPr>
        <w:spacing w:line="240" w:lineRule="auto" w:before="10"/>
        <w:rPr>
          <w:rFonts w:ascii="宋体" w:hAnsi="宋体" w:cs="宋体" w:eastAsia="宋体" w:hint="default"/>
          <w:b/>
          <w:bCs/>
          <w:sz w:val="28"/>
          <w:szCs w:val="28"/>
        </w:rPr>
      </w:pPr>
    </w:p>
    <w:p>
      <w:pPr>
        <w:pStyle w:val="Heading5"/>
        <w:spacing w:line="304" w:lineRule="auto" w:before="0"/>
        <w:ind w:right="215" w:firstLine="484"/>
        <w:jc w:val="both"/>
      </w:pPr>
      <w:r>
        <w:rPr/>
        <w:t>华闻传媒投资集团股份有限公司（以下简称“本公司”或“公司”），原名“华闻传媒</w:t>
      </w:r>
      <w:r>
        <w:rPr>
          <w:spacing w:val="1"/>
        </w:rPr>
        <w:t> </w:t>
      </w:r>
      <w:r>
        <w:rPr/>
        <w:t>投资股份有限公司”、“海南民生燃气（集团）股份有限公司”、“海口管道燃气股份有限</w:t>
      </w:r>
      <w:r>
        <w:rPr>
          <w:spacing w:val="-83"/>
        </w:rPr>
        <w:t> </w:t>
      </w:r>
      <w:r>
        <w:rPr>
          <w:spacing w:val="-83"/>
        </w:rPr>
      </w:r>
      <w:r>
        <w:rPr/>
        <w:t>公司”，前身是海南石化煤气公司。本公司是于1992年经海南省股份制试点领导小组办公室</w:t>
      </w:r>
      <w:r>
        <w:rPr>
          <w:spacing w:val="-102"/>
        </w:rPr>
        <w:t> </w:t>
      </w:r>
      <w:r>
        <w:rPr>
          <w:spacing w:val="-102"/>
        </w:rPr>
      </w:r>
      <w:r>
        <w:rPr>
          <w:spacing w:val="12"/>
        </w:rPr>
        <w:t>琼股办字（1992）27号文批准，以定向募集方式设立的股份公司，设立时的注册资本为</w:t>
      </w:r>
      <w:r>
        <w:rPr>
          <w:spacing w:val="-95"/>
        </w:rPr>
        <w:t> </w:t>
      </w:r>
      <w:r>
        <w:rPr>
          <w:spacing w:val="-95"/>
        </w:rPr>
      </w:r>
      <w:r>
        <w:rPr/>
        <w:t>36,674,257.00元，1993年7月经海南省股份制试点领导小组办公室批准，本公司进行了增资</w:t>
      </w:r>
      <w:r>
        <w:rPr>
          <w:spacing w:val="-87"/>
        </w:rPr>
        <w:t> </w:t>
      </w:r>
      <w:r>
        <w:rPr>
          <w:spacing w:val="-87"/>
        </w:rPr>
      </w:r>
      <w:r>
        <w:rPr>
          <w:spacing w:val="-2"/>
        </w:rPr>
        <w:t>扩股，注册资本增加至154,010,257.00元。1997年4月经海南省证管办批准，本公司以1：0.5</w:t>
      </w:r>
      <w:r>
        <w:rPr>
          <w:spacing w:val="-100"/>
        </w:rPr>
        <w:t> </w:t>
      </w:r>
      <w:r>
        <w:rPr>
          <w:spacing w:val="-100"/>
        </w:rPr>
      </w:r>
      <w:r>
        <w:rPr>
          <w:spacing w:val="-2"/>
        </w:rPr>
        <w:t>的比例进行了缩股。1997年7月，经中国证监会批准，本公司向社会公开发行5,000万股A股股</w:t>
      </w:r>
      <w:r>
        <w:rPr>
          <w:spacing w:val="-112"/>
        </w:rPr>
        <w:t> </w:t>
      </w:r>
      <w:r>
        <w:rPr>
          <w:spacing w:val="-112"/>
        </w:rPr>
      </w:r>
      <w:r>
        <w:rPr>
          <w:spacing w:val="-2"/>
        </w:rPr>
        <w:t>票，并于7月29日在深圳证券交易所上市。首次公开发行后注册资本为127,005,129.00元。本</w:t>
      </w:r>
      <w:r>
        <w:rPr>
          <w:spacing w:val="-106"/>
        </w:rPr>
        <w:t> </w:t>
      </w:r>
      <w:r>
        <w:rPr>
          <w:spacing w:val="-106"/>
        </w:rPr>
      </w:r>
      <w:r>
        <w:rPr>
          <w:spacing w:val="-2"/>
        </w:rPr>
        <w:t>公司由海南省工商行政管理局颁发法人营业执照，注册号：460000000090645，法定代表人为</w:t>
      </w:r>
      <w:r>
        <w:rPr>
          <w:spacing w:val="-108"/>
        </w:rPr>
        <w:t> </w:t>
      </w:r>
      <w:r>
        <w:rPr>
          <w:spacing w:val="-108"/>
        </w:rPr>
      </w:r>
      <w:r>
        <w:rPr/>
        <w:t>温子健。</w:t>
      </w:r>
    </w:p>
    <w:p>
      <w:pPr>
        <w:pStyle w:val="Heading5"/>
        <w:spacing w:line="307" w:lineRule="auto"/>
        <w:ind w:right="94" w:firstLine="484"/>
        <w:jc w:val="left"/>
      </w:pPr>
      <w:r>
        <w:rPr/>
        <w:t>1998年6月，经本公司第六次股东大会决议通过，以1997年度末总股本127,005,129股为 </w:t>
      </w:r>
      <w:r>
        <w:rPr>
          <w:spacing w:val="-2"/>
        </w:rPr>
        <w:t>基数，每10股送2股红股，同时用资本公积转增8股，转送股后注册资本为254,010,258.00元。</w:t>
      </w:r>
    </w:p>
    <w:p>
      <w:pPr>
        <w:pStyle w:val="Heading5"/>
        <w:spacing w:line="240" w:lineRule="auto" w:before="18"/>
        <w:ind w:left="638" w:right="94"/>
        <w:jc w:val="left"/>
      </w:pPr>
      <w:r>
        <w:rPr>
          <w:spacing w:val="3"/>
        </w:rPr>
        <w:t>2000年4月，经中国证券监督委员会证监公司字〔2000〕17号文核准，本公司以总股本</w:t>
      </w:r>
      <w:r>
        <w:rPr/>
      </w:r>
    </w:p>
    <w:p>
      <w:pPr>
        <w:pStyle w:val="Heading5"/>
        <w:spacing w:line="240" w:lineRule="auto" w:before="85"/>
        <w:ind w:right="94"/>
        <w:jc w:val="left"/>
      </w:pPr>
      <w:r>
        <w:rPr>
          <w:spacing w:val="11"/>
        </w:rPr>
        <w:t>254,010,258股为基数，按</w:t>
      </w:r>
      <w:r>
        <w:rPr>
          <w:spacing w:val="-71"/>
        </w:rPr>
        <w:t> </w:t>
      </w:r>
      <w:r>
        <w:rPr>
          <w:spacing w:val="22"/>
        </w:rPr>
        <w:t>10:3的比例配股，共配售</w:t>
      </w:r>
      <w:r>
        <w:rPr>
          <w:spacing w:val="-71"/>
        </w:rPr>
        <w:t> </w:t>
      </w:r>
      <w:r>
        <w:rPr>
          <w:spacing w:val="15"/>
        </w:rPr>
        <w:t>37,401,255股，注册资本变更为</w:t>
      </w:r>
      <w:r>
        <w:rPr>
          <w:spacing w:val="-87"/>
        </w:rPr>
        <w:t> </w:t>
      </w:r>
      <w:r>
        <w:rPr/>
      </w:r>
    </w:p>
    <w:p>
      <w:pPr>
        <w:pStyle w:val="Heading5"/>
        <w:spacing w:line="240" w:lineRule="auto" w:before="86"/>
        <w:ind w:right="94"/>
        <w:jc w:val="left"/>
      </w:pPr>
      <w:r>
        <w:rPr/>
        <w:t>291,411,513.00元。</w:t>
      </w:r>
    </w:p>
    <w:p>
      <w:pPr>
        <w:pStyle w:val="Heading5"/>
        <w:spacing w:line="240" w:lineRule="auto" w:before="85"/>
        <w:ind w:left="638" w:right="94"/>
        <w:jc w:val="left"/>
      </w:pPr>
      <w:r>
        <w:rPr/>
        <w:t>2003年10月，经中国证券监督委员会证监发行字〔2003〕110号文核准，本公司以总股本</w:t>
      </w:r>
    </w:p>
    <w:p>
      <w:pPr>
        <w:pStyle w:val="Heading5"/>
        <w:spacing w:line="240" w:lineRule="auto" w:before="85"/>
        <w:ind w:right="94"/>
        <w:jc w:val="left"/>
      </w:pPr>
      <w:r>
        <w:rPr>
          <w:spacing w:val="11"/>
        </w:rPr>
        <w:t>291,411,513股为基数，按</w:t>
      </w:r>
      <w:r>
        <w:rPr>
          <w:spacing w:val="-71"/>
        </w:rPr>
        <w:t> </w:t>
      </w:r>
      <w:r>
        <w:rPr>
          <w:spacing w:val="22"/>
        </w:rPr>
        <w:t>10:3的比例配股，共配售</w:t>
      </w:r>
      <w:r>
        <w:rPr>
          <w:spacing w:val="-71"/>
        </w:rPr>
        <w:t> </w:t>
      </w:r>
      <w:r>
        <w:rPr>
          <w:spacing w:val="15"/>
        </w:rPr>
        <w:t>48,621,631股，注册资本变更为</w:t>
      </w:r>
      <w:r>
        <w:rPr>
          <w:spacing w:val="-87"/>
        </w:rPr>
        <w:t> </w:t>
      </w:r>
      <w:r>
        <w:rPr/>
      </w:r>
    </w:p>
    <w:p>
      <w:pPr>
        <w:pStyle w:val="Heading5"/>
        <w:spacing w:line="240" w:lineRule="auto" w:before="86"/>
        <w:ind w:right="94"/>
        <w:jc w:val="left"/>
      </w:pPr>
      <w:r>
        <w:rPr/>
        <w:t>340,033,144.00元。</w:t>
      </w:r>
    </w:p>
    <w:p>
      <w:pPr>
        <w:pStyle w:val="Heading5"/>
        <w:spacing w:line="304" w:lineRule="auto" w:before="85"/>
        <w:ind w:right="231" w:firstLine="484"/>
        <w:jc w:val="both"/>
      </w:pPr>
      <w:r>
        <w:rPr>
          <w:spacing w:val="-2"/>
        </w:rPr>
        <w:t>2004年4月，经本公司2004年4月8日召开的2003年度股东大会决议通过，以2003年12月31</w:t>
      </w:r>
      <w:r>
        <w:rPr/>
        <w:t> </w:t>
      </w:r>
      <w:r>
        <w:rPr>
          <w:spacing w:val="-2"/>
        </w:rPr>
        <w:t>日总股本340,033,144股为基数，每10股送2股红股，同时用资本公积转增8股。转增后注册资</w:t>
      </w:r>
      <w:r>
        <w:rPr>
          <w:spacing w:val="-108"/>
        </w:rPr>
        <w:t> </w:t>
      </w:r>
      <w:r>
        <w:rPr>
          <w:spacing w:val="-108"/>
        </w:rPr>
      </w:r>
      <w:r>
        <w:rPr/>
        <w:t>本变更为680,066,288.00元。</w:t>
      </w:r>
    </w:p>
    <w:p>
      <w:pPr>
        <w:pStyle w:val="Heading5"/>
        <w:spacing w:line="240" w:lineRule="auto"/>
        <w:ind w:left="638" w:right="94"/>
        <w:jc w:val="left"/>
      </w:pPr>
      <w:r>
        <w:rPr/>
        <w:t>2005年3月，经本公司2005年2月22日召开的2004年度股东大会决议通过，以2004年12月</w:t>
      </w:r>
    </w:p>
    <w:p>
      <w:pPr>
        <w:pStyle w:val="Heading5"/>
        <w:spacing w:line="307" w:lineRule="auto" w:before="85"/>
        <w:ind w:right="229"/>
        <w:jc w:val="left"/>
      </w:pPr>
      <w:r>
        <w:rPr>
          <w:spacing w:val="-2"/>
        </w:rPr>
        <w:t>31日总股本680,066,288股为基数，每10股送1股红股，同时用资本公积转增9股。转增后注册</w:t>
      </w:r>
      <w:r>
        <w:rPr>
          <w:spacing w:val="-106"/>
        </w:rPr>
        <w:t> </w:t>
      </w:r>
      <w:r>
        <w:rPr>
          <w:spacing w:val="-106"/>
        </w:rPr>
      </w:r>
      <w:r>
        <w:rPr/>
        <w:t>资本变更为1,360,132,576.00元。</w:t>
      </w:r>
    </w:p>
    <w:p>
      <w:pPr>
        <w:pStyle w:val="Heading5"/>
        <w:spacing w:line="304" w:lineRule="auto" w:before="18"/>
        <w:ind w:right="231" w:firstLine="484"/>
        <w:jc w:val="both"/>
      </w:pPr>
      <w:r>
        <w:rPr>
          <w:spacing w:val="-2"/>
        </w:rPr>
        <w:t>2006年11月1日，经本公司2006年第四次临时股东大会决议通过，将公司名称由“海南民</w:t>
      </w:r>
      <w:r>
        <w:rPr/>
        <w:t> 生燃气（集团）股份有限公司”变更为“华闻传媒投资股份有限公司”。</w:t>
      </w:r>
    </w:p>
    <w:p>
      <w:pPr>
        <w:pStyle w:val="Heading5"/>
        <w:spacing w:line="304" w:lineRule="auto" w:before="22"/>
        <w:ind w:right="231" w:firstLine="484"/>
        <w:jc w:val="both"/>
      </w:pPr>
      <w:r>
        <w:rPr>
          <w:spacing w:val="-2"/>
        </w:rPr>
        <w:t>2008年2月20日，经本公司2008年第一次临时股东大会决议通过，将公司名称由“华闻传</w:t>
      </w:r>
      <w:r>
        <w:rPr/>
        <w:t> 媒投资股份有限公司”变更为“华闻传媒投资集团股份有限公司”。</w:t>
      </w:r>
    </w:p>
    <w:p>
      <w:pPr>
        <w:pStyle w:val="Heading5"/>
        <w:spacing w:line="304" w:lineRule="auto"/>
        <w:ind w:right="227" w:firstLine="484"/>
        <w:jc w:val="both"/>
      </w:pPr>
      <w:r>
        <w:rPr/>
        <w:t>2013年12月，经中国证券监督管理委员会《关于核准华闻传媒投资集团股份有限公司向</w:t>
      </w:r>
      <w:r>
        <w:rPr>
          <w:spacing w:val="1"/>
        </w:rPr>
        <w:t> </w:t>
      </w:r>
      <w:r>
        <w:rPr/>
        <w:t>陕西华路新型塑料建材有限公司等发行股份购买资产的批复》</w:t>
      </w:r>
      <w:r>
        <w:rPr>
          <w:spacing w:val="-79"/>
        </w:rPr>
        <w:t> </w:t>
      </w:r>
      <w:r>
        <w:rPr/>
        <w:t>（证监许可[2013]1467号）核</w:t>
      </w:r>
      <w:r>
        <w:rPr/>
        <w:t> </w:t>
      </w:r>
      <w:r>
        <w:rPr>
          <w:spacing w:val="-5"/>
        </w:rPr>
        <w:t>准，本公司分别向陕西华路新型塑料建材有限公司（以下简称“华路建材”）发行76,678,241</w:t>
      </w:r>
      <w:r>
        <w:rPr>
          <w:spacing w:val="-94"/>
        </w:rPr>
        <w:t> </w:t>
      </w:r>
      <w:r>
        <w:rPr>
          <w:spacing w:val="-94"/>
        </w:rPr>
      </w:r>
      <w:r>
        <w:rPr/>
        <w:t>股、上海常喜投资有限公司发行60,763,889股、上海大黎资产管理有限公司发行86,805,555</w:t>
      </w:r>
    </w:p>
    <w:p>
      <w:pPr>
        <w:spacing w:after="0" w:line="304" w:lineRule="auto"/>
        <w:jc w:val="both"/>
        <w:sectPr>
          <w:headerReference w:type="default" r:id="rId39"/>
          <w:footerReference w:type="default" r:id="rId40"/>
          <w:pgSz w:w="11910" w:h="16840"/>
          <w:pgMar w:header="877" w:footer="982" w:top="1100" w:bottom="1180" w:left="980" w:right="900"/>
          <w:pgNumType w:start="113"/>
        </w:sectPr>
      </w:pPr>
    </w:p>
    <w:p>
      <w:pPr>
        <w:spacing w:line="240" w:lineRule="auto" w:before="7"/>
        <w:rPr>
          <w:rFonts w:ascii="宋体" w:hAnsi="宋体" w:cs="宋体" w:eastAsia="宋体" w:hint="default"/>
          <w:sz w:val="25"/>
          <w:szCs w:val="25"/>
        </w:rPr>
      </w:pPr>
    </w:p>
    <w:p>
      <w:pPr>
        <w:pStyle w:val="Heading5"/>
        <w:spacing w:line="304" w:lineRule="auto" w:before="26"/>
        <w:ind w:right="228"/>
        <w:jc w:val="both"/>
      </w:pPr>
      <w:r>
        <w:rPr/>
        <w:t>股、新疆锐盈股权投资合伙企业（有限合伙）（原名“西安锐盈企业管理咨询有限公司”）</w:t>
      </w:r>
      <w:r>
        <w:rPr>
          <w:spacing w:val="-83"/>
        </w:rPr>
        <w:t> </w:t>
      </w:r>
      <w:r>
        <w:rPr>
          <w:spacing w:val="-83"/>
        </w:rPr>
      </w:r>
      <w:r>
        <w:rPr>
          <w:spacing w:val="-2"/>
        </w:rPr>
        <w:t>发行154,166,667股、拉萨澄怀管理咨询有限公司（以下简称“拉萨澄怀”）发行21,543,210</w:t>
      </w:r>
      <w:r>
        <w:rPr>
          <w:spacing w:val="-102"/>
        </w:rPr>
        <w:t> </w:t>
      </w:r>
      <w:r>
        <w:rPr>
          <w:spacing w:val="-102"/>
        </w:rPr>
      </w:r>
      <w:r>
        <w:rPr/>
        <w:t>股、拉萨观道管理咨询有限公司（以下简称“拉萨观道”）发行33,391,975股、天津大振资</w:t>
      </w:r>
      <w:r>
        <w:rPr>
          <w:spacing w:val="-90"/>
        </w:rPr>
        <w:t> </w:t>
      </w:r>
      <w:r>
        <w:rPr>
          <w:spacing w:val="-90"/>
        </w:rPr>
      </w:r>
      <w:r>
        <w:rPr>
          <w:spacing w:val="-2"/>
        </w:rPr>
        <w:t>产管理有限公司发行52,780,864股，本次合计发行486,130,401股，每股面值为1.00元，每股</w:t>
      </w:r>
      <w:r>
        <w:rPr>
          <w:spacing w:val="-98"/>
        </w:rPr>
        <w:t> </w:t>
      </w:r>
      <w:r>
        <w:rPr>
          <w:spacing w:val="-98"/>
        </w:rPr>
      </w:r>
      <w:r>
        <w:rPr/>
        <w:t>发行价格为6.48元，注册资本变更为 1,846,262,977.00 元。</w:t>
      </w:r>
    </w:p>
    <w:p>
      <w:pPr>
        <w:pStyle w:val="Heading5"/>
        <w:spacing w:line="304" w:lineRule="auto" w:before="22"/>
        <w:ind w:left="154" w:right="231" w:firstLine="484"/>
        <w:jc w:val="both"/>
      </w:pPr>
      <w:r>
        <w:rPr/>
        <w:t>2014年7月，经本公司2014年4月25日召开的2013年度股东大会决议通过关于重大资产重 组相关资产 2013</w:t>
      </w:r>
      <w:r>
        <w:rPr>
          <w:spacing w:val="28"/>
        </w:rPr>
        <w:t> </w:t>
      </w:r>
      <w:r>
        <w:rPr>
          <w:spacing w:val="-3"/>
        </w:rPr>
        <w:t>年度业绩承诺股份补偿实施方案的议案，公司无偿回购股份4,531,236股并</w:t>
      </w:r>
      <w:r>
        <w:rPr/>
        <w:t> 予以注销，共计人民币4,531,236.00元，公司申请减少注册资本人民币4,531,236.00元，注 册资本变更为人民币1,841,731,741.00元。</w:t>
      </w:r>
    </w:p>
    <w:p>
      <w:pPr>
        <w:pStyle w:val="Heading5"/>
        <w:spacing w:line="304" w:lineRule="auto"/>
        <w:ind w:left="154" w:right="206" w:firstLine="484"/>
        <w:jc w:val="right"/>
      </w:pPr>
      <w:r>
        <w:rPr/>
        <w:t>2014年11月，经中国证券监督管理委员会《关于核准华闻传媒投资集团股份有限公司向</w:t>
      </w:r>
      <w:r>
        <w:rPr>
          <w:spacing w:val="1"/>
        </w:rPr>
        <w:t> </w:t>
      </w:r>
      <w:r>
        <w:rPr/>
        <w:t>西藏风网科技有限公司等发行股份购买资产并募集配套资金的批复》</w:t>
      </w:r>
      <w:r>
        <w:rPr>
          <w:spacing w:val="-82"/>
        </w:rPr>
        <w:t> </w:t>
      </w:r>
      <w:r>
        <w:rPr/>
        <w:t>（证监许可[2014]1077</w:t>
      </w:r>
      <w:r>
        <w:rPr/>
        <w:t> 号）核准，本公司分别向西藏风网科技有限公司（以下简称“西藏风网”）发行59,144,736 股、德清精视投资发展有限公司（原名“上海精视投资发展有限公司，“以下简称“精视投</w:t>
      </w:r>
      <w:r>
        <w:rPr>
          <w:spacing w:val="-115"/>
        </w:rPr>
        <w:t> </w:t>
      </w:r>
      <w:r>
        <w:rPr>
          <w:spacing w:val="-115"/>
        </w:rPr>
      </w:r>
      <w:r>
        <w:rPr/>
        <w:t>资”）发行13,039,049股、上海莫昂投资合伙企业（有限合伙）（以下简称“莫昂投资”）</w:t>
      </w:r>
      <w:r>
        <w:rPr/>
        <w:t> </w:t>
      </w:r>
      <w:r>
        <w:rPr>
          <w:spacing w:val="12"/>
        </w:rPr>
        <w:t>发行</w:t>
      </w:r>
      <w:r>
        <w:rPr>
          <w:spacing w:val="-93"/>
        </w:rPr>
        <w:t> </w:t>
      </w:r>
      <w:r>
        <w:rPr/>
        <w:t>5,908,319</w:t>
      </w:r>
      <w:r>
        <w:rPr>
          <w:spacing w:val="-93"/>
        </w:rPr>
        <w:t> </w:t>
      </w:r>
      <w:r>
        <w:rPr>
          <w:spacing w:val="12"/>
        </w:rPr>
        <w:t>股、</w:t>
      </w:r>
      <w:r>
        <w:rPr>
          <w:spacing w:val="-92"/>
        </w:rPr>
        <w:t> </w:t>
      </w:r>
      <w:r>
        <w:rPr>
          <w:spacing w:val="20"/>
        </w:rPr>
        <w:t>程顺玲发行</w:t>
      </w:r>
      <w:r>
        <w:rPr>
          <w:spacing w:val="-93"/>
        </w:rPr>
        <w:t> </w:t>
      </w:r>
      <w:r>
        <w:rPr>
          <w:spacing w:val="10"/>
        </w:rPr>
        <w:t>20,751,789股、李菊莲发行</w:t>
      </w:r>
      <w:r>
        <w:rPr>
          <w:spacing w:val="-93"/>
        </w:rPr>
        <w:t> </w:t>
      </w:r>
      <w:r>
        <w:rPr>
          <w:spacing w:val="10"/>
        </w:rPr>
        <w:t>14,436,421股、曾子帆发行</w:t>
      </w:r>
      <w:r>
        <w:rPr>
          <w:spacing w:val="-95"/>
        </w:rPr>
        <w:t> </w:t>
      </w:r>
      <w:r>
        <w:rPr>
          <w:spacing w:val="-2"/>
        </w:rPr>
        <w:t>2,706,526股、金城发行11,348,684股、长沙传怡合盛股权投资合伙企业（有限合伙）（以下</w:t>
      </w:r>
      <w:r>
        <w:rPr/>
        <w:t> </w:t>
      </w:r>
      <w:r>
        <w:rPr>
          <w:spacing w:val="-2"/>
        </w:rPr>
        <w:t>简称“长沙传怡”）发行2,691,885股、湖南富坤文化传媒投资中心（有限合伙）（以下简称</w:t>
      </w:r>
      <w:r>
        <w:rPr/>
        <w:t> </w:t>
      </w:r>
      <w:r>
        <w:rPr>
          <w:spacing w:val="-2"/>
        </w:rPr>
        <w:t>“湖南富坤”）发行1,096,491股、北京中技富坤创业投资中心（有限合伙）（以下简称“北</w:t>
      </w:r>
      <w:r>
        <w:rPr/>
        <w:t> </w:t>
      </w:r>
      <w:r>
        <w:rPr>
          <w:spacing w:val="-2"/>
        </w:rPr>
        <w:t>京中技”）发行1,096,491股、广东粤文投一号文化产业投资合伙企业（有限合伙）（以下简</w:t>
      </w:r>
      <w:r>
        <w:rPr/>
        <w:t> </w:t>
      </w:r>
      <w:r>
        <w:rPr>
          <w:spacing w:val="-8"/>
        </w:rPr>
        <w:t>称“广东粤文投”）发行1,096,491股、广州漫时代投资管理中心（有限合伙）（以下简称“广</w:t>
      </w:r>
      <w:r>
        <w:rPr>
          <w:spacing w:val="-112"/>
        </w:rPr>
        <w:t> </w:t>
      </w:r>
      <w:r>
        <w:rPr>
          <w:spacing w:val="-112"/>
        </w:rPr>
      </w:r>
      <w:r>
        <w:rPr/>
        <w:t>州漫时代”）发行375,000股、俞涌发行230,263股、邵璐璐发行98,684股、刘洋发行78,947 股、张显峰发行78,947股、张茜发行78,947股、朱斌发行78,947股、崔伟良发行49,342股、 施桂贤发行49,342股、许勇和发行49,342股、曹凌玲发行49,342股、赖春晖发行49,342股、 邵洪涛发行29,605股、祖雅乐发行29,605股、邱月仙发行29,605股、葛重葳发行29,605股、 </w:t>
      </w:r>
      <w:r>
        <w:rPr>
          <w:spacing w:val="2"/>
        </w:rPr>
        <w:t>韩露发行19,736股、丁冰发行19,736股、李凌彪发行19,736股。本次合计发行134,760,955</w:t>
      </w:r>
      <w:r>
        <w:rPr/>
        <w:t> 股，每股面值为1.00元，每股发行价格为13.68元，注册资本变更为 1,976,492,696.00元。 截至2014年12月31日止，本公司累计发行股本总数1,976,492,696.00股，公司注册资本</w:t>
      </w:r>
      <w:r>
        <w:rPr>
          <w:spacing w:val="1"/>
        </w:rPr>
        <w:t> </w:t>
      </w:r>
      <w:r>
        <w:rPr/>
        <w:t>为1,976,492,696.00元，经营范围为：传播与文化产业的投资、开发、管理及咨询服务；信</w:t>
      </w:r>
      <w:r>
        <w:rPr>
          <w:spacing w:val="1"/>
        </w:rPr>
        <w:t> </w:t>
      </w:r>
      <w:r>
        <w:rPr/>
        <w:t>息集成、多媒体内容制作与经营；广告策划、制作和经营；多媒体技术开发与投资；电子商</w:t>
      </w:r>
      <w:r>
        <w:rPr>
          <w:spacing w:val="-115"/>
        </w:rPr>
        <w:t> </w:t>
      </w:r>
      <w:r>
        <w:rPr>
          <w:spacing w:val="-115"/>
        </w:rPr>
      </w:r>
      <w:r>
        <w:rPr/>
        <w:t>务；燃气开发、经营、管理及燃气设备销售；高科技风险投资；贸易及贸易代理（凡需行政</w:t>
      </w:r>
    </w:p>
    <w:p>
      <w:pPr>
        <w:pStyle w:val="Heading5"/>
        <w:spacing w:line="304" w:lineRule="auto"/>
        <w:ind w:left="638" w:right="94" w:hanging="485"/>
        <w:jc w:val="left"/>
      </w:pPr>
      <w:r>
        <w:rPr/>
        <w:t>许可的项目凭许可证经营）。 本公司的母公司为国广环球资产管理有限公司（以下简称“国广资产”，原名为上海渝</w:t>
      </w:r>
    </w:p>
    <w:p>
      <w:pPr>
        <w:pStyle w:val="Heading5"/>
        <w:spacing w:line="304" w:lineRule="auto" w:before="22"/>
        <w:ind w:left="154" w:right="106"/>
        <w:jc w:val="left"/>
      </w:pPr>
      <w:r>
        <w:rPr>
          <w:spacing w:val="-8"/>
        </w:rPr>
        <w:t>富资产管理有限公司），实际控制人为国广环球传媒控股有限公司（以下简称“国广控股”）；</w:t>
      </w:r>
      <w:r>
        <w:rPr>
          <w:spacing w:val="-108"/>
        </w:rPr>
        <w:t> </w:t>
      </w:r>
      <w:r>
        <w:rPr>
          <w:spacing w:val="-108"/>
        </w:rPr>
      </w:r>
      <w:r>
        <w:rPr/>
        <w:t>最终控制人为中国国际广播电台和无锡市滨湖区区有资产管理委员会。</w:t>
      </w:r>
    </w:p>
    <w:p>
      <w:pPr>
        <w:spacing w:after="0" w:line="304" w:lineRule="auto"/>
        <w:jc w:val="left"/>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5"/>
        <w:spacing w:line="304" w:lineRule="auto" w:before="26"/>
        <w:ind w:right="0" w:firstLine="484"/>
        <w:jc w:val="left"/>
      </w:pPr>
      <w:r>
        <w:rPr/>
        <w:t>公司注册地：海南省海口市海甸四东路民生大厦，总部办公地：海南省海口市海甸四东</w:t>
      </w:r>
      <w:r>
        <w:rPr>
          <w:spacing w:val="1"/>
        </w:rPr>
        <w:t> </w:t>
      </w:r>
      <w:r>
        <w:rPr/>
        <w:t>路民生大厦。</w:t>
      </w:r>
    </w:p>
    <w:p>
      <w:pPr>
        <w:pStyle w:val="BodyText"/>
        <w:spacing w:line="240" w:lineRule="auto" w:before="57"/>
        <w:ind w:left="871" w:right="0"/>
        <w:jc w:val="left"/>
      </w:pPr>
      <w:r>
        <w:rPr/>
        <w:t>截至2014年12月31日止，本公司合并财务报表范围内子公司如下：</w:t>
      </w:r>
    </w:p>
    <w:p>
      <w:pPr>
        <w:spacing w:line="240" w:lineRule="auto" w:before="10"/>
        <w:rPr>
          <w:rFonts w:ascii="宋体" w:hAnsi="宋体" w:cs="宋体" w:eastAsia="宋体" w:hint="default"/>
          <w:sz w:val="3"/>
          <w:szCs w:val="3"/>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57" w:hRule="exact"/>
        </w:trPr>
        <w:tc>
          <w:tcPr>
            <w:tcW w:w="7675" w:type="dxa"/>
            <w:tcBorders>
              <w:top w:val="single" w:sz="12" w:space="0" w:color="000000"/>
              <w:left w:val="single" w:sz="12" w:space="0" w:color="000000"/>
              <w:bottom w:val="single" w:sz="12" w:space="0" w:color="000000"/>
              <w:right w:val="single" w:sz="12"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67"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海南民享投资有限公司（以下简称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民享投资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民生燃气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上海鸿立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丰泽投资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华闻传媒（香港）有限公司（以下简称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华闻香港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海南生龙广告有限公司（以下简称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生龙广告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民生工程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管网公司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民享商务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海南燃气用具产品质量监督检测站（以下简称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质检站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民益工程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万宁民生燃气有限公司（以下简称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万宁民生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陵水民生燃气有限公司（以下简称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陵水燃气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中油管道文昌石化有限公司（以下简称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文昌石化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海南民生公用管道检验有限公司（以下简称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民生公用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海南民生商贸有限公司（以下简称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民生商贸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北京华商通达文化传媒有限公司（以下简称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北京华商通达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咸阳华商传媒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西安华商盈众广告文化传播有限公司（以下简称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西安华商盈众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西安典尚网络科技有限公司（以下简称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西安典尚网络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西安华商盈达创业投资有限公司（以下简称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西安华商盈达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沈阳典智晨拍商务有限公司（以下简称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沈阳典智晨拍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西安佰乐威酒业有限公司（以下简称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西安佰乐威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重庆黄马甲快递有限公司（以下简称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重庆黄马甲快递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吉林黄马甲快递有限公司（以下简称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吉林黄马甲快递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兰州黄马甲物流配送有限责任公司（以下简称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兰州黄马甲物流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西宁黄马甲物流信息服务有限公司（以下简称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西宁黄马甲物流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银川黄马甲物流信息服务有限公司（以下简称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银川黄马甲物流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沈阳黄马甲快递有限公司（以下简称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沈阳黄马甲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哈尔滨黄马甲装卸服务有限公司（以下简称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哈尔滨黄马甲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乌鲁木齐黄马甲配送有限公司（以下简称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乌鲁木齐黄马甲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通达中金（北京）信息技术咨询有限责任公司（以下简称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通达中金信息技术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沈阳盈广丰商贸有限公司（以下简称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沈阳盈广丰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北京国广风尚文化传媒有限公司（以下简称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国广风尚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55" w:hRule="exact"/>
        </w:trPr>
        <w:tc>
          <w:tcPr>
            <w:tcW w:w="767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北京澄怀众合文化传媒有限公司（以下简称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澄怀众合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时报传媒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华商传媒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国广光荣</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北京环球风尚文化传媒有限公司（以下简称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环球风尚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华商数码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西安华商广告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吉林华商传媒有限公司（以下简称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吉林华商传媒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陕西黄马甲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北京华商盈捷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重庆华博传媒有限公司（以下简称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重庆华博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辽宁盈丰传媒有限公司（以下简称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辽宁盈丰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沈阳北联全媒体传媒有限公司（以下简称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沈阳北联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北京华商圣锐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华商卓越文化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北京华商盈通投资有限公司（以下简称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北京盈通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吉林华商数码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吉林盈通网络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沈阳辽一网络有限公司（以下简称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沈阳辽一网络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重庆盈略网络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陕西华商会展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西安华迅直递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陕西黄马甲快递有限公司（以下简称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黄马甲快递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长春华锐营销策划有限公司（以下简称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长春华锐营销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长春市华晟文化传播有限公司（以下简称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长春华晟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世纪影视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海南新海岸置业股份有限公司（以下简称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新海岸置业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北京澄怀科技有限公司（以下简称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澄怀科技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北京成功启航咨询有限公司（以下简称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成功启航</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北京澄怀观道网络科技有限公司（以下简称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澄怀观道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深圳市怀远天下旅行社有限公司（以下简称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怀远天下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深圳市新视野影像有限公司（以下简称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新视野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沈阳盈广丰广告传媒有限公司（以下简称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盈广丰广告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沈阳华创众视广告传媒有限公司（以下简称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华创众视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重庆爱达投资有限公司（以下简称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爱达投资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重庆爱达财富资产管理有限公司（以下简称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爱达财富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55" w:hRule="exact"/>
        </w:trPr>
        <w:tc>
          <w:tcPr>
            <w:tcW w:w="767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重庆爱达国际旅行社有限公司（以下简称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爱达国际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海南椰德利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拉萨环球风尚投资管理咨询有限公司（以下简称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拉萨环球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培领环球有限公司（以下简称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培领环球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北京国广视讯新媒体科技有限公司（以下简称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国广视讯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国视通讯（上海）有限公司（以下简称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国视上海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广州市邦富软件有限公司（以下简称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邦富软件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精视文化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上海精视广告传播有限公司（以下简称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精视广告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掌视亿通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漫友文化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广州酷视网络有限公司（以下简称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酷视网络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华闻影视文化传媒（天津）有限公司（以下简称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天津影视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华闻传媒（海外）有限公司（以下简称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华闻海外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北京华闻创新传媒文化研究院有限责任公司（以下简称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华闻研究院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76" w:lineRule="exact" w:before="0"/>
        <w:ind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before="0"/>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3" w:right="145" w:firstLine="369"/>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r>
        <w:rPr>
          <w:spacing w:val="1"/>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23"/>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10"/>
        <w:rPr>
          <w:rFonts w:ascii="宋体" w:hAnsi="宋体" w:cs="宋体" w:eastAsia="宋体" w:hint="default"/>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2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2"/>
        <w:rPr>
          <w:rFonts w:ascii="宋体" w:hAnsi="宋体" w:cs="宋体" w:eastAsia="宋体" w:hint="default"/>
          <w:sz w:val="22"/>
          <w:szCs w:val="22"/>
        </w:rPr>
      </w:pPr>
    </w:p>
    <w:p>
      <w:pPr>
        <w:pStyle w:val="Heading4"/>
        <w:spacing w:line="240" w:lineRule="auto" w:before="0"/>
        <w:ind w:right="0"/>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153" w:right="6831"/>
        <w:jc w:val="left"/>
      </w:pPr>
      <w:r>
        <w:rPr/>
        <w:t>具体会计政策和会计估计提示： 无。</w:t>
      </w:r>
    </w:p>
    <w:p>
      <w:pPr>
        <w:spacing w:line="612" w:lineRule="exact" w:before="35"/>
        <w:ind w:left="523" w:right="0"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公司所编制的财务报表符合企业会计准则的要求，真实、完整地反映了报告期公司的财务状况、经营</w:t>
      </w:r>
    </w:p>
    <w:p>
      <w:pPr>
        <w:pStyle w:val="BodyText"/>
        <w:spacing w:line="219" w:lineRule="exact" w:before="0"/>
        <w:ind w:left="153" w:right="0"/>
        <w:jc w:val="left"/>
      </w:pPr>
      <w:r>
        <w:rPr/>
        <w:t>成果、现金流量等有关信息。</w:t>
      </w:r>
    </w:p>
    <w:p>
      <w:pPr>
        <w:spacing w:after="0" w:line="219" w:lineRule="exact"/>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2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6"/>
        <w:spacing w:line="240" w:lineRule="auto" w:before="0"/>
        <w:ind w:left="153"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23" w:right="0"/>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spacing w:line="506" w:lineRule="auto" w:before="0"/>
        <w:ind w:left="523" w:right="6251"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spacing w:line="590" w:lineRule="atLeast" w:before="118"/>
        <w:ind w:left="523" w:right="0"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同一控制下企业合并：本公司在企业合并中取得的资产和负债，按照合并日在被合并方资产、负债（包</w:t>
      </w:r>
    </w:p>
    <w:p>
      <w:pPr>
        <w:pStyle w:val="BodyText"/>
        <w:spacing w:line="273" w:lineRule="auto" w:before="37"/>
        <w:ind w:left="153" w:right="15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273" w:lineRule="auto"/>
        <w:ind w:left="153" w:right="147" w:firstLine="369"/>
        <w:jc w:val="both"/>
      </w:pPr>
      <w:r>
        <w:rPr/>
        <w:t>非同一控制下企业合并：本公司在购买日对作为企业合并对价付出的资产、发生或承担的负债按照公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73" w:lineRule="auto"/>
        <w:ind w:left="153" w:right="147" w:firstLine="369"/>
        <w:jc w:val="both"/>
      </w:pPr>
      <w:r>
        <w:rPr/>
        <w:t>为企业合并发生的审计、法律服务、评估咨询等中介费用以及其他直接相关费用，于发生时计入当期 损益；为企业合并而发行权益性证券的交易费用，冲减权益。</w:t>
      </w:r>
    </w:p>
    <w:p>
      <w:pPr>
        <w:spacing w:line="240" w:lineRule="auto" w:before="8"/>
        <w:rPr>
          <w:rFonts w:ascii="宋体" w:hAnsi="宋体" w:cs="宋体" w:eastAsia="宋体" w:hint="default"/>
          <w:sz w:val="23"/>
          <w:szCs w:val="23"/>
        </w:rPr>
      </w:pPr>
    </w:p>
    <w:p>
      <w:pPr>
        <w:pStyle w:val="Heading6"/>
        <w:spacing w:line="240" w:lineRule="auto" w:before="0"/>
        <w:ind w:left="153"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23"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t>本公司合并财务报表的合并范围以控制为基础确定，所有子公司（包括本公司所控制的被投资方可分</w:t>
      </w:r>
    </w:p>
    <w:p>
      <w:pPr>
        <w:pStyle w:val="BodyText"/>
        <w:spacing w:line="240" w:lineRule="auto" w:before="22"/>
        <w:ind w:right="0"/>
        <w:jc w:val="left"/>
      </w:pPr>
      <w:r>
        <w:rPr/>
        <w:t>割的部分）均纳入合并财务报表。</w:t>
      </w:r>
    </w:p>
    <w:p>
      <w:pPr>
        <w:spacing w:line="240" w:lineRule="auto" w:before="9"/>
        <w:rPr>
          <w:rFonts w:ascii="宋体" w:hAnsi="宋体" w:cs="宋体" w:eastAsia="宋体" w:hint="default"/>
          <w:sz w:val="26"/>
          <w:szCs w:val="26"/>
        </w:rPr>
      </w:pPr>
    </w:p>
    <w:p>
      <w:pPr>
        <w:pStyle w:val="BodyText"/>
        <w:spacing w:line="256" w:lineRule="auto" w:before="0"/>
        <w:ind w:left="523"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w:t>
      </w:r>
    </w:p>
    <w:p>
      <w:pPr>
        <w:pStyle w:val="BodyText"/>
        <w:spacing w:line="273" w:lineRule="auto" w:before="22"/>
        <w:ind w:right="0"/>
        <w:jc w:val="left"/>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273" w:lineRule="auto"/>
        <w:ind w:right="147" w:firstLine="369"/>
        <w:jc w:val="both"/>
      </w:pPr>
      <w:r>
        <w:rPr/>
        <w:t>所有纳入合并财务报表合并范围的子公司所采用的会计政策、会计期间与本公司一致，如子公司采用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273" w:lineRule="auto"/>
        <w:ind w:right="147" w:firstLine="369"/>
        <w:jc w:val="both"/>
      </w:pPr>
      <w:r>
        <w:rPr/>
        <w:t>子公司所有者权益、当期净损益和当期综合收益中属于少数股东的份额分别在合并资产负债表中所有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40" w:lineRule="auto"/>
        <w:ind w:left="523" w:right="0"/>
        <w:jc w:val="left"/>
      </w:pPr>
      <w:r>
        <w:rPr/>
        <w:t>①增加子公司或业务</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147" w:firstLine="369"/>
        <w:jc w:val="both"/>
      </w:pPr>
      <w:r>
        <w:rPr/>
        <w:t>在报告期内，若因同一控制下企业合并增加子公司或业务的，则调整合并资产负债表的期初数；将子 </w:t>
      </w: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73" w:lineRule="auto"/>
        <w:ind w:right="147" w:firstLine="369"/>
        <w:jc w:val="both"/>
      </w:pPr>
      <w:r>
        <w:rPr/>
        <w:t>因追加投资等原因能够对同一控制下的被投资方实施控制的，视同参与合并的各方在最终控制方开始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ind w:right="147" w:firstLine="369"/>
        <w:jc w:val="both"/>
      </w:pPr>
      <w:r>
        <w:rPr/>
        <w:t>在报告期内，若因非同一控制下企业合并增加子公司或业务的，则不调整合并资产负债表期初数；将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273" w:lineRule="auto"/>
        <w:ind w:right="147" w:firstLine="369"/>
        <w:jc w:val="both"/>
      </w:pPr>
      <w:r>
        <w:rPr/>
        <w:t>因追加投资等原因能够对非同一控制下的被投资方实施控制的，对于购买日之前持有的被购买方的股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23" w:right="0"/>
        <w:jc w:val="left"/>
      </w:pPr>
      <w:r>
        <w:rPr/>
        <w:t>②处置子公司或业务</w:t>
      </w:r>
    </w:p>
    <w:p>
      <w:pPr>
        <w:pStyle w:val="BodyText"/>
        <w:spacing w:line="256" w:lineRule="auto" w:before="37"/>
        <w:ind w:left="523" w:right="0" w:hanging="1"/>
        <w:jc w:val="left"/>
      </w:pPr>
      <w:r>
        <w:rPr>
          <w:rFonts w:ascii="Times New Roman" w:hAnsi="Times New Roman" w:cs="Times New Roman" w:eastAsia="Times New Roman" w:hint="default"/>
        </w:rPr>
        <w:t>1</w:t>
      </w:r>
      <w:r>
        <w:rPr/>
        <w:t>）一般处理方法 在报告期内，本公司处置子公司或业务，则该子公司或业务期初至处置日的收入、费用、利润纳入合</w:t>
      </w:r>
    </w:p>
    <w:p>
      <w:pPr>
        <w:pStyle w:val="BodyText"/>
        <w:spacing w:line="273" w:lineRule="auto" w:before="22"/>
        <w:ind w:left="523" w:right="0" w:hanging="370"/>
        <w:jc w:val="left"/>
      </w:pPr>
      <w:r>
        <w:rPr/>
        <w:t>并利润表；该子公司或业务期初至处置日的现金流量纳入合并现金流量表。 因处置部分股权投资或其他原因丧失了对被投资方控制权时，对于处置后的剩余股权投资，本公司按</w:t>
      </w:r>
    </w:p>
    <w:p>
      <w:pPr>
        <w:pStyle w:val="BodyText"/>
        <w:spacing w:line="273" w:lineRule="auto"/>
        <w:ind w:right="149"/>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56" w:lineRule="auto"/>
        <w:ind w:left="523" w:right="0" w:hanging="1"/>
        <w:jc w:val="left"/>
      </w:pPr>
      <w:r>
        <w:rPr>
          <w:rFonts w:ascii="Times New Roman" w:hAnsi="Times New Roman" w:cs="Times New Roman" w:eastAsia="Times New Roman" w:hint="default"/>
        </w:rPr>
        <w:t>2</w:t>
      </w:r>
      <w:r>
        <w:rPr/>
        <w:t>）分步处置子公司 通过多次交易分步处置对子公司股权投资直至丧失控制权的，处置对子公司股权投资的各项交易的条</w:t>
      </w:r>
    </w:p>
    <w:p>
      <w:pPr>
        <w:pStyle w:val="BodyText"/>
        <w:spacing w:line="273" w:lineRule="auto" w:before="22"/>
        <w:ind w:right="149"/>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73" w:lineRule="auto"/>
        <w:ind w:left="523"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处置对子公司股权投资直至丧失控制权的各项交易属于一揽子交易的，本公司将各项交易作为一项处</w:t>
      </w:r>
    </w:p>
    <w:p>
      <w:pPr>
        <w:pStyle w:val="BodyText"/>
        <w:spacing w:line="273" w:lineRule="auto"/>
        <w:ind w:right="149"/>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73" w:lineRule="auto"/>
        <w:ind w:right="147" w:firstLine="369"/>
        <w:jc w:val="both"/>
      </w:pPr>
      <w:r>
        <w:rPr/>
        <w:t>处置对子公司股权投资直至丧失控制权的各项交易不属于一揽子交易的，在丧失控制权之前，按不丧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73" w:lineRule="auto"/>
        <w:ind w:left="523" w:right="0"/>
        <w:jc w:val="left"/>
      </w:pPr>
      <w:r>
        <w:rPr/>
        <w:t>③购买子公司少数股权 本公司因购买少数股权新取得的长期股权投资与按照新增持股比例计算应享有子公司自购买日（或合</w:t>
      </w:r>
    </w:p>
    <w:p>
      <w:pPr>
        <w:pStyle w:val="BodyText"/>
        <w:spacing w:line="240" w:lineRule="auto"/>
        <w:ind w:right="0"/>
        <w:jc w:val="both"/>
      </w:pPr>
      <w:r>
        <w:rPr/>
        <w:t>并日）开始持续计算的净资产份额之间的差额，调整合并资产负债表中的资本公积中的股本溢价，资本公</w:t>
      </w:r>
    </w:p>
    <w:p>
      <w:pPr>
        <w:spacing w:after="0" w:line="240"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积中的股本溢价不足冲减的，调整留存收益。</w:t>
      </w:r>
    </w:p>
    <w:p>
      <w:pPr>
        <w:pStyle w:val="BodyText"/>
        <w:spacing w:line="273" w:lineRule="auto" w:before="37"/>
        <w:ind w:left="523" w:right="0"/>
        <w:jc w:val="left"/>
      </w:pPr>
      <w:r>
        <w:rPr/>
        <w:t>④不丧失控制权的情况下部分处置对子公司的股权投资 在不丧失控制权的情况下因部分处置对子公司的长期股权投资而取得的处置价款与处置长期股权投资</w:t>
      </w:r>
    </w:p>
    <w:p>
      <w:pPr>
        <w:pStyle w:val="BodyText"/>
        <w:spacing w:line="273" w:lineRule="auto"/>
        <w:ind w:left="153" w:right="0"/>
        <w:jc w:val="left"/>
      </w:pPr>
      <w:r>
        <w:rPr>
          <w:spacing w:val="-1"/>
        </w:rPr>
        <w:t>相对应享有子公司自购买日或合并日开始持续计算的净资产份额之间的差额，调整合并资产负债表中的资</w:t>
      </w:r>
      <w:r>
        <w:rPr>
          <w:spacing w:val="-81"/>
        </w:rPr>
        <w:t> </w:t>
      </w:r>
      <w:r>
        <w:rPr>
          <w:spacing w:val="-81"/>
        </w:rPr>
      </w:r>
      <w:r>
        <w:rPr/>
        <w:t>本公积中的股本溢价，资本公积中的股本溢价不足冲减的，调整留存收益。</w:t>
      </w:r>
    </w:p>
    <w:p>
      <w:pPr>
        <w:spacing w:line="240" w:lineRule="auto" w:before="8"/>
        <w:rPr>
          <w:rFonts w:ascii="宋体" w:hAnsi="宋体" w:cs="宋体" w:eastAsia="宋体" w:hint="default"/>
          <w:sz w:val="24"/>
          <w:szCs w:val="24"/>
        </w:rPr>
      </w:pPr>
    </w:p>
    <w:p>
      <w:pPr>
        <w:spacing w:line="590" w:lineRule="atLeast" w:before="0"/>
        <w:ind w:left="523" w:right="5871"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合营安排分为共同经营和合营企业。</w:t>
      </w:r>
    </w:p>
    <w:p>
      <w:pPr>
        <w:pStyle w:val="BodyText"/>
        <w:spacing w:line="273" w:lineRule="auto" w:before="37"/>
        <w:ind w:left="523" w:right="161"/>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2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52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52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523"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56" w:lineRule="auto" w:before="21"/>
        <w:ind w:left="523" w:right="2367" w:hanging="1"/>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4"/>
          <w:szCs w:val="24"/>
        </w:rPr>
      </w:pPr>
    </w:p>
    <w:p>
      <w:pPr>
        <w:spacing w:line="590" w:lineRule="atLeast" w:before="0"/>
        <w:ind w:left="523" w:right="0"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在编制现金流量表时，将本公司库存现金以及可以随时用于支付的存款确认为现金。将同时具备期限</w:t>
      </w:r>
    </w:p>
    <w:p>
      <w:pPr>
        <w:pStyle w:val="BodyText"/>
        <w:spacing w:line="273" w:lineRule="auto" w:before="37"/>
        <w:ind w:right="110"/>
        <w:jc w:val="left"/>
      </w:pPr>
      <w:r>
        <w:rPr/>
        <w:t>短（从购买日起三个月内到期）、流动性强、易于转换为已知现金、价值变动风险很小四个条件的投资， 确定为现金等价物。</w:t>
      </w:r>
    </w:p>
    <w:p>
      <w:pPr>
        <w:pStyle w:val="BodyText"/>
        <w:spacing w:line="273" w:lineRule="auto"/>
        <w:ind w:left="153" w:right="0" w:firstLine="369"/>
        <w:jc w:val="left"/>
      </w:pPr>
      <w:r>
        <w:rPr/>
        <w:t>公司从事国债回购业务，由于国债回购同时具备期限短、流动性强、易于转换为已知现金、价值变动 风险很小四个条件，公司将国债回购发生的交易款视同为现金等价物。</w:t>
      </w:r>
    </w:p>
    <w:p>
      <w:pPr>
        <w:spacing w:line="240" w:lineRule="auto" w:before="8"/>
        <w:rPr>
          <w:rFonts w:ascii="宋体" w:hAnsi="宋体" w:cs="宋体" w:eastAsia="宋体" w:hint="default"/>
          <w:sz w:val="23"/>
          <w:szCs w:val="23"/>
        </w:rPr>
      </w:pPr>
    </w:p>
    <w:p>
      <w:pPr>
        <w:pStyle w:val="Heading6"/>
        <w:spacing w:line="240" w:lineRule="auto" w:before="0"/>
        <w:ind w:left="153"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23" w:right="1841"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273" w:lineRule="auto" w:before="22"/>
        <w:ind w:right="147" w:firstLine="369"/>
        <w:jc w:val="both"/>
      </w:pPr>
      <w:r>
        <w:rPr/>
        <w:t>资产负债表日外币货币性项目余额按资产负债表日即期汇率折算，由此产生的汇兑差额，除属于与购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56" w:lineRule="auto" w:before="7"/>
        <w:ind w:left="523" w:right="0" w:firstLine="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4"/>
          <w:sz w:val="21"/>
          <w:szCs w:val="21"/>
        </w:rPr>
        <w:t>资产负债表中的资产和负债项目，采用资产负债表日的即期汇率折算；所有者权益项目除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未分配利润</w:t>
      </w:r>
      <w:r>
        <w:rPr>
          <w:rFonts w:ascii="Times New Roman" w:hAnsi="Times New Roman" w:cs="Times New Roman" w:eastAsia="Times New Roman" w:hint="default"/>
          <w:spacing w:val="-4"/>
          <w:sz w:val="21"/>
          <w:szCs w:val="21"/>
        </w:rPr>
        <w:t>”</w:t>
      </w:r>
    </w:p>
    <w:p>
      <w:pPr>
        <w:pStyle w:val="BodyText"/>
        <w:spacing w:line="273" w:lineRule="auto" w:before="5"/>
        <w:ind w:right="0"/>
        <w:jc w:val="left"/>
      </w:pPr>
      <w:r>
        <w:rPr>
          <w:spacing w:val="-1"/>
        </w:rPr>
        <w:t>项目外，其他项目采用发生时的即期汇率折算。利润表中的收入和费用项目，采用交易发生日的即期汇率</w:t>
      </w:r>
      <w:r>
        <w:rPr>
          <w:spacing w:val="-83"/>
        </w:rPr>
        <w:t> </w:t>
      </w:r>
      <w:r>
        <w:rPr>
          <w:spacing w:val="-83"/>
        </w:rPr>
      </w:r>
      <w:r>
        <w:rPr/>
        <w:t>折算。</w:t>
      </w:r>
    </w:p>
    <w:p>
      <w:pPr>
        <w:pStyle w:val="BodyText"/>
        <w:spacing w:line="273" w:lineRule="auto"/>
        <w:ind w:right="0" w:firstLine="369"/>
        <w:jc w:val="left"/>
      </w:pPr>
      <w:r>
        <w:rPr/>
        <w:t>处置境外经营时，将与该境外经营相关的外币财务报表折算差额，自所有者权益项目转入处置当期损 益。</w:t>
      </w:r>
    </w:p>
    <w:p>
      <w:pPr>
        <w:spacing w:line="240" w:lineRule="auto" w:before="8"/>
        <w:rPr>
          <w:rFonts w:ascii="宋体" w:hAnsi="宋体" w:cs="宋体" w:eastAsia="宋体" w:hint="default"/>
          <w:sz w:val="23"/>
          <w:szCs w:val="23"/>
        </w:rPr>
      </w:pPr>
    </w:p>
    <w:p>
      <w:pPr>
        <w:spacing w:line="506" w:lineRule="auto" w:before="0"/>
        <w:ind w:left="523" w:right="4991"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before="35"/>
        <w:ind w:left="523" w:right="101"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t>金融资产和金融负债于初始确认时分类为：以公允价值计量且其变动计入当期损益的金融资产或金融</w:t>
      </w:r>
    </w:p>
    <w:p>
      <w:pPr>
        <w:pStyle w:val="BodyText"/>
        <w:spacing w:line="273" w:lineRule="auto" w:before="22"/>
        <w:ind w:right="101"/>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Heading6"/>
        <w:spacing w:line="240" w:lineRule="auto" w:before="7"/>
        <w:ind w:left="524" w:right="1097"/>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273" w:lineRule="auto" w:before="21"/>
        <w:ind w:left="523" w:right="101"/>
        <w:jc w:val="left"/>
      </w:pPr>
      <w:r>
        <w:rPr/>
        <w:t>①以公允价值计量且其变动计入当期损益的金融资产（金融负债） 取得时以公允价值（扣除已宣告但尚未发放的现金股利或已到付息期但尚未领取的债券利息）作为初</w:t>
      </w:r>
    </w:p>
    <w:p>
      <w:pPr>
        <w:pStyle w:val="BodyText"/>
        <w:spacing w:line="273" w:lineRule="auto"/>
        <w:ind w:left="523" w:right="641" w:hanging="37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73" w:lineRule="auto"/>
        <w:ind w:left="523" w:right="101"/>
        <w:jc w:val="left"/>
      </w:pPr>
      <w:r>
        <w:rPr/>
        <w:t>②持有至到期投资 </w:t>
      </w:r>
      <w:r>
        <w:rPr>
          <w:spacing w:val="-2"/>
        </w:rPr>
        <w:t>取得时按公允价值（扣除已到付息期但尚未领取的债券利息）和相关交易费用之和作为初始确认金额。</w:t>
      </w:r>
      <w:r>
        <w:rPr>
          <w:spacing w:val="-93"/>
        </w:rPr>
        <w:t> </w:t>
      </w:r>
      <w:r>
        <w:rPr>
          <w:spacing w:val="-93"/>
        </w:rPr>
      </w:r>
      <w:r>
        <w:rPr/>
        <w:t>持有期间按照摊余成本和实际利率计算确认利息收入，计入投资收益。实际利率在取得时确定，在该</w:t>
      </w:r>
    </w:p>
    <w:p>
      <w:pPr>
        <w:pStyle w:val="BodyText"/>
        <w:spacing w:line="273" w:lineRule="auto"/>
        <w:ind w:left="514" w:right="3170" w:hanging="360"/>
        <w:jc w:val="left"/>
      </w:pPr>
      <w:r>
        <w:rPr/>
        <w:t>预期存续期间或适用的更短期间内保持不变。 处置时，将所取得价款与该投资账面价值之间的差额计入投资收益。</w:t>
      </w:r>
    </w:p>
    <w:p>
      <w:pPr>
        <w:pStyle w:val="BodyText"/>
        <w:spacing w:line="273" w:lineRule="auto"/>
        <w:ind w:left="523" w:right="101"/>
        <w:jc w:val="left"/>
      </w:pPr>
      <w:r>
        <w:rPr/>
        <w:t>③应收款项 公司对外销售商品或提供劳务形成的应收债权，以及公司持有的其他企业的不包括在活跃市场上有报</w:t>
      </w:r>
    </w:p>
    <w:p>
      <w:pPr>
        <w:pStyle w:val="BodyText"/>
        <w:spacing w:line="273" w:lineRule="auto"/>
        <w:ind w:right="101"/>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ind w:left="523" w:right="1097"/>
        <w:jc w:val="left"/>
      </w:pPr>
      <w:r>
        <w:rPr/>
        <w:t>收回或处置时，将取得的价款与该应收款项账面价值之间的差额计入当期损益。</w:t>
      </w:r>
    </w:p>
    <w:p>
      <w:pPr>
        <w:pStyle w:val="BodyText"/>
        <w:spacing w:line="273" w:lineRule="auto" w:before="37"/>
        <w:ind w:left="523" w:right="101"/>
        <w:jc w:val="left"/>
      </w:pPr>
      <w:r>
        <w:rPr/>
        <w:t>④可供出售金融资产 取得时按公允价值（扣除已宣告但尚未发放的现金股利或已到付息期但尚未领取的债券利息）和相关</w:t>
      </w:r>
    </w:p>
    <w:p>
      <w:pPr>
        <w:pStyle w:val="BodyText"/>
        <w:spacing w:line="273" w:lineRule="auto"/>
        <w:ind w:left="523" w:right="101" w:hanging="370"/>
        <w:jc w:val="left"/>
      </w:pPr>
      <w:r>
        <w:rPr/>
        <w:t>交易费用之和作为初始确认金额。 持有期间将取得的利息或现金股利确认为投资收益。期末以公允价值计量且将公允价值变动计入其他</w:t>
      </w:r>
    </w:p>
    <w:p>
      <w:pPr>
        <w:pStyle w:val="BodyText"/>
        <w:spacing w:line="273" w:lineRule="auto"/>
        <w:ind w:right="101"/>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273" w:lineRule="auto"/>
        <w:ind w:right="101" w:firstLine="369"/>
        <w:jc w:val="left"/>
      </w:pPr>
      <w:r>
        <w:rPr/>
        <w:t>处置时，将取得的价款与该金融资产账面价值之间的差额，计入投资损益；同时，将原直接计入其他 综合收益的公允价值变动累计额对应处置部分的金额转出，计入当期损益。</w:t>
      </w:r>
    </w:p>
    <w:p>
      <w:pPr>
        <w:pStyle w:val="BodyText"/>
        <w:spacing w:line="273" w:lineRule="auto"/>
        <w:ind w:left="523" w:right="1691"/>
        <w:jc w:val="left"/>
      </w:pPr>
      <w:r>
        <w:rPr/>
        <w:t>⑤其他金融负债 按其公允价值和相关交易费用之和作为初始确认金额。采用摊余成本进行后续计量。</w:t>
      </w:r>
    </w:p>
    <w:p>
      <w:pPr>
        <w:spacing w:line="256" w:lineRule="auto" w:before="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公司发生金融资产转移时，如已将金融资产所有权上几乎所有的风险和报酬转移给转入方，则终止确</w:t>
      </w:r>
    </w:p>
    <w:p>
      <w:pPr>
        <w:pStyle w:val="BodyText"/>
        <w:spacing w:line="273" w:lineRule="auto" w:before="22"/>
        <w:ind w:left="523" w:right="101" w:hanging="370"/>
        <w:jc w:val="left"/>
      </w:pPr>
      <w:r>
        <w:rPr/>
        <w:t>认该金融资产；如保留了金融资产所有权上几乎所有的风险和报酬的，则不终止确认该金融资产。 在判断金融资产转移是否满足上述金融资产终止确认条件时，采用实质重于形式的原则。公司将金融</w:t>
      </w:r>
    </w:p>
    <w:p>
      <w:pPr>
        <w:pStyle w:val="BodyText"/>
        <w:spacing w:line="273" w:lineRule="auto"/>
        <w:ind w:right="101"/>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23" w:right="1097"/>
        <w:jc w:val="left"/>
      </w:pPr>
      <w:r>
        <w:rPr/>
        <w:t>①所转移金融资产的账面价值；</w:t>
      </w:r>
    </w:p>
    <w:p>
      <w:pPr>
        <w:pStyle w:val="BodyText"/>
        <w:spacing w:line="273" w:lineRule="auto" w:before="37"/>
        <w:ind w:right="101" w:firstLine="369"/>
        <w:jc w:val="left"/>
      </w:pPr>
      <w:r>
        <w:rPr/>
        <w:t>②因转移而收到的对价，与原直接计入所有者权益的公允价值变动累计额（涉及转移的金融资产为可 供出售金融资产的情形）之和。</w:t>
      </w:r>
    </w:p>
    <w:p>
      <w:pPr>
        <w:pStyle w:val="BodyText"/>
        <w:spacing w:line="273" w:lineRule="auto"/>
        <w:ind w:right="101" w:firstLine="369"/>
        <w:jc w:val="left"/>
      </w:pPr>
      <w:r>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BodyText"/>
        <w:spacing w:line="240" w:lineRule="auto"/>
        <w:ind w:left="523" w:right="1097"/>
        <w:jc w:val="left"/>
      </w:pPr>
      <w:r>
        <w:rPr/>
        <w:t>①终止确认部分的账面价值；</w:t>
      </w:r>
    </w:p>
    <w:p>
      <w:pPr>
        <w:pStyle w:val="BodyText"/>
        <w:spacing w:line="240" w:lineRule="auto" w:before="37"/>
        <w:ind w:left="523" w:right="101"/>
        <w:jc w:val="left"/>
      </w:pPr>
      <w:r>
        <w:rPr/>
        <w:t>②终止确认部分的对价，与原直接计入所有者权益的公允价值变动累计额中对应终止确认部分的金额</w:t>
      </w:r>
    </w:p>
    <w:p>
      <w:pPr>
        <w:pStyle w:val="BodyText"/>
        <w:spacing w:line="240" w:lineRule="auto" w:before="37"/>
        <w:ind w:right="1097"/>
        <w:jc w:val="left"/>
      </w:pPr>
      <w:r>
        <w:rPr/>
        <w:t>（涉及转移的金融资产为可供出售金融资产的情形）之和。</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left="523" w:right="0"/>
        <w:jc w:val="left"/>
      </w:pPr>
      <w:r>
        <w:rPr/>
        <w:t>金融资产转移不满足终止确认条件的，继续确认该金融资产，所收到的对价确认为一项金融负债。</w:t>
      </w:r>
    </w:p>
    <w:p>
      <w:pPr>
        <w:spacing w:line="256" w:lineRule="auto" w:before="37"/>
        <w:ind w:left="523"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金融负债的现时义务全部或部分已经解除的，则终止确认该金融负债或其一部分；本公司若与债权人</w:t>
      </w:r>
    </w:p>
    <w:p>
      <w:pPr>
        <w:pStyle w:val="BodyText"/>
        <w:spacing w:line="273" w:lineRule="auto" w:before="22"/>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right="147" w:firstLine="369"/>
        <w:jc w:val="both"/>
      </w:pPr>
      <w:r>
        <w:rPr/>
        <w:t>对现存金融负债全部或部分合同条款作出实质性修改的，则终止确认现存金融负债或其一部分，同时 将修改条款后的金融负债确认为一项新金融负债。</w:t>
      </w:r>
    </w:p>
    <w:p>
      <w:pPr>
        <w:pStyle w:val="BodyText"/>
        <w:spacing w:line="273" w:lineRule="auto"/>
        <w:ind w:right="147" w:firstLine="369"/>
        <w:jc w:val="both"/>
      </w:pPr>
      <w:r>
        <w:rPr/>
        <w:t>金融负债全部或部分终止确认时，终止确认的金融负债账面价值与支付对价（包括转出的非现金资产 或承担的新金融负债）之间的差额，计入当期损益。</w:t>
      </w:r>
    </w:p>
    <w:p>
      <w:pPr>
        <w:pStyle w:val="BodyText"/>
        <w:spacing w:line="273" w:lineRule="auto"/>
        <w:ind w:right="147" w:firstLine="369"/>
        <w:jc w:val="both"/>
      </w:pPr>
      <w:r>
        <w:rPr/>
        <w:t>本公司若回购部分金融负债的，在回购日按照继续确认部分与终止确认部分的相对公允价值，将该金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23"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存在活跃市场的金融工具，以活跃市场中的报价确定其公允价值。不存在活跃市场的金融工具，采用</w:t>
      </w:r>
    </w:p>
    <w:p>
      <w:pPr>
        <w:pStyle w:val="BodyText"/>
        <w:spacing w:line="273" w:lineRule="auto" w:before="22"/>
        <w:ind w:right="128"/>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256" w:lineRule="auto" w:before="7"/>
        <w:ind w:left="523"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除以公允价值计量且其变动计入当期损益的金融资产外，本公司于资产负债表日对金融资产的账面价</w:t>
      </w:r>
    </w:p>
    <w:p>
      <w:pPr>
        <w:pStyle w:val="BodyText"/>
        <w:spacing w:line="240" w:lineRule="auto" w:before="22"/>
        <w:ind w:right="0"/>
        <w:jc w:val="both"/>
      </w:pPr>
      <w:r>
        <w:rPr/>
        <w:t>值进行检查，如果有客观证据表明某项金融资产发生减值的，计提减值准备。</w:t>
      </w:r>
    </w:p>
    <w:p>
      <w:pPr>
        <w:pStyle w:val="BodyText"/>
        <w:spacing w:line="273" w:lineRule="auto" w:before="37"/>
        <w:ind w:left="523" w:right="0"/>
        <w:jc w:val="left"/>
      </w:pPr>
      <w:r>
        <w:rPr/>
        <w:t>①可供出售金融资产的减值准备 期末如果可供出售金融资产的公允价值发生严重下降，或在综合考虑各种相关因素后，预期这种下降</w:t>
      </w:r>
    </w:p>
    <w:p>
      <w:pPr>
        <w:pStyle w:val="BodyText"/>
        <w:spacing w:line="273" w:lineRule="auto"/>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273" w:lineRule="auto"/>
        <w:ind w:right="147" w:firstLine="369"/>
        <w:jc w:val="both"/>
      </w:pPr>
      <w:r>
        <w:rPr/>
        <w:t>对于已确认减值损失的可供出售债务工具，在随后的会计期间公允价值已上升且客观上与确认原减值 损失确认后发生的事项有关的，原确认的减值损失予以转回，计入当期损益。</w:t>
      </w:r>
    </w:p>
    <w:p>
      <w:pPr>
        <w:pStyle w:val="BodyText"/>
        <w:spacing w:line="273" w:lineRule="auto"/>
        <w:ind w:left="523" w:right="0"/>
        <w:jc w:val="left"/>
      </w:pPr>
      <w:r>
        <w:rPr/>
        <w:t>可供出售权益工具投资发生的减值损失，不通过损益转回。 本公司对可供出售债务工具投资减值的认定标准为：债务工具发行方经营所处的技术、市场、经济或</w:t>
      </w:r>
    </w:p>
    <w:p>
      <w:pPr>
        <w:pStyle w:val="BodyText"/>
        <w:spacing w:line="273" w:lineRule="auto"/>
        <w:ind w:left="523" w:right="0" w:hanging="370"/>
        <w:jc w:val="left"/>
      </w:pPr>
      <w:r>
        <w:rPr/>
        <w:t>法律环境等发生重大不利变化，使债务工具投资人可能无法收回投资成本。 本公司对可供出售权益工具投资减值的认定标准为：权益工具投资的公允价值发生严重或非暂时性下</w:t>
      </w:r>
    </w:p>
    <w:p>
      <w:pPr>
        <w:pStyle w:val="BodyText"/>
        <w:spacing w:line="240" w:lineRule="auto"/>
        <w:ind w:right="0"/>
        <w:jc w:val="both"/>
      </w:pPr>
      <w:r>
        <w:rPr/>
        <w:t>跌。</w:t>
      </w:r>
    </w:p>
    <w:p>
      <w:pPr>
        <w:pStyle w:val="BodyText"/>
        <w:spacing w:line="256" w:lineRule="auto" w:before="37"/>
        <w:ind w:left="153" w:right="148" w:firstLine="369"/>
        <w:jc w:val="both"/>
      </w:pP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的标准为：一般而言，对于在流动性良好的市</w:t>
      </w:r>
      <w:r>
        <w:rPr>
          <w:spacing w:val="1"/>
        </w:rPr>
        <w:t> </w:t>
      </w:r>
      <w:r>
        <w:rPr/>
        <w:t>场上交易活跃的权益性投资，超过</w:t>
      </w:r>
      <w:r>
        <w:rPr>
          <w:rFonts w:ascii="Times New Roman" w:hAnsi="Times New Roman" w:cs="Times New Roman" w:eastAsia="Times New Roman" w:hint="default"/>
        </w:rPr>
        <w:t>50%</w:t>
      </w:r>
      <w:r>
        <w:rPr/>
        <w:t>的跌幅则认为属于严重下跌。</w:t>
      </w:r>
    </w:p>
    <w:p>
      <w:pPr>
        <w:pStyle w:val="BodyText"/>
        <w:spacing w:line="256" w:lineRule="auto" w:before="5"/>
        <w:ind w:left="153" w:right="148" w:firstLine="369"/>
        <w:jc w:val="both"/>
      </w:pP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的标准为：一般而言，如果连续下跌时间超过</w:t>
      </w:r>
      <w:r>
        <w:rPr>
          <w:rFonts w:ascii="Times New Roman" w:hAnsi="Times New Roman" w:cs="Times New Roman" w:eastAsia="Times New Roman" w:hint="default"/>
        </w:rPr>
        <w:t>6</w:t>
      </w:r>
      <w:r>
        <w:rPr/>
        <w:t>个月，则认为属于</w:t>
      </w:r>
      <w:r>
        <w:rPr>
          <w:rFonts w:ascii="Times New Roman" w:hAnsi="Times New Roman" w:cs="Times New Roman" w:eastAsia="Times New Roman" w:hint="default"/>
        </w:rPr>
        <w:t>“</w:t>
      </w:r>
      <w:r>
        <w:rPr/>
        <w:t>非暂时性</w:t>
      </w:r>
      <w:r>
        <w:rPr>
          <w:spacing w:val="1"/>
        </w:rPr>
        <w:t> </w:t>
      </w:r>
      <w:r>
        <w:rPr/>
        <w:t>下跌</w:t>
      </w:r>
      <w:r>
        <w:rPr>
          <w:rFonts w:ascii="Times New Roman" w:hAnsi="Times New Roman" w:cs="Times New Roman" w:eastAsia="Times New Roman" w:hint="default"/>
        </w:rPr>
        <w:t>”</w:t>
      </w:r>
      <w:r>
        <w:rPr/>
        <w:t>。</w:t>
      </w:r>
    </w:p>
    <w:p>
      <w:pPr>
        <w:pStyle w:val="BodyText"/>
        <w:spacing w:line="273" w:lineRule="auto" w:before="5"/>
        <w:ind w:left="523" w:right="2891"/>
        <w:jc w:val="left"/>
      </w:pPr>
      <w:r>
        <w:rPr/>
        <w:t>②持有至到期投资的减值准备 持有至到期投资减值损失的计量比照应收款项减值损失计量方法处理。</w:t>
      </w:r>
    </w:p>
    <w:p>
      <w:pPr>
        <w:spacing w:line="240" w:lineRule="auto" w:before="8"/>
        <w:rPr>
          <w:rFonts w:ascii="宋体" w:hAnsi="宋体" w:cs="宋体" w:eastAsia="宋体" w:hint="default"/>
          <w:sz w:val="23"/>
          <w:szCs w:val="23"/>
        </w:rPr>
      </w:pPr>
    </w:p>
    <w:p>
      <w:pPr>
        <w:pStyle w:val="Heading6"/>
        <w:spacing w:line="240" w:lineRule="auto" w:before="0"/>
        <w:ind w:left="153"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153"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25"/>
          <w:szCs w:val="25"/>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xbxContent>
                </v:textbox>
                <w10:wrap type="none"/>
              </v:shape>
              <v:shape style="position:absolute;left:4793;top:10;width:4784;height:402"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据其未来现金流量现值低于其账面价值的差额，确认减值损</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失，计提坏账准备。如有确凿证据表明可以收回，则不计提</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坏账准备。除上述两项外，包括在具有类似信用风险特征的</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应收款项组合中再进行减值测试。</w:t>
            </w:r>
          </w:p>
        </w:tc>
      </w:tr>
    </w:tbl>
    <w:p>
      <w:pPr>
        <w:spacing w:line="240" w:lineRule="auto" w:before="2"/>
        <w:rPr>
          <w:rFonts w:ascii="宋体" w:hAnsi="宋体" w:cs="宋体" w:eastAsia="宋体" w:hint="default"/>
          <w:b/>
          <w:bCs/>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358" w:hRule="exact"/>
        </w:trPr>
        <w:tc>
          <w:tcPr>
            <w:tcW w:w="2268" w:type="dxa"/>
            <w:tcBorders>
              <w:top w:val="single" w:sz="4" w:space="0" w:color="000000"/>
              <w:left w:val="single" w:sz="4" w:space="0" w:color="000000"/>
              <w:bottom w:val="nil" w:sz="6" w:space="0" w:color="auto"/>
              <w:right w:val="single" w:sz="4" w:space="0" w:color="000000"/>
            </w:tcBorders>
            <w:shd w:val="clear" w:color="auto" w:fill="D3D3D3"/>
          </w:tcPr>
          <w:p>
            <w:pPr/>
          </w:p>
        </w:tc>
        <w:tc>
          <w:tcPr>
            <w:tcW w:w="7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①经常发生的、债务单位信誉较好的、确实有把握收回的应收款项（如：一年以内的应收款</w:t>
            </w:r>
          </w:p>
        </w:tc>
      </w:tr>
      <w:tr>
        <w:trPr>
          <w:trHeight w:val="244"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
        </w:tc>
        <w:tc>
          <w:tcPr>
            <w:tcW w:w="7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项、一年以上有担保单位担保或公司担保证明、相应的资产抵押证明、法院判决书及债务单</w:t>
            </w:r>
          </w:p>
        </w:tc>
      </w:tr>
      <w:tr>
        <w:trPr>
          <w:trHeight w:val="401"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位承诺的还款计划等的应收款项）以及公司员工个人欠款；</w:t>
            </w:r>
          </w:p>
        </w:tc>
      </w:tr>
      <w:tr>
        <w:trPr>
          <w:trHeight w:val="376"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73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②单项金额不重大且账龄在三年以上的应收款项。</w:t>
            </w:r>
            <w:r>
              <w:rPr>
                <w:rFonts w:ascii="Microsoft Sans Serif" w:hAnsi="Microsoft Sans Serif" w:cs="Microsoft Sans Serif" w:eastAsia="Microsoft Sans Serif" w:hint="default"/>
                <w:sz w:val="18"/>
                <w:szCs w:val="18"/>
              </w:rPr>
              <w:t> </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shd w:val="clear" w:color="auto" w:fill="D3D3D3"/>
          </w:tcPr>
          <w:p>
            <w:pPr/>
          </w:p>
        </w:tc>
        <w:tc>
          <w:tcPr>
            <w:tcW w:w="7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①经常发生的、债务单位信誉较好的、确实有把握收回的应收款项（如：一年以内的应收款</w:t>
            </w:r>
          </w:p>
        </w:tc>
      </w:tr>
      <w:tr>
        <w:trPr>
          <w:trHeight w:val="312"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
        </w:tc>
        <w:tc>
          <w:tcPr>
            <w:tcW w:w="7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项、一年以上有担保单位担保或公司担保证明、相应的资产抵押证明、法院判决书及债务单</w:t>
            </w:r>
          </w:p>
        </w:tc>
      </w:tr>
      <w:tr>
        <w:trPr>
          <w:trHeight w:val="343"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位承诺的还款计划等的应收款项）以及公司员工个人欠款不计提坏账准备。</w:t>
            </w:r>
            <w:r>
              <w:rPr>
                <w:rFonts w:ascii="Microsoft Sans Serif" w:hAnsi="Microsoft Sans Serif" w:cs="Microsoft Sans Serif" w:eastAsia="Microsoft Sans Serif" w:hint="default"/>
                <w:sz w:val="18"/>
                <w:szCs w:val="18"/>
              </w:rPr>
              <w:t> </w:t>
            </w:r>
          </w:p>
        </w:tc>
      </w:tr>
      <w:tr>
        <w:trPr>
          <w:trHeight w:val="322" w:hRule="exact"/>
        </w:trPr>
        <w:tc>
          <w:tcPr>
            <w:tcW w:w="2268" w:type="dxa"/>
            <w:tcBorders>
              <w:top w:val="nil" w:sz="6" w:space="0" w:color="auto"/>
              <w:left w:val="single" w:sz="4" w:space="0" w:color="000000"/>
              <w:bottom w:val="nil" w:sz="6" w:space="0" w:color="auto"/>
              <w:right w:val="single" w:sz="4" w:space="0" w:color="000000"/>
            </w:tcBorders>
            <w:shd w:val="clear" w:color="auto" w:fill="D3D3D3"/>
          </w:tcPr>
          <w:p>
            <w:pPr/>
          </w:p>
        </w:tc>
        <w:tc>
          <w:tcPr>
            <w:tcW w:w="730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②对有客观证据表明可能发生了减值的应收款项，将其从相关组合中分离出来，单独进行减</w:t>
            </w:r>
          </w:p>
        </w:tc>
      </w:tr>
      <w:tr>
        <w:trPr>
          <w:trHeight w:val="356" w:hRule="exact"/>
        </w:trPr>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c>
          <w:tcPr>
            <w:tcW w:w="73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值测试，根据其未来现金流量现值低于其账面价值的差额，确认减值损失，计提坏账准备。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23"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
          <w:w w:val="99"/>
        </w:rPr>
        <w:t> </w:t>
      </w:r>
      <w:r>
        <w:rPr/>
        <w:t>存货分类为：库存商品、发出商品、自制半成品、在产品、原材料、低值易耗品和委托加工材料、工</w:t>
      </w:r>
    </w:p>
    <w:p>
      <w:pPr>
        <w:spacing w:after="0" w:line="256"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left="523" w:right="0" w:hanging="370"/>
        <w:jc w:val="left"/>
      </w:pPr>
      <w:r>
        <w:rPr/>
        <w:t>程施工、开发成本、开发产品、影视剧成本、影视剧在产品、影视片成本等。 影视剧成本是指公司计划提供拍摄电影或电视剧所发生的文学剧本的实际成本，此成本于相关电影或</w:t>
      </w:r>
    </w:p>
    <w:p>
      <w:pPr>
        <w:pStyle w:val="BodyText"/>
        <w:spacing w:line="273" w:lineRule="auto"/>
        <w:ind w:left="153" w:right="150"/>
        <w:jc w:val="both"/>
      </w:pPr>
      <w:r>
        <w:rPr>
          <w:spacing w:val="-1"/>
        </w:rPr>
        <w:t>电视剧投入拍摄时转入影片制作成本。影视剧在产品是指制作中的电影、电视剧等成本，此成本于拍摄完</w:t>
      </w:r>
      <w:r>
        <w:rPr>
          <w:spacing w:val="-83"/>
        </w:rPr>
        <w:t> </w:t>
      </w:r>
      <w:r>
        <w:rPr>
          <w:spacing w:val="-83"/>
        </w:rPr>
      </w:r>
      <w:r>
        <w:rPr/>
        <w:t>成并取得《电影片公映许可证》或国产《电视剧发行许可证》后转入影视片成本。</w:t>
      </w:r>
    </w:p>
    <w:p>
      <w:pPr>
        <w:spacing w:line="240" w:lineRule="auto" w:before="6"/>
        <w:rPr>
          <w:rFonts w:ascii="宋体" w:hAnsi="宋体" w:cs="宋体" w:eastAsia="宋体" w:hint="default"/>
          <w:sz w:val="24"/>
          <w:szCs w:val="24"/>
        </w:rPr>
      </w:pPr>
    </w:p>
    <w:p>
      <w:pPr>
        <w:spacing w:line="256" w:lineRule="auto" w:before="0"/>
        <w:ind w:left="523" w:right="436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纯土地开发项目，其费用支出单独构成土地开发成本；</w:t>
      </w:r>
    </w:p>
    <w:p>
      <w:pPr>
        <w:pStyle w:val="BodyText"/>
        <w:spacing w:line="273" w:lineRule="auto" w:before="22"/>
        <w:ind w:left="523" w:right="0"/>
        <w:jc w:val="left"/>
      </w:pPr>
      <w:r>
        <w:rPr/>
        <w:t>连同房产整体开发的项目，其费用可分清负担对象的，一般按实际面积分摊记入商品房成本。 开发产品按已完工工程项目的预计结算成本和未完工工程项目的预算成本之和，扣除本公司拥有产权</w:t>
      </w:r>
    </w:p>
    <w:p>
      <w:pPr>
        <w:pStyle w:val="BodyText"/>
        <w:spacing w:line="273" w:lineRule="auto"/>
        <w:ind w:left="523" w:right="5781" w:hanging="370"/>
        <w:jc w:val="left"/>
      </w:pPr>
      <w:r>
        <w:rPr/>
        <w:t>的配套设施成本后，按可售建筑面积分摊。 其他各类存货按实际成本核算。</w:t>
      </w:r>
    </w:p>
    <w:p>
      <w:pPr>
        <w:pStyle w:val="BodyText"/>
        <w:spacing w:line="273" w:lineRule="auto"/>
        <w:ind w:left="523" w:right="2681"/>
        <w:jc w:val="left"/>
      </w:pPr>
      <w:r>
        <w:rPr/>
        <w:t>发出的开发产品按个别认定法计价，发出的其他存货按加权平均法计价。 原材料、库存商品、发出商品等发出时采用加权平均法计价。</w:t>
      </w:r>
    </w:p>
    <w:p>
      <w:pPr>
        <w:spacing w:line="240" w:lineRule="auto" w:before="6"/>
        <w:rPr>
          <w:rFonts w:ascii="宋体" w:hAnsi="宋体" w:cs="宋体" w:eastAsia="宋体" w:hint="default"/>
          <w:sz w:val="24"/>
          <w:szCs w:val="24"/>
        </w:rPr>
      </w:pPr>
    </w:p>
    <w:p>
      <w:pPr>
        <w:pStyle w:val="BodyText"/>
        <w:spacing w:line="264" w:lineRule="auto" w:before="0"/>
        <w:ind w:left="523"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spacing w:val="1"/>
          <w:w w:val="99"/>
        </w:rPr>
        <w:t> </w:t>
      </w:r>
      <w:r>
        <w:rPr/>
        <w:t>期末对存货进行全面清查后，按存货的成本与可变现净值孰低提取或调整存货跌价准备。 产成品、库存商品和用于出售的材料等直接用于出售的商品存货，在正常生产经营过程中，以该存货</w:t>
      </w:r>
    </w:p>
    <w:p>
      <w:pPr>
        <w:pStyle w:val="BodyText"/>
        <w:spacing w:line="273" w:lineRule="auto" w:before="16"/>
        <w:ind w:right="15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ind w:right="147" w:firstLine="369"/>
        <w:jc w:val="both"/>
      </w:pPr>
      <w:r>
        <w:rPr/>
        <w:t>期末按照单个存货项目计提存货跌价准备；但对于数量繁多、单价较低的存货，按照存货类别计提存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left="523" w:right="0"/>
        <w:jc w:val="left"/>
      </w:pPr>
      <w:r>
        <w:rPr/>
        <w:t>房地产项目期末按照单个存货项目计提存货跌价准备。 期刊类存货发行三个月以内的不计提存货跌价准备，发行三个月以上的期刊按照实洋的</w:t>
      </w:r>
      <w:r>
        <w:rPr>
          <w:rFonts w:ascii="Times New Roman" w:hAnsi="Times New Roman" w:cs="Times New Roman" w:eastAsia="Times New Roman" w:hint="default"/>
        </w:rPr>
        <w:t>10%</w:t>
      </w:r>
      <w:r>
        <w:rPr/>
        <w:t>作为可变</w:t>
      </w:r>
    </w:p>
    <w:p>
      <w:pPr>
        <w:pStyle w:val="BodyText"/>
        <w:spacing w:line="256" w:lineRule="auto" w:before="0"/>
        <w:ind w:left="153" w:right="147"/>
        <w:jc w:val="both"/>
      </w:pPr>
      <w:r>
        <w:rPr/>
        <w:t>现净值，采用成本与可变现净值孰低法确定跌价准备。图书类存货出版</w:t>
      </w:r>
      <w:r>
        <w:rPr>
          <w:rFonts w:ascii="Times New Roman" w:hAnsi="Times New Roman" w:cs="Times New Roman" w:eastAsia="Times New Roman" w:hint="default"/>
        </w:rPr>
        <w:t>1</w:t>
      </w:r>
      <w:r>
        <w:rPr/>
        <w:t>年以内的不计提存货跌价准备，</w:t>
      </w:r>
      <w:r>
        <w:rPr>
          <w:spacing w:val="-35"/>
        </w:rPr>
        <w:t> </w:t>
      </w:r>
      <w:r>
        <w:rPr>
          <w:spacing w:val="-35"/>
        </w:rPr>
      </w:r>
      <w:r>
        <w:rPr>
          <w:spacing w:val="-2"/>
        </w:rPr>
        <w:t>出版</w:t>
      </w:r>
      <w:r>
        <w:rPr>
          <w:rFonts w:ascii="Times New Roman" w:hAnsi="Times New Roman" w:cs="Times New Roman" w:eastAsia="Times New Roman" w:hint="default"/>
          <w:spacing w:val="-2"/>
        </w:rPr>
        <w:t>1-2</w:t>
      </w:r>
      <w:r>
        <w:rPr>
          <w:spacing w:val="-2"/>
        </w:rPr>
        <w:t>年的按实际成本的</w:t>
      </w:r>
      <w:r>
        <w:rPr>
          <w:rFonts w:ascii="Times New Roman" w:hAnsi="Times New Roman" w:cs="Times New Roman" w:eastAsia="Times New Roman" w:hint="default"/>
          <w:spacing w:val="-2"/>
        </w:rPr>
        <w:t>10%</w:t>
      </w:r>
      <w:r>
        <w:rPr>
          <w:spacing w:val="-2"/>
        </w:rPr>
        <w:t>计提存货跌价准备，出版</w:t>
      </w:r>
      <w:r>
        <w:rPr>
          <w:rFonts w:ascii="Times New Roman" w:hAnsi="Times New Roman" w:cs="Times New Roman" w:eastAsia="Times New Roman" w:hint="default"/>
          <w:spacing w:val="-2"/>
        </w:rPr>
        <w:t>2-3</w:t>
      </w:r>
      <w:r>
        <w:rPr>
          <w:spacing w:val="-2"/>
        </w:rPr>
        <w:t>年的按实际成本的</w:t>
      </w:r>
      <w:r>
        <w:rPr>
          <w:rFonts w:ascii="Times New Roman" w:hAnsi="Times New Roman" w:cs="Times New Roman" w:eastAsia="Times New Roman" w:hint="default"/>
          <w:spacing w:val="-2"/>
        </w:rPr>
        <w:t>20%</w:t>
      </w:r>
      <w:r>
        <w:rPr>
          <w:spacing w:val="-2"/>
        </w:rPr>
        <w:t>计提存货跌价准备，出版</w:t>
      </w:r>
      <w:r>
        <w:rPr>
          <w:spacing w:val="-102"/>
        </w:rPr>
        <w:t> </w:t>
      </w:r>
      <w:r>
        <w:rPr>
          <w:spacing w:val="-102"/>
        </w:rPr>
      </w:r>
      <w:r>
        <w:rPr>
          <w:rFonts w:ascii="Times New Roman" w:hAnsi="Times New Roman" w:cs="Times New Roman" w:eastAsia="Times New Roman" w:hint="default"/>
        </w:rPr>
        <w:t>3</w:t>
      </w:r>
      <w:r>
        <w:rPr/>
        <w:t>年以上的按实际成本的</w:t>
      </w:r>
      <w:r>
        <w:rPr>
          <w:rFonts w:ascii="Times New Roman" w:hAnsi="Times New Roman" w:cs="Times New Roman" w:eastAsia="Times New Roman" w:hint="default"/>
        </w:rPr>
        <w:t>30%</w:t>
      </w:r>
      <w:r>
        <w:rPr/>
        <w:t>计提存货跌价准备。</w:t>
      </w:r>
    </w:p>
    <w:p>
      <w:pPr>
        <w:pStyle w:val="BodyText"/>
        <w:spacing w:line="273" w:lineRule="auto" w:before="5"/>
        <w:ind w:left="153" w:right="147" w:firstLine="369"/>
        <w:jc w:val="both"/>
      </w:pPr>
      <w:r>
        <w:rPr/>
        <w:t>以前减记存货价值的影响因素已经消失的，减记的金额予以恢复，并在原已计提的存货跌价准备金额 内转回，转回的金额计入当期损益。</w:t>
      </w:r>
    </w:p>
    <w:p>
      <w:pPr>
        <w:spacing w:line="256" w:lineRule="auto" w:before="7"/>
        <w:ind w:left="523" w:right="7398"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pStyle w:val="Heading6"/>
        <w:spacing w:line="240" w:lineRule="auto" w:before="22"/>
        <w:ind w:left="524"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21"/>
        <w:ind w:left="523" w:right="0"/>
        <w:jc w:val="left"/>
      </w:pPr>
      <w:r>
        <w:rPr/>
        <w:t>①低值易耗品采用一次转销法；</w:t>
      </w:r>
    </w:p>
    <w:p>
      <w:pPr>
        <w:pStyle w:val="BodyText"/>
        <w:spacing w:line="240" w:lineRule="auto" w:before="37"/>
        <w:ind w:left="523" w:right="0"/>
        <w:jc w:val="left"/>
      </w:pPr>
      <w:r>
        <w:rPr/>
        <w:t>②包装物采用一次转销法。</w:t>
      </w:r>
    </w:p>
    <w:p>
      <w:pPr>
        <w:pStyle w:val="BodyText"/>
        <w:spacing w:line="264" w:lineRule="auto" w:before="37"/>
        <w:ind w:left="523" w:right="1211" w:firstLine="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）公共配套设施费用的核算方法</w:t>
      </w:r>
      <w:r>
        <w:rPr>
          <w:rFonts w:ascii="宋体" w:hAnsi="宋体" w:cs="宋体" w:eastAsia="宋体" w:hint="default"/>
          <w:b/>
          <w:bCs/>
          <w:w w:val="99"/>
        </w:rPr>
        <w:t> </w:t>
      </w:r>
      <w:r>
        <w:rPr/>
        <w:t>不能有偿转让的公共配套设施：按受益比例确定标准分配计入商品房成本； 能有偿转让的公共配套设施：以各配套设施项目作为成本核算对象，归集所发生的成本。</w:t>
      </w:r>
    </w:p>
    <w:p>
      <w:pPr>
        <w:spacing w:after="0" w:line="264"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spacing w:line="256" w:lineRule="auto" w:before="0"/>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z w:val="21"/>
          <w:szCs w:val="21"/>
        </w:rPr>
        <w:t>共同控制，是指按照相关约定对某项安排所共有的控制，并且该安排的相关活动必须经过分享控制权</w:t>
      </w:r>
    </w:p>
    <w:p>
      <w:pPr>
        <w:pStyle w:val="BodyText"/>
        <w:spacing w:line="273" w:lineRule="auto" w:before="22"/>
        <w:ind w:left="153" w:right="210"/>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273" w:lineRule="auto"/>
        <w:ind w:left="153" w:right="207" w:firstLine="369"/>
        <w:jc w:val="both"/>
      </w:pPr>
      <w:r>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Heading6"/>
        <w:spacing w:line="240" w:lineRule="auto" w:before="7"/>
        <w:ind w:left="524" w:right="1097"/>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273" w:lineRule="auto" w:before="21"/>
        <w:ind w:left="523" w:right="101"/>
        <w:jc w:val="left"/>
      </w:pPr>
      <w:r>
        <w:rPr/>
        <w:t>①企业合并形成的长期股权投资 同一控制下的企业合并：公司以支付现金、转让非现金资产或承担债务方式以及以发行权益性证券作</w:t>
      </w:r>
    </w:p>
    <w:p>
      <w:pPr>
        <w:pStyle w:val="BodyText"/>
        <w:spacing w:line="273" w:lineRule="auto"/>
        <w:ind w:left="153" w:right="21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273" w:lineRule="auto"/>
        <w:ind w:left="153" w:right="207" w:firstLine="369"/>
        <w:jc w:val="both"/>
      </w:pPr>
      <w:r>
        <w:rPr/>
        <w:t>非同一控制下的企业合并：公司按照购买日确定的合并成本作为长期股权投资的初始投资成本。因追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273" w:lineRule="auto"/>
        <w:ind w:left="523" w:right="101"/>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 在非货币性资产交换具备商业实质和换入资产或换出资产的公允价值能够可靠计量的前提下，非货币</w:t>
      </w:r>
    </w:p>
    <w:p>
      <w:pPr>
        <w:pStyle w:val="BodyText"/>
        <w:spacing w:line="273" w:lineRule="auto"/>
        <w:ind w:left="153" w:right="21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23" w:right="1097"/>
        <w:jc w:val="left"/>
      </w:pPr>
      <w:r>
        <w:rPr/>
        <w:t>通过债务重组取得的长期股权投资，其初始投资成本按照公允价值为基础确定。</w:t>
      </w:r>
    </w:p>
    <w:p>
      <w:pPr>
        <w:pStyle w:val="Heading6"/>
        <w:spacing w:line="240" w:lineRule="auto" w:before="37"/>
        <w:ind w:left="524" w:right="1097"/>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73" w:lineRule="auto" w:before="21"/>
        <w:ind w:left="523" w:right="101"/>
        <w:jc w:val="left"/>
      </w:pPr>
      <w:r>
        <w:rPr/>
        <w:t>①成本法核算的长期股权投资 公司对子公司的长期股权投资，采用成本法核算。除取得投资时实际支付的价款或对价中包含的已宣</w:t>
      </w:r>
    </w:p>
    <w:p>
      <w:pPr>
        <w:pStyle w:val="BodyText"/>
        <w:spacing w:line="273" w:lineRule="auto"/>
        <w:ind w:left="153" w:right="210"/>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73" w:lineRule="auto"/>
        <w:ind w:left="523" w:right="101"/>
        <w:jc w:val="left"/>
      </w:pPr>
      <w:r>
        <w:rPr/>
        <w:t>②权益法核算的长期股权投资 对联营企业和合营企业的长期股权投资，采用权益法核算。初始投资成本大于投资时应享有被投资单</w:t>
      </w:r>
    </w:p>
    <w:p>
      <w:pPr>
        <w:pStyle w:val="BodyText"/>
        <w:spacing w:line="273" w:lineRule="auto"/>
        <w:ind w:left="153" w:right="21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73" w:lineRule="auto"/>
        <w:ind w:left="153" w:right="207" w:firstLine="369"/>
        <w:jc w:val="both"/>
      </w:pPr>
      <w:r>
        <w:rPr/>
        <w:t>公司按照应享有或应分担的被投资单位实现的净损益和其他综合收益的份额，分别确认投资收益和其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273" w:lineRule="auto"/>
        <w:ind w:left="153" w:right="102" w:firstLine="369"/>
        <w:jc w:val="left"/>
      </w:pPr>
      <w:r>
        <w:rPr>
          <w:spacing w:val="-2"/>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w:t>
      </w:r>
    </w:p>
    <w:p>
      <w:pPr>
        <w:spacing w:after="0" w:line="273"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before="35"/>
        <w:ind w:left="523" w:right="101" w:hanging="370"/>
        <w:jc w:val="left"/>
      </w:pPr>
      <w:r>
        <w:rPr/>
        <w:t>资单位的金额为基础进行核算。 </w:t>
      </w:r>
      <w:r>
        <w:rPr>
          <w:spacing w:val="-2"/>
        </w:rPr>
        <w:t>公司与联营企业、合营企业之间发生的未实现内部交易损益按照应享有的比例计算归属于公司的部分，</w:t>
      </w:r>
    </w:p>
    <w:p>
      <w:pPr>
        <w:pStyle w:val="BodyText"/>
        <w:spacing w:line="266" w:lineRule="auto"/>
        <w:ind w:left="153" w:right="188"/>
        <w:jc w:val="both"/>
      </w:pPr>
      <w:r>
        <w:rPr/>
        <w:t>予以抵销，在此基础上确认投资收益。与被投资单位发生的未实现内部交易损失，属于资产减值损失的， </w:t>
      </w:r>
      <w:r>
        <w:rPr>
          <w:spacing w:val="-1"/>
        </w:rPr>
        <w:t>全额确认。公司与联营企业、合营企业之间发生投出或出售资产的交易，该资产构成业务的，按照本附注</w:t>
      </w:r>
      <w:r>
        <w:rPr>
          <w:spacing w:val="-82"/>
        </w:rPr>
        <w:t> </w:t>
      </w:r>
      <w:r>
        <w:rPr>
          <w:spacing w:val="-82"/>
        </w:rPr>
      </w:r>
      <w:r>
        <w:rPr>
          <w:rFonts w:ascii="Times New Roman" w:hAnsi="Times New Roman" w:cs="Times New Roman" w:eastAsia="Times New Roman" w:hint="default"/>
        </w:rPr>
        <w:t>“</w:t>
      </w:r>
      <w:r>
        <w:rPr/>
        <w:t>五、</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w:t>
      </w:r>
      <w:r>
        <w:rPr>
          <w:spacing w:val="-89"/>
        </w:rPr>
        <w:t> </w:t>
      </w:r>
      <w:r>
        <w:rPr/>
        <w:t>露的相关政策进行会计处理。</w:t>
      </w:r>
    </w:p>
    <w:p>
      <w:pPr>
        <w:pStyle w:val="BodyText"/>
        <w:spacing w:line="273" w:lineRule="auto" w:before="14"/>
        <w:ind w:left="153" w:right="207" w:firstLine="369"/>
        <w:jc w:val="both"/>
      </w:pPr>
      <w:r>
        <w:rPr/>
        <w:t>在公司确认应分担被投资单位发生的亏损时，按照以下顺序进行处理：首先，冲减长期股权投资的账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273" w:lineRule="auto"/>
        <w:ind w:left="523" w:right="2741"/>
        <w:jc w:val="left"/>
      </w:pPr>
      <w:r>
        <w:rPr/>
        <w:t>③长期股权投资的处置 处置长期股权投资，其账面价值与实际取得价款的差额，计入当期损益。</w:t>
      </w:r>
    </w:p>
    <w:p>
      <w:pPr>
        <w:pStyle w:val="BodyText"/>
        <w:spacing w:line="273" w:lineRule="auto"/>
        <w:ind w:left="153" w:right="207" w:firstLine="369"/>
        <w:jc w:val="both"/>
      </w:pPr>
      <w:r>
        <w:rPr/>
        <w:t>采用权益法核算的长期股权投资，在处置该项投资时，采用与被投资单位直接处置相关资产或负债相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273" w:lineRule="auto"/>
        <w:ind w:left="153" w:right="207" w:firstLine="369"/>
        <w:jc w:val="both"/>
      </w:pPr>
      <w:r>
        <w:rPr/>
        <w:t>因处置部分股权投资等原因丧失了对被投资单位的共同控制或重大影响的，处置后的剩余股权改按金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273" w:lineRule="auto"/>
        <w:ind w:left="153" w:right="207" w:firstLine="369"/>
        <w:jc w:val="both"/>
      </w:pPr>
      <w:r>
        <w:rPr/>
        <w:t>因处置部分股权投资等原因丧失了对被投资单位控制权的，在编制个别财务报表时，处置后的剩余股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273" w:lineRule="auto"/>
        <w:ind w:left="153" w:right="207" w:firstLine="369"/>
        <w:jc w:val="both"/>
      </w:pPr>
      <w:r>
        <w:rPr/>
        <w:t>处置的股权是因追加投资等原因通过企业合并取得的，在编制个别财务报表时，处置后的剩余股权采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6"/>
        <w:spacing w:line="240" w:lineRule="auto" w:before="0"/>
        <w:ind w:left="153" w:right="1097"/>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03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right="207" w:firstLine="369"/>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273" w:lineRule="auto"/>
        <w:ind w:right="207" w:firstLine="369"/>
        <w:jc w:val="both"/>
      </w:pPr>
      <w:r>
        <w:rPr/>
        <w:t>公司对现有投资性房地产采用成本模式计量。对按照成本模式计量的投资性房地产－出租用建筑物采 用与本公司固定资产相同的折旧政策，出租用土地使用权按与无形资产相同的摊销政策执行。</w:t>
      </w:r>
    </w:p>
    <w:p>
      <w:pPr>
        <w:spacing w:after="0" w:line="273"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6"/>
        <w:spacing w:line="240" w:lineRule="auto"/>
        <w:ind w:right="1097"/>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153" w:right="1097"/>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3" w:right="210" w:firstLine="420"/>
        <w:jc w:val="both"/>
        <w:rPr>
          <w:rFonts w:ascii="Microsoft Sans Serif" w:hAnsi="Microsoft Sans Serif" w:cs="Microsoft Sans Serif" w:eastAsia="Microsoft Sans Serif" w:hint="default"/>
          <w:sz w:val="20"/>
          <w:szCs w:val="20"/>
        </w:rPr>
      </w:pPr>
      <w:r>
        <w:rPr>
          <w:spacing w:val="-1"/>
        </w:rPr>
        <w:t>固定资产指为生产商品、提供劳务、出租或经营管理而持有，并且使用寿命超过一个会计年度的有形</w:t>
      </w:r>
      <w:r>
        <w:rPr/>
        <w:t> 资产。固定资产在同时满足下列条件时予以确认：</w:t>
      </w:r>
      <w:r>
        <w:rPr>
          <w:spacing w:val="57"/>
        </w:rPr>
        <w:t> </w:t>
      </w:r>
      <w:r>
        <w:rPr>
          <w:rFonts w:ascii="Microsoft Sans Serif" w:hAnsi="Microsoft Sans Serif" w:cs="Microsoft Sans Serif" w:eastAsia="Microsoft Sans Serif" w:hint="default"/>
          <w:spacing w:val="57"/>
          <w:sz w:val="20"/>
          <w:szCs w:val="20"/>
        </w:rPr>
      </w:r>
      <w:r>
        <w:rPr/>
        <w:t>①与该固定资产有关的经济利益很可能流入企业；② 该固定资产的成本能够可靠地计量。</w:t>
      </w:r>
      <w:r>
        <w:rPr>
          <w:rFonts w:ascii="Microsoft Sans Serif" w:hAnsi="Microsoft Sans Serif" w:cs="Microsoft Sans Serif" w:eastAsia="Microsoft Sans Serif" w:hint="default"/>
          <w:w w:val="101"/>
          <w:sz w:val="20"/>
          <w:szCs w:val="20"/>
        </w:rPr>
        <w:t> </w:t>
      </w:r>
      <w:r>
        <w:rPr>
          <w:rFonts w:ascii="Microsoft Sans Serif" w:hAnsi="Microsoft Sans Serif" w:cs="Microsoft Sans Serif" w:eastAsia="Microsoft Sans Serif" w:hint="default"/>
          <w:sz w:val="20"/>
          <w:szCs w:val="20"/>
        </w:rPr>
      </w:r>
    </w:p>
    <w:p>
      <w:pPr>
        <w:spacing w:line="240" w:lineRule="auto" w:before="1"/>
        <w:rPr>
          <w:rFonts w:ascii="Microsoft Sans Serif" w:hAnsi="Microsoft Sans Serif" w:cs="Microsoft Sans Serif" w:eastAsia="Microsoft Sans Serif" w:hint="default"/>
          <w:sz w:val="27"/>
          <w:szCs w:val="27"/>
        </w:rPr>
      </w:pPr>
    </w:p>
    <w:p>
      <w:pPr>
        <w:pStyle w:val="Heading6"/>
        <w:spacing w:line="240" w:lineRule="auto" w:before="0"/>
        <w:ind w:right="1097"/>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9.70—2.43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9.70—5.38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19.40—8.08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6.06—3.88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19.40—9.70</w:t>
            </w:r>
          </w:p>
        </w:tc>
      </w:tr>
    </w:tbl>
    <w:p>
      <w:pPr>
        <w:pStyle w:val="BodyText"/>
        <w:spacing w:line="260" w:lineRule="exact" w:before="0"/>
        <w:ind w:right="101" w:firstLine="369"/>
        <w:jc w:val="left"/>
      </w:pPr>
      <w:r>
        <w:rPr/>
        <w:t>固定资产折旧采用年限平均法分类计提，根据固定资产类别、预计使用寿命和预计净残值率确定折旧</w:t>
      </w:r>
    </w:p>
    <w:p>
      <w:pPr>
        <w:pStyle w:val="BodyText"/>
        <w:spacing w:line="273" w:lineRule="auto" w:before="37"/>
        <w:ind w:right="101"/>
        <w:jc w:val="left"/>
      </w:pP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pStyle w:val="BodyText"/>
        <w:spacing w:line="240" w:lineRule="auto"/>
        <w:ind w:left="523" w:right="1097"/>
        <w:jc w:val="left"/>
      </w:pPr>
      <w:r>
        <w:rPr/>
        <w:t>各类固定资产折旧方法、折旧年限、残值率和年折旧率如上。</w:t>
      </w:r>
    </w:p>
    <w:p>
      <w:pPr>
        <w:pStyle w:val="BodyText"/>
        <w:spacing w:line="590" w:lineRule="atLeast" w:before="39"/>
        <w:ind w:left="523" w:right="101" w:hanging="370"/>
        <w:jc w:val="left"/>
      </w:pPr>
      <w:r>
        <w:rPr>
          <w:rFonts w:ascii="Times New Roman" w:hAnsi="Times New Roman" w:cs="Times New Roman" w:eastAsia="Times New Roman" w:hint="default"/>
          <w:b/>
          <w:bCs/>
        </w:rPr>
        <w:t>16</w:t>
      </w:r>
      <w:r>
        <w:rPr>
          <w:rFonts w:ascii="宋体" w:hAnsi="宋体" w:cs="宋体" w:eastAsia="宋体" w:hint="default"/>
          <w:b/>
          <w:bCs/>
        </w:rPr>
        <w:t>、在建工程</w:t>
      </w:r>
      <w:r>
        <w:rPr>
          <w:rFonts w:ascii="宋体" w:hAnsi="宋体" w:cs="宋体" w:eastAsia="宋体" w:hint="default"/>
          <w:b/>
          <w:bCs/>
          <w:w w:val="99"/>
        </w:rPr>
        <w:t> </w:t>
      </w:r>
      <w:r>
        <w:rPr/>
        <w:t>在建工程项目按建造该项资产达到预定可使用状态前所发生的必要支出，作为固定资产的入账价值。</w:t>
      </w:r>
    </w:p>
    <w:p>
      <w:pPr>
        <w:pStyle w:val="BodyText"/>
        <w:spacing w:line="273" w:lineRule="auto" w:before="37"/>
        <w:ind w:left="153" w:right="102"/>
        <w:jc w:val="left"/>
      </w:pP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6"/>
        <w:spacing w:line="240" w:lineRule="auto" w:before="0"/>
        <w:ind w:left="153" w:right="1097"/>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23" w:right="101"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spacing w:val="1"/>
          <w:w w:val="99"/>
        </w:rPr>
        <w:t> </w:t>
      </w:r>
      <w:r>
        <w:rPr/>
        <w:t>借款费用，包括借款利息、折价或者溢价的摊销、辅助费用以及因外币借款而发生的汇兑差额等。 公司发生的借款费用，可直接归属于符合资本化条件的资产的购建或者生产的，予以资本化，计入相</w:t>
      </w:r>
    </w:p>
    <w:p>
      <w:pPr>
        <w:pStyle w:val="BodyText"/>
        <w:spacing w:line="273" w:lineRule="auto" w:before="16"/>
        <w:ind w:left="523" w:right="101" w:hanging="370"/>
        <w:jc w:val="left"/>
      </w:pPr>
      <w:r>
        <w:rPr/>
        <w:t>关资产成本；其他借款费用，在发生时根据其发生额确认为费用，计入当期损益。 符合资本化条件的资产，是指需要经过相当长时间的购建或者生产活动才能达到预定可使用或者可销</w:t>
      </w:r>
    </w:p>
    <w:p>
      <w:pPr>
        <w:pStyle w:val="BodyText"/>
        <w:spacing w:line="273" w:lineRule="auto"/>
        <w:ind w:left="523" w:right="5211" w:hanging="370"/>
        <w:jc w:val="left"/>
      </w:pPr>
      <w:r>
        <w:rPr/>
        <w:t>售状态的固定资产、投资性房地产和存货等资产。 借款费用同时满足下列条件时开始资本化：</w:t>
      </w:r>
    </w:p>
    <w:p>
      <w:pPr>
        <w:pStyle w:val="BodyText"/>
        <w:spacing w:line="273" w:lineRule="auto"/>
        <w:ind w:left="153" w:right="101" w:firstLine="369"/>
        <w:jc w:val="left"/>
      </w:pPr>
      <w:r>
        <w:rPr/>
        <w:t>①资产支出已经发生，资产支出包括为购建或者生产符合资本化条件的资产而以支付现金、转移非现 金资产或者承担带息债务形式发生的支出；</w:t>
      </w:r>
    </w:p>
    <w:p>
      <w:pPr>
        <w:pStyle w:val="BodyText"/>
        <w:spacing w:line="240" w:lineRule="auto"/>
        <w:ind w:left="523" w:right="1097"/>
        <w:jc w:val="left"/>
      </w:pPr>
      <w:r>
        <w:rPr/>
        <w:t>②借款费用已经发生；</w:t>
      </w:r>
    </w:p>
    <w:p>
      <w:pPr>
        <w:pStyle w:val="BodyText"/>
        <w:spacing w:line="240" w:lineRule="auto" w:before="37"/>
        <w:ind w:left="523" w:right="1097"/>
        <w:jc w:val="left"/>
      </w:pPr>
      <w:r>
        <w:rPr/>
        <w:t>③为使资产达到预定可使用或者可销售状态所必要的购建或者生产活动已经开始。</w:t>
      </w:r>
    </w:p>
    <w:p>
      <w:pPr>
        <w:spacing w:line="256" w:lineRule="auto" w:before="3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资本化期间，指从借款费用开始资本化时点到停止资本化时点的期间，借款费用暂停资本化的期间不</w:t>
      </w:r>
    </w:p>
    <w:p>
      <w:pPr>
        <w:spacing w:after="0" w:line="25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包括在内。</w:t>
      </w:r>
    </w:p>
    <w:p>
      <w:pPr>
        <w:pStyle w:val="BodyText"/>
        <w:spacing w:line="273" w:lineRule="auto" w:before="37"/>
        <w:ind w:left="523" w:right="101"/>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w:t>
      </w:r>
    </w:p>
    <w:p>
      <w:pPr>
        <w:pStyle w:val="BodyText"/>
        <w:spacing w:line="240" w:lineRule="auto"/>
        <w:ind w:right="0"/>
        <w:jc w:val="both"/>
      </w:pPr>
      <w:r>
        <w:rPr/>
        <w:t>止资本化。</w:t>
      </w:r>
    </w:p>
    <w:p>
      <w:pPr>
        <w:pStyle w:val="BodyText"/>
        <w:spacing w:line="273" w:lineRule="auto" w:before="37"/>
        <w:ind w:right="207" w:firstLine="369"/>
        <w:jc w:val="both"/>
      </w:pPr>
      <w:r>
        <w:rPr/>
        <w:t>购建或者生产的资产的各部分分别完工，但必须等到整体完工后才可使用或可对外销售的，在该资产 整体完工时停止借款费用资本化。</w:t>
      </w:r>
    </w:p>
    <w:p>
      <w:pPr>
        <w:pStyle w:val="BodyText"/>
        <w:spacing w:line="256" w:lineRule="auto"/>
        <w:ind w:left="523" w:right="206"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w:t>
      </w:r>
    </w:p>
    <w:p>
      <w:pPr>
        <w:pStyle w:val="BodyText"/>
        <w:spacing w:line="273" w:lineRule="auto" w:before="5"/>
        <w:ind w:right="210"/>
        <w:jc w:val="both"/>
      </w:pPr>
      <w:r>
        <w:rPr>
          <w:spacing w:val="-1"/>
        </w:rPr>
        <w:t>费用暂停资本化；该项中断如是所购建或生产的符合资本化条件的资产达到预定可使用状态或者可销售状</w:t>
      </w:r>
      <w:r>
        <w:rPr>
          <w:spacing w:val="-81"/>
        </w:rPr>
        <w:t> </w:t>
      </w:r>
      <w:r>
        <w:rPr>
          <w:spacing w:val="-81"/>
        </w:rPr>
      </w:r>
      <w:r>
        <w:rPr>
          <w:spacing w:val="-1"/>
        </w:rPr>
        <w:t>态必要的程序，则借款费用继续资本化。在中断期间发生的借款费用确认为当期损益，直至资产的购建或</w:t>
      </w:r>
      <w:r>
        <w:rPr>
          <w:spacing w:val="-83"/>
        </w:rPr>
        <w:t> </w:t>
      </w:r>
      <w:r>
        <w:rPr>
          <w:spacing w:val="-83"/>
        </w:rPr>
      </w:r>
      <w:r>
        <w:rPr/>
        <w:t>者生产活动重新开始后借款费用继续资本化。</w:t>
      </w:r>
    </w:p>
    <w:p>
      <w:pPr>
        <w:spacing w:line="256" w:lineRule="auto" w:before="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对于为购建或者生产符合资本化条件的资产而借入的专门借款，以专门借款当期实际发生的借款费用，</w:t>
      </w:r>
    </w:p>
    <w:p>
      <w:pPr>
        <w:pStyle w:val="BodyText"/>
        <w:spacing w:line="273" w:lineRule="auto" w:before="22"/>
        <w:ind w:right="101"/>
        <w:jc w:val="left"/>
      </w:pPr>
      <w:r>
        <w:rPr>
          <w:spacing w:val="-1"/>
        </w:rPr>
        <w:t>减去尚未动用的借款资金存入银行取得的利息收入或进行暂时性投资取得的投资收益后的金额，来确定借</w:t>
      </w:r>
      <w:r>
        <w:rPr>
          <w:spacing w:val="-81"/>
        </w:rPr>
        <w:t> </w:t>
      </w:r>
      <w:r>
        <w:rPr>
          <w:spacing w:val="-81"/>
        </w:rPr>
      </w:r>
      <w:r>
        <w:rPr/>
        <w:t>款费用的资本化金额。</w:t>
      </w:r>
    </w:p>
    <w:p>
      <w:pPr>
        <w:pStyle w:val="BodyText"/>
        <w:spacing w:line="273" w:lineRule="auto"/>
        <w:ind w:right="188" w:firstLine="369"/>
        <w:jc w:val="both"/>
      </w:pPr>
      <w:r>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spacing w:line="240" w:lineRule="auto" w:before="8"/>
        <w:rPr>
          <w:rFonts w:ascii="宋体" w:hAnsi="宋体" w:cs="宋体" w:eastAsia="宋体" w:hint="default"/>
          <w:sz w:val="23"/>
          <w:szCs w:val="23"/>
        </w:rPr>
      </w:pPr>
    </w:p>
    <w:p>
      <w:pPr>
        <w:pStyle w:val="Heading6"/>
        <w:spacing w:line="240" w:lineRule="auto" w:before="0"/>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24" w:right="1097"/>
        <w:jc w:val="left"/>
        <w:rPr>
          <w:b w:val="0"/>
          <w:bCs w:val="0"/>
        </w:rPr>
      </w:pPr>
      <w:r>
        <w:rPr/>
        <w:t>①无形资产的计价方法</w:t>
      </w:r>
      <w:r>
        <w:rPr>
          <w:b w:val="0"/>
          <w:bCs w:val="0"/>
        </w:rPr>
      </w:r>
    </w:p>
    <w:p>
      <w:pPr>
        <w:pStyle w:val="BodyText"/>
        <w:spacing w:line="256" w:lineRule="auto" w:before="37"/>
        <w:ind w:left="523" w:right="101" w:hanging="1"/>
        <w:jc w:val="left"/>
      </w:pP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w:t>
      </w:r>
    </w:p>
    <w:p>
      <w:pPr>
        <w:pStyle w:val="BodyText"/>
        <w:spacing w:line="273" w:lineRule="auto" w:before="22"/>
        <w:ind w:right="101"/>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ind w:right="207" w:firstLine="369"/>
        <w:jc w:val="both"/>
      </w:pPr>
      <w:r>
        <w:rPr/>
        <w:t>债务重组取得债务人用以抵债的无形资产，以该无形资产的公允价值为基础确定其入账价值，并将重 组债务的账面价值与该用以抵债的无形资产公允价值之间的差额，计入当期损益。</w:t>
      </w:r>
    </w:p>
    <w:p>
      <w:pPr>
        <w:pStyle w:val="BodyText"/>
        <w:spacing w:line="273" w:lineRule="auto"/>
        <w:ind w:right="207" w:firstLine="369"/>
        <w:jc w:val="both"/>
      </w:pPr>
      <w:r>
        <w:rPr/>
        <w:t>在非货币性资产交换具备商业实质且换入资产或换出资产的公允价值能够可靠计量的前提下，非货币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56" w:lineRule="auto"/>
        <w:ind w:left="523" w:right="5681" w:hanging="1"/>
        <w:jc w:val="left"/>
      </w:pP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right="207" w:firstLine="369"/>
        <w:jc w:val="both"/>
      </w:pPr>
      <w:r>
        <w:rPr/>
        <w:t>对于使用寿命有限的无形资产，在为企业带来经济利益的期限内按直线法摊销；无法预见无形资产为 企业带来经济利益期限的，视为使用寿命不确定的无形资产，不予摊销。</w:t>
      </w:r>
    </w:p>
    <w:p>
      <w:pPr>
        <w:spacing w:line="273" w:lineRule="auto" w:before="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②使用寿命有限的无形资产的使用寿命估计情况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t>使用寿命有限的无形资产，以其成本扣除预计残值后的金额，在预计的使用年限内采用直线法进行摊</w:t>
      </w:r>
    </w:p>
    <w:p>
      <w:pPr>
        <w:pStyle w:val="BodyText"/>
        <w:spacing w:line="240" w:lineRule="auto"/>
        <w:ind w:right="0"/>
        <w:jc w:val="both"/>
      </w:pPr>
      <w:r>
        <w:rPr/>
        <w:t>销，其摊销期限如下</w:t>
      </w:r>
    </w:p>
    <w:p>
      <w:pPr>
        <w:pStyle w:val="BodyText"/>
        <w:spacing w:line="240" w:lineRule="auto" w:before="37"/>
        <w:ind w:left="523" w:right="1097"/>
        <w:jc w:val="left"/>
      </w:pPr>
      <w:r>
        <w:rPr>
          <w:rFonts w:ascii="Times New Roman" w:hAnsi="Times New Roman" w:cs="Times New Roman" w:eastAsia="Times New Roman" w:hint="default"/>
        </w:rPr>
        <w:t>1</w:t>
      </w:r>
      <w:r>
        <w:rPr/>
        <w:t>）土地使用权按取得时尚可使用年限摊销；</w:t>
      </w:r>
    </w:p>
    <w:p>
      <w:pPr>
        <w:pStyle w:val="BodyText"/>
        <w:spacing w:line="256" w:lineRule="auto" w:before="21"/>
        <w:ind w:left="523" w:right="5051" w:hanging="1"/>
        <w:jc w:val="left"/>
      </w:pPr>
      <w:r>
        <w:rPr>
          <w:rFonts w:ascii="Times New Roman" w:hAnsi="Times New Roman" w:cs="Times New Roman" w:eastAsia="Times New Roman" w:hint="default"/>
        </w:rPr>
        <w:t>2</w:t>
      </w:r>
      <w:r>
        <w:rPr/>
        <w:t>）其他无形资产按预计使用年限摊销。 对于无形资产的使用寿命按照下述程序进行判断</w:t>
      </w:r>
    </w:p>
    <w:p>
      <w:pPr>
        <w:spacing w:after="0" w:line="256"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56" w:lineRule="auto" w:before="35"/>
        <w:ind w:right="206" w:firstLine="369"/>
        <w:jc w:val="left"/>
      </w:pPr>
      <w:r>
        <w:rPr>
          <w:rFonts w:ascii="Times New Roman" w:hAnsi="Times New Roman" w:cs="Times New Roman" w:eastAsia="Times New Roman" w:hint="default"/>
          <w:spacing w:val="-2"/>
        </w:rPr>
        <w:t>1</w:t>
      </w:r>
      <w:r>
        <w:rPr>
          <w:spacing w:val="-2"/>
        </w:rPr>
        <w:t>）来源于合同性权利或其他法定权利的无形资产，其使用寿命不应超过合同性权利或其他法定权利的</w:t>
      </w:r>
      <w:r>
        <w:rPr/>
        <w:t> 期限；</w:t>
      </w:r>
    </w:p>
    <w:p>
      <w:pPr>
        <w:pStyle w:val="BodyText"/>
        <w:spacing w:line="264" w:lineRule="auto" w:before="22"/>
        <w:ind w:left="153" w:right="91" w:firstLine="369"/>
        <w:jc w:val="left"/>
      </w:pPr>
      <w:r>
        <w:rPr>
          <w:rFonts w:ascii="Times New Roman" w:hAnsi="Times New Roman" w:cs="Times New Roman" w:eastAsia="Times New Roman" w:hint="default"/>
          <w:spacing w:val="-4"/>
        </w:rPr>
        <w:t>2</w:t>
      </w:r>
      <w:r>
        <w:rPr>
          <w:spacing w:val="-4"/>
        </w:rPr>
        <w:t>）合同性权利或其他法定权利在到期时因续约等延续、且有证据表明企业续约不需要付出大额成本的，</w:t>
      </w:r>
      <w:r>
        <w:rPr/>
        <w:t> 续约期应当计入使用寿命。合同或法律没有规定使用寿命的，本公司综合各方面因素判断，以确定无形资 产能为企业带来经济利益的期限。</w:t>
      </w:r>
    </w:p>
    <w:p>
      <w:pPr>
        <w:pStyle w:val="BodyText"/>
        <w:spacing w:line="273" w:lineRule="auto" w:before="16"/>
        <w:ind w:left="523" w:right="2741"/>
        <w:jc w:val="left"/>
      </w:pPr>
      <w:r>
        <w:rPr/>
        <w:t>每期末，对使用寿命有限的无形资产的使用寿命及摊销方法进行复核。 经复核，本期期末无形资产的使用寿命及摊销方法与以前估计未有不同。</w:t>
      </w:r>
    </w:p>
    <w:p>
      <w:pPr>
        <w:spacing w:line="273" w:lineRule="auto" w:before="7"/>
        <w:ind w:left="523" w:right="2503" w:firstLine="1"/>
        <w:jc w:val="left"/>
        <w:rPr>
          <w:rFonts w:ascii="宋体" w:hAnsi="宋体" w:cs="宋体" w:eastAsia="宋体" w:hint="default"/>
          <w:sz w:val="21"/>
          <w:szCs w:val="21"/>
        </w:rPr>
      </w:pPr>
      <w:r>
        <w:rPr>
          <w:rFonts w:ascii="宋体" w:hAnsi="宋体" w:cs="宋体" w:eastAsia="宋体" w:hint="default"/>
          <w:b/>
          <w:bCs/>
          <w:sz w:val="21"/>
          <w:szCs w:val="21"/>
        </w:rPr>
        <w:t>③使用寿命不确定的无形资产的判断依据以及对其使用寿命进行复核的程序</w:t>
      </w:r>
      <w:r>
        <w:rPr>
          <w:rFonts w:ascii="宋体" w:hAnsi="宋体" w:cs="宋体" w:eastAsia="宋体" w:hint="default"/>
          <w:b/>
          <w:bCs/>
          <w:spacing w:val="1"/>
          <w:w w:val="99"/>
          <w:sz w:val="21"/>
          <w:szCs w:val="21"/>
        </w:rPr>
        <w:t> </w:t>
      </w:r>
      <w:r>
        <w:rPr>
          <w:rFonts w:ascii="宋体" w:hAnsi="宋体" w:cs="宋体" w:eastAsia="宋体" w:hint="default"/>
          <w:sz w:val="21"/>
          <w:szCs w:val="21"/>
        </w:rPr>
        <w:t>每期末，对使用寿命不确定的无形资产的使用寿命进行复核。 经复核，该类无形资产的使用寿命仍为不确定。</w:t>
      </w:r>
    </w:p>
    <w:p>
      <w:pPr>
        <w:spacing w:line="240" w:lineRule="auto" w:before="8"/>
        <w:rPr>
          <w:rFonts w:ascii="宋体" w:hAnsi="宋体" w:cs="宋体" w:eastAsia="宋体" w:hint="default"/>
          <w:sz w:val="23"/>
          <w:szCs w:val="23"/>
        </w:rPr>
      </w:pPr>
    </w:p>
    <w:p>
      <w:pPr>
        <w:pStyle w:val="Heading6"/>
        <w:spacing w:line="240" w:lineRule="auto" w:before="0"/>
        <w:ind w:left="153"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23" w:right="101" w:firstLine="1"/>
        <w:jc w:val="left"/>
      </w:pPr>
      <w:r>
        <w:rPr>
          <w:rFonts w:ascii="宋体" w:hAnsi="宋体" w:cs="宋体" w:eastAsia="宋体" w:hint="default"/>
          <w:b/>
          <w:bCs/>
        </w:rPr>
        <w:t>①划分研究阶段和开发阶段的具体标准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w:t>
      </w:r>
    </w:p>
    <w:p>
      <w:pPr>
        <w:pStyle w:val="BodyText"/>
        <w:spacing w:line="240" w:lineRule="auto"/>
        <w:ind w:left="153" w:right="0"/>
        <w:jc w:val="both"/>
      </w:pPr>
      <w:r>
        <w:rPr/>
        <w:t>的或具有实质性改进的材料、装置、产品等活动的阶段。</w:t>
      </w:r>
    </w:p>
    <w:p>
      <w:pPr>
        <w:spacing w:line="273" w:lineRule="auto" w:before="37"/>
        <w:ind w:left="523" w:right="2741" w:firstLine="1"/>
        <w:jc w:val="left"/>
        <w:rPr>
          <w:rFonts w:ascii="宋体" w:hAnsi="宋体" w:cs="宋体" w:eastAsia="宋体" w:hint="default"/>
          <w:sz w:val="21"/>
          <w:szCs w:val="21"/>
        </w:rPr>
      </w:pPr>
      <w:r>
        <w:rPr>
          <w:rFonts w:ascii="宋体" w:hAnsi="宋体" w:cs="宋体" w:eastAsia="宋体" w:hint="default"/>
          <w:b/>
          <w:bCs/>
          <w:sz w:val="21"/>
          <w:szCs w:val="21"/>
        </w:rPr>
        <w:t>②开发阶段支出资本化的具体条件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 </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pStyle w:val="BodyText"/>
        <w:spacing w:line="279" w:lineRule="exact" w:before="0"/>
        <w:ind w:left="523" w:right="1097"/>
        <w:jc w:val="left"/>
      </w:pP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206" w:firstLine="369"/>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w:t>
      </w:r>
      <w:r>
        <w:rPr/>
        <w:t> 存在市场，无形资产将在内部使用的，能够证明其有用性；</w:t>
      </w:r>
    </w:p>
    <w:p>
      <w:pPr>
        <w:pStyle w:val="BodyText"/>
        <w:spacing w:line="256" w:lineRule="auto" w:before="22"/>
        <w:ind w:right="206" w:firstLine="369"/>
        <w:jc w:val="left"/>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w:t>
      </w:r>
      <w:r>
        <w:rPr/>
        <w:t> 资产；</w:t>
      </w:r>
    </w:p>
    <w:p>
      <w:pPr>
        <w:pStyle w:val="BodyText"/>
        <w:spacing w:line="256" w:lineRule="auto" w:before="22"/>
        <w:ind w:left="523" w:right="101" w:hanging="1"/>
        <w:jc w:val="left"/>
      </w:pP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w:t>
      </w:r>
    </w:p>
    <w:p>
      <w:pPr>
        <w:pStyle w:val="BodyText"/>
        <w:spacing w:line="240" w:lineRule="auto" w:before="22"/>
        <w:ind w:right="0"/>
        <w:jc w:val="both"/>
      </w:pPr>
      <w:r>
        <w:rPr/>
        <w:t>期损益。</w:t>
      </w:r>
    </w:p>
    <w:p>
      <w:pPr>
        <w:pStyle w:val="BodyText"/>
        <w:spacing w:line="590" w:lineRule="atLeast" w:before="39"/>
        <w:ind w:left="523" w:right="101" w:hanging="370"/>
        <w:jc w:val="left"/>
      </w:pP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spacing w:val="1"/>
          <w:w w:val="99"/>
        </w:rPr>
        <w:t> </w:t>
      </w:r>
      <w:r>
        <w:rPr/>
        <w:t>长期股权投资、采用成本模式计量的投资性房地产、固定资产、在建工程、无形资产等长期资产，于</w:t>
      </w:r>
    </w:p>
    <w:p>
      <w:pPr>
        <w:pStyle w:val="BodyText"/>
        <w:spacing w:line="273" w:lineRule="auto" w:before="37"/>
        <w:ind w:right="188"/>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273" w:lineRule="auto"/>
        <w:ind w:left="523" w:right="101"/>
        <w:jc w:val="left"/>
      </w:pPr>
      <w:r>
        <w:rPr/>
        <w:t>商誉至少在每年年度终了进行减值测试。 本公司进行商誉减值测试，对于因企业合并形成的商誉的账面价值，自购买日起按照合理的方法分摊</w:t>
      </w:r>
    </w:p>
    <w:p>
      <w:pPr>
        <w:pStyle w:val="BodyText"/>
        <w:spacing w:line="273" w:lineRule="auto"/>
        <w:ind w:right="209"/>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spacing w:after="0" w:line="273" w:lineRule="auto"/>
        <w:jc w:val="both"/>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before="35"/>
        <w:ind w:right="128" w:firstLine="369"/>
        <w:jc w:val="both"/>
      </w:pPr>
      <w:r>
        <w:rPr/>
        <w:t>在对包含商誉的相关资产组或者资产组组合进行减值测试时，如与商誉相关的资产组或者资产组组合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组或者资产组组合的可收回金额低于其账面价值的，确认商誉的减值损失。上述资产减值损失一经确认， 在以后会计期间不予转回。</w:t>
      </w:r>
    </w:p>
    <w:p>
      <w:pPr>
        <w:spacing w:line="240" w:lineRule="auto" w:before="8"/>
        <w:rPr>
          <w:rFonts w:ascii="宋体" w:hAnsi="宋体" w:cs="宋体" w:eastAsia="宋体" w:hint="default"/>
          <w:sz w:val="24"/>
          <w:szCs w:val="24"/>
        </w:rPr>
      </w:pPr>
    </w:p>
    <w:p>
      <w:pPr>
        <w:pStyle w:val="BodyText"/>
        <w:spacing w:line="590" w:lineRule="atLeast" w:before="0"/>
        <w:ind w:left="523" w:right="0" w:hanging="370"/>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spacing w:val="1"/>
          <w:w w:val="99"/>
        </w:rPr>
        <w:t> </w:t>
      </w:r>
      <w:r>
        <w:rPr/>
        <w:t>长期待摊费用为已经发生但应由本期和以后各期负担的分摊期限在一年以上的各项费用。本公司长期</w:t>
      </w:r>
    </w:p>
    <w:p>
      <w:pPr>
        <w:pStyle w:val="BodyText"/>
        <w:spacing w:line="240" w:lineRule="auto" w:before="37"/>
        <w:ind w:left="153" w:right="0"/>
        <w:jc w:val="left"/>
      </w:pPr>
      <w:r>
        <w:rPr/>
        <w:t>待摊费用包括经营租入固定资产改良、客户技改工程、金鹿卡、环境修缮费用、广告牌经营权等。</w:t>
      </w:r>
    </w:p>
    <w:p>
      <w:pPr>
        <w:spacing w:line="256" w:lineRule="auto" w:before="37"/>
        <w:ind w:left="523" w:right="604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pStyle w:val="Heading6"/>
        <w:spacing w:line="240" w:lineRule="auto" w:before="22"/>
        <w:ind w:left="524" w:right="0"/>
        <w:jc w:val="left"/>
        <w:rPr>
          <w:b w:val="0"/>
          <w:bCs w:val="0"/>
        </w:rPr>
      </w:pPr>
      <w:r>
        <w:rPr/>
        <w:t>（</w:t>
      </w:r>
      <w:r>
        <w:rPr>
          <w:rFonts w:ascii="Times New Roman" w:hAnsi="Times New Roman" w:cs="Times New Roman" w:eastAsia="Times New Roman" w:hint="default"/>
        </w:rPr>
        <w:t>2</w:t>
      </w:r>
      <w:r>
        <w:rPr/>
        <w:t>）摊销年限</w:t>
      </w:r>
      <w:r>
        <w:rPr>
          <w:b w:val="0"/>
          <w:bCs w:val="0"/>
        </w:rPr>
      </w:r>
    </w:p>
    <w:p>
      <w:pPr>
        <w:pStyle w:val="BodyText"/>
        <w:spacing w:line="240" w:lineRule="auto" w:before="21"/>
        <w:ind w:left="523" w:right="0"/>
        <w:jc w:val="left"/>
      </w:pPr>
      <w:r>
        <w:rPr/>
        <w:t>①对于筹建期间发生的开办费，从发生的当月直接扣除。</w:t>
      </w:r>
    </w:p>
    <w:p>
      <w:pPr>
        <w:pStyle w:val="BodyText"/>
        <w:spacing w:line="240" w:lineRule="auto" w:before="37"/>
        <w:ind w:left="523" w:right="0"/>
        <w:jc w:val="left"/>
      </w:pPr>
      <w:r>
        <w:rPr/>
        <w:t>②其余的长期待摊费用按照费用受益期限平均摊销。</w:t>
      </w:r>
    </w:p>
    <w:p>
      <w:pPr>
        <w:spacing w:line="240" w:lineRule="auto" w:before="11"/>
        <w:rPr>
          <w:rFonts w:ascii="宋体" w:hAnsi="宋体" w:cs="宋体" w:eastAsia="宋体" w:hint="default"/>
          <w:sz w:val="25"/>
          <w:szCs w:val="25"/>
        </w:rPr>
      </w:pPr>
    </w:p>
    <w:p>
      <w:pPr>
        <w:pStyle w:val="Heading6"/>
        <w:spacing w:line="240" w:lineRule="auto" w:before="0"/>
        <w:ind w:left="153" w:right="0"/>
        <w:jc w:val="left"/>
        <w:rPr>
          <w:b w:val="0"/>
          <w:bCs w:val="0"/>
        </w:rPr>
      </w:pPr>
      <w:r>
        <w:rPr>
          <w:rFonts w:ascii="Times New Roman" w:hAnsi="Times New Roman" w:cs="Times New Roman" w:eastAsia="Times New Roman" w:hint="default"/>
        </w:rPr>
        <w:t>21</w:t>
      </w:r>
      <w:r>
        <w:rPr/>
        <w:t>、职工薪酬</w:t>
      </w:r>
      <w:r>
        <w:rPr>
          <w:b w:val="0"/>
          <w:bCs w:val="0"/>
        </w:rPr>
      </w:r>
    </w:p>
    <w:p>
      <w:pPr>
        <w:spacing w:line="590" w:lineRule="atLeast" w:before="23"/>
        <w:ind w:left="523" w:right="0" w:hanging="37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本公司在职工为本公司提供服务的会计期间，将实际发生的短期薪酬确认为负债，并计入当期损益或</w:t>
      </w:r>
    </w:p>
    <w:p>
      <w:pPr>
        <w:pStyle w:val="BodyText"/>
        <w:spacing w:line="273" w:lineRule="auto" w:before="37"/>
        <w:ind w:left="523" w:right="0" w:hanging="370"/>
        <w:jc w:val="left"/>
      </w:pPr>
      <w:r>
        <w:rPr/>
        <w:t>相关资产成本。 本公司为职工缴纳的社会保险费和住房公积金，以及按规定提取的工会经费和职工教育经费，在职工</w:t>
      </w:r>
    </w:p>
    <w:p>
      <w:pPr>
        <w:pStyle w:val="BodyText"/>
        <w:spacing w:line="273" w:lineRule="auto"/>
        <w:ind w:left="523" w:right="951" w:hanging="370"/>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3"/>
          <w:szCs w:val="23"/>
        </w:rPr>
      </w:pPr>
    </w:p>
    <w:p>
      <w:pPr>
        <w:pStyle w:val="Heading6"/>
        <w:spacing w:line="240" w:lineRule="auto" w:before="0"/>
        <w:ind w:left="153"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7" w:right="0"/>
        <w:jc w:val="left"/>
      </w:pPr>
      <w:r>
        <w:rPr/>
        <w:t>①设定提存计划 </w:t>
      </w:r>
      <w:r>
        <w:rPr>
          <w:spacing w:val="-1"/>
        </w:rPr>
        <w:t>本公司按当地政府的相关规定为职工缴纳基本养老保险和失业保险，在职工为本公司提供服务的会计</w:t>
      </w:r>
    </w:p>
    <w:p>
      <w:pPr>
        <w:pStyle w:val="BodyText"/>
        <w:spacing w:line="273" w:lineRule="auto"/>
        <w:ind w:left="0" w:right="128"/>
        <w:jc w:val="right"/>
      </w:pPr>
      <w:r>
        <w:rPr/>
        <w:t>期间，按以当地规定的缴纳基数和比例计算应缴纳金额，确认为负债，并计入当期损益或相关资产成本。 </w:t>
      </w:r>
      <w:r>
        <w:rPr>
          <w:spacing w:val="-1"/>
        </w:rPr>
        <w:t>除基本养老保险外，本公司之子公司时报传媒还依据国家企业年金制度的相关政策建立了企业年金缴</w:t>
      </w:r>
      <w:r>
        <w:rPr/>
        <w:t> </w:t>
      </w:r>
      <w:r>
        <w:rPr>
          <w:spacing w:val="-1"/>
        </w:rPr>
        <w:t>费制度。本公司按职工工资总额的一定比例向当地社会保险机构缴纳年金，相应支出计入当期损益或相关</w:t>
      </w:r>
    </w:p>
    <w:p>
      <w:pPr>
        <w:pStyle w:val="BodyText"/>
        <w:spacing w:line="240" w:lineRule="auto"/>
        <w:ind w:left="153" w:right="0"/>
        <w:jc w:val="left"/>
      </w:pPr>
      <w:r>
        <w:rPr/>
        <w:t>资产成本。</w:t>
      </w:r>
    </w:p>
    <w:p>
      <w:pPr>
        <w:pStyle w:val="BodyText"/>
        <w:spacing w:line="273" w:lineRule="auto" w:before="37"/>
        <w:ind w:left="577" w:right="0"/>
        <w:jc w:val="left"/>
      </w:pPr>
      <w:r>
        <w:rPr/>
        <w:t>②设定受益计划 </w:t>
      </w:r>
      <w:r>
        <w:rPr>
          <w:spacing w:val="3"/>
        </w:rPr>
        <w:t>本公司根据预期累计福利单位法确定的公式将设定受益计划产生的福利义务归属于职工提供服务的</w:t>
      </w:r>
    </w:p>
    <w:p>
      <w:pPr>
        <w:pStyle w:val="BodyText"/>
        <w:spacing w:line="273" w:lineRule="auto"/>
        <w:ind w:left="577" w:right="0" w:hanging="424"/>
        <w:jc w:val="left"/>
      </w:pPr>
      <w:r>
        <w:rPr/>
        <w:t>期间，并计入当期损益或相关资产成本。 </w:t>
      </w:r>
      <w:r>
        <w:rPr>
          <w:spacing w:val="3"/>
        </w:rPr>
        <w:t>设定受益计划义务现值减去设定受益计划资产公允价值所形成的赤字或盈余确认为一项设定受益计</w:t>
      </w:r>
    </w:p>
    <w:p>
      <w:pPr>
        <w:pStyle w:val="BodyText"/>
        <w:spacing w:line="273" w:lineRule="auto"/>
        <w:ind w:left="153"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73" w:lineRule="auto"/>
        <w:ind w:left="153" w:right="124" w:firstLine="423"/>
        <w:jc w:val="both"/>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spacing w:val="-78"/>
        </w:rPr>
        <w:t> </w:t>
      </w:r>
      <w:r>
        <w:rPr>
          <w:spacing w:val="-78"/>
        </w:rPr>
      </w:r>
      <w:r>
        <w:rPr/>
        <w:t>收益率予以折现。</w:t>
      </w:r>
    </w:p>
    <w:p>
      <w:pPr>
        <w:spacing w:after="0" w:line="273"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209" w:firstLine="423"/>
        <w:jc w:val="both"/>
      </w:pPr>
      <w:r>
        <w:rPr>
          <w:spacing w:val="3"/>
        </w:rPr>
        <w:t>设定受益计划产生的服务成本和设定受益计划净负债或净资产的利息净额计入当期损益或相关资产</w:t>
      </w:r>
      <w:r>
        <w:rPr/>
        <w:t>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273" w:lineRule="auto"/>
        <w:ind w:right="101" w:firstLine="423"/>
        <w:jc w:val="left"/>
      </w:pPr>
      <w:r>
        <w:rPr>
          <w:spacing w:val="-1"/>
        </w:rPr>
        <w:t>在设定受益计划结算时，按在结算日确定的设定受益计划义务现值和结算价格两者的差额，确认结算</w:t>
      </w:r>
      <w:r>
        <w:rPr/>
        <w:t> 利得或损失。</w:t>
      </w:r>
    </w:p>
    <w:p>
      <w:pPr>
        <w:pStyle w:val="BodyText"/>
        <w:spacing w:line="240" w:lineRule="auto"/>
        <w:ind w:right="1097"/>
        <w:jc w:val="left"/>
        <w:rPr>
          <w:rFonts w:ascii="Times New Roman" w:hAnsi="Times New Roman" w:cs="Times New Roman" w:eastAsia="Times New Roman" w:hint="default"/>
        </w:rPr>
      </w:pPr>
      <w:r>
        <w:rPr/>
        <w:t>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27</w:t>
      </w:r>
      <w:r>
        <w:rPr/>
        <w:t>、应付职工薪酬</w:t>
      </w:r>
      <w:r>
        <w:rPr>
          <w:rFonts w:ascii="Times New Roman" w:hAnsi="Times New Roman" w:cs="Times New Roman" w:eastAsia="Times New Roman" w:hint="default"/>
        </w:rPr>
        <w:t>”</w:t>
      </w:r>
    </w:p>
    <w:p>
      <w:pPr>
        <w:spacing w:line="590" w:lineRule="atLeast" w:before="23"/>
        <w:ind w:left="523" w:right="101" w:hanging="37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本公司在不能单方面撤回因解除劳动关系计划或裁减建议所提供的辞退福利时，或确认与涉及支付辞</w:t>
      </w:r>
    </w:p>
    <w:p>
      <w:pPr>
        <w:pStyle w:val="BodyText"/>
        <w:spacing w:line="240" w:lineRule="auto" w:before="37"/>
        <w:ind w:right="101"/>
        <w:jc w:val="left"/>
      </w:pPr>
      <w:r>
        <w:rPr/>
        <w:t>退福利的重组相关的成本或费用时（两者孰早），确认辞退福利产生的职工薪酬负债，并计入当期损益。</w:t>
      </w:r>
    </w:p>
    <w:p>
      <w:pPr>
        <w:spacing w:line="240" w:lineRule="auto" w:before="11"/>
        <w:rPr>
          <w:rFonts w:ascii="宋体" w:hAnsi="宋体" w:cs="宋体" w:eastAsia="宋体" w:hint="default"/>
          <w:sz w:val="25"/>
          <w:szCs w:val="25"/>
        </w:rPr>
      </w:pPr>
    </w:p>
    <w:p>
      <w:pPr>
        <w:pStyle w:val="Heading6"/>
        <w:spacing w:line="240" w:lineRule="auto" w:before="0"/>
        <w:ind w:right="1097"/>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4"/>
          <w:szCs w:val="24"/>
        </w:rPr>
      </w:pPr>
    </w:p>
    <w:p>
      <w:pPr>
        <w:spacing w:line="256" w:lineRule="auto" w:before="0"/>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与诉讼、债务担保、亏损合同、重组事项等或有事项相关的义务同时满足下列条件时，本公司确认为</w:t>
      </w:r>
    </w:p>
    <w:p>
      <w:pPr>
        <w:pStyle w:val="BodyText"/>
        <w:spacing w:line="240" w:lineRule="auto" w:before="22"/>
        <w:ind w:right="1097"/>
        <w:jc w:val="left"/>
      </w:pPr>
      <w:r>
        <w:rPr/>
        <w:t>预计负债：</w:t>
      </w:r>
    </w:p>
    <w:p>
      <w:pPr>
        <w:pStyle w:val="BodyText"/>
        <w:spacing w:line="240" w:lineRule="auto" w:before="37"/>
        <w:ind w:left="523" w:right="1097"/>
        <w:jc w:val="left"/>
      </w:pPr>
      <w:r>
        <w:rPr/>
        <w:t>①该义务是本公司承担的现时义务；</w:t>
      </w:r>
    </w:p>
    <w:p>
      <w:pPr>
        <w:pStyle w:val="BodyText"/>
        <w:spacing w:line="240" w:lineRule="auto" w:before="37"/>
        <w:ind w:left="523" w:right="1097"/>
        <w:jc w:val="left"/>
      </w:pPr>
      <w:r>
        <w:rPr/>
        <w:t>②履行该义务很可能导致经济利益流出本公司；</w:t>
      </w:r>
    </w:p>
    <w:p>
      <w:pPr>
        <w:pStyle w:val="BodyText"/>
        <w:spacing w:line="240" w:lineRule="auto" w:before="37"/>
        <w:ind w:left="523" w:right="1097"/>
        <w:jc w:val="left"/>
      </w:pPr>
      <w:r>
        <w:rPr/>
        <w:t>③该义务的金额能够可靠地计量。</w:t>
      </w:r>
    </w:p>
    <w:p>
      <w:pPr>
        <w:pStyle w:val="BodyText"/>
        <w:spacing w:line="264" w:lineRule="auto" w:before="37"/>
        <w:ind w:left="523" w:right="101"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spacing w:val="1"/>
          <w:w w:val="99"/>
        </w:rPr>
        <w:t> </w:t>
      </w:r>
      <w:r>
        <w:rPr/>
        <w:t>本公司预计负债按履行相关现时义务所需的支出的最佳估计数进行初始计量。 本公司在确定最佳估计数时，综合考虑与或有事项有关的风险、不确定性和货币时间价值等因素。对</w:t>
      </w:r>
    </w:p>
    <w:p>
      <w:pPr>
        <w:pStyle w:val="BodyText"/>
        <w:spacing w:line="273" w:lineRule="auto" w:before="16"/>
        <w:ind w:left="523" w:right="101" w:hanging="370"/>
        <w:jc w:val="left"/>
      </w:pPr>
      <w:r>
        <w:rPr/>
        <w:t>于货币时间价值影响重大的，通过对相关未来现金流出进行折现后确定最佳估计数。 最佳估计数分别以下情况处理： 所需支出存在一个连续范围（或区间），且该范围内各种结果发生的可能性相同的，则最佳估计数按</w:t>
      </w:r>
    </w:p>
    <w:p>
      <w:pPr>
        <w:pStyle w:val="BodyText"/>
        <w:spacing w:line="273" w:lineRule="auto"/>
        <w:ind w:left="523" w:right="101" w:hanging="370"/>
        <w:jc w:val="left"/>
      </w:pPr>
      <w:r>
        <w:rPr/>
        <w:t>照该范围的中间值即上下限金额的平均数确定。 所需支出不存在一个连续范围（或区间），或虽然存在一个连续范围但该范围内各种结果发生的可能</w:t>
      </w:r>
    </w:p>
    <w:p>
      <w:pPr>
        <w:pStyle w:val="BodyText"/>
        <w:spacing w:line="273" w:lineRule="auto"/>
        <w:ind w:right="101"/>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273" w:lineRule="auto"/>
        <w:ind w:right="101" w:firstLine="369"/>
        <w:jc w:val="left"/>
      </w:pPr>
      <w:r>
        <w:rPr/>
        <w:t>本公司清偿预计负债所需支出全部或部分预期由第三方补偿的，补偿金额在基本确定能够收到时，作 为资产单独确认，确认的补偿金额不超过预计负债的账面价值。</w:t>
      </w:r>
    </w:p>
    <w:p>
      <w:pPr>
        <w:pStyle w:val="BodyText"/>
        <w:spacing w:line="240" w:lineRule="auto"/>
        <w:ind w:left="523" w:right="1097"/>
        <w:jc w:val="left"/>
      </w:pPr>
      <w:r>
        <w:rPr/>
        <w:t>本公司预计负债主要为子公司澄怀科技出国留学咨询服务收入销售退回，执行情况如下：</w:t>
      </w:r>
    </w:p>
    <w:p>
      <w:pPr>
        <w:pStyle w:val="BodyText"/>
        <w:spacing w:line="273" w:lineRule="auto" w:before="37"/>
        <w:ind w:left="523" w:right="3987"/>
        <w:jc w:val="left"/>
      </w:pPr>
      <w:r>
        <w:rPr/>
        <w:t>①预计负债 预计负债</w:t>
      </w:r>
      <w:r>
        <w:rPr>
          <w:rFonts w:ascii="Times New Roman" w:hAnsi="Times New Roman" w:cs="Times New Roman" w:eastAsia="Times New Roman" w:hint="default"/>
        </w:rPr>
        <w:t>=</w:t>
      </w:r>
      <w:r>
        <w:rPr/>
        <w:t>截止期末未执行完毕的合同累计确认收入</w:t>
      </w:r>
      <w:r>
        <w:rPr>
          <w:rFonts w:ascii="Times New Roman" w:hAnsi="Times New Roman" w:cs="Times New Roman" w:eastAsia="Times New Roman" w:hint="default"/>
        </w:rPr>
        <w:t>*</w:t>
      </w:r>
      <w:r>
        <w:rPr/>
        <w:t>退款率</w:t>
      </w:r>
    </w:p>
    <w:p>
      <w:pPr>
        <w:pStyle w:val="BodyText"/>
        <w:spacing w:line="264" w:lineRule="exact" w:before="0"/>
        <w:ind w:left="523" w:right="1097"/>
        <w:jc w:val="left"/>
      </w:pPr>
      <w:r>
        <w:rPr/>
        <w:t>②退款率的计算方法</w:t>
      </w:r>
    </w:p>
    <w:p>
      <w:pPr>
        <w:pStyle w:val="BodyText"/>
        <w:spacing w:line="240" w:lineRule="auto" w:before="37"/>
        <w:ind w:left="523" w:right="91"/>
        <w:jc w:val="left"/>
        <w:rPr>
          <w:rFonts w:ascii="Times New Roman" w:hAnsi="Times New Roman" w:cs="Times New Roman" w:eastAsia="Times New Roman" w:hint="default"/>
        </w:rPr>
      </w:pPr>
      <w:r>
        <w:rPr>
          <w:rFonts w:ascii="Times New Roman" w:hAnsi="Times New Roman" w:cs="Times New Roman" w:eastAsia="Times New Roman" w:hint="default"/>
        </w:rPr>
        <w:t>201X</w:t>
      </w:r>
      <w:r>
        <w:rPr/>
        <w:t>年退款率</w:t>
      </w:r>
      <w:r>
        <w:rPr>
          <w:rFonts w:ascii="Times New Roman" w:hAnsi="Times New Roman" w:cs="Times New Roman" w:eastAsia="Times New Roman" w:hint="default"/>
        </w:rPr>
        <w:t>=</w:t>
      </w:r>
      <w:r>
        <w:rPr/>
        <w:t>入学年份为</w:t>
      </w:r>
      <w:r>
        <w:rPr>
          <w:rFonts w:ascii="Times New Roman" w:hAnsi="Times New Roman" w:cs="Times New Roman" w:eastAsia="Times New Roman" w:hint="default"/>
        </w:rPr>
        <w:t>201X</w:t>
      </w:r>
      <w:r>
        <w:rPr/>
        <w:t>年的所有合同累计退款金额（不含评估期全额退款）</w:t>
      </w:r>
      <w:r>
        <w:rPr>
          <w:rFonts w:ascii="Times New Roman" w:hAnsi="Times New Roman" w:cs="Times New Roman" w:eastAsia="Times New Roman" w:hint="default"/>
        </w:rPr>
        <w:t>/</w:t>
      </w:r>
      <w:r>
        <w:rPr/>
        <w:t>入学年份为</w:t>
      </w:r>
      <w:r>
        <w:rPr>
          <w:rFonts w:ascii="Times New Roman" w:hAnsi="Times New Roman" w:cs="Times New Roman" w:eastAsia="Times New Roman" w:hint="default"/>
        </w:rPr>
        <w:t>201X</w:t>
      </w:r>
    </w:p>
    <w:p>
      <w:pPr>
        <w:pStyle w:val="BodyText"/>
        <w:spacing w:line="240" w:lineRule="auto" w:before="21"/>
        <w:ind w:right="1097"/>
        <w:jc w:val="left"/>
      </w:pPr>
      <w:r>
        <w:rPr/>
        <w:t>年的所有合同累积收款金额（不含评估期全额退款的对应收款金额）</w:t>
      </w:r>
    </w:p>
    <w:p>
      <w:pPr>
        <w:pStyle w:val="BodyText"/>
        <w:spacing w:line="273" w:lineRule="auto" w:before="37"/>
        <w:ind w:left="523" w:right="101"/>
        <w:jc w:val="left"/>
      </w:pPr>
      <w:r>
        <w:rPr/>
        <w:t>③退款率的选择 </w:t>
      </w:r>
      <w:r>
        <w:rPr>
          <w:spacing w:val="-2"/>
        </w:rPr>
        <w:t>由于澄怀科技提供出国留学咨询服务的季节性特点，每年的退款主要集中于第四季度，故在年末之前，</w:t>
      </w:r>
    </w:p>
    <w:p>
      <w:pPr>
        <w:pStyle w:val="BodyText"/>
        <w:spacing w:line="240" w:lineRule="auto"/>
        <w:ind w:right="1097"/>
        <w:jc w:val="left"/>
      </w:pPr>
      <w:r>
        <w:rPr/>
        <w:t>按上年度的退款率计算预计负债，待年末根据当年的实际退款率进行调整。</w:t>
      </w:r>
    </w:p>
    <w:p>
      <w:pPr>
        <w:spacing w:line="240" w:lineRule="auto" w:before="11"/>
        <w:rPr>
          <w:rFonts w:ascii="宋体" w:hAnsi="宋体" w:cs="宋体" w:eastAsia="宋体" w:hint="default"/>
          <w:sz w:val="25"/>
          <w:szCs w:val="25"/>
        </w:rPr>
      </w:pPr>
    </w:p>
    <w:p>
      <w:pPr>
        <w:pStyle w:val="Heading6"/>
        <w:spacing w:line="240" w:lineRule="auto" w:before="0"/>
        <w:ind w:right="1097"/>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24" w:right="1097"/>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b/>
          <w:bCs/>
          <w:sz w:val="20"/>
          <w:szCs w:val="20"/>
        </w:rPr>
      </w:pPr>
    </w:p>
    <w:p>
      <w:pPr>
        <w:pStyle w:val="BodyText"/>
        <w:spacing w:line="273" w:lineRule="auto" w:before="35"/>
        <w:ind w:right="101" w:firstLine="369"/>
        <w:jc w:val="left"/>
      </w:pPr>
      <w:r>
        <w:rPr/>
        <w:t>公司已将商品所有权上的主要风险和报酬转移给购买方；公司既没有保留与所有权相联系的继续管理 </w:t>
      </w: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23" w:right="1097"/>
        <w:jc w:val="left"/>
        <w:rPr>
          <w:rFonts w:ascii="Times New Roman" w:hAnsi="Times New Roman" w:cs="Times New Roman" w:eastAsia="Times New Roman" w:hint="default"/>
        </w:rPr>
      </w:pPr>
      <w:r>
        <w:rPr/>
        <w:t>本公司主要收入确认判断标准</w:t>
      </w:r>
      <w:r>
        <w:rPr>
          <w:rFonts w:ascii="Times New Roman" w:hAnsi="Times New Roman" w:cs="Times New Roman" w:eastAsia="Times New Roman" w:hint="default"/>
        </w:rPr>
        <w:t>:</w:t>
      </w:r>
    </w:p>
    <w:p>
      <w:pPr>
        <w:pStyle w:val="BodyText"/>
        <w:spacing w:line="240" w:lineRule="auto" w:before="21"/>
        <w:ind w:left="523" w:right="1097"/>
        <w:jc w:val="left"/>
      </w:pPr>
      <w:r>
        <w:rPr/>
        <w:t>①提供媒体信息刊登及广告服务的收入，以信息或广告刊登于媒体时确认收入。</w:t>
      </w:r>
    </w:p>
    <w:p>
      <w:pPr>
        <w:pStyle w:val="BodyText"/>
        <w:spacing w:line="240" w:lineRule="auto" w:before="37"/>
        <w:ind w:left="523" w:right="101"/>
        <w:jc w:val="left"/>
      </w:pPr>
      <w:r>
        <w:rPr/>
        <w:t>②管道天然气收入主要系提供管道天然气输送、销售业务，该业务以每月定期抄表确认收入。</w:t>
      </w:r>
    </w:p>
    <w:p>
      <w:pPr>
        <w:spacing w:line="256" w:lineRule="auto" w:before="3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与交易相关的经济利益很可能流入企业，收入的金额能够可靠地计量时。分别下列情况确定让渡资产</w:t>
      </w:r>
    </w:p>
    <w:p>
      <w:pPr>
        <w:pStyle w:val="BodyText"/>
        <w:spacing w:line="240" w:lineRule="auto" w:before="22"/>
        <w:ind w:left="153" w:right="1097"/>
        <w:jc w:val="left"/>
      </w:pPr>
      <w:r>
        <w:rPr/>
        <w:t>使用权收入金额</w:t>
      </w:r>
    </w:p>
    <w:p>
      <w:pPr>
        <w:pStyle w:val="BodyText"/>
        <w:spacing w:line="240" w:lineRule="auto" w:before="37"/>
        <w:ind w:left="523" w:right="1097"/>
        <w:jc w:val="left"/>
      </w:pPr>
      <w:r>
        <w:rPr/>
        <w:t>①利息收入金额，按照他人使用本企业货币资金的时间和实际利率计算确定。</w:t>
      </w:r>
    </w:p>
    <w:p>
      <w:pPr>
        <w:pStyle w:val="BodyText"/>
        <w:spacing w:line="240" w:lineRule="auto" w:before="37"/>
        <w:ind w:left="523" w:right="1097"/>
        <w:jc w:val="left"/>
      </w:pPr>
      <w:r>
        <w:rPr/>
        <w:t>②使用费收入金额，按照有关合同或协议约定的收费时间和方法计算确定。</w:t>
      </w:r>
    </w:p>
    <w:p>
      <w:pPr>
        <w:spacing w:line="256" w:lineRule="auto" w:before="37"/>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99"/>
          <w:sz w:val="21"/>
          <w:szCs w:val="21"/>
        </w:rPr>
        <w:t> </w:t>
      </w:r>
      <w:r>
        <w:rPr>
          <w:rFonts w:ascii="宋体" w:hAnsi="宋体" w:cs="宋体" w:eastAsia="宋体" w:hint="default"/>
          <w:sz w:val="21"/>
          <w:szCs w:val="21"/>
        </w:rPr>
        <w:t>在资产负债表日提供劳务交易的结果能够可靠估计的，采用完工百分比法确认提供劳务收入。提供劳</w:t>
      </w:r>
    </w:p>
    <w:p>
      <w:pPr>
        <w:pStyle w:val="BodyText"/>
        <w:spacing w:line="273" w:lineRule="auto" w:before="22"/>
        <w:ind w:left="523" w:right="101" w:hanging="370"/>
        <w:jc w:val="left"/>
      </w:pPr>
      <w:r>
        <w:rPr/>
        <w:t>务交易的完工进度，依据已完工作的测量确定。 按照已收或应收的合同或协议价款确定提供劳务收入总额，但已收或应收的合同或协议价款不公允的</w:t>
      </w:r>
    </w:p>
    <w:p>
      <w:pPr>
        <w:pStyle w:val="BodyText"/>
        <w:spacing w:line="273" w:lineRule="auto"/>
        <w:ind w:left="153" w:right="210"/>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ind w:left="523" w:right="1097"/>
        <w:jc w:val="left"/>
      </w:pPr>
      <w:r>
        <w:rPr/>
        <w:t>在资产负债表日提供劳务交易结果不能够可靠估计的，分别下列情况处理：</w:t>
      </w:r>
    </w:p>
    <w:p>
      <w:pPr>
        <w:pStyle w:val="BodyText"/>
        <w:spacing w:line="273" w:lineRule="auto" w:before="37"/>
        <w:ind w:left="153" w:right="101" w:firstLine="369"/>
        <w:jc w:val="left"/>
      </w:pPr>
      <w:r>
        <w:rPr/>
        <w:t>①已经发生的劳务成本预计能够得到补偿的，按照已经发生的劳务成本金额确认提供劳务收入，并按 相同金额结转劳务成本。</w:t>
      </w:r>
    </w:p>
    <w:p>
      <w:pPr>
        <w:pStyle w:val="BodyText"/>
        <w:spacing w:line="273" w:lineRule="auto"/>
        <w:ind w:left="153" w:right="101" w:firstLine="369"/>
        <w:jc w:val="left"/>
      </w:pPr>
      <w:r>
        <w:rPr/>
        <w:t>②已经发生的劳务成本预计不能够得到补偿的，将已经发生的劳务成本计入当期损益，不确认提供劳 务收入。</w:t>
      </w:r>
    </w:p>
    <w:p>
      <w:pPr>
        <w:pStyle w:val="Heading6"/>
        <w:spacing w:line="256" w:lineRule="auto" w:before="7"/>
        <w:ind w:left="153" w:right="203" w:firstLine="370"/>
        <w:jc w:val="left"/>
        <w:rPr>
          <w:b w:val="0"/>
          <w:bCs w:val="0"/>
        </w:rPr>
      </w:pPr>
      <w:r>
        <w:rPr>
          <w:spacing w:val="2"/>
        </w:rPr>
        <w:t>（</w:t>
      </w:r>
      <w:r>
        <w:rPr>
          <w:rFonts w:ascii="Times New Roman" w:hAnsi="Times New Roman" w:cs="Times New Roman" w:eastAsia="Times New Roman" w:hint="default"/>
          <w:spacing w:val="2"/>
        </w:rPr>
        <w:t>4</w:t>
      </w:r>
      <w:r>
        <w:rPr>
          <w:spacing w:val="2"/>
        </w:rPr>
        <w:t>）房地产销售是以本公司房产竣工验收合格，签订了销售合同或其他结算通知书，取得了买方付</w:t>
      </w:r>
      <w:r>
        <w:rPr>
          <w:spacing w:val="3"/>
          <w:w w:val="99"/>
        </w:rPr>
        <w:t> </w:t>
      </w:r>
      <w:r>
        <w:rPr/>
        <w:t>款证明时确认收入的实现。</w:t>
      </w:r>
      <w:r>
        <w:rPr>
          <w:b w:val="0"/>
          <w:bCs w:val="0"/>
        </w:rPr>
      </w:r>
    </w:p>
    <w:p>
      <w:pPr>
        <w:spacing w:line="256" w:lineRule="auto" w:before="22"/>
        <w:ind w:left="523"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）电影、电视剧收入</w:t>
      </w:r>
      <w:r>
        <w:rPr>
          <w:rFonts w:ascii="宋体" w:hAnsi="宋体" w:cs="宋体" w:eastAsia="宋体" w:hint="default"/>
          <w:b/>
          <w:bCs/>
          <w:w w:val="99"/>
          <w:sz w:val="21"/>
          <w:szCs w:val="21"/>
        </w:rPr>
        <w:t> </w:t>
      </w:r>
      <w:r>
        <w:rPr>
          <w:rFonts w:ascii="宋体" w:hAnsi="宋体" w:cs="宋体" w:eastAsia="宋体" w:hint="default"/>
          <w:sz w:val="21"/>
          <w:szCs w:val="21"/>
        </w:rPr>
        <w:t>电影片票房分账收入：在电影片完成摄制并经电影电视行政主管部门审查通过取得《电影片公映许可</w:t>
      </w:r>
    </w:p>
    <w:p>
      <w:pPr>
        <w:pStyle w:val="BodyText"/>
        <w:spacing w:line="273" w:lineRule="auto" w:before="22"/>
        <w:ind w:left="153" w:right="211"/>
        <w:jc w:val="both"/>
      </w:pPr>
      <w:r>
        <w:rPr>
          <w:spacing w:val="-1"/>
        </w:rPr>
        <w:t>证》，电影片于院线、影院上映后按双方确认的实际票房统计及相应的分账方法所计算的金额确认；电影</w:t>
      </w:r>
      <w:r>
        <w:rPr>
          <w:spacing w:val="-82"/>
        </w:rPr>
        <w:t> </w:t>
      </w:r>
      <w:r>
        <w:rPr>
          <w:spacing w:val="-82"/>
        </w:rPr>
      </w:r>
      <w:r>
        <w:rPr>
          <w:spacing w:val="-1"/>
        </w:rPr>
        <w:t>版权收入：在影片取得《电影片公映许可证》、母带已经交付，且交易相关的经济利益很可能流入本公司</w:t>
      </w:r>
      <w:r>
        <w:rPr>
          <w:spacing w:val="-83"/>
        </w:rPr>
        <w:t> </w:t>
      </w:r>
      <w:r>
        <w:rPr>
          <w:spacing w:val="-83"/>
        </w:rPr>
      </w:r>
      <w:r>
        <w:rPr>
          <w:spacing w:val="-1"/>
        </w:rPr>
        <w:t>时确认。电视剧销售收入在电视剧完成摄制并经电影电视行政主管部门审查通过取得国产《电视剧发行许</w:t>
      </w:r>
      <w:r>
        <w:rPr>
          <w:spacing w:val="-81"/>
        </w:rPr>
        <w:t> </w:t>
      </w:r>
      <w:r>
        <w:rPr>
          <w:spacing w:val="-81"/>
        </w:rPr>
      </w:r>
      <w:r>
        <w:rPr/>
        <w:t>可证》，电视剧拷贝、播映带和其他载体转移给购货方，相关经济利益很可能流入本公司时确认。</w:t>
      </w:r>
    </w:p>
    <w:p>
      <w:pPr>
        <w:pStyle w:val="BodyText"/>
        <w:spacing w:line="273" w:lineRule="auto"/>
        <w:ind w:left="153" w:right="207" w:firstLine="369"/>
        <w:jc w:val="both"/>
      </w:pPr>
      <w:r>
        <w:rPr/>
        <w:t>电影、电视剧完成摄制前采取全部或部分卖断，或者承诺给予影片首（播）映权等方式，预售影片发 </w:t>
      </w:r>
      <w:r>
        <w:rPr>
          <w:spacing w:val="-1"/>
        </w:rPr>
        <w:t>行权、放（播）映权或其他权利所取得的款项，待电影、电视剧完成摄制并按合同约定提供给预付款人使</w:t>
      </w:r>
      <w:r>
        <w:rPr>
          <w:spacing w:val="-82"/>
        </w:rPr>
        <w:t> </w:t>
      </w:r>
      <w:r>
        <w:rPr>
          <w:spacing w:val="-82"/>
        </w:rPr>
      </w:r>
      <w:r>
        <w:rPr/>
        <w:t>用时，确认销售收入的实现。</w:t>
      </w:r>
    </w:p>
    <w:p>
      <w:pPr>
        <w:spacing w:line="240" w:lineRule="auto" w:before="8"/>
        <w:rPr>
          <w:rFonts w:ascii="宋体" w:hAnsi="宋体" w:cs="宋体" w:eastAsia="宋体" w:hint="default"/>
          <w:sz w:val="23"/>
          <w:szCs w:val="23"/>
        </w:rPr>
      </w:pPr>
    </w:p>
    <w:p>
      <w:pPr>
        <w:pStyle w:val="Heading6"/>
        <w:spacing w:line="240" w:lineRule="auto" w:before="0"/>
        <w:ind w:left="153" w:right="1097"/>
        <w:jc w:val="left"/>
        <w:rPr>
          <w:b w:val="0"/>
          <w:bCs w:val="0"/>
        </w:rPr>
      </w:pPr>
      <w:r>
        <w:rPr>
          <w:rFonts w:ascii="Times New Roman" w:hAnsi="Times New Roman" w:cs="Times New Roman" w:eastAsia="Times New Roman" w:hint="default"/>
        </w:rPr>
        <w:t>24</w:t>
      </w:r>
      <w:r>
        <w:rPr/>
        <w:t>、政府补助</w:t>
      </w:r>
      <w:r>
        <w:rPr>
          <w:b w:val="0"/>
          <w:bCs w:val="0"/>
        </w:rPr>
      </w:r>
    </w:p>
    <w:p>
      <w:pPr>
        <w:spacing w:line="590" w:lineRule="atLeast" w:before="23"/>
        <w:ind w:left="523" w:right="101" w:hanging="37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政府补助，是本公司从政府无偿取得的货币性资产与非货币性资产。分为与资产相关的政府补助和与</w:t>
      </w:r>
    </w:p>
    <w:p>
      <w:pPr>
        <w:pStyle w:val="BodyText"/>
        <w:spacing w:line="273" w:lineRule="auto" w:before="37"/>
        <w:ind w:left="523" w:right="101" w:hanging="370"/>
        <w:jc w:val="left"/>
      </w:pPr>
      <w:r>
        <w:rPr/>
        <w:t>收益相关的政府补助。 与资产相关的政府补助，是指本公司取得的、用于购建或以其他方式形成长期资产的政府补助，包括</w:t>
      </w:r>
    </w:p>
    <w:p>
      <w:pPr>
        <w:pStyle w:val="BodyText"/>
        <w:spacing w:line="273" w:lineRule="auto"/>
        <w:ind w:left="523" w:right="101" w:hanging="370"/>
        <w:jc w:val="left"/>
      </w:pPr>
      <w:r>
        <w:rPr/>
        <w:t>购买固定资产或无形资产的财政拨款、固定资产专门借款的财政贴息等。 本公司将政府补助划分为与资产相关的具体标准为：政府补助批准文件明确指出补助用于购建或以其</w:t>
      </w:r>
    </w:p>
    <w:p>
      <w:pPr>
        <w:spacing w:after="0" w:line="273"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before="35"/>
        <w:ind w:left="523" w:right="0" w:hanging="370"/>
        <w:jc w:val="left"/>
      </w:pPr>
      <w:r>
        <w:rPr/>
        <w:t>他方式形成长期资产的。 对于政府文件未明确规定补助对象的，本公司将该政府补助划分为与资产相关或与收益相关的判断依</w:t>
      </w:r>
    </w:p>
    <w:p>
      <w:pPr>
        <w:pStyle w:val="BodyText"/>
        <w:spacing w:line="273" w:lineRule="auto"/>
        <w:ind w:left="523" w:right="5151" w:hanging="370"/>
        <w:jc w:val="left"/>
      </w:pPr>
      <w:r>
        <w:rPr/>
        <w:t>据为：是否用于购建或以其他方式形成长期资产。 企业实际取得政府补助款项作为确认时点。</w:t>
      </w:r>
    </w:p>
    <w:p>
      <w:pPr>
        <w:pStyle w:val="BodyText"/>
        <w:spacing w:line="240" w:lineRule="auto"/>
        <w:ind w:left="523" w:right="0"/>
        <w:jc w:val="left"/>
      </w:pPr>
      <w:r>
        <w:rPr/>
        <w:t>与资产相关的政府补助，确认为递延收益，按照所建造或购买的资产使用年限分期计入营业外收入。</w:t>
      </w:r>
    </w:p>
    <w:p>
      <w:pPr>
        <w:spacing w:line="590" w:lineRule="atLeast" w:before="39"/>
        <w:ind w:left="523" w:right="0" w:hanging="37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政府补助，是本公司从政府无偿取得的货币性资产与非货币性资产。分为与资产相关的政府补助和与</w:t>
      </w:r>
    </w:p>
    <w:p>
      <w:pPr>
        <w:pStyle w:val="BodyText"/>
        <w:spacing w:line="273" w:lineRule="auto" w:before="37"/>
        <w:ind w:left="523" w:right="2681" w:hanging="370"/>
        <w:jc w:val="left"/>
      </w:pPr>
      <w:r>
        <w:rPr/>
        <w:t>收益相关的政府补助。 与收益相关的政府补助，是指除与资产相关的政府补助之外的政府补助。</w:t>
      </w:r>
    </w:p>
    <w:p>
      <w:pPr>
        <w:pStyle w:val="BodyText"/>
        <w:spacing w:line="273" w:lineRule="auto"/>
        <w:ind w:right="0" w:firstLine="369"/>
        <w:jc w:val="left"/>
      </w:pPr>
      <w:r>
        <w:rPr/>
        <w:t>本公司将政府补助划分为与收益相关的具体标准为：政府补助批准文件明确指出补助用于购建或以其 他方式形成长期资产之外的情况。</w:t>
      </w:r>
    </w:p>
    <w:p>
      <w:pPr>
        <w:pStyle w:val="BodyText"/>
        <w:spacing w:line="273" w:lineRule="auto"/>
        <w:ind w:right="0" w:firstLine="369"/>
        <w:jc w:val="left"/>
      </w:pPr>
      <w:r>
        <w:rPr/>
        <w:t>对于政府文件未明确规定补助对象的，本公司将该政府补助划分为与资产相关或与收益相关的判断依 据为：是否用于购建或以其他方式形成长期资产。</w:t>
      </w:r>
    </w:p>
    <w:p>
      <w:pPr>
        <w:pStyle w:val="BodyText"/>
        <w:spacing w:line="273" w:lineRule="auto"/>
        <w:ind w:left="523" w:right="0"/>
        <w:jc w:val="left"/>
      </w:pPr>
      <w:r>
        <w:rPr/>
        <w:t>企业实际取得政府补助款项作为确认时点。 与收益相关的政府补助，用于补偿本公司以后期间的相关费用或损失的，取得时确认为递延收益，在</w:t>
      </w:r>
    </w:p>
    <w:p>
      <w:pPr>
        <w:pStyle w:val="BodyText"/>
        <w:spacing w:line="273" w:lineRule="auto"/>
        <w:ind w:right="151"/>
        <w:jc w:val="both"/>
      </w:pPr>
      <w:r>
        <w:rPr>
          <w:spacing w:val="-1"/>
        </w:rPr>
        <w:t>确认相关费用的期间计入当期营业外收入；用于补偿本公司已发生的相关费用或损失的，取得时直接计入</w:t>
      </w:r>
      <w:r>
        <w:rPr>
          <w:spacing w:val="-81"/>
        </w:rPr>
        <w:t> </w:t>
      </w:r>
      <w:r>
        <w:rPr>
          <w:spacing w:val="-81"/>
        </w:rPr>
      </w:r>
      <w:r>
        <w:rPr/>
        <w:t>当期营业外收入。</w:t>
      </w:r>
    </w:p>
    <w:p>
      <w:pPr>
        <w:spacing w:line="590" w:lineRule="atLeast" w:before="9"/>
        <w:ind w:left="523" w:right="0"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对于可抵扣暂时性差异确认递延所得税资产，以未来期间很可能取得的用来抵扣可抵扣暂时性差异的</w:t>
      </w:r>
    </w:p>
    <w:p>
      <w:pPr>
        <w:pStyle w:val="BodyText"/>
        <w:spacing w:line="273" w:lineRule="auto" w:before="37"/>
        <w:ind w:right="149"/>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273" w:lineRule="auto"/>
        <w:ind w:left="523" w:right="0"/>
        <w:jc w:val="left"/>
      </w:pPr>
      <w:r>
        <w:rPr/>
        <w:t>对于应纳税暂时性差异，除特殊情况外，确认递延所得税负债。 不确认递延所得税资产或递延所得税负债的特殊情况包括：商誉的初始确认；除企业合并以外的发生</w:t>
      </w:r>
    </w:p>
    <w:p>
      <w:pPr>
        <w:pStyle w:val="BodyText"/>
        <w:spacing w:line="273" w:lineRule="auto"/>
        <w:ind w:left="523" w:right="0" w:hanging="370"/>
        <w:jc w:val="left"/>
      </w:pPr>
      <w:r>
        <w:rPr/>
        <w:t>时既不影响会计利润也不影响应纳税所得额（或可抵扣亏损）的其他交易或事项。 当拥有以净额结算的法定权利，且意图以净额结算或取得资产、清偿负债同时进行时，当期所得税资</w:t>
      </w:r>
    </w:p>
    <w:p>
      <w:pPr>
        <w:pStyle w:val="BodyText"/>
        <w:spacing w:line="273" w:lineRule="auto"/>
        <w:ind w:left="523" w:right="0" w:hanging="370"/>
        <w:jc w:val="left"/>
      </w:pPr>
      <w:r>
        <w:rPr/>
        <w:t>产及当期所得税负债以抵销后的净额列报。 当拥有以净额结算当期所得税资产及当期所得税负债的法定权利，且递延所得税资产及递延所得税负</w:t>
      </w:r>
    </w:p>
    <w:p>
      <w:pPr>
        <w:pStyle w:val="BodyText"/>
        <w:spacing w:line="273" w:lineRule="auto"/>
        <w:ind w:right="15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6"/>
        <w:spacing w:line="240" w:lineRule="auto" w:before="0"/>
        <w:ind w:right="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183.300598pt;margin-top:37.632015pt;width:192.15pt;height:50.85pt;mso-position-horizontal-relative:page;mso-position-vertical-relative:paragraph;z-index:-1216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（修订）</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本公司已执行财政部于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年颁布的下 </w:t>
            </w:r>
            <w:r>
              <w:rPr>
                <w:rFonts w:ascii="宋体" w:hAnsi="宋体" w:cs="宋体" w:eastAsia="宋体" w:hint="default"/>
                <w:spacing w:val="-6"/>
                <w:sz w:val="18"/>
                <w:szCs w:val="18"/>
              </w:rPr>
              <w:t>列新的及修订的企业会计准则：《企业会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49"/>
              <w:jc w:val="left"/>
              <w:rPr>
                <w:rFonts w:ascii="宋体" w:hAnsi="宋体" w:cs="宋体" w:eastAsia="宋体" w:hint="default"/>
                <w:sz w:val="20"/>
                <w:szCs w:val="20"/>
              </w:rPr>
            </w:pPr>
            <w:r>
              <w:rPr>
                <w:rFonts w:ascii="宋体" w:hAnsi="宋体" w:cs="宋体" w:eastAsia="宋体" w:hint="default"/>
                <w:position w:val="-5"/>
                <w:sz w:val="20"/>
                <w:szCs w:val="20"/>
              </w:rPr>
              <w:pict>
                <v:group style="width:158.950pt;height:15.6pt;mso-position-horizontal-relative:char;mso-position-vertical-relative:line" coordorigin="0,0" coordsize="3179,312">
                  <v:group style="position:absolute;left:0;top:0;width:3179;height:312" coordorigin="0,0" coordsize="3179,312">
                    <v:shape style="position:absolute;left:0;top:0;width:3179;height:312" coordorigin="0,0" coordsize="3179,312" path="m0,312l3179,312,317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29"/>
                <w:szCs w:val="29"/>
              </w:rPr>
            </w:pPr>
          </w:p>
          <w:p>
            <w:pPr>
              <w:pStyle w:val="TableParagraph"/>
              <w:spacing w:line="312" w:lineRule="exact"/>
              <w:ind w:right="-49"/>
              <w:jc w:val="left"/>
              <w:rPr>
                <w:rFonts w:ascii="宋体" w:hAnsi="宋体" w:cs="宋体" w:eastAsia="宋体" w:hint="default"/>
                <w:sz w:val="20"/>
                <w:szCs w:val="20"/>
              </w:rPr>
            </w:pPr>
            <w:r>
              <w:rPr>
                <w:rFonts w:ascii="宋体" w:hAnsi="宋体" w:cs="宋体" w:eastAsia="宋体" w:hint="default"/>
                <w:position w:val="-5"/>
                <w:sz w:val="20"/>
                <w:szCs w:val="20"/>
              </w:rPr>
              <w:pict>
                <v:group style="width:158.950pt;height:15.6pt;mso-position-horizontal-relative:char;mso-position-vertical-relative:line" coordorigin="0,0" coordsize="3179,312">
                  <v:group style="position:absolute;left:0;top:0;width:3179;height:312" coordorigin="0,0" coordsize="3179,312">
                    <v:shape style="position:absolute;left:0;top:0;width:3179;height:312" coordorigin="0,0" coordsize="3179,312" path="m0,312l3179,312,3179,0,0,0,0,312xe" filled="true" fillcolor="#ffffff" stroked="false">
                      <v:path arrowok="t"/>
                      <v:fill type="solid"/>
                    </v:shape>
                  </v:group>
                </v:group>
              </w:pict>
            </w:r>
            <w:r>
              <w:rPr>
                <w:rFonts w:ascii="宋体" w:hAnsi="宋体" w:cs="宋体" w:eastAsia="宋体" w:hint="default"/>
                <w:position w:val="-5"/>
                <w:sz w:val="20"/>
                <w:szCs w:val="20"/>
              </w:rPr>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before="35"/>
        <w:ind w:left="721" w:right="2693"/>
        <w:jc w:val="left"/>
      </w:pPr>
      <w:r>
        <w:rPr/>
        <w:t>执行财政部于</w:t>
      </w:r>
      <w:r>
        <w:rPr>
          <w:rFonts w:ascii="Times New Roman" w:hAnsi="Times New Roman" w:cs="Times New Roman" w:eastAsia="Times New Roman" w:hint="default"/>
        </w:rPr>
        <w:t>2014</w:t>
      </w:r>
      <w:r>
        <w:rPr/>
        <w:t>年修订及新颁布的准则 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5"/>
        <w:ind w:left="721" w:right="0"/>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21"/>
        <w:ind w:left="721" w:right="0"/>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261" w:lineRule="auto" w:before="21"/>
        <w:ind w:left="721" w:right="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 本公司执行上述企业会计准则的主要影响如下： 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 </w:t>
      </w:r>
      <w:r>
        <w:rPr>
          <w:spacing w:val="-2"/>
        </w:rPr>
        <w:t>本公司根据《企业会计准则第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长期股权投资》（修订）将本公司对被投资单位不具有共同控</w:t>
      </w:r>
    </w:p>
    <w:p>
      <w:pPr>
        <w:pStyle w:val="BodyText"/>
        <w:spacing w:line="273" w:lineRule="auto" w:before="0"/>
        <w:ind w:right="0"/>
        <w:jc w:val="left"/>
      </w:pPr>
      <w:r>
        <w:rPr>
          <w:spacing w:val="-1"/>
        </w:rPr>
        <w:t>制或重大影响，并且在活跃市场中没有报价、公允价值不能可靠计量的投资从长期股权投资中分类至可供</w:t>
      </w:r>
      <w:r>
        <w:rPr>
          <w:spacing w:val="-81"/>
        </w:rPr>
        <w:t> </w:t>
      </w:r>
      <w:r>
        <w:rPr>
          <w:spacing w:val="-81"/>
        </w:rPr>
      </w:r>
      <w:r>
        <w:rPr/>
        <w:t>出售金融资产核算，并进行了追溯调整。</w:t>
      </w:r>
    </w:p>
    <w:p>
      <w:pPr>
        <w:pStyle w:val="BodyText"/>
        <w:spacing w:line="240" w:lineRule="auto"/>
        <w:ind w:left="721" w:right="0"/>
        <w:jc w:val="left"/>
      </w:pPr>
      <w:r>
        <w:rPr/>
        <w:t>上述追溯调整对本期和上期财务报表的主要影响如下：</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804"/>
        <w:gridCol w:w="1802"/>
        <w:gridCol w:w="1967"/>
        <w:gridCol w:w="1804"/>
        <w:gridCol w:w="1868"/>
      </w:tblGrid>
      <w:tr>
        <w:trPr>
          <w:trHeight w:val="337" w:hRule="exact"/>
        </w:trPr>
        <w:tc>
          <w:tcPr>
            <w:tcW w:w="180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5"/>
              <w:ind w:left="1702" w:right="0"/>
              <w:jc w:val="left"/>
              <w:rPr>
                <w:rFonts w:ascii="Times New Roman" w:hAnsi="Times New Roman" w:cs="Times New Roman" w:eastAsia="Times New Roman" w:hint="default"/>
                <w:sz w:val="18"/>
                <w:szCs w:val="18"/>
              </w:rPr>
            </w:pPr>
            <w:r>
              <w:rPr>
                <w:rFonts w:ascii="Times New Roman"/>
                <w:sz w:val="18"/>
              </w:rPr>
              <w:t>2013-12-31</w:t>
            </w:r>
          </w:p>
        </w:tc>
        <w:tc>
          <w:tcPr>
            <w:tcW w:w="367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5"/>
              <w:ind w:left="1653" w:right="0"/>
              <w:jc w:val="left"/>
              <w:rPr>
                <w:rFonts w:ascii="Times New Roman" w:hAnsi="Times New Roman" w:cs="Times New Roman" w:eastAsia="Times New Roman" w:hint="default"/>
                <w:sz w:val="18"/>
                <w:szCs w:val="18"/>
              </w:rPr>
            </w:pPr>
            <w:r>
              <w:rPr>
                <w:rFonts w:ascii="Times New Roman"/>
                <w:sz w:val="18"/>
              </w:rPr>
              <w:t>2014-12-31</w:t>
            </w:r>
          </w:p>
        </w:tc>
      </w:tr>
      <w:tr>
        <w:trPr>
          <w:trHeight w:val="342" w:hRule="exact"/>
        </w:trPr>
        <w:tc>
          <w:tcPr>
            <w:tcW w:w="1804" w:type="dxa"/>
            <w:vMerge/>
            <w:tcBorders>
              <w:left w:val="single" w:sz="4" w:space="0" w:color="000000"/>
              <w:bottom w:val="single" w:sz="4" w:space="0" w:color="000000"/>
              <w:right w:val="single" w:sz="4" w:space="0" w:color="000000"/>
            </w:tcBorders>
            <w:shd w:val="clear" w:color="auto" w:fill="CCCCCC"/>
          </w:tcPr>
          <w:p>
            <w:pPr/>
          </w:p>
        </w:tc>
        <w:tc>
          <w:tcPr>
            <w:tcW w:w="18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2" w:hRule="exact"/>
        </w:trPr>
        <w:tc>
          <w:tcPr>
            <w:tcW w:w="18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528" w:right="0"/>
              <w:jc w:val="left"/>
              <w:rPr>
                <w:rFonts w:ascii="Times New Roman" w:hAnsi="Times New Roman" w:cs="Times New Roman" w:eastAsia="Times New Roman" w:hint="default"/>
                <w:sz w:val="18"/>
                <w:szCs w:val="18"/>
              </w:rPr>
            </w:pPr>
            <w:r>
              <w:rPr>
                <w:rFonts w:ascii="Times New Roman"/>
                <w:sz w:val="18"/>
              </w:rPr>
              <w:t>1,530,254,735.42</w:t>
            </w:r>
          </w:p>
        </w:tc>
        <w:tc>
          <w:tcPr>
            <w:tcW w:w="19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344,837,142.50</w:t>
            </w:r>
          </w:p>
        </w:tc>
        <w:tc>
          <w:tcPr>
            <w:tcW w:w="18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1,607,423,990.42</w:t>
            </w:r>
          </w:p>
        </w:tc>
        <w:tc>
          <w:tcPr>
            <w:tcW w:w="18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386,456,397.50</w:t>
            </w:r>
          </w:p>
        </w:tc>
      </w:tr>
      <w:tr>
        <w:trPr>
          <w:trHeight w:val="342" w:hRule="exact"/>
        </w:trPr>
        <w:tc>
          <w:tcPr>
            <w:tcW w:w="18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1,185,417,592.92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36,827,707.23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1,257,795,300.15</w:t>
            </w:r>
          </w:p>
        </w:tc>
      </w:tr>
    </w:tbl>
    <w:p>
      <w:pPr>
        <w:pStyle w:val="BodyText"/>
        <w:spacing w:line="240" w:lineRule="auto" w:before="26"/>
        <w:ind w:right="0"/>
        <w:jc w:val="left"/>
      </w:pPr>
      <w:r>
        <w:rPr/>
        <w:t>本报告期公司除上述会计政策变更之外，其他主要会计政策未发生变更。</w:t>
      </w:r>
    </w:p>
    <w:p>
      <w:pPr>
        <w:spacing w:line="240" w:lineRule="auto" w:before="10"/>
        <w:rPr>
          <w:rFonts w:ascii="宋体" w:hAnsi="宋体" w:cs="宋体" w:eastAsia="宋体" w:hint="default"/>
          <w:sz w:val="25"/>
          <w:szCs w:val="25"/>
        </w:rPr>
      </w:pPr>
    </w:p>
    <w:p>
      <w:pPr>
        <w:pStyle w:val="Heading6"/>
        <w:spacing w:line="240" w:lineRule="auto" w:before="0"/>
        <w:ind w:left="153"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before="0"/>
        <w:ind w:right="0"/>
        <w:jc w:val="left"/>
        <w:rPr>
          <w:b w:val="0"/>
          <w:bCs w:val="0"/>
        </w:rPr>
      </w:pPr>
      <w:r>
        <w:rPr>
          <w:rFonts w:ascii="Times New Roman" w:hAnsi="Times New Roman" w:cs="Times New Roman" w:eastAsia="Times New Roman" w:hint="default"/>
        </w:rPr>
        <w:t>27</w:t>
      </w:r>
      <w:r>
        <w:rPr/>
        <w:t>、其他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524" w:right="0"/>
        <w:jc w:val="left"/>
        <w:rPr>
          <w:b w:val="0"/>
          <w:bCs w:val="0"/>
        </w:rPr>
      </w:pPr>
      <w:r>
        <w:rPr/>
        <w:t>套期会计</w:t>
      </w:r>
      <w:r>
        <w:rPr>
          <w:b w:val="0"/>
          <w:bCs w:val="0"/>
        </w:rPr>
      </w:r>
    </w:p>
    <w:p>
      <w:pPr>
        <w:pStyle w:val="Heading6"/>
        <w:spacing w:line="240" w:lineRule="auto" w:before="37"/>
        <w:ind w:left="524" w:right="0"/>
        <w:jc w:val="left"/>
        <w:rPr>
          <w:b w:val="0"/>
          <w:bCs w:val="0"/>
        </w:rPr>
      </w:pPr>
      <w:r>
        <w:rPr/>
        <w:t>（</w:t>
      </w:r>
      <w:r>
        <w:rPr>
          <w:rFonts w:ascii="Times New Roman" w:hAnsi="Times New Roman" w:cs="Times New Roman" w:eastAsia="Times New Roman" w:hint="default"/>
        </w:rPr>
        <w:t>1</w:t>
      </w:r>
      <w:r>
        <w:rPr/>
        <w:t>）套期保值的分类</w:t>
      </w:r>
      <w:r>
        <w:rPr>
          <w:b w:val="0"/>
          <w:bCs w:val="0"/>
        </w:rPr>
      </w:r>
    </w:p>
    <w:p>
      <w:pPr>
        <w:pStyle w:val="BodyText"/>
        <w:spacing w:line="273" w:lineRule="auto" w:before="21"/>
        <w:ind w:right="147" w:firstLine="369"/>
        <w:jc w:val="both"/>
      </w:pPr>
      <w:r>
        <w:rPr/>
        <w:t>①公允价值套期，是指对已确认资产或负债，尚未确认的确定承诺（除外汇风险外）的公允价值变动 风险进行的套期。</w:t>
      </w:r>
    </w:p>
    <w:p>
      <w:pPr>
        <w:pStyle w:val="BodyText"/>
        <w:spacing w:line="273" w:lineRule="auto"/>
        <w:ind w:left="153" w:right="147" w:firstLine="369"/>
        <w:jc w:val="both"/>
      </w:pPr>
      <w:r>
        <w:rPr/>
        <w:t>②现金流量套期，是指对现金流量变动风险进行的套期，此现金流量变动源于与已确认资产或负债、 很可能发生的预期交易有关的某类特定风险，或一项未确认的确定承诺包含的外汇风险。</w:t>
      </w:r>
    </w:p>
    <w:p>
      <w:pPr>
        <w:pStyle w:val="BodyText"/>
        <w:spacing w:line="273" w:lineRule="auto"/>
        <w:ind w:left="153" w:right="147" w:firstLine="369"/>
        <w:jc w:val="both"/>
      </w:pPr>
      <w:r>
        <w:rPr/>
        <w:t>③境外经营净投资套期，是指对境外经营净投资外汇风险进行的套期。境外经营净投资，是指企业在 境外经营净资产中的权益份额。</w:t>
      </w:r>
    </w:p>
    <w:p>
      <w:pPr>
        <w:spacing w:line="256" w:lineRule="auto" w:before="7"/>
        <w:ind w:left="523"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）套期关系的指定及套期有效性的认定</w:t>
      </w:r>
      <w:r>
        <w:rPr>
          <w:rFonts w:ascii="宋体" w:hAnsi="宋体" w:cs="宋体" w:eastAsia="宋体" w:hint="default"/>
          <w:b/>
          <w:bCs/>
          <w:spacing w:val="1"/>
          <w:w w:val="99"/>
          <w:sz w:val="21"/>
          <w:szCs w:val="21"/>
        </w:rPr>
        <w:t> </w:t>
      </w:r>
      <w:r>
        <w:rPr>
          <w:rFonts w:ascii="宋体" w:hAnsi="宋体" w:cs="宋体" w:eastAsia="宋体" w:hint="default"/>
          <w:sz w:val="21"/>
          <w:szCs w:val="21"/>
        </w:rPr>
        <w:t>在套期关系开始时，本公司对套期关系有正式指定，并准备了关于套期关系、风险管理目标和套期策</w:t>
      </w:r>
    </w:p>
    <w:p>
      <w:pPr>
        <w:pStyle w:val="BodyText"/>
        <w:spacing w:line="273" w:lineRule="auto" w:before="22"/>
        <w:ind w:left="153" w:right="0"/>
        <w:jc w:val="left"/>
      </w:pPr>
      <w:r>
        <w:rPr>
          <w:spacing w:val="-1"/>
        </w:rPr>
        <w:t>略的正式书面文件。该文件载明了套期工具、被套期项目或交易，被套期风险的性质，以及本公司对套期</w:t>
      </w:r>
      <w:r>
        <w:rPr>
          <w:spacing w:val="-82"/>
        </w:rPr>
        <w:t> </w:t>
      </w:r>
      <w:r>
        <w:rPr>
          <w:spacing w:val="-82"/>
        </w:rPr>
      </w:r>
      <w:r>
        <w:rPr/>
        <w:t>工具有效性评价方法。</w:t>
      </w:r>
    </w:p>
    <w:p>
      <w:pPr>
        <w:pStyle w:val="BodyText"/>
        <w:spacing w:line="273" w:lineRule="auto"/>
        <w:ind w:left="153" w:right="147" w:firstLine="369"/>
        <w:jc w:val="both"/>
      </w:pPr>
      <w:r>
        <w:rPr/>
        <w:t>套期有效性，是指套期工具的公允价值或现金流量变动能够抵销被套期风险引起的被套期项目公允价 </w:t>
      </w:r>
      <w:r>
        <w:rPr>
          <w:spacing w:val="-1"/>
        </w:rPr>
        <w:t>值或现金流量变动的程度。本公司持续地对套期有效性进行评价，判断该套期在套期关系被指定的会计期</w:t>
      </w:r>
      <w:r>
        <w:rPr>
          <w:spacing w:val="-81"/>
        </w:rPr>
        <w:t> </w:t>
      </w:r>
      <w:r>
        <w:rPr>
          <w:spacing w:val="-81"/>
        </w:rPr>
      </w:r>
      <w:r>
        <w:rPr/>
        <w:t>间内是否高度有效。套期同时满足下列条件时，本公司认定其为高度有效：</w:t>
      </w:r>
    </w:p>
    <w:p>
      <w:pPr>
        <w:spacing w:after="0" w:line="273"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147" w:firstLine="369"/>
        <w:jc w:val="both"/>
      </w:pPr>
      <w:r>
        <w:rPr/>
        <w:t>①在套期开始及以后期间，该套期预期会高度有效地抵销套期指定期间被套期风险引起的公允价值或 现金流量变动；</w:t>
      </w:r>
    </w:p>
    <w:p>
      <w:pPr>
        <w:pStyle w:val="BodyText"/>
        <w:spacing w:line="240" w:lineRule="auto"/>
        <w:ind w:left="523" w:right="0"/>
        <w:jc w:val="left"/>
      </w:pPr>
      <w:r>
        <w:rPr/>
        <w:t>②该套期的实际抵销结果在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Heading6"/>
        <w:spacing w:line="240" w:lineRule="auto" w:before="21"/>
        <w:ind w:left="524" w:right="0"/>
        <w:jc w:val="left"/>
        <w:rPr>
          <w:b w:val="0"/>
          <w:bCs w:val="0"/>
        </w:rPr>
      </w:pPr>
      <w:r>
        <w:rPr/>
        <w:t>（</w:t>
      </w:r>
      <w:r>
        <w:rPr>
          <w:rFonts w:ascii="Times New Roman" w:hAnsi="Times New Roman" w:cs="Times New Roman" w:eastAsia="Times New Roman" w:hint="default"/>
        </w:rPr>
        <w:t>3</w:t>
      </w:r>
      <w:r>
        <w:rPr/>
        <w:t>）套期会计处理方法</w:t>
      </w:r>
      <w:r>
        <w:rPr>
          <w:b w:val="0"/>
          <w:bCs w:val="0"/>
        </w:rPr>
      </w:r>
    </w:p>
    <w:p>
      <w:pPr>
        <w:pStyle w:val="BodyText"/>
        <w:spacing w:line="273" w:lineRule="auto" w:before="21"/>
        <w:ind w:left="523" w:right="0"/>
        <w:jc w:val="left"/>
      </w:pPr>
      <w:r>
        <w:rPr/>
        <w:t>①公允价值套期 套期衍生工具的公允价值变动计入当期损益。被套期项目的公允价值因套期风险而形成的变动，计入</w:t>
      </w:r>
    </w:p>
    <w:p>
      <w:pPr>
        <w:pStyle w:val="BodyText"/>
        <w:spacing w:line="273" w:lineRule="auto"/>
        <w:ind w:left="523" w:right="0" w:hanging="370"/>
        <w:jc w:val="left"/>
      </w:pPr>
      <w:r>
        <w:rPr/>
        <w:t>当期损益，同时调整被套期项目的账面价值。 就与按摊余成本计量的金融工具有关的公允价值套期而言，对被套期项目账面价值所作的调整，在调</w:t>
      </w:r>
    </w:p>
    <w:p>
      <w:pPr>
        <w:pStyle w:val="BodyText"/>
        <w:spacing w:line="273" w:lineRule="auto"/>
        <w:ind w:left="153" w:right="0"/>
        <w:jc w:val="left"/>
      </w:pPr>
      <w:r>
        <w:rPr>
          <w:spacing w:val="-1"/>
        </w:rPr>
        <w:t>整日至到期日之间的剩余期间内进行摊销，计入当期损益。按照实际利率法的摊销可于账面价值调整后随</w:t>
      </w:r>
      <w:r>
        <w:rPr>
          <w:spacing w:val="-81"/>
        </w:rPr>
        <w:t> </w:t>
      </w:r>
      <w:r>
        <w:rPr>
          <w:spacing w:val="-81"/>
        </w:rPr>
      </w:r>
      <w:r>
        <w:rPr/>
        <w:t>即开始，并不得晚于被套期项目终止针对套期风险产生的公允价值变动而进行的调整。</w:t>
      </w:r>
    </w:p>
    <w:p>
      <w:pPr>
        <w:pStyle w:val="BodyText"/>
        <w:spacing w:line="273" w:lineRule="auto"/>
        <w:ind w:left="523" w:right="0"/>
        <w:jc w:val="left"/>
      </w:pPr>
      <w:r>
        <w:rPr/>
        <w:t>如果被套期项目终止确认，则将未摊销的公允价值确认为当期损益。 被套期项目为尚未确认的确定承诺的，该确定承诺的公允价值因被套期风险引起的累计公允价值变动</w:t>
      </w:r>
    </w:p>
    <w:p>
      <w:pPr>
        <w:pStyle w:val="BodyText"/>
        <w:spacing w:line="240" w:lineRule="auto"/>
        <w:ind w:left="153" w:right="0"/>
        <w:jc w:val="left"/>
      </w:pPr>
      <w:r>
        <w:rPr/>
        <w:t>确认为一项资产或负债，相关的利得或损失计入当期损益。套期工具的公允价值变动亦计入当期损益。</w:t>
      </w:r>
    </w:p>
    <w:p>
      <w:pPr>
        <w:pStyle w:val="BodyText"/>
        <w:spacing w:line="273" w:lineRule="auto" w:before="37"/>
        <w:ind w:left="523" w:right="0"/>
        <w:jc w:val="left"/>
      </w:pPr>
      <w:r>
        <w:rPr/>
        <w:t>②现金流量套期 套期工具利得或损失中属于有效套期的部分，直接确认为其他综合收益，属于无效套期的部分，计入</w:t>
      </w:r>
    </w:p>
    <w:p>
      <w:pPr>
        <w:pStyle w:val="BodyText"/>
        <w:spacing w:line="240" w:lineRule="auto"/>
        <w:ind w:left="153" w:right="0"/>
        <w:jc w:val="left"/>
      </w:pPr>
      <w:r>
        <w:rPr/>
        <w:t>当期损益。</w:t>
      </w:r>
    </w:p>
    <w:p>
      <w:pPr>
        <w:pStyle w:val="BodyText"/>
        <w:spacing w:line="273" w:lineRule="auto" w:before="37"/>
        <w:ind w:left="153" w:right="147" w:firstLine="369"/>
        <w:jc w:val="both"/>
      </w:pPr>
      <w:r>
        <w:rPr/>
        <w:t>如果被套期交易影响当期损益的，如当被套期财务收入或财务费用被确认或预期销售发生时，则将其 </w:t>
      </w:r>
      <w:r>
        <w:rPr>
          <w:spacing w:val="-1"/>
        </w:rPr>
        <w:t>他综合收益中确认的金额转入当期损益。如果被套期项目是一项非金融资产或非金融负债的成本，则原在</w:t>
      </w:r>
      <w:r>
        <w:rPr>
          <w:spacing w:val="-81"/>
        </w:rPr>
        <w:t> </w:t>
      </w:r>
      <w:r>
        <w:rPr>
          <w:spacing w:val="-81"/>
        </w:rPr>
      </w:r>
      <w:r>
        <w:rPr>
          <w:spacing w:val="-1"/>
        </w:rPr>
        <w:t>其他综合收益中确认的金额转出，计入该非金融资产或非金融负债的初始确认金额（或则原在其他综合收</w:t>
      </w:r>
      <w:r>
        <w:rPr>
          <w:spacing w:val="-81"/>
        </w:rPr>
        <w:t> </w:t>
      </w:r>
      <w:r>
        <w:rPr>
          <w:spacing w:val="-81"/>
        </w:rPr>
      </w:r>
      <w:r>
        <w:rPr/>
        <w:t>益中确认的，在该非金融资产或非金融负债影响损益的相同期间转出，计入当期损益）。</w:t>
      </w:r>
    </w:p>
    <w:p>
      <w:pPr>
        <w:pStyle w:val="BodyText"/>
        <w:spacing w:line="273" w:lineRule="auto"/>
        <w:ind w:left="153" w:right="147" w:firstLine="369"/>
        <w:jc w:val="both"/>
      </w:pPr>
      <w:r>
        <w:rPr/>
        <w:t>如果预期交易或确定承诺预计不会发生，则以前计入股东权益中的套期工具累计利得或损失转出，计 </w:t>
      </w:r>
      <w:r>
        <w:rPr>
          <w:spacing w:val="-1"/>
        </w:rPr>
        <w:t>入当期损益。如果套期工具已到期、被出售、合同终止或已行使（但并未被替换或展期），或者撤销了对</w:t>
      </w:r>
      <w:r>
        <w:rPr>
          <w:spacing w:val="-83"/>
        </w:rPr>
        <w:t> </w:t>
      </w:r>
      <w:r>
        <w:rPr>
          <w:spacing w:val="-83"/>
        </w:rPr>
      </w:r>
      <w:r>
        <w:rPr/>
        <w:t>套期关系的指定，则以前计入其他综合收益的金额不转出，直至预期交易或确定承诺影响当期损益。</w:t>
      </w:r>
    </w:p>
    <w:p>
      <w:pPr>
        <w:pStyle w:val="BodyText"/>
        <w:spacing w:line="273" w:lineRule="auto"/>
        <w:ind w:left="523" w:right="0"/>
        <w:jc w:val="left"/>
      </w:pPr>
      <w:r>
        <w:rPr/>
        <w:t>③境外经营净投资套期 对境外经营净投资的套期，包括作为净投资的一部分的货币性项目的套期，其处理与现金流量套期类</w:t>
      </w:r>
    </w:p>
    <w:p>
      <w:pPr>
        <w:pStyle w:val="BodyText"/>
        <w:spacing w:line="273" w:lineRule="auto"/>
        <w:ind w:left="153" w:right="0"/>
        <w:jc w:val="left"/>
      </w:pPr>
      <w:r>
        <w:rPr>
          <w:spacing w:val="-1"/>
        </w:rPr>
        <w:t>似。套期工具的利得或损失中被确定为有效套期的部分计入其他综合收益，而无效套期的部分确认为当期</w:t>
      </w:r>
      <w:r>
        <w:rPr>
          <w:spacing w:val="-81"/>
        </w:rPr>
        <w:t> </w:t>
      </w:r>
      <w:r>
        <w:rPr>
          <w:spacing w:val="-81"/>
        </w:rPr>
      </w:r>
      <w:r>
        <w:rPr/>
        <w:t>损益。处置境外经营时，任何计入股东权益的累计利得或损失转出，计入当期损益。</w:t>
      </w:r>
    </w:p>
    <w:p>
      <w:pPr>
        <w:spacing w:line="240" w:lineRule="auto" w:before="11"/>
        <w:rPr>
          <w:rFonts w:ascii="宋体" w:hAnsi="宋体" w:cs="宋体" w:eastAsia="宋体" w:hint="default"/>
          <w:sz w:val="21"/>
          <w:szCs w:val="21"/>
        </w:rPr>
      </w:pPr>
    </w:p>
    <w:p>
      <w:pPr>
        <w:pStyle w:val="Heading4"/>
        <w:spacing w:line="240" w:lineRule="auto" w:before="0"/>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12.5%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北京成功启航咨询有限公司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拉萨环球风尚投资管理咨询有限公司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华商网络、华商数码西安印务分公司、华商数码分公司、重 庆华博传媒及陕西华商国际会展有限公司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西安华商盈众广告文化传播有限公司、沈阳北联全媒体传媒 有限公司、沈阳盈广丰商贸有限公司、重庆黄马甲快递有限 公司、吉林黄马甲快递有限公司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6"/>
        <w:spacing w:line="240" w:lineRule="auto"/>
        <w:ind w:right="1097"/>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3" w:right="101" w:firstLine="423"/>
        <w:jc w:val="left"/>
      </w:pPr>
      <w:r>
        <w:rPr/>
        <w:t>（</w:t>
      </w:r>
      <w:r>
        <w:rPr>
          <w:rFonts w:ascii="Times New Roman" w:hAnsi="Times New Roman" w:cs="Times New Roman" w:eastAsia="Times New Roman" w:hint="default"/>
        </w:rPr>
        <w:t>1</w:t>
      </w:r>
      <w:r>
        <w:rPr/>
        <w:t>）依据财政部、国家税务总局联合发布的《关于进一步鼓励软件产业和集成电路产业发展企业所 </w:t>
      </w:r>
      <w:r>
        <w:rPr>
          <w:spacing w:val="-2"/>
        </w:rPr>
        <w:t>得税政策的通知》（财税</w:t>
      </w:r>
      <w:r>
        <w:rPr>
          <w:rFonts w:ascii="Times New Roman" w:hAnsi="Times New Roman" w:cs="Times New Roman" w:eastAsia="Times New Roman" w:hint="default"/>
          <w:spacing w:val="-2"/>
        </w:rPr>
        <w:t>[2012]27</w:t>
      </w:r>
      <w:r>
        <w:rPr>
          <w:spacing w:val="-2"/>
        </w:rPr>
        <w:t>号文件），邦富软件自</w:t>
      </w:r>
      <w:r>
        <w:rPr>
          <w:rFonts w:ascii="Times New Roman" w:hAnsi="Times New Roman" w:cs="Times New Roman" w:eastAsia="Times New Roman" w:hint="default"/>
          <w:spacing w:val="-2"/>
        </w:rPr>
        <w:t>2010</w:t>
      </w:r>
      <w:r>
        <w:rPr>
          <w:spacing w:val="-2"/>
        </w:rPr>
        <w:t>年开始享受企业所得税两免三减半优惠政策，</w:t>
      </w:r>
      <w:r>
        <w:rPr>
          <w:spacing w:val="-65"/>
        </w:rPr>
        <w:t> </w:t>
      </w:r>
      <w:r>
        <w:rPr>
          <w:spacing w:val="-65"/>
        </w:rPr>
      </w:r>
      <w:r>
        <w:rPr>
          <w:spacing w:val="-3"/>
        </w:rPr>
        <w:t>已取得广州市天河区国家税务局第五税务分局出具的</w:t>
      </w:r>
      <w:r>
        <w:rPr>
          <w:rFonts w:ascii="Times New Roman" w:hAnsi="Times New Roman" w:cs="Times New Roman" w:eastAsia="Times New Roman" w:hint="default"/>
          <w:spacing w:val="-3"/>
        </w:rPr>
        <w:t>“</w:t>
      </w:r>
      <w:r>
        <w:rPr>
          <w:spacing w:val="-3"/>
        </w:rPr>
        <w:t>天国税五减备字【</w:t>
      </w:r>
      <w:r>
        <w:rPr>
          <w:rFonts w:ascii="Times New Roman" w:hAnsi="Times New Roman" w:cs="Times New Roman" w:eastAsia="Times New Roman" w:hint="default"/>
          <w:spacing w:val="-3"/>
        </w:rPr>
        <w:t>2011</w:t>
      </w:r>
      <w:r>
        <w:rPr>
          <w:spacing w:val="-3"/>
        </w:rPr>
        <w:t>】第</w:t>
      </w:r>
      <w:r>
        <w:rPr>
          <w:rFonts w:ascii="Times New Roman" w:hAnsi="Times New Roman" w:cs="Times New Roman" w:eastAsia="Times New Roman" w:hint="default"/>
          <w:spacing w:val="-3"/>
        </w:rPr>
        <w:t>297</w:t>
      </w:r>
      <w:r>
        <w:rPr>
          <w:spacing w:val="-3"/>
        </w:rPr>
        <w:t>号</w:t>
      </w:r>
      <w:r>
        <w:rPr>
          <w:rFonts w:ascii="Times New Roman" w:hAnsi="Times New Roman" w:cs="Times New Roman" w:eastAsia="Times New Roman" w:hint="default"/>
          <w:spacing w:val="-3"/>
        </w:rPr>
        <w:t>”</w:t>
      </w:r>
      <w:r>
        <w:rPr>
          <w:spacing w:val="-3"/>
        </w:rPr>
        <w:t>《减免税备案登记</w:t>
      </w:r>
      <w:r>
        <w:rPr>
          <w:spacing w:val="-60"/>
        </w:rPr>
        <w:t> </w:t>
      </w:r>
      <w:r>
        <w:rPr/>
        <w:t>告知书》。邦富软件</w:t>
      </w:r>
      <w:r>
        <w:rPr>
          <w:rFonts w:ascii="Times New Roman" w:hAnsi="Times New Roman" w:cs="Times New Roman" w:eastAsia="Times New Roman" w:hint="default"/>
        </w:rPr>
        <w:t>2014</w:t>
      </w:r>
      <w:r>
        <w:rPr/>
        <w:t>年度企业所得税享受</w:t>
      </w:r>
      <w:r>
        <w:rPr>
          <w:rFonts w:ascii="Times New Roman" w:hAnsi="Times New Roman" w:cs="Times New Roman" w:eastAsia="Times New Roman" w:hint="default"/>
        </w:rPr>
        <w:t>12.5%</w:t>
      </w:r>
      <w:r>
        <w:rPr/>
        <w:t>的优惠税率。</w:t>
      </w:r>
    </w:p>
    <w:p>
      <w:pPr>
        <w:pStyle w:val="BodyText"/>
        <w:spacing w:line="256" w:lineRule="auto" w:before="5"/>
        <w:ind w:left="153" w:right="149" w:firstLine="423"/>
        <w:jc w:val="both"/>
      </w:pPr>
      <w:r>
        <w:rPr/>
        <w:t>（</w:t>
      </w:r>
      <w:r>
        <w:rPr>
          <w:rFonts w:ascii="Times New Roman" w:hAnsi="Times New Roman" w:cs="Times New Roman" w:eastAsia="Times New Roman" w:hint="default"/>
        </w:rPr>
        <w:t>2</w:t>
      </w:r>
      <w:r>
        <w:rPr/>
        <w:t>）依据财税</w:t>
      </w:r>
      <w:r>
        <w:rPr>
          <w:rFonts w:ascii="Times New Roman" w:hAnsi="Times New Roman" w:cs="Times New Roman" w:eastAsia="Times New Roman" w:hint="default"/>
        </w:rPr>
        <w:t>[2009]65</w:t>
      </w:r>
      <w:r>
        <w:rPr/>
        <w:t>号《财政部、国家税务总局关于扶持动漫产业发展有关税收政策问题的通知》 及财税</w:t>
      </w:r>
      <w:r>
        <w:rPr>
          <w:rFonts w:ascii="Times New Roman" w:hAnsi="Times New Roman" w:cs="Times New Roman" w:eastAsia="Times New Roman" w:hint="default"/>
        </w:rPr>
        <w:t>[2012]27</w:t>
      </w:r>
      <w:r>
        <w:rPr/>
        <w:t>号文规定，漫友文化</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日享受减免税收优惠，按</w:t>
      </w:r>
      <w:r>
        <w:rPr>
          <w:rFonts w:ascii="Times New Roman" w:hAnsi="Times New Roman" w:cs="Times New Roman" w:eastAsia="Times New Roman" w:hint="default"/>
        </w:rPr>
        <w:t>10%</w:t>
      </w:r>
      <w:r>
        <w:rPr/>
        <w:t>税率计征</w:t>
      </w:r>
      <w:r>
        <w:rPr>
          <w:spacing w:val="-39"/>
        </w:rPr>
        <w:t> </w:t>
      </w:r>
      <w:r>
        <w:rPr/>
        <w:t>企业所得税，并在广州市越秀区国家税务局成功备案。</w:t>
      </w:r>
    </w:p>
    <w:p>
      <w:pPr>
        <w:pStyle w:val="BodyText"/>
        <w:spacing w:line="240" w:lineRule="auto" w:before="22"/>
        <w:ind w:left="577"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日，成功启航被认定为高新技术企业，证书编号为</w:t>
      </w:r>
      <w:r>
        <w:rPr>
          <w:rFonts w:ascii="Times New Roman" w:hAnsi="Times New Roman" w:cs="Times New Roman" w:eastAsia="Times New Roman" w:hint="default"/>
        </w:rPr>
        <w:t>GR201411001279</w:t>
      </w:r>
      <w:r>
        <w:rPr/>
        <w:t>，有效期</w:t>
      </w:r>
      <w:r>
        <w:rPr>
          <w:rFonts w:ascii="Times New Roman" w:hAnsi="Times New Roman" w:cs="Times New Roman" w:eastAsia="Times New Roman" w:hint="default"/>
        </w:rPr>
        <w:t>3</w:t>
      </w:r>
      <w:r>
        <w:rPr/>
        <w:t>年，</w:t>
      </w:r>
    </w:p>
    <w:p>
      <w:pPr>
        <w:pStyle w:val="BodyText"/>
        <w:spacing w:line="240" w:lineRule="auto" w:before="21"/>
        <w:ind w:left="153" w:right="1097"/>
        <w:jc w:val="left"/>
      </w:pPr>
      <w:r>
        <w:rPr>
          <w:rFonts w:ascii="Times New Roman" w:hAnsi="Times New Roman" w:cs="Times New Roman" w:eastAsia="Times New Roman" w:hint="default"/>
        </w:rPr>
        <w:t>2014</w:t>
      </w:r>
      <w:r>
        <w:rPr/>
        <w:t>年度享受高新技术企业税收优惠政策，所得税税率为</w:t>
      </w:r>
      <w:r>
        <w:rPr>
          <w:rFonts w:ascii="Times New Roman" w:hAnsi="Times New Roman" w:cs="Times New Roman" w:eastAsia="Times New Roman" w:hint="default"/>
        </w:rPr>
        <w:t>15%</w:t>
      </w:r>
      <w:r>
        <w:rPr/>
        <w:t>。</w:t>
      </w:r>
    </w:p>
    <w:p>
      <w:pPr>
        <w:pStyle w:val="BodyText"/>
        <w:spacing w:line="256" w:lineRule="auto" w:before="21"/>
        <w:ind w:right="211" w:firstLine="423"/>
        <w:jc w:val="both"/>
      </w:pPr>
      <w:r>
        <w:rPr>
          <w:spacing w:val="-2"/>
        </w:rPr>
        <w:t>（</w:t>
      </w:r>
      <w:r>
        <w:rPr>
          <w:rFonts w:ascii="Times New Roman" w:hAnsi="Times New Roman" w:cs="Times New Roman" w:eastAsia="Times New Roman" w:hint="default"/>
          <w:spacing w:val="-2"/>
        </w:rPr>
        <w:t>4</w:t>
      </w:r>
      <w:r>
        <w:rPr>
          <w:spacing w:val="-2"/>
        </w:rPr>
        <w:t>）根据《西藏自治区关于招商引资的若干规定》（藏政发</w:t>
      </w:r>
      <w:r>
        <w:rPr>
          <w:spacing w:val="-9"/>
        </w:rPr>
        <w:t> </w:t>
      </w:r>
      <w:r>
        <w:rPr>
          <w:rFonts w:ascii="Times New Roman" w:hAnsi="Times New Roman" w:cs="Times New Roman" w:eastAsia="Times New Roman" w:hint="default"/>
          <w:spacing w:val="-2"/>
        </w:rPr>
        <w:t>[1999</w:t>
      </w:r>
      <w:r>
        <w:rPr>
          <w:spacing w:val="-2"/>
        </w:rPr>
        <w:t>］</w:t>
      </w:r>
      <w:r>
        <w:rPr>
          <w:rFonts w:ascii="Times New Roman" w:hAnsi="Times New Roman" w:cs="Times New Roman" w:eastAsia="Times New Roman" w:hint="default"/>
          <w:spacing w:val="-2"/>
        </w:rPr>
        <w:t>33</w:t>
      </w:r>
      <w:r>
        <w:rPr>
          <w:spacing w:val="-2"/>
        </w:rPr>
        <w:t>号）及其补充规定，外省区市</w:t>
      </w:r>
      <w:r>
        <w:rPr/>
        <w:t> 投资者在藏兴办的企业或项目，一律执行</w:t>
      </w:r>
      <w:r>
        <w:rPr>
          <w:rFonts w:ascii="Times New Roman" w:hAnsi="Times New Roman" w:cs="Times New Roman" w:eastAsia="Times New Roman" w:hint="default"/>
        </w:rPr>
        <w:t>15</w:t>
      </w:r>
      <w:r>
        <w:rPr/>
        <w:t>％的企业所得税税率。拉萨环球享受减免税收优惠，按</w:t>
      </w:r>
      <w:r>
        <w:rPr>
          <w:rFonts w:ascii="Times New Roman" w:hAnsi="Times New Roman" w:cs="Times New Roman" w:eastAsia="Times New Roman" w:hint="default"/>
        </w:rPr>
        <w:t>15%</w:t>
      </w:r>
      <w:r>
        <w:rPr/>
        <w:t>税</w:t>
      </w:r>
      <w:r>
        <w:rPr>
          <w:spacing w:val="-98"/>
        </w:rPr>
        <w:t> </w:t>
      </w:r>
      <w:r>
        <w:rPr/>
        <w:t>率计征企业所得税。</w:t>
      </w:r>
    </w:p>
    <w:p>
      <w:pPr>
        <w:pStyle w:val="BodyText"/>
        <w:spacing w:line="256" w:lineRule="auto" w:before="22"/>
        <w:ind w:right="207" w:firstLine="423"/>
        <w:jc w:val="both"/>
      </w:pPr>
      <w:r>
        <w:rPr/>
        <w:t>（</w:t>
      </w:r>
      <w:r>
        <w:rPr>
          <w:rFonts w:ascii="Times New Roman" w:hAnsi="Times New Roman" w:cs="Times New Roman" w:eastAsia="Times New Roman" w:hint="default"/>
        </w:rPr>
        <w:t>5</w:t>
      </w:r>
      <w:r>
        <w:rPr/>
        <w:t>）根据财政部、海关总署、国家税务总局《关于深入实施西部大开发战略有关税收政策问题的通 </w:t>
      </w:r>
      <w:r>
        <w:rPr>
          <w:spacing w:val="-1"/>
        </w:rPr>
        <w:t>知》（财税〔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58</w:t>
      </w:r>
      <w:r>
        <w:rPr>
          <w:spacing w:val="-1"/>
        </w:rPr>
        <w:t>号）文规定，经税务机关确认，西安华商网络、华商数码西安印务分公司、华商数</w:t>
      </w:r>
      <w:r>
        <w:rPr>
          <w:spacing w:val="-85"/>
        </w:rPr>
        <w:t> </w:t>
      </w:r>
      <w:r>
        <w:rPr>
          <w:spacing w:val="-85"/>
        </w:rPr>
      </w:r>
      <w:r>
        <w:rPr/>
        <w:t>码分公司、重庆华博及陕西华商会展</w:t>
      </w:r>
      <w:r>
        <w:rPr>
          <w:rFonts w:ascii="Times New Roman" w:hAnsi="Times New Roman" w:cs="Times New Roman" w:eastAsia="Times New Roman" w:hint="default"/>
        </w:rPr>
        <w:t>2013</w:t>
      </w:r>
      <w:r>
        <w:rPr/>
        <w:t>年度享受</w:t>
      </w:r>
      <w:r>
        <w:rPr>
          <w:rFonts w:ascii="Times New Roman" w:hAnsi="Times New Roman" w:cs="Times New Roman" w:eastAsia="Times New Roman" w:hint="default"/>
        </w:rPr>
        <w:t>15%</w:t>
      </w:r>
      <w:r>
        <w:rPr/>
        <w:t>的优惠税率。</w:t>
      </w:r>
    </w:p>
    <w:p>
      <w:pPr>
        <w:pStyle w:val="BodyText"/>
        <w:spacing w:line="256" w:lineRule="auto" w:before="5"/>
        <w:ind w:left="153" w:right="101" w:firstLine="423"/>
        <w:jc w:val="left"/>
      </w:pPr>
      <w:r>
        <w:rPr>
          <w:spacing w:val="-3"/>
        </w:rPr>
        <w:t>（</w:t>
      </w:r>
      <w:r>
        <w:rPr>
          <w:rFonts w:ascii="Times New Roman" w:hAnsi="Times New Roman" w:cs="Times New Roman" w:eastAsia="Times New Roman" w:hint="default"/>
          <w:spacing w:val="-3"/>
        </w:rPr>
        <w:t>6</w:t>
      </w:r>
      <w:r>
        <w:rPr>
          <w:spacing w:val="-3"/>
        </w:rPr>
        <w:t>）根据财政部、国家税务总局《关于小型微利企业所得税优惠政策有关问题的通知》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2014</w:t>
      </w:r>
      <w:r>
        <w:rPr>
          <w:spacing w:val="-3"/>
        </w:rPr>
        <w:t>〕</w:t>
      </w:r>
      <w:r>
        <w:rPr/>
        <w:t> </w:t>
      </w:r>
      <w:r>
        <w:rPr>
          <w:rFonts w:ascii="Times New Roman" w:hAnsi="Times New Roman" w:cs="Times New Roman" w:eastAsia="Times New Roman" w:hint="default"/>
          <w:spacing w:val="-2"/>
        </w:rPr>
        <w:t>34</w:t>
      </w:r>
      <w:r>
        <w:rPr>
          <w:spacing w:val="-2"/>
        </w:rPr>
        <w:t>号</w:t>
      </w:r>
      <w:r>
        <w:rPr>
          <w:rFonts w:ascii="Times New Roman" w:hAnsi="Times New Roman" w:cs="Times New Roman" w:eastAsia="Times New Roman" w:hint="default"/>
          <w:spacing w:val="-2"/>
        </w:rPr>
        <w:t>)</w:t>
      </w:r>
      <w:r>
        <w:rPr>
          <w:spacing w:val="-2"/>
        </w:rPr>
        <w:t>文规定，本公司之子公司西安华商盈众、沈阳北联、盈广丰广告、重庆黄马甲快递、吉林黄马甲快递</w:t>
      </w:r>
      <w:r>
        <w:rPr>
          <w:spacing w:val="-102"/>
        </w:rPr>
        <w:t> </w:t>
      </w:r>
      <w:r>
        <w:rPr>
          <w:spacing w:val="-102"/>
        </w:rPr>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5"/>
        <w:rPr>
          <w:rFonts w:ascii="宋体" w:hAnsi="宋体" w:cs="宋体" w:eastAsia="宋体" w:hint="default"/>
          <w:sz w:val="23"/>
          <w:szCs w:val="23"/>
        </w:rPr>
      </w:pPr>
    </w:p>
    <w:p>
      <w:pPr>
        <w:pStyle w:val="Heading6"/>
        <w:spacing w:line="240" w:lineRule="auto" w:before="0"/>
        <w:ind w:right="109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7" w:right="1097"/>
        <w:jc w:val="left"/>
        <w:rPr>
          <w:b w:val="0"/>
          <w:bCs w:val="0"/>
        </w:rPr>
      </w:pPr>
      <w:r>
        <w:rPr/>
        <w:t>（</w:t>
      </w:r>
      <w:r>
        <w:rPr>
          <w:rFonts w:ascii="Times New Roman" w:hAnsi="Times New Roman" w:cs="Times New Roman" w:eastAsia="Times New Roman" w:hint="default"/>
        </w:rPr>
        <w:t>1</w:t>
      </w:r>
      <w:r>
        <w:rPr/>
        <w:t>）</w:t>
      </w:r>
      <w:r>
        <w:rPr>
          <w:spacing w:val="-19"/>
        </w:rPr>
        <w:t> </w:t>
      </w:r>
      <w:r>
        <w:rPr/>
        <w:t>增值税</w:t>
      </w:r>
      <w:r>
        <w:rPr>
          <w:b w:val="0"/>
          <w:bCs w:val="0"/>
        </w:rPr>
      </w:r>
    </w:p>
    <w:p>
      <w:pPr>
        <w:spacing w:line="240" w:lineRule="auto" w:before="10"/>
        <w:rPr>
          <w:rFonts w:ascii="宋体" w:hAnsi="宋体" w:cs="宋体" w:eastAsia="宋体" w:hint="default"/>
          <w:b/>
          <w:bCs/>
          <w:sz w:val="2"/>
          <w:szCs w:val="2"/>
        </w:rPr>
      </w:pPr>
    </w:p>
    <w:tbl>
      <w:tblPr>
        <w:tblW w:w="0" w:type="auto"/>
        <w:jc w:val="left"/>
        <w:tblInd w:w="572" w:type="dxa"/>
        <w:tblLayout w:type="fixed"/>
        <w:tblCellMar>
          <w:top w:w="0" w:type="dxa"/>
          <w:left w:w="0" w:type="dxa"/>
          <w:bottom w:w="0" w:type="dxa"/>
          <w:right w:w="0" w:type="dxa"/>
        </w:tblCellMar>
        <w:tblLook w:val="01E0"/>
      </w:tblPr>
      <w:tblGrid>
        <w:gridCol w:w="5528"/>
        <w:gridCol w:w="2551"/>
      </w:tblGrid>
      <w:tr>
        <w:trPr>
          <w:trHeight w:val="343" w:hRule="exact"/>
        </w:trPr>
        <w:tc>
          <w:tcPr>
            <w:tcW w:w="552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2" w:hRule="exact"/>
        </w:trPr>
        <w:tc>
          <w:tcPr>
            <w:tcW w:w="55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管道燃气和国内生产的橡胶收入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z w:val="18"/>
              </w:rPr>
              <w:t>13%</w:t>
            </w:r>
          </w:p>
        </w:tc>
      </w:tr>
      <w:tr>
        <w:trPr>
          <w:trHeight w:val="659"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firstLine="33"/>
              <w:jc w:val="left"/>
              <w:rPr>
                <w:rFonts w:ascii="宋体" w:hAnsi="宋体" w:cs="宋体" w:eastAsia="宋体" w:hint="default"/>
                <w:sz w:val="18"/>
                <w:szCs w:val="18"/>
              </w:rPr>
            </w:pPr>
            <w:r>
              <w:rPr>
                <w:rFonts w:ascii="宋体" w:hAnsi="宋体" w:cs="宋体" w:eastAsia="宋体" w:hint="default"/>
                <w:sz w:val="18"/>
                <w:szCs w:val="18"/>
              </w:rPr>
              <w:t>由本公司购买纸张、受托印刷有统一刊号（</w:t>
            </w:r>
            <w:r>
              <w:rPr>
                <w:rFonts w:ascii="Times New Roman" w:hAnsi="Times New Roman" w:cs="Times New Roman" w:eastAsia="Times New Roman" w:hint="default"/>
                <w:sz w:val="18"/>
                <w:szCs w:val="18"/>
              </w:rPr>
              <w:t>CN</w:t>
            </w:r>
            <w:r>
              <w:rPr>
                <w:rFonts w:ascii="宋体" w:hAnsi="宋体" w:cs="宋体" w:eastAsia="宋体" w:hint="default"/>
                <w:sz w:val="18"/>
                <w:szCs w:val="18"/>
              </w:rPr>
              <w:t>）以及采用国际标准书 号编序的图书、报刊和杂志取得印刷收入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b/>
          <w:bCs/>
          <w:sz w:val="24"/>
          <w:szCs w:val="24"/>
        </w:rPr>
      </w:pPr>
    </w:p>
    <w:tbl>
      <w:tblPr>
        <w:tblW w:w="0" w:type="auto"/>
        <w:jc w:val="left"/>
        <w:tblInd w:w="572" w:type="dxa"/>
        <w:tblLayout w:type="fixed"/>
        <w:tblCellMar>
          <w:top w:w="0" w:type="dxa"/>
          <w:left w:w="0" w:type="dxa"/>
          <w:bottom w:w="0" w:type="dxa"/>
          <w:right w:w="0" w:type="dxa"/>
        </w:tblCellMar>
        <w:tblLook w:val="01E0"/>
      </w:tblPr>
      <w:tblGrid>
        <w:gridCol w:w="5528"/>
        <w:gridCol w:w="2551"/>
      </w:tblGrid>
      <w:tr>
        <w:trPr>
          <w:trHeight w:val="34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批发、零售漫画图书、期刊的收入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w:t>
            </w:r>
          </w:p>
        </w:tc>
      </w:tr>
      <w:tr>
        <w:trPr>
          <w:trHeight w:val="34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钢瓶、炉具、沥青、乳化沥青、铝锭、进口橡胶销售和其他印刷收入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w:t>
            </w:r>
          </w:p>
        </w:tc>
      </w:tr>
      <w:tr>
        <w:trPr>
          <w:trHeight w:val="34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漫画图书、期刊的周边产品销售收入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w:t>
            </w:r>
          </w:p>
        </w:tc>
      </w:tr>
      <w:tr>
        <w:trPr>
          <w:trHeight w:val="348"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软件、硬件销售收入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w:t>
            </w:r>
          </w:p>
        </w:tc>
      </w:tr>
      <w:tr>
        <w:trPr>
          <w:trHeight w:val="34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信息传播服务收入、视频信息服务收入、动漫类服务收入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Times New Roman" w:hAnsi="Times New Roman" w:cs="Times New Roman" w:eastAsia="Times New Roman" w:hint="default"/>
                <w:sz w:val="18"/>
                <w:szCs w:val="18"/>
              </w:rPr>
              <w:t>3%</w:t>
            </w:r>
            <w:r>
              <w:rPr>
                <w:rFonts w:ascii="宋体" w:hAnsi="宋体" w:cs="宋体" w:eastAsia="宋体" w:hint="default"/>
                <w:sz w:val="18"/>
                <w:szCs w:val="18"/>
              </w:rPr>
              <w:t>（小规模纳税人）</w:t>
            </w:r>
          </w:p>
        </w:tc>
      </w:tr>
      <w:tr>
        <w:trPr>
          <w:trHeight w:val="34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商品配送服务收入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w:t>
            </w:r>
          </w:p>
        </w:tc>
      </w:tr>
    </w:tbl>
    <w:p>
      <w:pPr>
        <w:pStyle w:val="BodyText"/>
        <w:spacing w:line="276" w:lineRule="exact" w:before="0"/>
        <w:ind w:right="101" w:firstLine="422"/>
        <w:jc w:val="left"/>
      </w:pPr>
      <w:r>
        <w:rPr/>
        <w:t>根据《关于软件产品增值税政策的通知》（财税</w:t>
      </w:r>
      <w:r>
        <w:rPr>
          <w:rFonts w:ascii="Times New Roman" w:hAnsi="Times New Roman" w:cs="Times New Roman" w:eastAsia="Times New Roman" w:hint="default"/>
        </w:rPr>
        <w:t>[2011]100</w:t>
      </w:r>
      <w:r>
        <w:rPr/>
        <w:t>号）规定，邦富软件申请备案的软件产品符</w:t>
      </w:r>
    </w:p>
    <w:p>
      <w:pPr>
        <w:pStyle w:val="BodyText"/>
        <w:spacing w:line="256" w:lineRule="auto" w:before="21"/>
        <w:ind w:right="208"/>
        <w:jc w:val="both"/>
      </w:pPr>
      <w:r>
        <w:rPr>
          <w:spacing w:val="-1"/>
        </w:rPr>
        <w:t>合税收减免备案条件，分别于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日和</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号取得由广州市天河区国家税务局下发的编号</w:t>
      </w:r>
      <w:r>
        <w:rPr>
          <w:spacing w:val="-85"/>
        </w:rPr>
        <w:t> </w:t>
      </w:r>
      <w:r>
        <w:rPr>
          <w:spacing w:val="-1"/>
        </w:rPr>
        <w:t>为</w:t>
      </w:r>
      <w:r>
        <w:rPr>
          <w:rFonts w:ascii="Times New Roman" w:hAnsi="Times New Roman" w:cs="Times New Roman" w:eastAsia="Times New Roman" w:hint="default"/>
          <w:spacing w:val="-1"/>
        </w:rPr>
        <w:t>“</w:t>
      </w:r>
      <w:r>
        <w:rPr>
          <w:spacing w:val="-1"/>
        </w:rPr>
        <w:t>穗天国税五减备</w:t>
      </w:r>
      <w:r>
        <w:rPr>
          <w:rFonts w:ascii="Times New Roman" w:hAnsi="Times New Roman" w:cs="Times New Roman" w:eastAsia="Times New Roman" w:hint="default"/>
          <w:spacing w:val="-1"/>
        </w:rPr>
        <w:t>[2012]100257</w:t>
      </w:r>
      <w:r>
        <w:rPr>
          <w:spacing w:val="-1"/>
        </w:rPr>
        <w:t>号</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穗天国税减备</w:t>
      </w:r>
      <w:r>
        <w:rPr>
          <w:rFonts w:ascii="Times New Roman" w:hAnsi="Times New Roman" w:cs="Times New Roman" w:eastAsia="Times New Roman" w:hint="default"/>
          <w:spacing w:val="-1"/>
        </w:rPr>
        <w:t>[2013]100562</w:t>
      </w:r>
      <w:r>
        <w:rPr>
          <w:spacing w:val="-1"/>
        </w:rPr>
        <w:t>号</w:t>
      </w:r>
      <w:r>
        <w:rPr>
          <w:rFonts w:ascii="Times New Roman" w:hAnsi="Times New Roman" w:cs="Times New Roman" w:eastAsia="Times New Roman" w:hint="default"/>
          <w:spacing w:val="-1"/>
        </w:rPr>
        <w:t>”</w:t>
      </w:r>
      <w:r>
        <w:rPr>
          <w:spacing w:val="-1"/>
        </w:rPr>
        <w:t>的《减免税备案登记告知书》，分别</w:t>
      </w:r>
      <w:r>
        <w:rPr/>
        <w:t> 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日起执行减免相关备案产品增值税，实行即征即退。</w:t>
      </w:r>
    </w:p>
    <w:p>
      <w:pPr>
        <w:pStyle w:val="BodyText"/>
        <w:spacing w:line="256" w:lineRule="auto" w:before="5"/>
        <w:ind w:right="207" w:firstLine="422"/>
        <w:jc w:val="both"/>
      </w:pPr>
      <w:r>
        <w:rPr/>
        <w:t>根据《关于鼓励软件产业和集成电路产业发展有关税收政策问题的通知》（财税</w:t>
      </w:r>
      <w:r>
        <w:rPr>
          <w:rFonts w:ascii="Times New Roman" w:hAnsi="Times New Roman" w:cs="Times New Roman" w:eastAsia="Times New Roman" w:hint="default"/>
        </w:rPr>
        <w:t>[2000]25</w:t>
      </w:r>
      <w:r>
        <w:rPr/>
        <w:t>号）规定，</w:t>
      </w:r>
      <w:r>
        <w:rPr>
          <w:spacing w:val="1"/>
        </w:rPr>
        <w:t> </w:t>
      </w:r>
      <w:r>
        <w:rPr/>
        <w:t>邦富软件符合增值税减免备案条件，于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日取得由广州市天河区国家税务局下发的编号为</w:t>
      </w:r>
      <w:r>
        <w:rPr>
          <w:rFonts w:ascii="Times New Roman" w:hAnsi="Times New Roman" w:cs="Times New Roman" w:eastAsia="Times New Roman" w:hint="default"/>
        </w:rPr>
        <w:t>“</w:t>
      </w:r>
      <w:r>
        <w:rPr/>
        <w:t>穗</w:t>
      </w:r>
      <w:r>
        <w:rPr>
          <w:spacing w:val="-28"/>
        </w:rPr>
        <w:t> </w:t>
      </w:r>
      <w:r>
        <w:rPr>
          <w:spacing w:val="-2"/>
        </w:rPr>
        <w:t>天国税减备</w:t>
      </w:r>
      <w:r>
        <w:rPr>
          <w:rFonts w:ascii="Times New Roman" w:hAnsi="Times New Roman" w:cs="Times New Roman" w:eastAsia="Times New Roman" w:hint="default"/>
          <w:spacing w:val="-2"/>
        </w:rPr>
        <w:t>[2013]100696</w:t>
      </w:r>
      <w:r>
        <w:rPr>
          <w:spacing w:val="-2"/>
        </w:rPr>
        <w:t>号</w:t>
      </w:r>
      <w:r>
        <w:rPr>
          <w:rFonts w:ascii="Times New Roman" w:hAnsi="Times New Roman" w:cs="Times New Roman" w:eastAsia="Times New Roman" w:hint="default"/>
          <w:spacing w:val="-2"/>
        </w:rPr>
        <w:t>”</w:t>
      </w:r>
      <w:r>
        <w:rPr>
          <w:spacing w:val="-2"/>
        </w:rPr>
        <w:t>的《减免税备案登记告知书》，自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日起邦富软件技术转让、技术开</w:t>
      </w:r>
      <w:r>
        <w:rPr>
          <w:spacing w:val="-52"/>
        </w:rPr>
        <w:t> </w:t>
      </w:r>
      <w:r>
        <w:rPr>
          <w:spacing w:val="-52"/>
        </w:rPr>
      </w:r>
      <w:r>
        <w:rPr/>
        <w:t>发和与之相关的技术咨询、技术服务免征增值税。</w:t>
      </w:r>
    </w:p>
    <w:p>
      <w:pPr>
        <w:pStyle w:val="BodyText"/>
        <w:spacing w:line="256" w:lineRule="auto" w:before="22"/>
        <w:ind w:right="101" w:firstLine="422"/>
        <w:jc w:val="left"/>
      </w:pPr>
      <w:r>
        <w:rPr>
          <w:spacing w:val="-2"/>
        </w:rPr>
        <w:t>根据财税</w:t>
      </w:r>
      <w:r>
        <w:rPr>
          <w:rFonts w:ascii="Times New Roman" w:hAnsi="Times New Roman" w:cs="Times New Roman" w:eastAsia="Times New Roman" w:hint="default"/>
          <w:spacing w:val="-2"/>
        </w:rPr>
        <w:t>[2013]87</w:t>
      </w:r>
      <w:r>
        <w:rPr>
          <w:spacing w:val="-2"/>
        </w:rPr>
        <w:t>号文规定，自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日，免征图书批发、零售环节增值税，</w:t>
      </w:r>
      <w:r>
        <w:rPr/>
        <w:t> 漫友文化漫画图书享受此优惠政策，分别于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月在广州市越秀区国家税务局取得</w:t>
      </w:r>
      <w:r>
        <w:rPr>
          <w:rFonts w:ascii="Times New Roman" w:hAnsi="Times New Roman" w:cs="Times New Roman" w:eastAsia="Times New Roman" w:hint="default"/>
        </w:rPr>
        <w:t>2013</w:t>
      </w:r>
      <w:r>
        <w:rPr/>
        <w:t>年 度和</w:t>
      </w:r>
      <w:r>
        <w:rPr>
          <w:rFonts w:ascii="Times New Roman" w:hAnsi="Times New Roman" w:cs="Times New Roman" w:eastAsia="Times New Roman" w:hint="default"/>
        </w:rPr>
        <w:t>2014</w:t>
      </w:r>
      <w:r>
        <w:rPr/>
        <w:t>年度的备案。</w:t>
      </w:r>
    </w:p>
    <w:p>
      <w:pPr>
        <w:pStyle w:val="Heading6"/>
        <w:spacing w:line="240" w:lineRule="auto" w:before="5"/>
        <w:ind w:left="577" w:right="1097"/>
        <w:jc w:val="left"/>
        <w:rPr>
          <w:b w:val="0"/>
          <w:bCs w:val="0"/>
        </w:rPr>
      </w:pPr>
      <w:r>
        <w:rPr/>
        <w:t>（</w:t>
      </w:r>
      <w:r>
        <w:rPr>
          <w:rFonts w:ascii="Times New Roman" w:hAnsi="Times New Roman" w:cs="Times New Roman" w:eastAsia="Times New Roman" w:hint="default"/>
        </w:rPr>
        <w:t>2</w:t>
      </w:r>
      <w:r>
        <w:rPr/>
        <w:t>）营业税</w:t>
      </w:r>
      <w:r>
        <w:rPr>
          <w:b w:val="0"/>
          <w:bCs w:val="0"/>
        </w:rPr>
      </w:r>
    </w:p>
    <w:p>
      <w:pPr>
        <w:pStyle w:val="BodyText"/>
        <w:spacing w:line="273" w:lineRule="auto" w:before="21"/>
        <w:ind w:right="101" w:firstLine="422"/>
        <w:jc w:val="left"/>
      </w:pPr>
      <w:r>
        <w:rPr>
          <w:spacing w:val="-1"/>
        </w:rPr>
        <w:t>①根据国家有关税法规定，管道燃气工程开发业务和与其相关的收费、管道燃气用户安装业务以及其</w:t>
      </w:r>
      <w:r>
        <w:rPr/>
        <w:t> 他建筑安装业务的税率为营业收入的</w:t>
      </w:r>
      <w:r>
        <w:rPr>
          <w:rFonts w:ascii="Times New Roman" w:hAnsi="Times New Roman" w:cs="Times New Roman" w:eastAsia="Times New Roman" w:hint="default"/>
        </w:rPr>
        <w:t>3%</w:t>
      </w:r>
      <w:r>
        <w:rPr/>
        <w:t>。</w:t>
      </w:r>
    </w:p>
    <w:p>
      <w:pPr>
        <w:pStyle w:val="BodyText"/>
        <w:spacing w:line="279" w:lineRule="exact" w:before="0"/>
        <w:ind w:left="576" w:right="1097"/>
        <w:jc w:val="left"/>
      </w:pPr>
      <w:r>
        <w:rPr/>
        <w:t>②贸易代理及其他服务业务的税率为营业收入的</w:t>
      </w:r>
      <w:r>
        <w:rPr>
          <w:rFonts w:ascii="Times New Roman" w:hAnsi="Times New Roman" w:cs="Times New Roman" w:eastAsia="Times New Roman" w:hint="default"/>
        </w:rPr>
        <w:t>5%</w:t>
      </w:r>
      <w:r>
        <w:rPr/>
        <w:t>。</w:t>
      </w:r>
    </w:p>
    <w:p>
      <w:pPr>
        <w:pStyle w:val="BodyText"/>
        <w:spacing w:line="240" w:lineRule="auto" w:before="21"/>
        <w:ind w:left="576" w:right="1097"/>
        <w:jc w:val="left"/>
      </w:pPr>
      <w:r>
        <w:rPr/>
        <w:t>③快递收入按</w:t>
      </w:r>
      <w:r>
        <w:rPr>
          <w:rFonts w:ascii="Times New Roman" w:hAnsi="Times New Roman" w:cs="Times New Roman" w:eastAsia="Times New Roman" w:hint="default"/>
        </w:rPr>
        <w:t>3%</w:t>
      </w:r>
      <w:r>
        <w:rPr/>
        <w:t>计缴营业税。</w:t>
      </w:r>
    </w:p>
    <w:p>
      <w:pPr>
        <w:pStyle w:val="BodyText"/>
        <w:spacing w:line="240" w:lineRule="auto" w:before="21"/>
        <w:ind w:left="576" w:right="1097"/>
        <w:jc w:val="left"/>
      </w:pPr>
      <w:r>
        <w:rPr/>
        <w:t>④信息服务业收入按</w:t>
      </w:r>
      <w:r>
        <w:rPr>
          <w:rFonts w:ascii="Times New Roman" w:hAnsi="Times New Roman" w:cs="Times New Roman" w:eastAsia="Times New Roman" w:hint="default"/>
        </w:rPr>
        <w:t>3%</w:t>
      </w:r>
      <w:r>
        <w:rPr/>
        <w:t>计缴营业税。</w:t>
      </w:r>
    </w:p>
    <w:p>
      <w:pPr>
        <w:pStyle w:val="BodyText"/>
        <w:spacing w:line="240" w:lineRule="auto" w:before="21"/>
        <w:ind w:left="576" w:right="1097"/>
        <w:jc w:val="left"/>
      </w:pPr>
      <w:r>
        <w:rPr/>
        <w:t>⑤活动收入及其他服务收入按</w:t>
      </w:r>
      <w:r>
        <w:rPr>
          <w:rFonts w:ascii="Times New Roman" w:hAnsi="Times New Roman" w:cs="Times New Roman" w:eastAsia="Times New Roman" w:hint="default"/>
        </w:rPr>
        <w:t>5%</w:t>
      </w:r>
      <w:r>
        <w:rPr/>
        <w:t>计缴营业税。</w:t>
      </w:r>
    </w:p>
    <w:p>
      <w:pPr>
        <w:spacing w:line="256" w:lineRule="auto" w:before="21"/>
        <w:ind w:left="576" w:right="101"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）城市维护建设税、教育费附加和地方教育费附加</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文昌石化、陵水燃气、万宁民生、精视文化、精视广告（不含分公司）城市维护建设税按计提营业税</w:t>
      </w:r>
    </w:p>
    <w:p>
      <w:pPr>
        <w:pStyle w:val="BodyText"/>
        <w:spacing w:line="256" w:lineRule="auto" w:before="22"/>
        <w:ind w:left="153" w:right="207"/>
        <w:jc w:val="both"/>
      </w:pPr>
      <w:r>
        <w:rPr/>
        <w:t>额和（或）增值税额的</w:t>
      </w:r>
      <w:r>
        <w:rPr>
          <w:rFonts w:ascii="Times New Roman" w:hAnsi="Times New Roman" w:cs="Times New Roman" w:eastAsia="Times New Roman" w:hint="default"/>
        </w:rPr>
        <w:t>5%</w:t>
      </w:r>
      <w:r>
        <w:rPr/>
        <w:t>计征缴纳。上海鸿立城市维护建设税按营业税额和（或）增值税额的</w:t>
      </w:r>
      <w:r>
        <w:rPr>
          <w:rFonts w:ascii="Times New Roman" w:hAnsi="Times New Roman" w:cs="Times New Roman" w:eastAsia="Times New Roman" w:hint="default"/>
        </w:rPr>
        <w:t>1%</w:t>
      </w:r>
      <w:r>
        <w:rPr/>
        <w:t>计征缴</w:t>
      </w:r>
      <w:r>
        <w:rPr>
          <w:spacing w:val="-65"/>
        </w:rPr>
        <w:t> </w:t>
      </w:r>
      <w:r>
        <w:rPr>
          <w:spacing w:val="-65"/>
        </w:rPr>
      </w:r>
      <w:r>
        <w:rPr/>
        <w:t>纳。</w:t>
      </w:r>
    </w:p>
    <w:p>
      <w:pPr>
        <w:pStyle w:val="BodyText"/>
        <w:spacing w:line="256" w:lineRule="auto" w:before="22"/>
        <w:ind w:left="576" w:right="101"/>
        <w:jc w:val="left"/>
      </w:pPr>
      <w:r>
        <w:rPr/>
        <w:t>本公司及其他子公司城市维护建设税按营业税额和（或）增值税额的</w:t>
      </w:r>
      <w:r>
        <w:rPr>
          <w:rFonts w:ascii="Times New Roman" w:hAnsi="Times New Roman" w:cs="Times New Roman" w:eastAsia="Times New Roman" w:hint="default"/>
        </w:rPr>
        <w:t>7%</w:t>
      </w:r>
      <w:r>
        <w:rPr/>
        <w:t>计征缴纳。 </w:t>
      </w:r>
      <w:r>
        <w:rPr>
          <w:spacing w:val="-2"/>
        </w:rPr>
        <w:t>本公司及其子公司的教育费附加、地方教育费附加按营业税额和（或）增值税额的</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w:t>
      </w:r>
      <w:r>
        <w:rPr>
          <w:spacing w:val="-2"/>
        </w:rPr>
        <w:t>计征缴纳。</w:t>
      </w:r>
    </w:p>
    <w:p>
      <w:pPr>
        <w:pStyle w:val="BodyText"/>
        <w:spacing w:line="256" w:lineRule="auto" w:before="5"/>
        <w:ind w:left="576" w:right="101"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）文化事业建设费</w:t>
      </w:r>
      <w:r>
        <w:rPr>
          <w:rFonts w:ascii="宋体" w:hAnsi="宋体" w:cs="宋体" w:eastAsia="宋体" w:hint="default"/>
          <w:b/>
          <w:bCs/>
          <w:spacing w:val="1"/>
          <w:w w:val="99"/>
        </w:rPr>
        <w:t> </w:t>
      </w:r>
      <w:r>
        <w:rPr>
          <w:spacing w:val="-3"/>
        </w:rPr>
        <w:t>以广告收入减去支付给其他广告公司或广告发布者（包括媒体、载体）的广告发布费后余额的</w:t>
      </w:r>
      <w:r>
        <w:rPr>
          <w:rFonts w:ascii="Times New Roman" w:hAnsi="Times New Roman" w:cs="Times New Roman" w:eastAsia="Times New Roman" w:hint="default"/>
          <w:spacing w:val="-3"/>
        </w:rPr>
        <w:t>3%</w:t>
      </w:r>
      <w:r>
        <w:rPr>
          <w:spacing w:val="-3"/>
        </w:rPr>
        <w:t>计缴</w:t>
      </w:r>
    </w:p>
    <w:p>
      <w:pPr>
        <w:pStyle w:val="BodyText"/>
        <w:spacing w:line="240" w:lineRule="auto" w:before="5"/>
        <w:ind w:left="153" w:right="1097"/>
        <w:jc w:val="left"/>
      </w:pPr>
      <w:r>
        <w:rPr/>
        <w:t>文化事业建设费或以当地税务机关核定的金额缴纳。</w:t>
      </w:r>
    </w:p>
    <w:p>
      <w:pPr>
        <w:pStyle w:val="BodyText"/>
        <w:spacing w:line="256" w:lineRule="auto" w:before="37"/>
        <w:ind w:left="153" w:right="101" w:firstLine="506"/>
        <w:jc w:val="left"/>
      </w:pPr>
      <w:r>
        <w:rPr>
          <w:rFonts w:ascii="宋体" w:hAnsi="宋体" w:cs="宋体" w:eastAsia="宋体" w:hint="default"/>
          <w:b/>
          <w:bCs/>
          <w:spacing w:val="-1"/>
        </w:rPr>
        <w:t>（</w:t>
      </w:r>
      <w:r>
        <w:rPr>
          <w:rFonts w:ascii="Times New Roman" w:hAnsi="Times New Roman" w:cs="Times New Roman" w:eastAsia="Times New Roman" w:hint="default"/>
          <w:b/>
          <w:bCs/>
          <w:spacing w:val="-1"/>
        </w:rPr>
        <w:t>5</w:t>
      </w:r>
      <w:r>
        <w:rPr>
          <w:rFonts w:ascii="宋体" w:hAnsi="宋体" w:cs="宋体" w:eastAsia="宋体" w:hint="default"/>
          <w:b/>
          <w:bCs/>
          <w:spacing w:val="-1"/>
        </w:rPr>
        <w:t>）</w:t>
      </w:r>
      <w:r>
        <w:rPr>
          <w:spacing w:val="-1"/>
        </w:rPr>
        <w:t>其他税项，包括房产税、土地使用税、车船税、印花税、代扣代交的个人所得税等，按照国家</w:t>
      </w:r>
      <w:r>
        <w:rPr/>
        <w:t> 税法有关规定照章计征缴纳。</w:t>
      </w:r>
    </w:p>
    <w:p>
      <w:pPr>
        <w:spacing w:after="0" w:line="256" w:lineRule="auto"/>
        <w:jc w:val="left"/>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2,128,402.38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612,922.50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1,656,110,827.63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1,457,767,867.74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132,134,786.65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8,892,314.44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1,790,374,016.66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1,467,273,104.68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1,439,302.86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1"/>
        <w:ind w:left="154" w:right="0"/>
        <w:jc w:val="left"/>
      </w:pPr>
      <w:r>
        <w:rPr/>
        <w:t>其他说明：</w:t>
      </w:r>
    </w:p>
    <w:p>
      <w:pPr>
        <w:pStyle w:val="BodyText"/>
        <w:spacing w:line="240" w:lineRule="auto" w:before="60"/>
        <w:ind w:left="577" w:right="0"/>
        <w:jc w:val="left"/>
      </w:pPr>
      <w:r>
        <w:rPr/>
        <w:t>其中受限制的货币资金明细如下：</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683"/>
        <w:gridCol w:w="2056"/>
        <w:gridCol w:w="2056"/>
      </w:tblGrid>
      <w:tr>
        <w:trPr>
          <w:trHeight w:val="345" w:hRule="exact"/>
        </w:trPr>
        <w:tc>
          <w:tcPr>
            <w:tcW w:w="3683" w:type="dxa"/>
            <w:tcBorders>
              <w:top w:val="single" w:sz="6"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16"/>
              <w:ind w:right="1471"/>
              <w:jc w:val="right"/>
              <w:rPr>
                <w:rFonts w:ascii="宋体" w:hAnsi="宋体" w:cs="宋体" w:eastAsia="宋体" w:hint="default"/>
                <w:sz w:val="18"/>
                <w:szCs w:val="18"/>
              </w:rPr>
            </w:pPr>
            <w:r>
              <w:rPr>
                <w:rFonts w:ascii="宋体" w:hAnsi="宋体" w:cs="宋体" w:eastAsia="宋体" w:hint="default"/>
                <w:sz w:val="18"/>
                <w:szCs w:val="18"/>
              </w:rPr>
              <w:t>项目</w:t>
            </w:r>
          </w:p>
        </w:tc>
        <w:tc>
          <w:tcPr>
            <w:tcW w:w="2056" w:type="dxa"/>
            <w:tcBorders>
              <w:top w:val="single" w:sz="6"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16"/>
              <w:ind w:left="8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6" w:type="dxa"/>
            <w:tcBorders>
              <w:top w:val="single" w:sz="6"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16"/>
              <w:ind w:left="84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3683"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056"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18,402,339.93</w:t>
            </w:r>
          </w:p>
        </w:tc>
        <w:tc>
          <w:tcPr>
            <w:tcW w:w="2056"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6,350,000.00</w:t>
            </w:r>
          </w:p>
        </w:tc>
      </w:tr>
      <w:tr>
        <w:trPr>
          <w:trHeight w:val="352" w:hRule="exact"/>
        </w:trPr>
        <w:tc>
          <w:tcPr>
            <w:tcW w:w="3683"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056" w:type="dxa"/>
            <w:tcBorders>
              <w:top w:val="single" w:sz="8" w:space="0" w:color="000000"/>
              <w:left w:val="single" w:sz="6" w:space="0" w:color="000000"/>
              <w:bottom w:val="single" w:sz="8" w:space="0" w:color="000000"/>
              <w:right w:val="single" w:sz="6" w:space="0" w:color="000000"/>
            </w:tcBorders>
          </w:tcPr>
          <w:p>
            <w:pPr/>
          </w:p>
        </w:tc>
        <w:tc>
          <w:tcPr>
            <w:tcW w:w="20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r>
      <w:tr>
        <w:trPr>
          <w:trHeight w:val="347" w:hRule="exact"/>
        </w:trPr>
        <w:tc>
          <w:tcPr>
            <w:tcW w:w="3683"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21"/>
              <w:ind w:right="1471"/>
              <w:jc w:val="right"/>
              <w:rPr>
                <w:rFonts w:ascii="宋体" w:hAnsi="宋体" w:cs="宋体" w:eastAsia="宋体" w:hint="default"/>
                <w:sz w:val="18"/>
                <w:szCs w:val="18"/>
              </w:rPr>
            </w:pPr>
            <w:r>
              <w:rPr>
                <w:rFonts w:ascii="宋体" w:hAnsi="宋体" w:cs="宋体" w:eastAsia="宋体" w:hint="default"/>
                <w:sz w:val="18"/>
                <w:szCs w:val="18"/>
              </w:rPr>
              <w:t>合计</w:t>
            </w:r>
          </w:p>
        </w:tc>
        <w:tc>
          <w:tcPr>
            <w:tcW w:w="20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18,402,339.93</w:t>
            </w:r>
          </w:p>
        </w:tc>
        <w:tc>
          <w:tcPr>
            <w:tcW w:w="20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6,850,000.00</w:t>
            </w:r>
          </w:p>
        </w:tc>
      </w:tr>
    </w:tbl>
    <w:p>
      <w:pPr>
        <w:pStyle w:val="BodyText"/>
        <w:spacing w:line="256" w:lineRule="auto" w:before="0"/>
        <w:ind w:left="153" w:right="135" w:firstLine="420"/>
        <w:jc w:val="both"/>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日止，其他货币资金余额中，人民币</w:t>
      </w:r>
      <w:r>
        <w:rPr>
          <w:rFonts w:ascii="Times New Roman" w:hAnsi="Times New Roman" w:cs="Times New Roman" w:eastAsia="Times New Roman" w:hint="default"/>
        </w:rPr>
        <w:t>500,000.00</w:t>
      </w:r>
      <w:r>
        <w:rPr/>
        <w:t>元为民生燃气五年期特许经营权的 </w:t>
      </w:r>
      <w:r>
        <w:rPr>
          <w:spacing w:val="12"/>
        </w:rPr>
        <w:t>保证金；人民币</w:t>
      </w:r>
      <w:r>
        <w:rPr>
          <w:rFonts w:ascii="Times New Roman" w:hAnsi="Times New Roman" w:cs="Times New Roman" w:eastAsia="Times New Roman" w:hint="default"/>
          <w:spacing w:val="12"/>
        </w:rPr>
        <w:t>31,130.00</w:t>
      </w:r>
      <w:r>
        <w:rPr>
          <w:spacing w:val="12"/>
        </w:rPr>
        <w:t>元为民生商贸在光大银行海口海甸支行存入的燃气热水器质保金；人民币</w:t>
      </w:r>
      <w:r>
        <w:rPr>
          <w:spacing w:val="-85"/>
        </w:rPr>
        <w:t> </w:t>
      </w:r>
      <w:r>
        <w:rPr>
          <w:spacing w:val="-85"/>
        </w:rPr>
      </w:r>
      <w:r>
        <w:rPr>
          <w:rFonts w:ascii="Times New Roman" w:hAnsi="Times New Roman" w:cs="Times New Roman" w:eastAsia="Times New Roman" w:hint="default"/>
        </w:rPr>
        <w:t>500,000.00</w:t>
      </w:r>
      <w:r>
        <w:rPr/>
        <w:t>元为成功启航在广发银行北京西单支行存入的信用卡保证金；人民币</w:t>
      </w:r>
      <w:r>
        <w:rPr>
          <w:rFonts w:ascii="Times New Roman" w:hAnsi="Times New Roman" w:cs="Times New Roman" w:eastAsia="Times New Roman" w:hint="default"/>
        </w:rPr>
        <w:t>1,131,540.02</w:t>
      </w:r>
      <w:r>
        <w:rPr/>
        <w:t>元为成功启航</w:t>
      </w:r>
      <w:r>
        <w:rPr>
          <w:spacing w:val="-90"/>
        </w:rPr>
        <w:t> </w:t>
      </w:r>
      <w:r>
        <w:rPr>
          <w:spacing w:val="-90"/>
        </w:rPr>
      </w:r>
      <w:r>
        <w:rPr>
          <w:spacing w:val="-1"/>
        </w:rPr>
        <w:t>在北京银行双秀支行存入的留学保证金；人民币</w:t>
      </w:r>
      <w:r>
        <w:rPr>
          <w:rFonts w:ascii="Times New Roman" w:hAnsi="Times New Roman" w:cs="Times New Roman" w:eastAsia="Times New Roman" w:hint="default"/>
          <w:spacing w:val="-1"/>
        </w:rPr>
        <w:t>10,000.00</w:t>
      </w:r>
      <w:r>
        <w:rPr>
          <w:spacing w:val="-1"/>
        </w:rPr>
        <w:t>元为沈阳辽一网络向支付宝（中国）网络技术有</w:t>
      </w:r>
      <w:r>
        <w:rPr>
          <w:spacing w:val="-82"/>
        </w:rPr>
        <w:t> </w:t>
      </w:r>
      <w:r>
        <w:rPr>
          <w:spacing w:val="-82"/>
        </w:rPr>
      </w:r>
      <w:r>
        <w:rPr>
          <w:spacing w:val="-2"/>
        </w:rPr>
        <w:t>限公司申请支付宝账户的保证金，人民币</w:t>
      </w:r>
      <w:r>
        <w:rPr>
          <w:rFonts w:ascii="Times New Roman" w:hAnsi="Times New Roman" w:cs="Times New Roman" w:eastAsia="Times New Roman" w:hint="default"/>
          <w:spacing w:val="-2"/>
        </w:rPr>
        <w:t>1,600,000.00</w:t>
      </w:r>
      <w:r>
        <w:rPr>
          <w:spacing w:val="-2"/>
        </w:rPr>
        <w:t>元为陕西黄马甲分别向中国光大银行股份有限公司西</w:t>
      </w:r>
      <w:r>
        <w:rPr>
          <w:spacing w:val="-83"/>
        </w:rPr>
        <w:t> </w:t>
      </w:r>
      <w:r>
        <w:rPr>
          <w:spacing w:val="-83"/>
        </w:rPr>
      </w:r>
      <w:r>
        <w:rPr/>
        <w:t>安太白路支行、中国银行股份有限公司西安西稍门支行申请开具的</w:t>
      </w:r>
      <w:r>
        <w:rPr>
          <w:rFonts w:ascii="Times New Roman" w:hAnsi="Times New Roman" w:cs="Times New Roman" w:eastAsia="Times New Roman" w:hint="default"/>
        </w:rPr>
        <w:t>1,000,000.00</w:t>
      </w:r>
      <w:r>
        <w:rPr/>
        <w:t>元、</w:t>
      </w:r>
      <w:r>
        <w:rPr>
          <w:rFonts w:ascii="Times New Roman" w:hAnsi="Times New Roman" w:cs="Times New Roman" w:eastAsia="Times New Roman" w:hint="default"/>
        </w:rPr>
        <w:t>600,000.00</w:t>
      </w:r>
      <w:r>
        <w:rPr/>
        <w:t>元交易保证</w:t>
      </w:r>
      <w:r>
        <w:rPr>
          <w:spacing w:val="-90"/>
        </w:rPr>
        <w:t> </w:t>
      </w:r>
      <w:r>
        <w:rPr>
          <w:spacing w:val="-90"/>
        </w:rPr>
      </w:r>
      <w:r>
        <w:rPr>
          <w:spacing w:val="-2"/>
        </w:rPr>
        <w:t>金；人民币</w:t>
      </w:r>
      <w:r>
        <w:rPr>
          <w:rFonts w:ascii="Times New Roman" w:hAnsi="Times New Roman" w:cs="Times New Roman" w:eastAsia="Times New Roman" w:hint="default"/>
          <w:spacing w:val="-2"/>
        </w:rPr>
        <w:t>14,515,669.91</w:t>
      </w:r>
      <w:r>
        <w:rPr>
          <w:spacing w:val="-2"/>
        </w:rPr>
        <w:t>元为华商数码在中国民生银行存入银行承兑汇票保证金；人民币</w:t>
      </w:r>
      <w:r>
        <w:rPr>
          <w:rFonts w:ascii="Times New Roman" w:hAnsi="Times New Roman" w:cs="Times New Roman" w:eastAsia="Times New Roman" w:hint="default"/>
          <w:spacing w:val="-2"/>
        </w:rPr>
        <w:t>114,000.00</w:t>
      </w:r>
      <w:r>
        <w:rPr>
          <w:spacing w:val="-2"/>
        </w:rPr>
        <w:t>元为邦</w:t>
      </w:r>
      <w:r>
        <w:rPr>
          <w:spacing w:val="-79"/>
        </w:rPr>
        <w:t> </w:t>
      </w:r>
      <w:r>
        <w:rPr/>
        <w:t>富软件按照与中国石油天然气股份有限公司规划总院签订的合同金额百分之十存入的保函保证金。</w:t>
      </w:r>
    </w:p>
    <w:p>
      <w:pPr>
        <w:spacing w:line="240" w:lineRule="auto" w:before="10"/>
        <w:rPr>
          <w:rFonts w:ascii="宋体" w:hAnsi="宋体" w:cs="宋体" w:eastAsia="宋体" w:hint="default"/>
          <w:sz w:val="24"/>
          <w:szCs w:val="24"/>
        </w:rPr>
      </w:pPr>
    </w:p>
    <w:p>
      <w:pPr>
        <w:pStyle w:val="Heading6"/>
        <w:spacing w:line="240" w:lineRule="auto" w:before="0"/>
        <w:ind w:left="153"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42,404,690.64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42,404,690.64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42,404,690.64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9,520,045.47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5,288,274.00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5,089,466.60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14,609,512.07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5,288,274.00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27,368,138.63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27,368,138.63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6"/>
        <w:spacing w:line="240" w:lineRule="auto"/>
        <w:ind w:left="139"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139"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10"/>
        <w:gridCol w:w="1417"/>
        <w:gridCol w:w="851"/>
        <w:gridCol w:w="1276"/>
        <w:gridCol w:w="763"/>
        <w:gridCol w:w="1363"/>
        <w:gridCol w:w="1276"/>
        <w:gridCol w:w="762"/>
        <w:gridCol w:w="1364"/>
        <w:gridCol w:w="932"/>
        <w:gridCol w:w="1477"/>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3D3D3"/>
          </w:tcPr>
          <w:p>
            <w:pP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1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2410" w:type="dxa"/>
            <w:vMerge/>
            <w:tcBorders>
              <w:left w:val="single" w:sz="4" w:space="0" w:color="000000"/>
              <w:bottom w:val="nil" w:sz="6" w:space="0" w:color="auto"/>
              <w:right w:val="single" w:sz="4" w:space="0" w:color="000000"/>
            </w:tcBorders>
            <w:shd w:val="clear" w:color="auto" w:fill="D3D3D3"/>
          </w:tcPr>
          <w:p>
            <w:pP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3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1" w:hRule="exact"/>
        </w:trPr>
        <w:tc>
          <w:tcPr>
            <w:tcW w:w="24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2039" w:type="dxa"/>
            <w:gridSpan w:val="2"/>
            <w:vMerge/>
            <w:tcBorders>
              <w:left w:val="single" w:sz="4" w:space="0" w:color="000000"/>
              <w:bottom w:val="single" w:sz="4" w:space="0" w:color="000000"/>
              <w:right w:val="single" w:sz="4" w:space="0" w:color="000000"/>
            </w:tcBorders>
            <w:shd w:val="clear" w:color="auto" w:fill="D3D3D3"/>
          </w:tcPr>
          <w:p>
            <w:pPr/>
          </w:p>
        </w:tc>
        <w:tc>
          <w:tcPr>
            <w:tcW w:w="1363" w:type="dxa"/>
            <w:vMerge/>
            <w:tcBorders>
              <w:left w:val="single" w:sz="4" w:space="0" w:color="000000"/>
              <w:right w:val="single" w:sz="4" w:space="0" w:color="000000"/>
            </w:tcBorders>
            <w:shd w:val="clear" w:color="auto" w:fill="D3D3D3"/>
          </w:tcPr>
          <w:p>
            <w:pPr/>
          </w:p>
        </w:tc>
        <w:tc>
          <w:tcPr>
            <w:tcW w:w="2038" w:type="dxa"/>
            <w:gridSpan w:val="2"/>
            <w:vMerge/>
            <w:tcBorders>
              <w:left w:val="single" w:sz="4" w:space="0" w:color="000000"/>
              <w:bottom w:val="single" w:sz="4" w:space="0" w:color="000000"/>
              <w:right w:val="single" w:sz="4" w:space="0" w:color="000000"/>
            </w:tcBorders>
            <w:shd w:val="clear" w:color="auto" w:fill="D3D3D3"/>
          </w:tcPr>
          <w:p>
            <w:pPr/>
          </w:p>
        </w:tc>
        <w:tc>
          <w:tcPr>
            <w:tcW w:w="2297" w:type="dxa"/>
            <w:gridSpan w:val="2"/>
            <w:vMerge/>
            <w:tcBorders>
              <w:left w:val="single" w:sz="4" w:space="0" w:color="000000"/>
              <w:bottom w:val="single" w:sz="4" w:space="0" w:color="000000"/>
              <w:right w:val="single" w:sz="4" w:space="0" w:color="000000"/>
            </w:tcBorders>
            <w:shd w:val="clear" w:color="auto" w:fill="D3D3D3"/>
          </w:tcPr>
          <w:p>
            <w:pPr/>
          </w:p>
        </w:tc>
        <w:tc>
          <w:tcPr>
            <w:tcW w:w="1477" w:type="dxa"/>
            <w:vMerge/>
            <w:tcBorders>
              <w:left w:val="single" w:sz="4" w:space="0" w:color="000000"/>
              <w:right w:val="single" w:sz="4" w:space="0" w:color="000000"/>
            </w:tcBorders>
            <w:shd w:val="clear" w:color="auto" w:fill="D3D3D3"/>
          </w:tcPr>
          <w:p>
            <w:pPr/>
          </w:p>
        </w:tc>
      </w:tr>
      <w:tr>
        <w:trPr>
          <w:trHeight w:val="151" w:hRule="exact"/>
        </w:trPr>
        <w:tc>
          <w:tcPr>
            <w:tcW w:w="2410" w:type="dxa"/>
            <w:vMerge/>
            <w:tcBorders>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63" w:type="dxa"/>
            <w:vMerge/>
            <w:tcBorders>
              <w:left w:val="single" w:sz="4" w:space="0" w:color="000000"/>
              <w:right w:val="single" w:sz="4" w:space="0" w:color="000000"/>
            </w:tcBorders>
            <w:shd w:val="clear" w:color="auto" w:fill="D3D3D3"/>
          </w:tcPr>
          <w:p>
            <w:pP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77" w:type="dxa"/>
            <w:vMerge/>
            <w:tcBorders>
              <w:left w:val="single" w:sz="4" w:space="0" w:color="000000"/>
              <w:right w:val="single" w:sz="4" w:space="0" w:color="000000"/>
            </w:tcBorders>
            <w:shd w:val="clear" w:color="auto" w:fill="D3D3D3"/>
          </w:tcPr>
          <w:p>
            <w:pPr/>
          </w:p>
        </w:tc>
      </w:tr>
      <w:tr>
        <w:trPr>
          <w:trHeight w:val="563" w:hRule="exact"/>
        </w:trPr>
        <w:tc>
          <w:tcPr>
            <w:tcW w:w="24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1363"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1364" w:type="dxa"/>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c>
          <w:tcPr>
            <w:tcW w:w="147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准备的应收账款</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82,238,875.79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12.24%</w:t>
            </w:r>
          </w:p>
        </w:tc>
        <w:tc>
          <w:tcPr>
            <w:tcW w:w="127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82,238,875.79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14,293,754.42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14,293,754.42</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准备的应收账款</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541,819,982.95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40,600,071.00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501,219,911.95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292,278,425.26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25,151,717.01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267,126,708.25</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单项金额不重大但单独计提坏 账准备的应收账款</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47,742,706.57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7,170,560.18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40,572,146.39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43,276,675.92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12,500,156.82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30,776,519.10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671,801,565.31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47,770,631.18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624,030,934.13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349,848,855.60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37,651,873.83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312,196,981.77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140</w:t>
      </w:r>
    </w:p>
    <w:p>
      <w:pPr>
        <w:spacing w:after="0"/>
        <w:jc w:val="right"/>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3"/>
          <w:pgSz w:w="11910" w:h="16840"/>
          <w:pgMar w:footer="982" w:header="0" w:top="1100" w:bottom="1180" w:left="980" w:right="980"/>
          <w:pgNumType w:start="141"/>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中国移动通信集团上海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82,238,875.79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82,238,875.79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5"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456,187,807.24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22,809,390.39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45,083,666.78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4,508,366.67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23,562,070.08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4,712,414.01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12,375,006.19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2,478,838.00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1,487,302.79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2,132,594.66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2,132,594.66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541,819,982.95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40,600,071.00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59" w:lineRule="auto" w:before="0"/>
        <w:ind w:right="0"/>
        <w:jc w:val="left"/>
        <w:rPr>
          <w:b w:val="0"/>
          <w:bCs w:val="0"/>
        </w:rPr>
      </w:pPr>
      <w:r>
        <w:rPr/>
        <w:t>（</w:t>
      </w:r>
      <w:r>
        <w:rPr>
          <w:rFonts w:ascii="Times New Roman" w:hAnsi="Times New Roman" w:cs="Times New Roman" w:eastAsia="Times New Roman" w:hint="default"/>
        </w:rPr>
        <w:t>2</w:t>
      </w:r>
      <w:r>
        <w:rPr/>
        <w:t>）本期无以前年度已全额计提坏账准备，或计提减值准备比例较大的重大应收账款本期收回或转回情</w:t>
      </w:r>
      <w:r>
        <w:rPr>
          <w:spacing w:val="-74"/>
        </w:rPr>
        <w:t> </w:t>
      </w:r>
      <w:r>
        <w:rPr>
          <w:spacing w:val="-74"/>
        </w:rPr>
      </w:r>
      <w:r>
        <w:rPr/>
        <w:t>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2,343,578.46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133"/>
        <w:gridCol w:w="1594"/>
        <w:gridCol w:w="1595"/>
        <w:gridCol w:w="1240"/>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款项是否由关</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133"/>
        <w:gridCol w:w="1594"/>
        <w:gridCol w:w="1595"/>
        <w:gridCol w:w="1241"/>
      </w:tblGrid>
      <w:tr>
        <w:trPr>
          <w:trHeight w:val="36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联交易产生</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青海贤成矿业股份有限公司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服务款项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海南上海家化玻璃制品有限公司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购气款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726,817.40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破产，无法收回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重庆德林报刊发行公司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印刷款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320,859.46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1,816,426.86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pict>
          <v:shape style="position:absolute;margin-left:413.220001pt;margin-top:51.45396pt;width:75.4pt;height:16.6pt;mso-position-horizontal-relative:page;mso-position-vertical-relative:paragraph;z-index:-1216624" type="#_x0000_t202" filled="false" stroked="false">
            <v:textbox inset="0,0,0,0">
              <w:txbxContent>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977"/>
        <w:gridCol w:w="1843"/>
        <w:gridCol w:w="2410"/>
        <w:gridCol w:w="1417"/>
      </w:tblGrid>
      <w:tr>
        <w:trPr>
          <w:trHeight w:val="344" w:hRule="exact"/>
        </w:trPr>
        <w:tc>
          <w:tcPr>
            <w:tcW w:w="2977" w:type="dxa"/>
            <w:vMerge w:val="restart"/>
            <w:tcBorders>
              <w:top w:val="single" w:sz="6" w:space="0" w:color="000000"/>
              <w:left w:val="single" w:sz="6" w:space="0" w:color="000000"/>
              <w:right w:val="single" w:sz="8" w:space="0" w:color="000000"/>
            </w:tcBorders>
            <w:shd w:val="clear" w:color="auto" w:fill="CCCCCC"/>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70" w:type="dxa"/>
            <w:gridSpan w:val="3"/>
            <w:tcBorders>
              <w:top w:val="single" w:sz="6"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977" w:type="dxa"/>
            <w:vMerge/>
            <w:tcBorders>
              <w:left w:val="single" w:sz="6" w:space="0" w:color="000000"/>
              <w:bottom w:val="single" w:sz="8" w:space="0" w:color="000000"/>
              <w:right w:val="single" w:sz="8" w:space="0" w:color="000000"/>
            </w:tcBorders>
            <w:shd w:val="clear" w:color="auto" w:fill="CCCCCC"/>
          </w:tcPr>
          <w:p>
            <w:pPr/>
          </w:p>
        </w:tc>
        <w:tc>
          <w:tcPr>
            <w:tcW w:w="184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41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18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82,238,875.79</w:t>
            </w:r>
          </w:p>
        </w:tc>
        <w:tc>
          <w:tcPr>
            <w:tcW w:w="24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12.24</w:t>
            </w:r>
          </w:p>
        </w:tc>
        <w:tc>
          <w:tcPr>
            <w:tcW w:w="1417"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北京鼎木宏兴科技有限公司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17,646,606.15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882,330.31</w:t>
            </w:r>
          </w:p>
        </w:tc>
      </w:tr>
      <w:tr>
        <w:trPr>
          <w:trHeight w:val="353"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杭州中美华东制药有限公司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12,420,150.00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3,869,600.70</w:t>
            </w:r>
          </w:p>
        </w:tc>
      </w:tr>
      <w:tr>
        <w:trPr>
          <w:trHeight w:val="352"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北京当当网信息技术有限公司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8,844,589.33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442,229.47</w:t>
            </w:r>
          </w:p>
        </w:tc>
      </w:tr>
      <w:tr>
        <w:trPr>
          <w:trHeight w:val="352"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天津市西青区博爱书店</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7,975,318.98</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398,765.95</w:t>
            </w:r>
          </w:p>
        </w:tc>
      </w:tr>
      <w:tr>
        <w:trPr>
          <w:trHeight w:val="353" w:hRule="exact"/>
        </w:trPr>
        <w:tc>
          <w:tcPr>
            <w:tcW w:w="2977"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129,125,540.25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19.22</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5,592,926.43</w:t>
            </w:r>
          </w:p>
        </w:tc>
      </w:tr>
    </w:tbl>
    <w:p>
      <w:pPr>
        <w:spacing w:line="240" w:lineRule="auto" w:before="2"/>
        <w:rPr>
          <w:rFonts w:ascii="宋体" w:hAnsi="宋体" w:cs="宋体" w:eastAsia="宋体" w:hint="default"/>
          <w:b/>
          <w:bCs/>
          <w:sz w:val="19"/>
          <w:szCs w:val="19"/>
        </w:rPr>
      </w:pPr>
    </w:p>
    <w:p>
      <w:pPr>
        <w:spacing w:line="595" w:lineRule="auto" w:before="35"/>
        <w:ind w:left="574" w:right="4310" w:hanging="420"/>
        <w:jc w:val="left"/>
        <w:rPr>
          <w:rFonts w:ascii="宋体" w:hAnsi="宋体" w:cs="宋体" w:eastAsia="宋体" w:hint="default"/>
          <w:sz w:val="21"/>
          <w:szCs w:val="21"/>
        </w:rPr>
      </w:pPr>
      <w:r>
        <w:rPr/>
        <w:pict>
          <v:shape style="position:absolute;margin-left:56.220001pt;margin-top:53.133987pt;width:419.65pt;height:185.2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559"/>
                    <w:gridCol w:w="1560"/>
                    <w:gridCol w:w="1417"/>
                    <w:gridCol w:w="1985"/>
                  </w:tblGrid>
                  <w:tr>
                    <w:trPr>
                      <w:trHeight w:val="444" w:hRule="exact"/>
                    </w:trPr>
                    <w:tc>
                      <w:tcPr>
                        <w:tcW w:w="184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5"/>
                          <w:ind w:left="37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5"/>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5"/>
                          <w:ind w:right="6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5"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5"/>
                          <w:ind w:left="62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4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37,151,985.65</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87"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股信息披露费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pacing w:val="-1"/>
                            <w:sz w:val="18"/>
                          </w:rPr>
                          <w:t>4,251,666.42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pacing w:val="-1"/>
                            <w:sz w:val="18"/>
                          </w:rPr>
                          <w:t>3,095,833.18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72.81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预计未来现金流量</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现值低于其账面价值</w:t>
                        </w:r>
                      </w:p>
                    </w:tc>
                  </w:tr>
                  <w:tr>
                    <w:trPr>
                      <w:trHeight w:val="487"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pacing w:val="-1"/>
                            <w:sz w:val="18"/>
                          </w:rPr>
                          <w:t>4,046,400.00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pacing w:val="-1"/>
                            <w:sz w:val="18"/>
                          </w:rPr>
                          <w:t>4,046,400.00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100.00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预计未来现金流量</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现值低于其账面价值</w:t>
                        </w:r>
                      </w:p>
                    </w:tc>
                  </w:tr>
                  <w:tr>
                    <w:trPr>
                      <w:trHeight w:val="44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z w:val="18"/>
                          </w:rPr>
                          <w:t>164,063.67</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44"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审核费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1,898,924.50</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87"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229,666.33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28,327.00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12.33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预计未来现金流量</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现值低于其账面价值</w:t>
                        </w:r>
                      </w:p>
                    </w:tc>
                  </w:tr>
                  <w:tr>
                    <w:trPr>
                      <w:trHeight w:val="44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47,742,706.57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7,170,560.18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15.02</w:t>
                        </w:r>
                      </w:p>
                    </w:tc>
                    <w:tc>
                      <w:tcPr>
                        <w:tcW w:w="1985" w:type="dxa"/>
                        <w:tcBorders>
                          <w:top w:val="single" w:sz="8" w:space="0" w:color="000000"/>
                          <w:left w:val="single" w:sz="8" w:space="0" w:color="000000"/>
                          <w:bottom w:val="single" w:sz="8" w:space="0" w:color="000000"/>
                          <w:right w:val="single" w:sz="8" w:space="0" w:color="000000"/>
                        </w:tcBorders>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）应收账款的其他说明</w:t>
      </w:r>
      <w:r>
        <w:rPr>
          <w:rFonts w:ascii="宋体" w:hAnsi="宋体" w:cs="宋体" w:eastAsia="宋体" w:hint="default"/>
          <w:b/>
          <w:bCs/>
          <w:w w:val="99"/>
          <w:sz w:val="21"/>
          <w:szCs w:val="21"/>
        </w:rPr>
        <w:t> </w:t>
      </w:r>
      <w:r>
        <w:rPr>
          <w:rFonts w:ascii="宋体" w:hAnsi="宋体" w:cs="宋体" w:eastAsia="宋体" w:hint="default"/>
          <w:sz w:val="21"/>
          <w:szCs w:val="21"/>
        </w:rPr>
        <w:t>期末单项金额虽不重大但单项计提坏账准备的应收账款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90" w:lineRule="auto" w:before="35"/>
        <w:ind w:left="574" w:right="2321" w:hanging="1"/>
        <w:jc w:val="left"/>
      </w:pPr>
      <w:r>
        <w:rPr/>
        <w:t>期末应收账款中无持本公司</w:t>
      </w:r>
      <w:r>
        <w:rPr>
          <w:spacing w:val="-55"/>
        </w:rPr>
        <w:t> </w:t>
      </w:r>
      <w:r>
        <w:rPr>
          <w:rFonts w:ascii="Times New Roman" w:hAnsi="Times New Roman" w:cs="Times New Roman" w:eastAsia="Times New Roman" w:hint="default"/>
        </w:rPr>
        <w:t>5</w:t>
      </w:r>
      <w:r>
        <w:rPr/>
        <w:t>％以上（含</w:t>
      </w:r>
      <w:r>
        <w:rPr>
          <w:spacing w:val="-55"/>
        </w:rPr>
        <w:t> </w:t>
      </w:r>
      <w:r>
        <w:rPr>
          <w:rFonts w:ascii="Times New Roman" w:hAnsi="Times New Roman" w:cs="Times New Roman" w:eastAsia="Times New Roman" w:hint="default"/>
        </w:rPr>
        <w:t>5</w:t>
      </w:r>
      <w:r>
        <w:rPr/>
        <w:t>％）表决权股份的股东单位欠款。 </w:t>
      </w:r>
      <w:r>
        <w:rPr>
          <w:spacing w:val="-12"/>
        </w:rPr>
        <w:t>应收关联方账款情况详见附注十、（六）。</w:t>
      </w:r>
    </w:p>
    <w:p>
      <w:pPr>
        <w:spacing w:after="0" w:line="290"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82,423,631.40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59,379,486.37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7,917,216.08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7,422,830.29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6,757,483.29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259,292.00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252,291.13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97,350,621.90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67,061,608.66</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64" w:lineRule="auto" w:before="75"/>
        <w:ind w:right="215"/>
        <w:jc w:val="left"/>
      </w:pPr>
      <w:r>
        <w:rPr/>
        <w:t>账龄超过一年且金额重大的预付款项为</w:t>
      </w:r>
      <w:r>
        <w:rPr>
          <w:rFonts w:ascii="Times New Roman" w:hAnsi="Times New Roman" w:cs="Times New Roman" w:eastAsia="Times New Roman" w:hint="default"/>
          <w:sz w:val="18"/>
          <w:szCs w:val="18"/>
        </w:rPr>
        <w:t>6,650,000.00</w:t>
      </w:r>
      <w:r>
        <w:rPr/>
        <w:t>元，主要为股权转让款，因为尚未完成股权转让程序， 该款项尚未结清。</w:t>
      </w:r>
    </w:p>
    <w:p>
      <w:pPr>
        <w:spacing w:line="240" w:lineRule="auto" w:before="3"/>
        <w:rPr>
          <w:rFonts w:ascii="宋体" w:hAnsi="宋体" w:cs="宋体" w:eastAsia="宋体" w:hint="default"/>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3262"/>
        <w:gridCol w:w="2268"/>
        <w:gridCol w:w="3684"/>
      </w:tblGrid>
      <w:tr>
        <w:trPr>
          <w:trHeight w:val="337"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6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left="316" w:right="0"/>
              <w:jc w:val="left"/>
              <w:rPr>
                <w:rFonts w:ascii="宋体" w:hAnsi="宋体" w:cs="宋体" w:eastAsia="宋体" w:hint="default"/>
                <w:sz w:val="18"/>
                <w:szCs w:val="18"/>
              </w:rPr>
            </w:pPr>
            <w:r>
              <w:rPr>
                <w:rFonts w:ascii="宋体" w:hAnsi="宋体" w:cs="宋体" w:eastAsia="宋体" w:hint="default"/>
                <w:sz w:val="18"/>
                <w:szCs w:val="18"/>
              </w:rPr>
              <w:t>占预付款期末余额合计数的比例（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上海际动网络科技有限公司</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11,820,000.00</w:t>
            </w:r>
          </w:p>
        </w:tc>
        <w:tc>
          <w:tcPr>
            <w:tcW w:w="36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12.14</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时艳芳</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6,650,000.00</w:t>
            </w:r>
          </w:p>
        </w:tc>
        <w:tc>
          <w:tcPr>
            <w:tcW w:w="3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6.83</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江苏盐城二建集团有限公司海南分公司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4,949,625.00</w:t>
            </w:r>
          </w:p>
        </w:tc>
        <w:tc>
          <w:tcPr>
            <w:tcW w:w="3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5.08</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杭州明霖信息技术有限公司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4,750,000.00</w:t>
            </w:r>
          </w:p>
        </w:tc>
        <w:tc>
          <w:tcPr>
            <w:tcW w:w="3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4.88</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广东万家乐燃气具有限公司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3,999,340.41</w:t>
            </w:r>
          </w:p>
        </w:tc>
        <w:tc>
          <w:tcPr>
            <w:tcW w:w="3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4.11</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32,168,965.41</w:t>
            </w:r>
          </w:p>
        </w:tc>
        <w:tc>
          <w:tcPr>
            <w:tcW w:w="36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90" w:lineRule="auto" w:before="90"/>
        <w:ind w:left="574" w:right="2321" w:hanging="1"/>
        <w:jc w:val="left"/>
      </w:pPr>
      <w:r>
        <w:rPr/>
        <w:t>期末预付款项中无持本公司</w:t>
      </w:r>
      <w:r>
        <w:rPr>
          <w:spacing w:val="-55"/>
        </w:rPr>
        <w:t> </w:t>
      </w:r>
      <w:r>
        <w:rPr>
          <w:rFonts w:ascii="Times New Roman" w:hAnsi="Times New Roman" w:cs="Times New Roman" w:eastAsia="Times New Roman" w:hint="default"/>
        </w:rPr>
        <w:t>5</w:t>
      </w:r>
      <w:r>
        <w:rPr/>
        <w:t>％以上（含</w:t>
      </w:r>
      <w:r>
        <w:rPr>
          <w:spacing w:val="-55"/>
        </w:rPr>
        <w:t> </w:t>
      </w:r>
      <w:r>
        <w:rPr>
          <w:rFonts w:ascii="Times New Roman" w:hAnsi="Times New Roman" w:cs="Times New Roman" w:eastAsia="Times New Roman" w:hint="default"/>
        </w:rPr>
        <w:t>5</w:t>
      </w:r>
      <w:r>
        <w:rPr/>
        <w:t>％）表决权股份的股东单位欠款。 期末余额中无预付关联方款项。</w:t>
      </w:r>
    </w:p>
    <w:p>
      <w:pPr>
        <w:spacing w:line="240" w:lineRule="auto" w:before="4"/>
        <w:rPr>
          <w:rFonts w:ascii="宋体" w:hAnsi="宋体" w:cs="宋体" w:eastAsia="宋体" w:hint="default"/>
          <w:sz w:val="22"/>
          <w:szCs w:val="22"/>
        </w:rPr>
      </w:pPr>
    </w:p>
    <w:p>
      <w:pPr>
        <w:pStyle w:val="Heading6"/>
        <w:spacing w:line="240" w:lineRule="auto" w:before="0"/>
        <w:ind w:right="0"/>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left="974" w:right="0"/>
        <w:jc w:val="left"/>
        <w:rPr>
          <w:b w:val="0"/>
          <w:bCs w:val="0"/>
        </w:rPr>
      </w:pPr>
      <w:r>
        <w:rPr>
          <w:rFonts w:ascii="Times New Roman" w:hAnsi="Times New Roman" w:cs="Times New Roman" w:eastAsia="Times New Roman" w:hint="default"/>
        </w:rPr>
        <w:t>7</w:t>
      </w:r>
      <w:r>
        <w:rPr/>
        <w:t>、应收股利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974"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山东丰源煤电股份有限公司（以下简称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山东丰源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江苏力星通用钢球股份有限公司（以下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力星通用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1,710,000.00</w:t>
            </w:r>
          </w:p>
        </w:tc>
      </w:tr>
    </w:tbl>
    <w:p>
      <w:pPr>
        <w:spacing w:line="240" w:lineRule="auto" w:before="2"/>
        <w:rPr>
          <w:rFonts w:ascii="宋体" w:hAnsi="宋体" w:cs="宋体" w:eastAsia="宋体" w:hint="default"/>
          <w:sz w:val="19"/>
          <w:szCs w:val="19"/>
        </w:rPr>
      </w:pPr>
    </w:p>
    <w:p>
      <w:pPr>
        <w:pStyle w:val="Heading6"/>
        <w:spacing w:line="240" w:lineRule="auto"/>
        <w:ind w:left="974"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山东丰源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宋体" w:hAnsi="宋体" w:cs="宋体" w:eastAsia="宋体" w:hint="default"/>
                <w:sz w:val="18"/>
                <w:szCs w:val="18"/>
              </w:rPr>
              <w:t>否（已决议，待发放）</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ind w:left="974"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974"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35"/>
        <w:gridCol w:w="1274"/>
        <w:gridCol w:w="709"/>
        <w:gridCol w:w="1134"/>
        <w:gridCol w:w="709"/>
        <w:gridCol w:w="1220"/>
        <w:gridCol w:w="1189"/>
        <w:gridCol w:w="708"/>
        <w:gridCol w:w="1277"/>
        <w:gridCol w:w="708"/>
        <w:gridCol w:w="1277"/>
      </w:tblGrid>
      <w:tr>
        <w:trPr>
          <w:trHeight w:val="402" w:hRule="exact"/>
        </w:trPr>
        <w:tc>
          <w:tcPr>
            <w:tcW w:w="11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04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5" w:type="dxa"/>
            <w:vMerge/>
            <w:tcBorders>
              <w:left w:val="single" w:sz="4" w:space="0" w:color="000000"/>
              <w:right w:val="single" w:sz="4" w:space="0" w:color="000000"/>
            </w:tcBorders>
            <w:shd w:val="clear" w:color="auto" w:fill="D3D3D3"/>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135"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0" w:type="dxa"/>
            <w:vMerge/>
            <w:tcBorders>
              <w:left w:val="single" w:sz="4" w:space="0" w:color="000000"/>
              <w:bottom w:val="single" w:sz="4" w:space="0" w:color="000000"/>
              <w:right w:val="single" w:sz="4" w:space="0" w:color="000000"/>
            </w:tcBorders>
            <w:shd w:val="clear" w:color="auto" w:fill="D3D3D3"/>
          </w:tcPr>
          <w:p>
            <w:pP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7" w:type="dxa"/>
            <w:vMerge/>
            <w:tcBorders>
              <w:left w:val="single" w:sz="4" w:space="0" w:color="000000"/>
              <w:bottom w:val="single" w:sz="4" w:space="0" w:color="000000"/>
              <w:right w:val="single" w:sz="4" w:space="0" w:color="000000"/>
            </w:tcBorders>
            <w:shd w:val="clear" w:color="auto" w:fill="D3D3D3"/>
          </w:tcPr>
          <w:p>
            <w:pPr/>
          </w:p>
        </w:tc>
      </w:tr>
      <w:tr>
        <w:trPr>
          <w:trHeight w:val="1650"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0"/>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的其他应收 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308,054,268.66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68.02%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308,054,268.66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318,080,800.00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53,030,000.00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265,050,800.00</w:t>
            </w:r>
          </w:p>
        </w:tc>
      </w:tr>
      <w:tr>
        <w:trPr>
          <w:trHeight w:val="1650"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0"/>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 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82,122,646.89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18.13%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42,072,097.79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51.23%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40,050,549.10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175,520,975.15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32.52%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41,613,972.58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133,907,002.57</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62,721,406.99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13.85%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6,590,815.05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56,130,591.94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46,207,240.73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20,296,574.02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25,910,666.71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160" w:right="1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135"/>
        <w:gridCol w:w="1275"/>
        <w:gridCol w:w="709"/>
        <w:gridCol w:w="1134"/>
        <w:gridCol w:w="709"/>
        <w:gridCol w:w="1220"/>
        <w:gridCol w:w="1189"/>
        <w:gridCol w:w="708"/>
        <w:gridCol w:w="1277"/>
        <w:gridCol w:w="708"/>
        <w:gridCol w:w="1277"/>
      </w:tblGrid>
      <w:tr>
        <w:trPr>
          <w:trHeight w:val="1298"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00"/>
              <w:jc w:val="both"/>
              <w:rPr>
                <w:rFonts w:ascii="宋体" w:hAnsi="宋体" w:cs="宋体" w:eastAsia="宋体" w:hint="default"/>
                <w:sz w:val="18"/>
                <w:szCs w:val="18"/>
              </w:rPr>
            </w:pPr>
            <w:r>
              <w:rPr>
                <w:rFonts w:ascii="宋体" w:hAnsi="宋体" w:cs="宋体" w:eastAsia="宋体" w:hint="default"/>
                <w:sz w:val="18"/>
                <w:szCs w:val="18"/>
              </w:rPr>
              <w:t>重大但单独 计提坏账准 备的其他应 收款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452,898,322.54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48,662,912.84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10.74%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404,235,409.70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539,809,015.88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114,940,546.60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424,868,469.28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160" w:right="160"/>
        </w:sectPr>
      </w:pPr>
    </w:p>
    <w:p>
      <w:pPr>
        <w:spacing w:before="51"/>
        <w:ind w:left="97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97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954" w:right="95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80" w:left="160" w:right="160"/>
          <w:cols w:num="2" w:equalWidth="0">
            <w:col w:w="5295" w:space="3534"/>
            <w:col w:w="2761"/>
          </w:cols>
        </w:sectPr>
      </w:pP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4111"/>
        <w:gridCol w:w="1418"/>
        <w:gridCol w:w="1274"/>
        <w:gridCol w:w="851"/>
        <w:gridCol w:w="1915"/>
      </w:tblGrid>
      <w:tr>
        <w:trPr>
          <w:trHeight w:val="402" w:hRule="exact"/>
        </w:trPr>
        <w:tc>
          <w:tcPr>
            <w:tcW w:w="41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49"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45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4111"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6"/>
              <w:jc w:val="left"/>
              <w:rPr>
                <w:rFonts w:ascii="宋体" w:hAnsi="宋体" w:cs="宋体" w:eastAsia="宋体" w:hint="default"/>
                <w:sz w:val="18"/>
                <w:szCs w:val="18"/>
              </w:rPr>
            </w:pPr>
            <w:r>
              <w:rPr>
                <w:rFonts w:ascii="宋体" w:hAnsi="宋体" w:cs="宋体" w:eastAsia="宋体" w:hint="default"/>
                <w:sz w:val="18"/>
                <w:szCs w:val="18"/>
              </w:rPr>
              <w:t>江阴市振江钢结构有限公司（以下简称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振江钢结 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6,397,260.28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联营企业，收回有保证</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财通基金管理有限公司（兴业银行基金托管专户）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12,491,975.49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北京中亿世联科技发展有限公司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保证金，预计可收回</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陕西华商豪盛置业有限公司（以下简称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陕西华商豪 盛</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262,095,032.89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联营企业，收回有保证</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保证金，预计可收回</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南通广视投资开发有限公司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保证金，预计可收回</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308,054,268.66</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160" w:right="160"/>
        </w:sectPr>
      </w:pPr>
    </w:p>
    <w:p>
      <w:pPr>
        <w:spacing w:before="51"/>
        <w:ind w:left="97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97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954" w:right="95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80" w:left="160" w:right="160"/>
          <w:cols w:num="2" w:equalWidth="0">
            <w:col w:w="5115" w:space="3714"/>
            <w:col w:w="2761"/>
          </w:cols>
        </w:sectPr>
      </w:pPr>
    </w:p>
    <w:p>
      <w:pPr>
        <w:spacing w:line="240" w:lineRule="auto" w:before="13"/>
        <w:rPr>
          <w:rFonts w:ascii="宋体" w:hAnsi="宋体" w:cs="宋体" w:eastAsia="宋体" w:hint="default"/>
          <w:sz w:val="7"/>
          <w:szCs w:val="7"/>
        </w:rPr>
      </w:pPr>
    </w:p>
    <w:tbl>
      <w:tblPr>
        <w:tblW w:w="0" w:type="auto"/>
        <w:jc w:val="left"/>
        <w:tblInd w:w="96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6,494,685.93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324,734.29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34,911,171.42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3,491,117.14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1,820,652.68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364,130.54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975,571.67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390,228.67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1,046,695.09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628,017.05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36,873,870.10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36,873,870.10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82,122,646.89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42,072,097.79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51.23%</w:t>
            </w:r>
          </w:p>
        </w:tc>
      </w:tr>
    </w:tbl>
    <w:p>
      <w:pPr>
        <w:spacing w:before="51"/>
        <w:ind w:left="97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974" w:right="6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9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160" w:right="160"/>
        </w:sectPr>
      </w:pPr>
    </w:p>
    <w:p>
      <w:pPr>
        <w:spacing w:line="240" w:lineRule="auto" w:before="9"/>
        <w:rPr>
          <w:rFonts w:ascii="宋体" w:hAnsi="宋体" w:cs="宋体" w:eastAsia="宋体" w:hint="default"/>
          <w:sz w:val="20"/>
          <w:szCs w:val="20"/>
        </w:rPr>
      </w:pPr>
    </w:p>
    <w:p>
      <w:pPr>
        <w:pStyle w:val="Heading6"/>
        <w:spacing w:line="259" w:lineRule="auto"/>
        <w:ind w:left="394" w:right="0"/>
        <w:jc w:val="left"/>
        <w:rPr>
          <w:b w:val="0"/>
          <w:bCs w:val="0"/>
        </w:rPr>
      </w:pPr>
      <w:r>
        <w:rPr/>
        <w:t>（</w:t>
      </w:r>
      <w:r>
        <w:rPr>
          <w:rFonts w:ascii="Times New Roman" w:hAnsi="Times New Roman" w:cs="Times New Roman" w:eastAsia="Times New Roman" w:hint="default"/>
        </w:rPr>
        <w:t>2</w:t>
      </w:r>
      <w:r>
        <w:rPr/>
        <w:t>）本公司无本报告期前已全额计提坏账准备，或计提减值准备的比例较大，但在本报告期又全额收回</w:t>
      </w:r>
      <w:r>
        <w:rPr>
          <w:spacing w:val="-74"/>
        </w:rPr>
        <w:t> </w:t>
      </w:r>
      <w:r>
        <w:rPr>
          <w:spacing w:val="-74"/>
        </w:rPr>
      </w:r>
      <w:r>
        <w:rPr/>
        <w:t>或转回，或在报告期收回或转回比例较大的其他应收款。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394"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73,285,858.10</w:t>
            </w:r>
          </w:p>
        </w:tc>
      </w:tr>
    </w:tbl>
    <w:p>
      <w:pPr>
        <w:spacing w:before="51"/>
        <w:ind w:left="39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28"/>
        <w:gridCol w:w="1700"/>
        <w:gridCol w:w="1238"/>
        <w:gridCol w:w="1594"/>
        <w:gridCol w:w="1596"/>
        <w:gridCol w:w="159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天津华商广告有限公司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单位往来款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12,459,877.90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已注销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海南杰海实业有限公司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西安电影培训学院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4,604,667.00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海南海金宁实业有限公司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海发行等债权转让款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3,609,787.42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58,704,332.32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39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0"/>
        <w:ind w:left="394" w:right="0"/>
        <w:jc w:val="left"/>
      </w:pPr>
      <w:r>
        <w:rPr/>
        <w:t>上述坏账核销经本公司第六届董事会第七次、第十次会议审议通过。</w:t>
      </w:r>
    </w:p>
    <w:p>
      <w:pPr>
        <w:spacing w:line="240" w:lineRule="auto" w:before="11"/>
        <w:rPr>
          <w:rFonts w:ascii="宋体" w:hAnsi="宋体" w:cs="宋体" w:eastAsia="宋体" w:hint="default"/>
          <w:sz w:val="25"/>
          <w:szCs w:val="25"/>
        </w:rPr>
      </w:pPr>
    </w:p>
    <w:p>
      <w:pPr>
        <w:pStyle w:val="Heading6"/>
        <w:spacing w:line="240" w:lineRule="auto" w:before="0"/>
        <w:ind w:left="39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43,045,580.06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9,469,284.07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13,755,427.29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7,875,628.00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375,163,582.06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460,227,126.20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20,933,733.13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62,236,977.61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452,898,322.54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539,809,015.88</w:t>
            </w:r>
          </w:p>
        </w:tc>
      </w:tr>
    </w:tbl>
    <w:p>
      <w:pPr>
        <w:spacing w:line="240" w:lineRule="auto" w:before="2"/>
        <w:rPr>
          <w:rFonts w:ascii="宋体" w:hAnsi="宋体" w:cs="宋体" w:eastAsia="宋体" w:hint="default"/>
          <w:sz w:val="19"/>
          <w:szCs w:val="19"/>
        </w:rPr>
      </w:pPr>
    </w:p>
    <w:p>
      <w:pPr>
        <w:pStyle w:val="Heading6"/>
        <w:spacing w:line="240" w:lineRule="auto"/>
        <w:ind w:left="394"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2410"/>
        <w:gridCol w:w="1134"/>
        <w:gridCol w:w="1238"/>
        <w:gridCol w:w="2164"/>
        <w:gridCol w:w="1560"/>
        <w:gridCol w:w="1061"/>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262,095,032.89</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5,251,032.89</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57.87%</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74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1238"/>
        <w:gridCol w:w="2164"/>
        <w:gridCol w:w="1560"/>
        <w:gridCol w:w="1061"/>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256,844,000.00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气款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财通基金管理有限公司（兴业 银行基金托管专户）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12,491,975.49</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南通广视投资开发有限公司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318,087,008.38</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70.24%</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95" w:lineRule="auto" w:before="35"/>
        <w:ind w:left="574" w:right="4100" w:hanging="420"/>
        <w:jc w:val="left"/>
        <w:rPr>
          <w:rFonts w:ascii="宋体" w:hAnsi="宋体" w:cs="宋体" w:eastAsia="宋体" w:hint="default"/>
          <w:sz w:val="21"/>
          <w:szCs w:val="21"/>
        </w:rPr>
      </w:pPr>
      <w:r>
        <w:rPr/>
        <w:pict>
          <v:shape style="position:absolute;margin-left:56.220001pt;margin-top:53.103928pt;width:419.65pt;height:156.7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17"/>
                    <w:gridCol w:w="1277"/>
                    <w:gridCol w:w="1274"/>
                    <w:gridCol w:w="2694"/>
                  </w:tblGrid>
                  <w:tr>
                    <w:trPr>
                      <w:trHeight w:val="445"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6"/>
                          <w:ind w:left="21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6"/>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6"/>
                          <w:ind w:left="2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6"/>
                          <w:ind w:right="6"/>
                          <w:jc w:val="righ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1"/>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9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4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11,347,648.84</w:t>
                        </w:r>
                      </w:p>
                    </w:tc>
                    <w:tc>
                      <w:tcPr>
                        <w:tcW w:w="1277"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pacing w:val="-3"/>
                            <w:sz w:val="18"/>
                            <w:szCs w:val="18"/>
                          </w:rPr>
                          <w:t>公司员工个人欠款，确定可回收</w:t>
                        </w:r>
                      </w:p>
                    </w:tc>
                  </w:tr>
                  <w:tr>
                    <w:trPr>
                      <w:trHeight w:val="44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62,000.00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62,000.00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100.00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6,528,815.05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6,528,815.05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z w:val="18"/>
                          </w:rPr>
                          <w:t>100.00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42,986,816.82</w:t>
                        </w:r>
                      </w:p>
                    </w:tc>
                    <w:tc>
                      <w:tcPr>
                        <w:tcW w:w="1277"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4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应收各站点款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1,796,126.28</w:t>
                        </w:r>
                      </w:p>
                    </w:tc>
                    <w:tc>
                      <w:tcPr>
                        <w:tcW w:w="1277"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45"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62,721,406.99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6,590,815.05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10.51</w:t>
                        </w:r>
                      </w:p>
                    </w:tc>
                    <w:tc>
                      <w:tcPr>
                        <w:tcW w:w="2694" w:type="dxa"/>
                        <w:tcBorders>
                          <w:top w:val="single" w:sz="8" w:space="0" w:color="000000"/>
                          <w:left w:val="single" w:sz="8" w:space="0" w:color="000000"/>
                          <w:bottom w:val="single" w:sz="8" w:space="0" w:color="000000"/>
                          <w:right w:val="single" w:sz="8" w:space="0" w:color="000000"/>
                        </w:tcBorders>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）其他应收款的其他说明</w:t>
      </w:r>
      <w:r>
        <w:rPr>
          <w:rFonts w:ascii="宋体" w:hAnsi="宋体" w:cs="宋体" w:eastAsia="宋体" w:hint="default"/>
          <w:b/>
          <w:bCs/>
          <w:w w:val="99"/>
          <w:sz w:val="21"/>
          <w:szCs w:val="21"/>
        </w:rPr>
        <w:t> </w:t>
      </w:r>
      <w:r>
        <w:rPr>
          <w:rFonts w:ascii="宋体" w:hAnsi="宋体" w:cs="宋体" w:eastAsia="宋体" w:hint="default"/>
          <w:sz w:val="21"/>
          <w:szCs w:val="21"/>
        </w:rPr>
        <w:t>期末单项金额虽不重大但单项计提坏账准备的其他应收款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line="304" w:lineRule="auto" w:before="38"/>
        <w:ind w:left="553" w:right="2481" w:firstLine="0"/>
        <w:jc w:val="left"/>
        <w:rPr>
          <w:rFonts w:ascii="宋体" w:hAnsi="宋体" w:cs="宋体" w:eastAsia="宋体" w:hint="default"/>
          <w:sz w:val="20"/>
          <w:szCs w:val="20"/>
        </w:rPr>
      </w:pPr>
      <w:r>
        <w:rPr>
          <w:rFonts w:ascii="宋体" w:hAnsi="宋体" w:cs="宋体" w:eastAsia="宋体" w:hint="default"/>
          <w:sz w:val="20"/>
          <w:szCs w:val="20"/>
        </w:rPr>
        <w:t>期末其他应收款中无持本公司</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％以上（含</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％）表决权股份的股东单位欠款。</w:t>
      </w:r>
      <w:r>
        <w:rPr>
          <w:rFonts w:ascii="宋体" w:hAnsi="宋体" w:cs="宋体" w:eastAsia="宋体" w:hint="default"/>
          <w:w w:val="100"/>
          <w:sz w:val="20"/>
          <w:szCs w:val="20"/>
        </w:rPr>
        <w:t> </w:t>
      </w:r>
      <w:r>
        <w:rPr>
          <w:rFonts w:ascii="宋体" w:hAnsi="宋体" w:cs="宋体" w:eastAsia="宋体" w:hint="default"/>
          <w:sz w:val="20"/>
          <w:szCs w:val="20"/>
        </w:rPr>
        <w:t>应收其他关联方账款情况详见附注十二、</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p>
    <w:p>
      <w:pPr>
        <w:spacing w:line="240" w:lineRule="auto" w:before="3"/>
        <w:rPr>
          <w:rFonts w:ascii="宋体" w:hAnsi="宋体" w:cs="宋体" w:eastAsia="宋体" w:hint="default"/>
          <w:sz w:val="20"/>
          <w:szCs w:val="20"/>
        </w:rPr>
      </w:pPr>
    </w:p>
    <w:p>
      <w:pPr>
        <w:pStyle w:val="Heading6"/>
        <w:spacing w:line="240" w:lineRule="auto" w:before="0"/>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55,226,825.26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289,795.33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54,937,029.93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53,709,148.00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463,157.58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53,245,990.42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42,041,459.18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8,770,046.57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33,271,412.61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18,961,653.53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4,185,559.77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14,776,093.76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4,003,814.63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4,003,814.63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5,370,707.66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5,370,707.66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1,919,766.65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1,919,766.65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3,413,778.10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72,852.29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3,340,925.81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6,467,368.05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6,467,368.05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5,890,968.10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5,890,968.10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53,796,089.40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53,796,089.40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66,608,367.38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66,608,367.38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330,179,250.37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330,179,250.37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83,074,126.96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83,074,126.96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76,838.90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495,881,429.96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11,306,698.32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484,574,731.64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239,352,445.05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6,968,426.06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232,384,018.99</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463,157.58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96,574.16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269,936.41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289,795.33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4,185,559.77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3,565,147.89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5,056,446.05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4,037,107.14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8,770,046.57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72,852.29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72,852.29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2,246,856.42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6,968,426.06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3,663,538.29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5,056,446.05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4,381,712.08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11,306,698.32</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3,369,133.42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国债回购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105,231,261.09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55,907,054.09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358,600,394.51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161,907,054.09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6"/>
        <w:spacing w:line="240" w:lineRule="auto" w:before="89"/>
        <w:ind w:left="600" w:right="0"/>
        <w:jc w:val="left"/>
        <w:rPr>
          <w:b w:val="0"/>
          <w:bCs w:val="0"/>
        </w:rPr>
      </w:pPr>
      <w:r>
        <w:rPr/>
        <w:t>期末按公允价值计量的可供出售金融资产</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3970"/>
        <w:gridCol w:w="1560"/>
        <w:gridCol w:w="1416"/>
        <w:gridCol w:w="1418"/>
      </w:tblGrid>
      <w:tr>
        <w:trPr>
          <w:trHeight w:val="665" w:hRule="exact"/>
        </w:trPr>
        <w:tc>
          <w:tcPr>
            <w:tcW w:w="397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107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409" w:right="409"/>
              <w:jc w:val="left"/>
              <w:rPr>
                <w:rFonts w:ascii="宋体" w:hAnsi="宋体" w:cs="宋体" w:eastAsia="宋体" w:hint="default"/>
                <w:sz w:val="18"/>
                <w:szCs w:val="18"/>
              </w:rPr>
            </w:pPr>
            <w:r>
              <w:rPr>
                <w:rFonts w:ascii="宋体" w:hAnsi="宋体" w:cs="宋体" w:eastAsia="宋体" w:hint="default"/>
                <w:sz w:val="18"/>
                <w:szCs w:val="18"/>
              </w:rPr>
              <w:t>可供出售 权益工具</w:t>
            </w:r>
          </w:p>
        </w:tc>
        <w:tc>
          <w:tcPr>
            <w:tcW w:w="14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338" w:right="336"/>
              <w:jc w:val="left"/>
              <w:rPr>
                <w:rFonts w:ascii="宋体" w:hAnsi="宋体" w:cs="宋体" w:eastAsia="宋体" w:hint="default"/>
                <w:sz w:val="18"/>
                <w:szCs w:val="18"/>
              </w:rPr>
            </w:pPr>
            <w:r>
              <w:rPr>
                <w:rFonts w:ascii="宋体" w:hAnsi="宋体" w:cs="宋体" w:eastAsia="宋体" w:hint="default"/>
                <w:sz w:val="18"/>
                <w:szCs w:val="18"/>
              </w:rPr>
              <w:t>可供出售 债务工具</w:t>
            </w:r>
          </w:p>
        </w:tc>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397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债务的摊余成本</w:t>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2,629,966.34</w:t>
            </w:r>
          </w:p>
        </w:tc>
        <w:tc>
          <w:tcPr>
            <w:tcW w:w="1416" w:type="dxa"/>
            <w:tcBorders>
              <w:top w:val="single" w:sz="12"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2,629,966.34</w:t>
            </w:r>
          </w:p>
        </w:tc>
      </w:tr>
      <w:tr>
        <w:trPr>
          <w:trHeight w:val="352" w:hRule="exact"/>
        </w:trPr>
        <w:tc>
          <w:tcPr>
            <w:tcW w:w="397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3,369,133.42</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3,369,133.42</w:t>
            </w:r>
          </w:p>
        </w:tc>
      </w:tr>
      <w:tr>
        <w:trPr>
          <w:trHeight w:val="353" w:hRule="exact"/>
        </w:trPr>
        <w:tc>
          <w:tcPr>
            <w:tcW w:w="397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13"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739,167.08</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739,167.08</w:t>
            </w:r>
          </w:p>
        </w:tc>
      </w:tr>
      <w:tr>
        <w:trPr>
          <w:trHeight w:val="347" w:hRule="exact"/>
        </w:trPr>
        <w:tc>
          <w:tcPr>
            <w:tcW w:w="397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985"/>
        <w:gridCol w:w="1352"/>
        <w:gridCol w:w="1195"/>
        <w:gridCol w:w="1421"/>
        <w:gridCol w:w="1418"/>
        <w:gridCol w:w="1134"/>
        <w:gridCol w:w="1417"/>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1,273,795,300.15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1,257,795,300.15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1,190,417,592.92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1,185,417,592.92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36,827,707.23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36,827,707.23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1,236,967,592.92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1,220,967,592.92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1,190,417,592.92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1,185,417,592.92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1,273,795,300.15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1,257,795,300.15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1,190,417,592.92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1,185,417,592.92</w:t>
            </w:r>
          </w:p>
        </w:tc>
      </w:tr>
    </w:tbl>
    <w:p>
      <w:pPr>
        <w:spacing w:line="240" w:lineRule="auto" w:before="2"/>
        <w:rPr>
          <w:rFonts w:ascii="宋体" w:hAnsi="宋体" w:cs="宋体" w:eastAsia="宋体" w:hint="default"/>
          <w:sz w:val="19"/>
          <w:szCs w:val="19"/>
        </w:rPr>
      </w:pPr>
    </w:p>
    <w:p>
      <w:pPr>
        <w:pStyle w:val="Heading6"/>
        <w:spacing w:line="240" w:lineRule="auto"/>
        <w:ind w:left="254"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2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909"/>
        <w:gridCol w:w="1915"/>
        <w:gridCol w:w="1915"/>
        <w:gridCol w:w="1914"/>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11" w:right="26"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50"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37,508,024.51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36,827,707.23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-680,317.28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37,508,024.51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36,827,707.23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-680,317.28</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880" w:right="86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6"/>
        <w:spacing w:line="240" w:lineRule="auto"/>
        <w:ind w:left="819"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3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119"/>
        <w:gridCol w:w="143"/>
        <w:gridCol w:w="1417"/>
        <w:gridCol w:w="1134"/>
        <w:gridCol w:w="1276"/>
        <w:gridCol w:w="1418"/>
        <w:gridCol w:w="1134"/>
        <w:gridCol w:w="1134"/>
        <w:gridCol w:w="566"/>
        <w:gridCol w:w="1276"/>
        <w:gridCol w:w="851"/>
        <w:gridCol w:w="1417"/>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60"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14" w:hRule="exact"/>
        </w:trPr>
        <w:tc>
          <w:tcPr>
            <w:tcW w:w="3119" w:type="dxa"/>
            <w:vMerge/>
            <w:tcBorders>
              <w:left w:val="single" w:sz="4" w:space="0" w:color="000000"/>
              <w:bottom w:val="single" w:sz="4" w:space="0" w:color="000000"/>
              <w:right w:val="single" w:sz="4" w:space="0" w:color="000000"/>
            </w:tcBorders>
            <w:shd w:val="clear" w:color="auto" w:fill="D3D3D3"/>
          </w:tcPr>
          <w:p>
            <w:pP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51"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安润国际保险经纪（北京）有限公司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杭州龙扬生物科技有限公司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厦门一品威客网络科技有限公司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芜湖其欣石电影投资合伙企业（有限合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安徽省皖北药业股份有限公司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力星通用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40,429,975.00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40,429,975.00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浙江金龙电机股份有限公司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汇绿园林建设股份有限公司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28,885,930.00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28,885,930.00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176,985.00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北京报联北广广告有限公司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10,895.00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吉林京演儿艺联合剧院有限公司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成都桑莱特科技股份有限公司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陕西同力重工股份有限公司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392,533.33</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上海激动网络有限公司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深圳市索菱实业股份有限公司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42,824,161.00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42,824,161.00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康欣新材料科技股份有限公司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4"/>
          <w:footerReference w:type="default" r:id="rId45"/>
          <w:pgSz w:w="16840" w:h="11910" w:orient="landscape"/>
          <w:pgMar w:header="867" w:footer="978" w:top="1060" w:bottom="1160" w:left="620" w:right="1100"/>
          <w:pgNumType w:start="150"/>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62"/>
        <w:gridCol w:w="1417"/>
        <w:gridCol w:w="1134"/>
        <w:gridCol w:w="1276"/>
        <w:gridCol w:w="1418"/>
        <w:gridCol w:w="1134"/>
        <w:gridCol w:w="1134"/>
        <w:gridCol w:w="566"/>
        <w:gridCol w:w="1276"/>
        <w:gridCol w:w="851"/>
        <w:gridCol w:w="1417"/>
      </w:tblGrid>
      <w:tr>
        <w:trPr>
          <w:trHeight w:val="416" w:hRule="exact"/>
        </w:trPr>
        <w:tc>
          <w:tcPr>
            <w:tcW w:w="32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西安思坦仪器股份有限公司）</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41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昆仑基石（深圳）股权投资合伙企业（有</w:t>
            </w:r>
            <w:r>
              <w:rPr>
                <w:rFonts w:ascii="宋体" w:hAnsi="宋体" w:cs="宋体" w:eastAsia="宋体" w:hint="default"/>
                <w:sz w:val="18"/>
                <w:szCs w:val="18"/>
              </w:rPr>
              <w:t> 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深圳市华夏基石股权投资合伙企业（有限</w:t>
            </w:r>
            <w:r>
              <w:rPr>
                <w:rFonts w:ascii="宋体" w:hAnsi="宋体" w:cs="宋体" w:eastAsia="宋体" w:hint="default"/>
                <w:sz w:val="18"/>
                <w:szCs w:val="18"/>
              </w:rPr>
              <w:t> 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山东美多集团有限公司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芜湖基石创业投资合伙企业（有限合伙）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北京嘉林药业股份有限公司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深圳市科信通信设备有限公司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芜湖领航基石创业投资合伙企业（有限合</w:t>
            </w:r>
            <w:r>
              <w:rPr>
                <w:rFonts w:ascii="宋体" w:hAnsi="宋体" w:cs="宋体" w:eastAsia="宋体" w:hint="default"/>
                <w:sz w:val="18"/>
                <w:szCs w:val="18"/>
              </w:rPr>
              <w:t>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北京中信投资中心（有限合伙）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147,604,188.17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147,604,188.17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2,541,783.31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绵阳科技城产业投资基金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87,907,127.68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87,907,127.68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30,144,528.92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中信夹层（上海）投资中心（有限合伙）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49,819,461.07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46,819,461.07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8,876,239.74</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招商财富</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弘唯基石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号专项资 产管理计划</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北京磨铁图书有限公司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西安荣信文化产业发展有限公司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28.76%</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辽宁华孚环境工程股份有限公司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陕西华商互联文化传播有限公司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1,190,417,592.92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90,900,000.00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1,236,967,592.92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16,000,000.00</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122,722,965.30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620" w:right="1100"/>
        </w:sectPr>
      </w:pPr>
    </w:p>
    <w:p>
      <w:pPr>
        <w:spacing w:line="240" w:lineRule="auto" w:before="4"/>
        <w:rPr>
          <w:rFonts w:ascii="Times New Roman" w:hAnsi="Times New Roman" w:cs="Times New Roman" w:eastAsia="Times New Roman" w:hint="default"/>
          <w:sz w:val="3"/>
          <w:szCs w:val="3"/>
        </w:rPr>
      </w:pPr>
    </w:p>
    <w:p>
      <w:pPr>
        <w:spacing w:line="20" w:lineRule="exact"/>
        <w:ind w:left="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6"/>
        <w:spacing w:line="240" w:lineRule="auto"/>
        <w:ind w:left="539"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spacing w:before="44"/>
        <w:ind w:left="926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535" w:type="dxa"/>
        <w:tblLayout w:type="fixed"/>
        <w:tblCellMar>
          <w:top w:w="0" w:type="dxa"/>
          <w:left w:w="0" w:type="dxa"/>
          <w:bottom w:w="0" w:type="dxa"/>
          <w:right w:w="0" w:type="dxa"/>
        </w:tblCellMar>
        <w:tblLook w:val="01E0"/>
      </w:tblPr>
      <w:tblGrid>
        <w:gridCol w:w="1602"/>
        <w:gridCol w:w="1327"/>
        <w:gridCol w:w="1328"/>
        <w:gridCol w:w="1327"/>
        <w:gridCol w:w="1327"/>
        <w:gridCol w:w="1328"/>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7" w:right="28"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8" w:right="28"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11,000,000.00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11,000,000.00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bl>
    <w:p>
      <w:pPr>
        <w:spacing w:line="240" w:lineRule="auto" w:before="2"/>
        <w:rPr>
          <w:rFonts w:ascii="宋体" w:hAnsi="宋体" w:cs="宋体" w:eastAsia="宋体" w:hint="default"/>
          <w:sz w:val="19"/>
          <w:szCs w:val="19"/>
        </w:rPr>
      </w:pPr>
    </w:p>
    <w:p>
      <w:pPr>
        <w:pStyle w:val="Heading6"/>
        <w:spacing w:line="240" w:lineRule="auto"/>
        <w:ind w:left="539"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3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4"/>
        <w:gridCol w:w="1274"/>
        <w:gridCol w:w="1276"/>
        <w:gridCol w:w="1134"/>
        <w:gridCol w:w="1277"/>
        <w:gridCol w:w="851"/>
        <w:gridCol w:w="1134"/>
        <w:gridCol w:w="1274"/>
        <w:gridCol w:w="852"/>
        <w:gridCol w:w="708"/>
        <w:gridCol w:w="1277"/>
        <w:gridCol w:w="991"/>
      </w:tblGrid>
      <w:tr>
        <w:trPr>
          <w:trHeight w:val="402" w:hRule="exact"/>
        </w:trPr>
        <w:tc>
          <w:tcPr>
            <w:tcW w:w="25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2554"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460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海南林内民生燃具厨卫销售有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1,647,859.09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210,245.73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1,858,104.82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1,647,859.09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210,245.73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1,858,104.82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0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44,039,534.61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-20,737,920.26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16,147,026.28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66,693,640.63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国广环球在线</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16,541.80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4,434,541.80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深圳市怀新企业投资顾问有限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怀新投资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9,081,375.99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1,367,154.95</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10,448,530.94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点石创投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-846,990.14</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14,153,009.86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华商时代</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-311,424.21</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178,575.79</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554"/>
        <w:gridCol w:w="1274"/>
        <w:gridCol w:w="1276"/>
        <w:gridCol w:w="1134"/>
        <w:gridCol w:w="1277"/>
        <w:gridCol w:w="851"/>
        <w:gridCol w:w="1134"/>
        <w:gridCol w:w="1274"/>
        <w:gridCol w:w="852"/>
        <w:gridCol w:w="708"/>
        <w:gridCol w:w="1277"/>
        <w:gridCol w:w="991"/>
      </w:tblGrid>
      <w:tr>
        <w:trPr>
          <w:trHeight w:val="416" w:hRule="exact"/>
        </w:trPr>
        <w:tc>
          <w:tcPr>
            <w:tcW w:w="25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振江钢结构</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38,615,780.04</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3,951,713.00</w:t>
            </w:r>
          </w:p>
        </w:tc>
        <w:tc>
          <w:tcPr>
            <w:tcW w:w="851"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42,567,493.04</w:t>
            </w:r>
          </w:p>
        </w:tc>
        <w:tc>
          <w:tcPr>
            <w:tcW w:w="99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南京芯传汇电子科技有限公司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8,117,192.00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56,377.00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4,373,569.00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辽宁新闻印刷集团有限公司（以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辽宁印刷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114,428,571.54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4,322,344.20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118,750,915.74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27,225,517.35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-3,146,414.94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24,079,102.41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北京华益维新投资管理咨询有 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2,279,326.83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-195,734.16</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2,083,592.67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陕西三六五网络有限公司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2,337,220.83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-28,421.05</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2,308,799.78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重庆居汇网络有限公司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3,154,742.85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-1,481,198.64</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1,673,544.21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辽宁三六五网络有限公司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2,966,139.38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-681,440.04</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2,284,699.34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陕西泽润传媒发展有限公司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5,582,772.80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-792,792.25</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4,789,980.55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辽宁天禹星电子科技有限公司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60,727,845.60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-3,394,147.57</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57,333,698.03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西安通元开宝艺术文化有限公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2,774,205.59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-671,800.70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2,102,404.89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上海萌果信息科技有限公司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21,859,058.00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4,483,136.00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26,342,194.00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343,189,283.41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-18,091,017.01</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16,147,026.28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384,598,292.68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344,837,142.50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-17,880,771.28</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16,147,026.28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386,456,397.50</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11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54,677,716.96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54,677,716.96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54,677,716.96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54,677,716.96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14,792,704.72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14,792,704.72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1,968,397.80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1,968,397.80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1,968,397.80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1,968,397.80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16,761,102.52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16,761,102.52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37,916,614.44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37,916,614.44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39,885,012.24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39,885,012.24</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）无未办妥产权证书的投资性房地产情况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574" w:right="1370"/>
        <w:jc w:val="left"/>
      </w:pPr>
      <w:r>
        <w:rPr/>
        <w:t>投资性房地产系本公司之子公司时报传媒以自有房产出租，按成本模式进行后续计量。 期末余额中无用于银行抵押借款和对外提供担保。</w:t>
      </w:r>
    </w:p>
    <w:p>
      <w:pPr>
        <w:spacing w:line="240" w:lineRule="auto" w:before="4"/>
        <w:rPr>
          <w:rFonts w:ascii="宋体" w:hAnsi="宋体" w:cs="宋体" w:eastAsia="宋体" w:hint="default"/>
          <w:sz w:val="21"/>
          <w:szCs w:val="21"/>
        </w:rPr>
      </w:pPr>
    </w:p>
    <w:p>
      <w:pPr>
        <w:pStyle w:val="Heading6"/>
        <w:spacing w:line="240" w:lineRule="auto" w:before="0"/>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465,069,621.97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389,993,153.19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74,291,308.53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125,801,804.61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660,239,582.07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1,715,395,470.37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21,182,807.40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21,560,578.94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32,070,933.34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18,270,648.52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40,944,776.29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134,029,744.49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5,759,140.84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4,213,305.10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10,159,833.46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15,523,827.53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341,880.36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35,997,987.29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15,423,666.56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17,347,273.84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98,150.60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40,602,895.93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73,471,986.93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2,746,820.99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21,812,949.28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24,559,770.27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2,221,176.00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10,073,518.81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7,084,562.99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16,882,196.36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1,676,904.00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37,938,358.16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2,221,176.00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10,073,518.81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7,084,562.99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16,882,196.36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1,676,904.00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37,938,358.16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484,031,253.37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401,480,213.32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99,277,678.88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127,190,256.77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699,507,454.36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1,811,486,856.70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88,048,874.62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174,086,168.01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46,490,246.75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54,108,465.13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215,618,854.40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578,352,608.91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20,955,564.41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39,078,668.58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17,465,060.87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20,185,782.38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25,979,040.04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123,664,116.28</w:t>
            </w:r>
          </w:p>
        </w:tc>
      </w:tr>
    </w:tbl>
    <w:p>
      <w:pPr>
        <w:spacing w:after="0" w:line="240" w:lineRule="auto"/>
        <w:jc w:val="right"/>
        <w:rPr>
          <w:rFonts w:ascii="Times New Roman" w:hAnsi="Times New Roman" w:cs="Times New Roman" w:eastAsia="Times New Roman" w:hint="default"/>
          <w:sz w:val="18"/>
          <w:szCs w:val="18"/>
        </w:rPr>
        <w:sectPr>
          <w:headerReference w:type="default" r:id="rId46"/>
          <w:footerReference w:type="default" r:id="rId47"/>
          <w:pgSz w:w="11910" w:h="16840"/>
          <w:pgMar w:header="877" w:footer="982" w:top="1100" w:bottom="1180" w:left="980" w:right="980"/>
          <w:pgNumType w:start="154"/>
        </w:sectPr>
      </w:pPr>
    </w:p>
    <w:p>
      <w:pPr>
        <w:spacing w:line="240" w:lineRule="auto" w:before="6"/>
        <w:rPr>
          <w:rFonts w:ascii="宋体" w:hAnsi="宋体" w:cs="宋体" w:eastAsia="宋体" w:hint="default"/>
          <w:sz w:val="24"/>
          <w:szCs w:val="24"/>
        </w:rPr>
      </w:pPr>
    </w:p>
    <w:tbl>
      <w:tblPr>
        <w:tblW w:w="0" w:type="auto"/>
        <w:jc w:val="left"/>
        <w:tblInd w:w="52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20,955,564.41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39,078,668.58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10,206,387.15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19,010,242.93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25,979,040.04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115,229,903.11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7,258,673.72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1,175,539.45</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8,434,213.17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2,213,294.43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9,738,872.26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6,768,734.18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13,475,211.01</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32,196,111.88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2,213,294.43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9,738,872.26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6,768,734.18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13,475,211.01</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32,196,111.88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106,791,144.60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203,425,964.33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57,186,573.44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60,819,036.50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241,597,894.44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669,820,613.31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1,085,152.48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264,644.46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999,811.47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2,365,740.39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1,085,152.48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264,644.46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999,811.47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2,365,740.39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376,154,956.29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198,038,117.01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41,826,460.98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66,371,220.27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456,909,748.45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1,139,300,503.00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375,935,594.87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215,890,853.20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27,536,417.32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71,693,339.48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443,620,916.20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1,134,677,121.07</w:t>
            </w:r>
          </w:p>
        </w:tc>
      </w:tr>
    </w:tbl>
    <w:p>
      <w:pPr>
        <w:spacing w:line="240" w:lineRule="auto" w:before="2"/>
        <w:rPr>
          <w:rFonts w:ascii="宋体" w:hAnsi="宋体" w:cs="宋体" w:eastAsia="宋体" w:hint="default"/>
          <w:sz w:val="19"/>
          <w:szCs w:val="19"/>
        </w:rPr>
      </w:pPr>
    </w:p>
    <w:p>
      <w:pPr>
        <w:pStyle w:val="Heading6"/>
        <w:spacing w:line="240" w:lineRule="auto"/>
        <w:ind w:left="534" w:right="5780"/>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86,093,628.25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86,093,628.25</w:t>
            </w:r>
          </w:p>
        </w:tc>
      </w:tr>
    </w:tbl>
    <w:p>
      <w:pPr>
        <w:spacing w:line="240" w:lineRule="auto" w:before="2"/>
        <w:rPr>
          <w:rFonts w:ascii="宋体" w:hAnsi="宋体" w:cs="宋体" w:eastAsia="宋体" w:hint="default"/>
          <w:sz w:val="19"/>
          <w:szCs w:val="19"/>
        </w:rPr>
      </w:pPr>
    </w:p>
    <w:p>
      <w:pPr>
        <w:pStyle w:val="Heading6"/>
        <w:spacing w:line="240" w:lineRule="auto"/>
        <w:ind w:left="534" w:right="578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91,494,975.96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产权证正在办理中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91,494,975.96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left="534" w:right="5780"/>
        <w:jc w:val="left"/>
        <w:rPr>
          <w:b w:val="0"/>
          <w:bCs w:val="0"/>
        </w:rPr>
      </w:pPr>
      <w:r>
        <w:rPr/>
        <w:t>（</w:t>
      </w:r>
      <w:r>
        <w:rPr>
          <w:rFonts w:ascii="Times New Roman" w:hAnsi="Times New Roman" w:cs="Times New Roman" w:eastAsia="Times New Roman" w:hint="default"/>
        </w:rPr>
        <w:t>4</w:t>
      </w:r>
      <w:r>
        <w:rPr/>
        <w:t>）固定资产的其他说明</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954" w:right="5780"/>
        <w:jc w:val="left"/>
      </w:pPr>
      <w:r>
        <w:rPr/>
        <w:t>无暂时闲置的固定资产。 无通过融资租赁租入的固定资产情况。</w:t>
      </w:r>
    </w:p>
    <w:p>
      <w:pPr>
        <w:spacing w:line="240" w:lineRule="auto" w:before="4"/>
        <w:rPr>
          <w:rFonts w:ascii="宋体" w:hAnsi="宋体" w:cs="宋体" w:eastAsia="宋体" w:hint="default"/>
          <w:sz w:val="21"/>
          <w:szCs w:val="21"/>
        </w:rPr>
      </w:pPr>
    </w:p>
    <w:p>
      <w:pPr>
        <w:pStyle w:val="Heading6"/>
        <w:spacing w:line="240" w:lineRule="auto" w:before="0"/>
        <w:ind w:left="534" w:right="578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533" w:right="578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128"/>
        <w:gridCol w:w="1276"/>
        <w:gridCol w:w="1126"/>
        <w:gridCol w:w="1367"/>
        <w:gridCol w:w="1368"/>
        <w:gridCol w:w="1367"/>
        <w:gridCol w:w="1367"/>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36,962,547.95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36,962,547.95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37,043,869.47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37,043,869.47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1,240,385.43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1,240,385.43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1,872,015.22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1,872,015.22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60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128"/>
        <w:gridCol w:w="1276"/>
        <w:gridCol w:w="1126"/>
        <w:gridCol w:w="1367"/>
        <w:gridCol w:w="1368"/>
        <w:gridCol w:w="1367"/>
        <w:gridCol w:w="1367"/>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10,704,191.17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10,704,191.17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10,704,191.17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10,704,191.17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4,954,922.91</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4,954,922.91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1,259,086.22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1,259,086.22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210,457,874.52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210,457,874.52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86,108,693.96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86,108,693.96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信息管理系统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4,411,535.16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4,411,535.16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5,242,934.55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5,242,934.55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268,731,457.14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268,731,457.14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142,750,790.59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142,750,790.59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600" w:right="980"/>
        </w:sectPr>
      </w:pPr>
    </w:p>
    <w:p>
      <w:pPr>
        <w:spacing w:line="240" w:lineRule="auto" w:before="0"/>
        <w:rPr>
          <w:rFonts w:ascii="Times New Roman" w:hAnsi="Times New Roman" w:cs="Times New Roman" w:eastAsia="Times New Roman" w:hint="default"/>
          <w:sz w:val="24"/>
          <w:szCs w:val="24"/>
        </w:rPr>
      </w:pPr>
    </w:p>
    <w:p>
      <w:pPr>
        <w:pStyle w:val="Heading6"/>
        <w:spacing w:line="240" w:lineRule="auto" w:before="0"/>
        <w:ind w:left="959" w:right="0"/>
        <w:jc w:val="left"/>
        <w:rPr>
          <w:b w:val="0"/>
          <w:bCs w:val="0"/>
        </w:rPr>
      </w:pP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spacing w:before="17"/>
        <w:ind w:left="0" w:right="1039"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10"/>
        <w:rPr>
          <w:rFonts w:ascii="宋体" w:hAnsi="宋体" w:cs="宋体" w:eastAsia="宋体" w:hint="default"/>
          <w:sz w:val="21"/>
          <w:szCs w:val="21"/>
        </w:rPr>
      </w:pPr>
    </w:p>
    <w:p>
      <w:pPr>
        <w:spacing w:before="0"/>
        <w:ind w:left="0" w:right="1039" w:firstLine="0"/>
        <w:jc w:val="right"/>
        <w:rPr>
          <w:rFonts w:ascii="宋体" w:hAnsi="宋体" w:cs="宋体" w:eastAsia="宋体" w:hint="default"/>
          <w:sz w:val="18"/>
          <w:szCs w:val="18"/>
        </w:rPr>
      </w:pPr>
      <w:r>
        <w:rPr/>
        <w:pict>
          <v:group style="position:absolute;margin-left:70.490997pt;margin-top:-12.168269pt;width:700.95pt;height:.1pt;mso-position-horizontal-relative:page;mso-position-vertical-relative:paragraph;z-index:-1216504" coordorigin="1410,-243" coordsize="14019,2">
            <v:shape style="position:absolute;left:1410;top:-243;width:14019;height:2" coordorigin="1410,-243" coordsize="14019,0" path="m1410,-243l15428,-243e" filled="false" stroked="true" strokeweight=".72pt" strokecolor="#000000">
              <v:path arrowok="t"/>
            </v:shape>
            <w10:wrap type="none"/>
          </v:group>
        </w:pict>
      </w: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headerReference w:type="default" r:id="rId48"/>
          <w:footerReference w:type="default" r:id="rId49"/>
          <w:pgSz w:w="16840" w:h="11910" w:orient="landscape"/>
          <w:pgMar w:header="0" w:footer="0" w:top="800" w:bottom="280" w:left="480" w:right="400"/>
          <w:cols w:num="2" w:equalWidth="0">
            <w:col w:w="4437" w:space="5292"/>
            <w:col w:w="6231"/>
          </w:cols>
        </w:sectPr>
      </w:pPr>
    </w:p>
    <w:tbl>
      <w:tblPr>
        <w:tblW w:w="0" w:type="auto"/>
        <w:jc w:val="left"/>
        <w:tblInd w:w="104" w:type="dxa"/>
        <w:tblLayout w:type="fixed"/>
        <w:tblCellMar>
          <w:top w:w="0" w:type="dxa"/>
          <w:left w:w="0" w:type="dxa"/>
          <w:bottom w:w="0" w:type="dxa"/>
          <w:right w:w="0" w:type="dxa"/>
        </w:tblCellMar>
        <w:tblLook w:val="01E0"/>
      </w:tblPr>
      <w:tblGrid>
        <w:gridCol w:w="2269"/>
        <w:gridCol w:w="850"/>
        <w:gridCol w:w="1418"/>
        <w:gridCol w:w="1276"/>
        <w:gridCol w:w="1134"/>
        <w:gridCol w:w="1276"/>
        <w:gridCol w:w="1277"/>
        <w:gridCol w:w="850"/>
        <w:gridCol w:w="992"/>
        <w:gridCol w:w="1700"/>
        <w:gridCol w:w="1134"/>
        <w:gridCol w:w="709"/>
        <w:gridCol w:w="851"/>
      </w:tblGrid>
      <w:tr>
        <w:trPr>
          <w:trHeight w:val="1026"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8"/>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
              <w:jc w:val="right"/>
              <w:rPr>
                <w:rFonts w:ascii="宋体" w:hAnsi="宋体" w:cs="宋体" w:eastAsia="宋体" w:hint="default"/>
                <w:sz w:val="18"/>
                <w:szCs w:val="18"/>
              </w:rPr>
            </w:pPr>
            <w:r>
              <w:rPr>
                <w:rFonts w:ascii="宋体" w:hAnsi="宋体" w:cs="宋体" w:eastAsia="宋体" w:hint="default"/>
                <w:sz w:val="18"/>
                <w:szCs w:val="18"/>
              </w:rPr>
              <w:t>利息资本化累计金额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其中：本期利 息资本化金 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37,043,869.47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43,108,388.85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39,911,215.43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3,278,494.94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36,962,547.95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1,872,015.22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2,717,629.02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789,831.10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2,559,427.71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1,240,385.43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10,704,191.17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10,704,191.17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1,259,086.22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3,695,836.69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4,954,922.91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86,108,693.96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124,349,180.56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210,457,874.52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43.65%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4,872,829.65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4,872,829.65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6.26%</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信息管理系统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5,242,934.55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33,065,910.90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32,770,940.40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1,126,369.89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4,411,535.16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48,380.00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142,750,790.59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207,456,946.02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74,511,986.93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6,964,292.54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268,731,457.14</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4,872,829.65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4,872,829.65</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6"/>
        <w:spacing w:line="240" w:lineRule="auto" w:before="2"/>
        <w:ind w:left="959" w:right="0"/>
        <w:jc w:val="left"/>
        <w:rPr>
          <w:b w:val="0"/>
          <w:bCs w:val="0"/>
        </w:rPr>
      </w:pPr>
      <w:r>
        <w:rPr/>
        <w:t>（</w:t>
      </w:r>
      <w:r>
        <w:rPr>
          <w:rFonts w:ascii="Times New Roman" w:hAnsi="Times New Roman" w:cs="Times New Roman" w:eastAsia="Times New Roman" w:hint="default"/>
        </w:rPr>
        <w:t>3</w:t>
      </w:r>
      <w:r>
        <w:rPr/>
        <w:t>）本公司估计在建工程的可收回金额高于账面价值，故未计提在建工程减值准备。</w:t>
      </w:r>
      <w:r>
        <w:rPr>
          <w:b w:val="0"/>
          <w:bCs w:val="0"/>
        </w:rPr>
      </w:r>
    </w:p>
    <w:p>
      <w:pPr>
        <w:spacing w:line="240" w:lineRule="auto" w:before="4"/>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80" w:left="480" w:right="400"/>
        </w:sectPr>
      </w:pPr>
    </w:p>
    <w:p>
      <w:pPr>
        <w:pStyle w:val="Heading6"/>
        <w:spacing w:line="240" w:lineRule="auto"/>
        <w:ind w:left="959" w:right="0"/>
        <w:jc w:val="left"/>
        <w:rPr>
          <w:b w:val="0"/>
          <w:bCs w:val="0"/>
        </w:rPr>
      </w:pPr>
      <w:r>
        <w:rPr>
          <w:rFonts w:ascii="Times New Roman" w:hAnsi="Times New Roman" w:cs="Times New Roman" w:eastAsia="Times New Roman" w:hint="default"/>
          <w:w w:val="95"/>
        </w:rPr>
        <w:t>16</w:t>
      </w:r>
      <w:r>
        <w:rPr>
          <w:w w:val="95"/>
        </w:rPr>
        <w:t>、工程物资</w:t>
      </w:r>
      <w:r>
        <w:rPr>
          <w:b w:val="0"/>
          <w:bCs w:val="0"/>
        </w:rPr>
      </w:r>
    </w:p>
    <w:p>
      <w:pPr>
        <w:spacing w:line="240" w:lineRule="auto" w:before="5"/>
        <w:rPr>
          <w:rFonts w:ascii="宋体" w:hAnsi="宋体" w:cs="宋体" w:eastAsia="宋体" w:hint="default"/>
          <w:b/>
          <w:bCs/>
          <w:sz w:val="24"/>
          <w:szCs w:val="24"/>
        </w:rPr>
      </w:pPr>
      <w:r>
        <w:rPr/>
        <w:br w:type="column"/>
      </w:r>
      <w:r>
        <w:rPr>
          <w:rFonts w:ascii="宋体"/>
          <w:b/>
          <w:sz w:val="24"/>
        </w:rPr>
      </w:r>
    </w:p>
    <w:p>
      <w:pPr>
        <w:spacing w:before="0"/>
        <w:ind w:left="95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480" w:right="400"/>
          <w:cols w:num="2" w:equalWidth="0">
            <w:col w:w="2224" w:space="6416"/>
            <w:col w:w="7320"/>
          </w:cols>
        </w:sectPr>
      </w:pPr>
    </w:p>
    <w:p>
      <w:pPr>
        <w:spacing w:line="240" w:lineRule="auto" w:before="3"/>
        <w:rPr>
          <w:rFonts w:ascii="宋体" w:hAnsi="宋体" w:cs="宋体" w:eastAsia="宋体" w:hint="default"/>
          <w:sz w:val="4"/>
          <w:szCs w:val="4"/>
        </w:rPr>
      </w:pPr>
    </w:p>
    <w:tbl>
      <w:tblPr>
        <w:tblW w:w="0" w:type="auto"/>
        <w:jc w:val="left"/>
        <w:tblInd w:w="955"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8,018,495.01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8,188,260.94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8,018,495.01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8,188,260.94</w:t>
            </w:r>
          </w:p>
        </w:tc>
      </w:tr>
    </w:tbl>
    <w:p>
      <w:pPr>
        <w:spacing w:before="51"/>
        <w:ind w:left="959" w:right="0" w:firstLine="0"/>
        <w:jc w:val="left"/>
        <w:rPr>
          <w:rFonts w:ascii="宋体" w:hAnsi="宋体" w:cs="宋体" w:eastAsia="宋体" w:hint="default"/>
          <w:sz w:val="18"/>
          <w:szCs w:val="18"/>
        </w:rPr>
      </w:pPr>
      <w:r>
        <w:rPr>
          <w:rFonts w:ascii="宋体" w:hAnsi="宋体" w:cs="宋体" w:eastAsia="宋体" w:hint="default"/>
          <w:sz w:val="18"/>
          <w:szCs w:val="18"/>
        </w:rPr>
        <w:t>其他说明：工程物资跌价准备</w:t>
      </w:r>
    </w:p>
    <w:p>
      <w:pPr>
        <w:spacing w:line="240" w:lineRule="auto" w:before="6"/>
        <w:rPr>
          <w:rFonts w:ascii="宋体" w:hAnsi="宋体" w:cs="宋体" w:eastAsia="宋体" w:hint="default"/>
          <w:sz w:val="8"/>
          <w:szCs w:val="8"/>
        </w:rPr>
      </w:pPr>
    </w:p>
    <w:tbl>
      <w:tblPr>
        <w:tblW w:w="0" w:type="auto"/>
        <w:jc w:val="left"/>
        <w:tblInd w:w="1520" w:type="dxa"/>
        <w:tblLayout w:type="fixed"/>
        <w:tblCellMar>
          <w:top w:w="0" w:type="dxa"/>
          <w:left w:w="0" w:type="dxa"/>
          <w:bottom w:w="0" w:type="dxa"/>
          <w:right w:w="0" w:type="dxa"/>
        </w:tblCellMar>
        <w:tblLook w:val="01E0"/>
      </w:tblPr>
      <w:tblGrid>
        <w:gridCol w:w="992"/>
        <w:gridCol w:w="1276"/>
        <w:gridCol w:w="1560"/>
        <w:gridCol w:w="1274"/>
        <w:gridCol w:w="1560"/>
        <w:gridCol w:w="2126"/>
      </w:tblGrid>
      <w:tr>
        <w:trPr>
          <w:trHeight w:val="424" w:hRule="exact"/>
        </w:trPr>
        <w:tc>
          <w:tcPr>
            <w:tcW w:w="992"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56"/>
              <w:ind w:left="2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vMerge w:val="restart"/>
            <w:tcBorders>
              <w:top w:val="single" w:sz="6" w:space="0" w:color="000000"/>
              <w:left w:val="single" w:sz="6" w:space="0" w:color="000000"/>
              <w:right w:val="single" w:sz="8" w:space="0" w:color="000000"/>
            </w:tcBorders>
            <w:shd w:val="clear" w:color="auto" w:fill="CCCCCC"/>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34" w:type="dxa"/>
            <w:gridSpan w:val="2"/>
            <w:tcBorders>
              <w:top w:val="single" w:sz="6"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2126" w:type="dxa"/>
            <w:vMerge w:val="restart"/>
            <w:tcBorders>
              <w:top w:val="single" w:sz="6" w:space="0" w:color="000000"/>
              <w:left w:val="single" w:sz="8" w:space="0" w:color="000000"/>
              <w:right w:val="single" w:sz="8" w:space="0" w:color="000000"/>
            </w:tcBorders>
            <w:shd w:val="clear" w:color="auto" w:fill="CCCCCC"/>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1" w:hRule="exact"/>
        </w:trPr>
        <w:tc>
          <w:tcPr>
            <w:tcW w:w="992" w:type="dxa"/>
            <w:vMerge/>
            <w:tcBorders>
              <w:left w:val="single" w:sz="6" w:space="0" w:color="000000"/>
              <w:bottom w:val="single" w:sz="6" w:space="0" w:color="000000"/>
              <w:right w:val="single" w:sz="6" w:space="0" w:color="000000"/>
            </w:tcBorders>
            <w:shd w:val="clear" w:color="auto" w:fill="CCCCCC"/>
          </w:tcPr>
          <w:p>
            <w:pPr/>
          </w:p>
        </w:tc>
        <w:tc>
          <w:tcPr>
            <w:tcW w:w="1276" w:type="dxa"/>
            <w:vMerge/>
            <w:tcBorders>
              <w:left w:val="single" w:sz="6" w:space="0" w:color="000000"/>
              <w:bottom w:val="single" w:sz="8" w:space="0" w:color="000000"/>
              <w:right w:val="single" w:sz="6" w:space="0" w:color="000000"/>
            </w:tcBorders>
            <w:shd w:val="clear" w:color="auto" w:fill="CCCCCC"/>
          </w:tcPr>
          <w:p>
            <w:pPr/>
          </w:p>
        </w:tc>
        <w:tc>
          <w:tcPr>
            <w:tcW w:w="1560" w:type="dxa"/>
            <w:vMerge/>
            <w:tcBorders>
              <w:left w:val="single" w:sz="6" w:space="0" w:color="000000"/>
              <w:bottom w:val="single" w:sz="8" w:space="0" w:color="000000"/>
              <w:right w:val="single" w:sz="8" w:space="0" w:color="000000"/>
            </w:tcBorders>
            <w:shd w:val="clear" w:color="auto" w:fill="CCCCCC"/>
          </w:tcPr>
          <w:p>
            <w:pPr/>
          </w:p>
        </w:tc>
        <w:tc>
          <w:tcPr>
            <w:tcW w:w="127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2126" w:type="dxa"/>
            <w:vMerge/>
            <w:tcBorders>
              <w:left w:val="single" w:sz="8" w:space="0" w:color="000000"/>
              <w:bottom w:val="single" w:sz="8" w:space="0" w:color="000000"/>
              <w:right w:val="single" w:sz="8" w:space="0" w:color="000000"/>
            </w:tcBorders>
            <w:shd w:val="clear" w:color="auto" w:fill="CCCCCC"/>
          </w:tcPr>
          <w:p>
            <w:pPr/>
          </w:p>
        </w:tc>
      </w:tr>
      <w:tr>
        <w:trPr>
          <w:trHeight w:val="432" w:hRule="exact"/>
        </w:trPr>
        <w:tc>
          <w:tcPr>
            <w:tcW w:w="99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27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446,529.06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105,248.55</w:t>
            </w:r>
          </w:p>
        </w:tc>
        <w:tc>
          <w:tcPr>
            <w:tcW w:w="1274" w:type="dxa"/>
            <w:tcBorders>
              <w:top w:val="single" w:sz="12" w:space="0" w:color="000000"/>
              <w:left w:val="single" w:sz="8" w:space="0" w:color="000000"/>
              <w:bottom w:val="single" w:sz="8" w:space="0" w:color="000000"/>
              <w:right w:val="single" w:sz="8" w:space="0" w:color="000000"/>
            </w:tcBorders>
          </w:tcPr>
          <w:p>
            <w:pPr/>
          </w:p>
        </w:tc>
        <w:tc>
          <w:tcPr>
            <w:tcW w:w="1560" w:type="dxa"/>
            <w:tcBorders>
              <w:top w:val="single" w:sz="12"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551,777.61</w:t>
            </w:r>
          </w:p>
        </w:tc>
      </w:tr>
      <w:tr>
        <w:trPr>
          <w:trHeight w:val="433" w:hRule="exact"/>
        </w:trPr>
        <w:tc>
          <w:tcPr>
            <w:tcW w:w="992" w:type="dxa"/>
            <w:tcBorders>
              <w:top w:val="single" w:sz="6"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446,529.06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105,248.55</w:t>
            </w:r>
          </w:p>
        </w:tc>
        <w:tc>
          <w:tcPr>
            <w:tcW w:w="1274"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551,777.61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039" w:firstLine="0"/>
        <w:jc w:val="right"/>
        <w:rPr>
          <w:rFonts w:ascii="Times New Roman" w:hAnsi="Times New Roman" w:cs="Times New Roman" w:eastAsia="Times New Roman" w:hint="default"/>
          <w:sz w:val="18"/>
          <w:szCs w:val="18"/>
        </w:rPr>
      </w:pPr>
      <w:r>
        <w:rPr>
          <w:rFonts w:ascii="Times New Roman"/>
          <w:sz w:val="18"/>
        </w:rPr>
        <w:t>157</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480" w:right="4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6"/>
        <w:spacing w:line="240" w:lineRule="auto"/>
        <w:ind w:left="294"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29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2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262,096,327.09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58,785,563.56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320,881,890.65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37,238,201.00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68,653,070.03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105,891,271.03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4,812,949.65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4,812,949.65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6,047,001.12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6,047,001.12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37,238,201.00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56,753,119.26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93,991,320.26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）在建工程转入</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90,384,121.95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285,254.93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90,669,376.88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285,254.93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285,254.93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90,384,121.95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90,384,121.95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90,384,121.95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171,712,205.14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37,238,201.00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127,153,378.66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336,103,784.80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28,976,380.71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22,306,591.42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51,282,972.13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3,736,385.00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310,318.34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9,148,560.78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13,195,264.12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3,736,385.00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310,318.34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8,404,545.32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12,451,248.66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744,015.46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744,015.46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17,381,625.61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219,639.51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17,601,265.12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219,639.51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219,639.51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17,381,625.61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17,381,625.61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15,331,140.10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310,318.34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31,235,512.69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46,876,971.13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152,182,269.86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36,927,882.66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95,917,865.97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285,028,018.49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228,921,151.20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36,478,972.14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265,400,123.34</w:t>
            </w:r>
          </w:p>
        </w:tc>
      </w:tr>
    </w:tbl>
    <w:p>
      <w:pPr>
        <w:spacing w:before="51"/>
        <w:ind w:left="29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w:t>
      </w:r>
      <w:r>
        <w:rPr>
          <w:rFonts w:ascii="宋体" w:hAnsi="宋体" w:cs="宋体" w:eastAsia="宋体" w:hint="default"/>
          <w:sz w:val="18"/>
          <w:szCs w:val="18"/>
        </w:rPr>
        <w:t>。</w:t>
      </w:r>
    </w:p>
    <w:p>
      <w:pPr>
        <w:pStyle w:val="Heading6"/>
        <w:spacing w:line="240" w:lineRule="auto" w:before="138"/>
        <w:ind w:left="294" w:right="0"/>
        <w:jc w:val="left"/>
        <w:rPr>
          <w:b w:val="0"/>
          <w:bCs w:val="0"/>
        </w:rPr>
      </w:pPr>
      <w:r>
        <w:rPr/>
        <w:t>（</w:t>
      </w:r>
      <w:r>
        <w:rPr>
          <w:rFonts w:ascii="Times New Roman" w:hAnsi="Times New Roman" w:cs="Times New Roman" w:eastAsia="Times New Roman" w:hint="default"/>
        </w:rPr>
        <w:t>2</w:t>
      </w:r>
      <w:r>
        <w:rPr/>
        <w:t>）期末不存在未办妥产权证书的土地使用权情况。</w:t>
      </w:r>
      <w:r>
        <w:rPr>
          <w:b w:val="0"/>
          <w:bCs w:val="0"/>
        </w:rPr>
      </w:r>
    </w:p>
    <w:p>
      <w:pPr>
        <w:pStyle w:val="Heading6"/>
        <w:spacing w:line="240" w:lineRule="auto" w:before="121"/>
        <w:ind w:left="294" w:right="0"/>
        <w:jc w:val="left"/>
        <w:rPr>
          <w:b w:val="0"/>
          <w:bCs w:val="0"/>
        </w:rPr>
      </w:pPr>
      <w:r>
        <w:rPr>
          <w:rFonts w:ascii="Times New Roman" w:hAnsi="Times New Roman" w:cs="Times New Roman" w:eastAsia="Times New Roman" w:hint="default"/>
        </w:rPr>
        <w:t>18</w:t>
      </w:r>
      <w:r>
        <w:rPr/>
        <w:t>、开发支出</w:t>
      </w:r>
      <w:r>
        <w:rPr>
          <w:b w:val="0"/>
          <w:bCs w:val="0"/>
        </w:rPr>
      </w:r>
    </w:p>
    <w:p>
      <w:pPr>
        <w:spacing w:line="240" w:lineRule="auto" w:before="11"/>
        <w:rPr>
          <w:rFonts w:ascii="宋体" w:hAnsi="宋体" w:cs="宋体" w:eastAsia="宋体" w:hint="default"/>
          <w:b/>
          <w:bCs/>
          <w:sz w:val="7"/>
          <w:szCs w:val="7"/>
        </w:rPr>
      </w:pPr>
    </w:p>
    <w:p>
      <w:pPr>
        <w:spacing w:before="44"/>
        <w:ind w:left="0" w:right="2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702"/>
        <w:gridCol w:w="1116"/>
        <w:gridCol w:w="1196"/>
        <w:gridCol w:w="1195"/>
        <w:gridCol w:w="1453"/>
        <w:gridCol w:w="1277"/>
        <w:gridCol w:w="858"/>
        <w:gridCol w:w="119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11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783,907.60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645,146.30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513,770.70</w:t>
            </w: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915,283.20</w:t>
            </w:r>
          </w:p>
        </w:tc>
      </w:tr>
    </w:tbl>
    <w:p>
      <w:pPr>
        <w:spacing w:after="0" w:line="240" w:lineRule="auto"/>
        <w:jc w:val="left"/>
        <w:rPr>
          <w:rFonts w:ascii="Times New Roman" w:hAnsi="Times New Roman" w:cs="Times New Roman" w:eastAsia="Times New Roman" w:hint="default"/>
          <w:sz w:val="18"/>
          <w:szCs w:val="18"/>
        </w:rPr>
        <w:sectPr>
          <w:footerReference w:type="default" r:id="rId50"/>
          <w:pgSz w:w="11910" w:h="16840"/>
          <w:pgMar w:footer="982" w:header="0" w:top="1100" w:bottom="1180" w:left="840" w:right="840"/>
          <w:pgNumType w:start="158"/>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702"/>
        <w:gridCol w:w="1116"/>
        <w:gridCol w:w="1196"/>
        <w:gridCol w:w="1195"/>
        <w:gridCol w:w="1453"/>
        <w:gridCol w:w="1277"/>
        <w:gridCol w:w="858"/>
        <w:gridCol w:w="1196"/>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广州市科技小巨人企 业</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103,652.22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103,652.22</w:t>
            </w: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基于云计算技术和智 能移动终端的城市管 理创新平台</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144,736.76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144,736.76</w:t>
            </w: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财务及服务管理系统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2,198,463.40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135,984.03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2,334,447.43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客服中心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698,487.57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135,984.03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834,471.60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学校搜索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581,175.63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135,984.04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717,159.67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太傻视界</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1,404,093.08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1,404,093.08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太傻找找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815,904.20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815,904.20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太傻考试在线测试评 估与模考系统</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657,606.30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657,606.30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个性化教学方案</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3,788,347.52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3,788,347.52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多语言学习云平台</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3,263,318.21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3,263,318.21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盛世网络游戏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407,237.46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280,174.46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687,411.92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COSPLAY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半半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226,415.10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226,415.10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3,885,364.06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11,649,692.45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871,561.40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6,047,001.12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762,159.68</w:t>
            </w:r>
          </w:p>
        </w:tc>
        <w:tc>
          <w:tcPr>
            <w:tcW w:w="85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9,597,457.11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840" w:right="840"/>
        </w:sectPr>
      </w:pPr>
    </w:p>
    <w:p>
      <w:pPr>
        <w:pStyle w:val="Heading6"/>
        <w:spacing w:line="240" w:lineRule="auto" w:before="46"/>
        <w:ind w:left="294" w:right="-18"/>
        <w:jc w:val="left"/>
        <w:rPr>
          <w:b w:val="0"/>
          <w:bCs w:val="0"/>
        </w:rPr>
      </w:pPr>
      <w:r>
        <w:rPr>
          <w:rFonts w:ascii="Times New Roman" w:hAnsi="Times New Roman" w:cs="Times New Roman" w:eastAsia="Times New Roman" w:hint="default"/>
        </w:rPr>
        <w:t>19</w:t>
      </w:r>
      <w:r>
        <w:rPr/>
        <w:t>、商誉</w:t>
      </w:r>
      <w:r>
        <w:rPr>
          <w:b w:val="0"/>
          <w:bCs w:val="0"/>
        </w:rPr>
      </w:r>
    </w:p>
    <w:p>
      <w:pPr>
        <w:pStyle w:val="Heading6"/>
        <w:spacing w:line="240" w:lineRule="auto" w:before="50"/>
        <w:ind w:left="293" w:right="-1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4"/>
          <w:szCs w:val="24"/>
        </w:rPr>
      </w:pPr>
    </w:p>
    <w:p>
      <w:pPr>
        <w:spacing w:before="0"/>
        <w:ind w:left="2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840" w:right="840"/>
          <w:cols w:num="2" w:equalWidth="0">
            <w:col w:w="2087" w:space="6741"/>
            <w:col w:w="1402"/>
          </w:cols>
        </w:sectPr>
      </w:pP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1,570,177.14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1,570,177.14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446,659.70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446,659.70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62,181.02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62,181.02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1,413,262.27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1,413,262.27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167,460.42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167,460.42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6,678,627.93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6,678,627.93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572,592,268.23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572,592,268.23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1,092,989,827.09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1,092,989,827.09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593,984,235.72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593,984,235.72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204,095,282.50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204,095,282.50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355,287,538.60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355,287,538.60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582,930,636.71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2,246,356,883.91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2,829,287,520.62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840" w:right="840"/>
        </w:sectPr>
      </w:pP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398,177.99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117,396.80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294,665.19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客户技改工程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6,371,252.21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3,639,085.97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2,606,124.87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7,404,213.31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774,944.44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744,944.44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1,866,842.42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413,206.00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632,681.93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1,647,366.49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广告牌经营权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2,874,116.00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2,262,316.00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道路修缮费用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195,725.90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195,725.90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456,282.84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2,405,188.40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347,232.35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2,514,238.89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2,235,649.94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550,463.29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1,685,186.65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7,510,618.59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7,065,595.27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4,073,843.39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10,502,370.47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20,447,960.39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15,772,609.58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10,815,784.53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25,404,785.44</w:t>
            </w:r>
          </w:p>
        </w:tc>
      </w:tr>
    </w:tbl>
    <w:p>
      <w:pPr>
        <w:spacing w:line="240" w:lineRule="auto" w:before="6"/>
        <w:rPr>
          <w:rFonts w:ascii="宋体" w:hAnsi="宋体" w:cs="宋体" w:eastAsia="宋体" w:hint="default"/>
          <w:sz w:val="11"/>
          <w:szCs w:val="11"/>
        </w:rPr>
      </w:pPr>
    </w:p>
    <w:p>
      <w:pPr>
        <w:pStyle w:val="Heading6"/>
        <w:spacing w:line="240" w:lineRule="auto"/>
        <w:ind w:right="0"/>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16"/>
          <w:szCs w:val="16"/>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105,273,362.75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22,791,937.13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77,253,450.54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19,201,730.39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79,563,633.45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19,890,908.36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23,653,498.43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6,141,485.75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7,594,931.32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1,898,732.83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680,317.28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170,079.32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7,062,864.20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1,254,303.61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7,944,250.95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2,078,873.91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192,580,177.68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44,107,228.42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116,446,131.24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29,320,822.88</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4" w:right="0"/>
              <w:jc w:val="left"/>
              <w:rPr>
                <w:rFonts w:ascii="Times New Roman" w:hAnsi="Times New Roman" w:cs="Times New Roman" w:eastAsia="Times New Roman" w:hint="default"/>
                <w:sz w:val="18"/>
                <w:szCs w:val="18"/>
              </w:rPr>
            </w:pPr>
            <w:r>
              <w:rPr>
                <w:rFonts w:ascii="Times New Roman"/>
                <w:sz w:val="18"/>
              </w:rPr>
              <w:t>739,167.08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184,791.77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28,279,269.84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7,069,817.46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54,956.40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29,238,262.52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7,309,565.63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54,956.40</w:t>
            </w:r>
          </w:p>
        </w:tc>
      </w:tr>
    </w:tbl>
    <w:p>
      <w:pPr>
        <w:spacing w:line="240" w:lineRule="auto" w:before="2"/>
        <w:rPr>
          <w:rFonts w:ascii="宋体" w:hAnsi="宋体" w:cs="宋体" w:eastAsia="宋体" w:hint="default"/>
          <w:sz w:val="19"/>
          <w:szCs w:val="19"/>
        </w:rPr>
      </w:pPr>
    </w:p>
    <w:p>
      <w:pPr>
        <w:pStyle w:val="Heading6"/>
        <w:spacing w:line="240" w:lineRule="auto"/>
        <w:ind w:right="1097"/>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25,583,192.77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89,318,460.58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138,517,225.33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108,673,812.02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164,100,418.10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197,992,272.60</w:t>
            </w:r>
          </w:p>
        </w:tc>
      </w:tr>
    </w:tbl>
    <w:p>
      <w:pPr>
        <w:spacing w:line="240" w:lineRule="auto" w:before="2"/>
        <w:rPr>
          <w:rFonts w:ascii="宋体" w:hAnsi="宋体" w:cs="宋体" w:eastAsia="宋体" w:hint="default"/>
          <w:sz w:val="19"/>
          <w:szCs w:val="19"/>
        </w:rPr>
      </w:pPr>
    </w:p>
    <w:p>
      <w:pPr>
        <w:pStyle w:val="Heading6"/>
        <w:spacing w:line="240" w:lineRule="auto"/>
        <w:ind w:right="1097"/>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2014</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6,091,821.75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18,101,612.56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18,101,612.56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20,544,925.20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20,544,925.20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23,163,597.74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23,163,597.74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40,771,854.77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40,771,854.77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35,935,235.06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年度未弥补亏损</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138,517,225.33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108,673,812.02</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ind w:right="1097"/>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595,480,000.00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土地款</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61,150,649.00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61,150,649.00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预付长期资产款</w:t>
            </w:r>
            <w:r>
              <w:rPr>
                <w:rFonts w:ascii="Times New Roman" w:hAnsi="Times New Roman" w:cs="Times New Roman" w:eastAsia="Times New Roman" w:hint="default"/>
                <w:sz w:val="18"/>
                <w:szCs w:val="18"/>
              </w:rPr>
              <w:t>*3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11,087,159.78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694,377,808.78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684,610,649.00</w:t>
            </w:r>
          </w:p>
        </w:tc>
      </w:tr>
    </w:tbl>
    <w:p>
      <w:pPr>
        <w:pStyle w:val="Heading5"/>
        <w:spacing w:line="240" w:lineRule="auto" w:before="1"/>
        <w:ind w:left="154" w:right="1097"/>
        <w:jc w:val="left"/>
      </w:pPr>
      <w:r>
        <w:rPr/>
        <w:t>其他说明：</w:t>
      </w:r>
    </w:p>
    <w:p>
      <w:pPr>
        <w:pStyle w:val="BodyText"/>
        <w:spacing w:line="256" w:lineRule="auto" w:before="60"/>
        <w:ind w:right="104" w:firstLine="423"/>
        <w:jc w:val="both"/>
      </w:pPr>
      <w:r>
        <w:rPr>
          <w:rFonts w:ascii="Times New Roman" w:hAnsi="Times New Roman" w:cs="Times New Roman" w:eastAsia="Times New Roman" w:hint="default"/>
        </w:rPr>
        <w:t>*1</w:t>
      </w:r>
      <w:r>
        <w:rPr/>
        <w:t>包含保证金：（</w:t>
      </w:r>
      <w:r>
        <w:rPr>
          <w:rFonts w:ascii="Times New Roman" w:hAnsi="Times New Roman" w:cs="Times New Roman" w:eastAsia="Times New Roman" w:hint="default"/>
        </w:rPr>
        <w:t>1</w:t>
      </w:r>
      <w:r>
        <w:rPr/>
        <w:t>）本公司之子公司华商数码与《华商报》社签订的印刷合同而支付给《华商报》 社的保证金人民币</w:t>
      </w:r>
      <w:r>
        <w:rPr>
          <w:rFonts w:ascii="Times New Roman" w:hAnsi="Times New Roman" w:cs="Times New Roman" w:eastAsia="Times New Roman" w:hint="default"/>
        </w:rPr>
        <w:t>500,000.00</w:t>
      </w:r>
      <w:r>
        <w:rPr/>
        <w:t>元；（</w:t>
      </w:r>
      <w:r>
        <w:rPr>
          <w:rFonts w:ascii="Times New Roman" w:hAnsi="Times New Roman" w:cs="Times New Roman" w:eastAsia="Times New Roman" w:hint="default"/>
        </w:rPr>
        <w:t>2</w:t>
      </w:r>
      <w:r>
        <w:rPr/>
        <w:t>）本公司之子公司西安华商广告与《华商报》社签订的经营业务授权 </w:t>
      </w:r>
      <w:r>
        <w:rPr>
          <w:spacing w:val="-2"/>
        </w:rPr>
        <w:t>协议而支付给《华商报》社的保证金人民币</w:t>
      </w:r>
      <w:r>
        <w:rPr>
          <w:rFonts w:ascii="Times New Roman" w:hAnsi="Times New Roman" w:cs="Times New Roman" w:eastAsia="Times New Roman" w:hint="default"/>
          <w:spacing w:val="-2"/>
        </w:rPr>
        <w:t>5,000,000.00</w:t>
      </w:r>
      <w:r>
        <w:rPr>
          <w:spacing w:val="-2"/>
        </w:rPr>
        <w:t>元；（</w:t>
      </w:r>
      <w:r>
        <w:rPr>
          <w:rFonts w:ascii="Times New Roman" w:hAnsi="Times New Roman" w:cs="Times New Roman" w:eastAsia="Times New Roman" w:hint="default"/>
          <w:spacing w:val="-2"/>
        </w:rPr>
        <w:t>3</w:t>
      </w:r>
      <w:r>
        <w:rPr>
          <w:spacing w:val="-2"/>
        </w:rPr>
        <w:t>）本公司之子公司陕西黄马甲与《华商报》</w:t>
      </w:r>
    </w:p>
    <w:p>
      <w:pPr>
        <w:spacing w:after="0" w:line="256" w:lineRule="auto"/>
        <w:jc w:val="both"/>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BodyText"/>
        <w:spacing w:line="261" w:lineRule="auto" w:before="35"/>
        <w:ind w:right="147" w:hanging="1"/>
        <w:jc w:val="both"/>
      </w:pPr>
      <w:r>
        <w:rPr>
          <w:spacing w:val="-1"/>
        </w:rPr>
        <w:t>社签订的发行合同而支付给《华商报》社的保证金人民币</w:t>
      </w:r>
      <w:r>
        <w:rPr>
          <w:rFonts w:ascii="Times New Roman" w:hAnsi="Times New Roman" w:cs="Times New Roman" w:eastAsia="Times New Roman" w:hint="default"/>
          <w:spacing w:val="-1"/>
        </w:rPr>
        <w:t>500,000.00</w:t>
      </w:r>
      <w:r>
        <w:rPr>
          <w:spacing w:val="-1"/>
        </w:rPr>
        <w:t>元；（</w:t>
      </w:r>
      <w:r>
        <w:rPr>
          <w:rFonts w:ascii="Times New Roman" w:hAnsi="Times New Roman" w:cs="Times New Roman" w:eastAsia="Times New Roman" w:hint="default"/>
          <w:spacing w:val="-1"/>
        </w:rPr>
        <w:t>4</w:t>
      </w:r>
      <w:r>
        <w:rPr>
          <w:spacing w:val="-1"/>
        </w:rPr>
        <w:t>）本公司之子公司辽宁盈丰与</w:t>
      </w:r>
      <w:r>
        <w:rPr>
          <w:spacing w:val="-83"/>
        </w:rPr>
        <w:t> </w:t>
      </w:r>
      <w:r>
        <w:rPr>
          <w:spacing w:val="-83"/>
        </w:rPr>
      </w:r>
      <w:r>
        <w:rPr/>
        <w:t>华商晨报社签订的经营业务授权协议而支付给华商晨报社的保证金人民币</w:t>
      </w:r>
      <w:r>
        <w:rPr>
          <w:rFonts w:ascii="Times New Roman" w:hAnsi="Times New Roman" w:cs="Times New Roman" w:eastAsia="Times New Roman" w:hint="default"/>
        </w:rPr>
        <w:t>5,000,000.00</w:t>
      </w:r>
      <w:r>
        <w:rPr/>
        <w:t>元；（</w:t>
      </w:r>
      <w:r>
        <w:rPr>
          <w:rFonts w:ascii="Times New Roman" w:hAnsi="Times New Roman" w:cs="Times New Roman" w:eastAsia="Times New Roman" w:hint="default"/>
        </w:rPr>
        <w:t>5</w:t>
      </w:r>
      <w:r>
        <w:rPr/>
        <w:t>）本公司之</w:t>
      </w:r>
      <w:r>
        <w:rPr>
          <w:spacing w:val="-86"/>
        </w:rPr>
        <w:t> </w:t>
      </w:r>
      <w:r>
        <w:rPr>
          <w:spacing w:val="-86"/>
        </w:rPr>
      </w:r>
      <w:r>
        <w:rPr>
          <w:spacing w:val="2"/>
        </w:rPr>
        <w:t>子公司重庆华博与重庆时报社签订的经营业务授权协议而支付给重庆时报社的保证金人民币</w:t>
      </w:r>
      <w:r>
        <w:rPr>
          <w:rFonts w:ascii="Times New Roman" w:hAnsi="Times New Roman" w:cs="Times New Roman" w:eastAsia="Times New Roman" w:hint="default"/>
          <w:spacing w:val="2"/>
        </w:rPr>
        <w:t>5,000,000.00</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6</w:t>
      </w:r>
      <w:r>
        <w:rPr/>
        <w:t>）本公司之子公司咸阳华商传媒与消费者导报社签订的经营业务授权协议而支付给消费者导报社</w:t>
      </w:r>
      <w:r>
        <w:rPr>
          <w:spacing w:val="-36"/>
        </w:rPr>
        <w:t> </w:t>
      </w:r>
      <w:r>
        <w:rPr>
          <w:spacing w:val="-36"/>
        </w:rPr>
      </w:r>
      <w:r>
        <w:rPr/>
        <w:t>的保证金人民币</w:t>
      </w:r>
      <w:r>
        <w:rPr>
          <w:rFonts w:ascii="Times New Roman" w:hAnsi="Times New Roman" w:cs="Times New Roman" w:eastAsia="Times New Roman" w:hint="default"/>
        </w:rPr>
        <w:t>4480,000.00</w:t>
      </w:r>
      <w:r>
        <w:rPr/>
        <w:t>元；（</w:t>
      </w:r>
      <w:r>
        <w:rPr>
          <w:rFonts w:ascii="Times New Roman" w:hAnsi="Times New Roman" w:cs="Times New Roman" w:eastAsia="Times New Roman" w:hint="default"/>
        </w:rPr>
        <w:t>7</w:t>
      </w:r>
      <w:r>
        <w:rPr/>
        <w:t>）本公司之子公司吉林传媒与新文化报社签订的经营业务授权协议而</w:t>
      </w:r>
      <w:r>
        <w:rPr>
          <w:spacing w:val="-44"/>
        </w:rPr>
        <w:t> </w:t>
      </w:r>
      <w:r>
        <w:rPr>
          <w:spacing w:val="-44"/>
        </w:rPr>
      </w:r>
      <w:r>
        <w:rPr/>
        <w:t>支付的保证金</w:t>
      </w:r>
      <w:r>
        <w:rPr>
          <w:rFonts w:ascii="Times New Roman" w:hAnsi="Times New Roman" w:cs="Times New Roman" w:eastAsia="Times New Roman" w:hint="default"/>
        </w:rPr>
        <w:t>5,000,000.00</w:t>
      </w:r>
      <w:r>
        <w:rPr/>
        <w:t>元；（</w:t>
      </w:r>
      <w:r>
        <w:rPr>
          <w:rFonts w:ascii="Times New Roman" w:hAnsi="Times New Roman" w:cs="Times New Roman" w:eastAsia="Times New Roman" w:hint="default"/>
        </w:rPr>
        <w:t>8</w:t>
      </w:r>
      <w:r>
        <w:rPr/>
        <w:t>）本公司之子公司时报传媒与证券时报社签订经营业务授权协议，证券</w:t>
      </w:r>
      <w:r>
        <w:rPr>
          <w:spacing w:val="-86"/>
        </w:rPr>
        <w:t> </w:t>
      </w:r>
      <w:r>
        <w:rPr>
          <w:spacing w:val="-86"/>
        </w:rPr>
      </w:r>
      <w:r>
        <w:rPr>
          <w:spacing w:val="-1"/>
        </w:rPr>
        <w:t>时报社授予本公司之子公司时报传媒有关《证券时报》的商业广告、财经信息的咨询策划、设计制作与代</w:t>
      </w:r>
      <w:r>
        <w:rPr>
          <w:spacing w:val="-83"/>
        </w:rPr>
        <w:t> </w:t>
      </w:r>
      <w:r>
        <w:rPr>
          <w:spacing w:val="-83"/>
        </w:rPr>
      </w:r>
      <w:r>
        <w:rPr>
          <w:spacing w:val="-1"/>
        </w:rPr>
        <w:t>理发布等相关业务的独家经营权，同时授予本公司之子公司时报传媒在经营上述业务时可以使用《证券时</w:t>
      </w:r>
      <w:r>
        <w:rPr>
          <w:spacing w:val="-82"/>
        </w:rPr>
        <w:t> </w:t>
      </w:r>
      <w:r>
        <w:rPr>
          <w:spacing w:val="-82"/>
        </w:rPr>
      </w:r>
      <w:r>
        <w:rPr/>
        <w:t>报》的商标和商誉的权利而支付给证券时报社的保证金人民币</w:t>
      </w:r>
      <w:r>
        <w:rPr>
          <w:rFonts w:ascii="Times New Roman" w:hAnsi="Times New Roman" w:cs="Times New Roman" w:eastAsia="Times New Roman" w:hint="default"/>
        </w:rPr>
        <w:t>480,000,000.00</w:t>
      </w:r>
      <w:r>
        <w:rPr/>
        <w:t>元；（</w:t>
      </w:r>
      <w:r>
        <w:rPr>
          <w:rFonts w:ascii="Times New Roman" w:hAnsi="Times New Roman" w:cs="Times New Roman" w:eastAsia="Times New Roman" w:hint="default"/>
        </w:rPr>
        <w:t>9</w:t>
      </w:r>
      <w:r>
        <w:rPr/>
        <w:t>）本公司之子公司国</w:t>
      </w:r>
      <w:r>
        <w:rPr>
          <w:spacing w:val="-87"/>
        </w:rPr>
        <w:t> </w:t>
      </w:r>
      <w:r>
        <w:rPr>
          <w:spacing w:val="-87"/>
        </w:rPr>
      </w:r>
      <w:r>
        <w:rPr/>
        <w:t>广光荣支付给国广控股的经营业务授权履约保证金</w:t>
      </w:r>
      <w:r>
        <w:rPr>
          <w:rFonts w:ascii="Times New Roman" w:hAnsi="Times New Roman" w:cs="Times New Roman" w:eastAsia="Times New Roman" w:hint="default"/>
        </w:rPr>
        <w:t>90,000,000.00</w:t>
      </w:r>
      <w:r>
        <w:rPr/>
        <w:t>元。</w:t>
      </w:r>
    </w:p>
    <w:p>
      <w:pPr>
        <w:pStyle w:val="BodyText"/>
        <w:spacing w:line="240" w:lineRule="auto" w:before="0"/>
        <w:ind w:left="577" w:right="0"/>
        <w:jc w:val="left"/>
      </w:pPr>
      <w:r>
        <w:rPr>
          <w:rFonts w:ascii="Times New Roman" w:hAnsi="Times New Roman" w:cs="Times New Roman" w:eastAsia="Times New Roman" w:hint="default"/>
        </w:rPr>
        <w:t>*2</w:t>
      </w:r>
      <w:r>
        <w:rPr/>
        <w:t>土地款为本公司之子公司华商传媒预付购地款。</w:t>
      </w:r>
    </w:p>
    <w:p>
      <w:pPr>
        <w:pStyle w:val="BodyText"/>
        <w:spacing w:line="240" w:lineRule="auto" w:before="21"/>
        <w:ind w:left="577" w:right="0"/>
        <w:jc w:val="left"/>
      </w:pPr>
      <w:r>
        <w:rPr>
          <w:rFonts w:ascii="Times New Roman" w:hAnsi="Times New Roman" w:cs="Times New Roman" w:eastAsia="Times New Roman" w:hint="default"/>
        </w:rPr>
        <w:t>*3</w:t>
      </w:r>
      <w:r>
        <w:rPr/>
        <w:t>预付工程款主要为本公司之子公司华商传媒预付的华商传媒文化中心项目相关款项。</w:t>
      </w:r>
    </w:p>
    <w:p>
      <w:pPr>
        <w:pStyle w:val="Heading6"/>
        <w:spacing w:line="240" w:lineRule="auto" w:before="122"/>
        <w:ind w:right="0"/>
        <w:jc w:val="both"/>
        <w:rPr>
          <w:b w:val="0"/>
          <w:bCs w:val="0"/>
        </w:rPr>
      </w:pPr>
      <w:r>
        <w:rPr>
          <w:rFonts w:ascii="Times New Roman" w:hAnsi="Times New Roman" w:cs="Times New Roman" w:eastAsia="Times New Roman" w:hint="default"/>
        </w:rPr>
        <w:t>23</w:t>
      </w:r>
      <w:r>
        <w:rPr/>
        <w:t>、短期借款</w:t>
      </w:r>
      <w:r>
        <w:rPr>
          <w:b w:val="0"/>
          <w:bCs w:val="0"/>
        </w:rPr>
      </w:r>
    </w:p>
    <w:p>
      <w:pPr>
        <w:pStyle w:val="Heading6"/>
        <w:spacing w:line="240" w:lineRule="auto" w:before="122"/>
        <w:ind w:right="0"/>
        <w:jc w:val="both"/>
        <w:rPr>
          <w:b w:val="0"/>
          <w:bCs w:val="0"/>
        </w:rPr>
      </w:pPr>
      <w:r>
        <w:rPr/>
        <w:t>（</w:t>
      </w:r>
      <w:r>
        <w:rPr>
          <w:rFonts w:ascii="Times New Roman" w:hAnsi="Times New Roman" w:cs="Times New Roman" w:eastAsia="Times New Roman" w:hint="default"/>
        </w:rPr>
        <w:t>1</w:t>
      </w:r>
      <w:r>
        <w:rPr/>
        <w:t>）短期借款分类</w:t>
      </w:r>
      <w:r>
        <w:rPr>
          <w:b w:val="0"/>
          <w:bCs w:val="0"/>
        </w:rPr>
      </w:r>
    </w:p>
    <w:p>
      <w:pPr>
        <w:spacing w:before="14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214,000,000.00</w:t>
            </w:r>
          </w:p>
        </w:tc>
      </w:tr>
    </w:tbl>
    <w:p>
      <w:pPr>
        <w:pStyle w:val="BodyText"/>
        <w:spacing w:line="307" w:lineRule="auto" w:before="26"/>
        <w:ind w:left="573" w:right="0" w:hanging="420"/>
        <w:jc w:val="left"/>
      </w:pPr>
      <w:r>
        <w:rPr/>
        <w:t>短期借款分类的说明： 本公司之子公司民生燃气于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月与中信银行股份有限公司海口分行签订合同号为（</w:t>
      </w:r>
      <w:r>
        <w:rPr>
          <w:rFonts w:ascii="Times New Roman" w:hAnsi="Times New Roman" w:cs="Times New Roman" w:eastAsia="Times New Roman" w:hint="default"/>
        </w:rPr>
        <w:t>2014</w:t>
      </w:r>
      <w:r>
        <w:rPr/>
        <w:t>）海银</w:t>
      </w:r>
    </w:p>
    <w:p>
      <w:pPr>
        <w:pStyle w:val="BodyText"/>
        <w:spacing w:line="247" w:lineRule="exact" w:before="0"/>
        <w:ind w:left="153" w:right="0" w:hanging="1"/>
        <w:jc w:val="left"/>
      </w:pPr>
      <w:r>
        <w:rPr/>
        <w:t>贷字第</w:t>
      </w:r>
      <w:r>
        <w:rPr>
          <w:rFonts w:ascii="Times New Roman" w:hAnsi="Times New Roman" w:cs="Times New Roman" w:eastAsia="Times New Roman" w:hint="default"/>
        </w:rPr>
        <w:t>041</w:t>
      </w:r>
      <w:r>
        <w:rPr/>
        <w:t>号的借款合同，借款金额为人民币</w:t>
      </w:r>
      <w:r>
        <w:rPr>
          <w:rFonts w:ascii="Times New Roman" w:hAnsi="Times New Roman" w:cs="Times New Roman" w:eastAsia="Times New Roman" w:hint="default"/>
        </w:rPr>
        <w:t>3,000.00</w:t>
      </w:r>
      <w:r>
        <w:rPr/>
        <w:t>万元，由本公司提供担保，担保合同编号：（</w:t>
      </w:r>
      <w:r>
        <w:rPr>
          <w:rFonts w:ascii="Times New Roman" w:hAnsi="Times New Roman" w:cs="Times New Roman" w:eastAsia="Times New Roman" w:hint="default"/>
        </w:rPr>
        <w:t>2013</w:t>
      </w:r>
      <w:r>
        <w:rPr/>
        <w:t>）</w:t>
      </w:r>
    </w:p>
    <w:p>
      <w:pPr>
        <w:pStyle w:val="BodyText"/>
        <w:spacing w:line="256" w:lineRule="auto" w:before="21"/>
        <w:ind w:left="153" w:right="0"/>
        <w:jc w:val="left"/>
      </w:pPr>
      <w:r>
        <w:rPr/>
        <w:t>海银保字第</w:t>
      </w:r>
      <w:r>
        <w:rPr>
          <w:rFonts w:ascii="Times New Roman" w:hAnsi="Times New Roman" w:cs="Times New Roman" w:eastAsia="Times New Roman" w:hint="default"/>
        </w:rPr>
        <w:t>056</w:t>
      </w:r>
      <w:r>
        <w:rPr/>
        <w:t>号，担保期限：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日。本公司承担担保责任的保证期间为两</w:t>
      </w:r>
      <w:r>
        <w:rPr>
          <w:spacing w:val="-40"/>
        </w:rPr>
        <w:t> </w:t>
      </w:r>
      <w:r>
        <w:rPr>
          <w:spacing w:val="-40"/>
        </w:rPr>
      </w:r>
      <w:r>
        <w:rPr/>
        <w:t>年，即自债务人依具体业务合同约定的债务履行期限届满之日起两年。</w:t>
      </w:r>
    </w:p>
    <w:p>
      <w:pPr>
        <w:pStyle w:val="Heading6"/>
        <w:spacing w:line="240" w:lineRule="auto" w:before="22"/>
        <w:ind w:left="573" w:right="0"/>
        <w:jc w:val="left"/>
        <w:rPr>
          <w:b w:val="0"/>
          <w:bCs w:val="0"/>
        </w:rPr>
      </w:pPr>
      <w:r>
        <w:rPr/>
        <w:t>（</w:t>
      </w:r>
      <w:r>
        <w:rPr>
          <w:rFonts w:ascii="Times New Roman" w:hAnsi="Times New Roman" w:cs="Times New Roman" w:eastAsia="Times New Roman" w:hint="default"/>
        </w:rPr>
        <w:t>2</w:t>
      </w:r>
      <w:r>
        <w:rPr/>
        <w:t>）截至2014年12月31日止，本公司无已到期未偿还的短期借款。</w:t>
      </w:r>
      <w:r>
        <w:rPr>
          <w:b w:val="0"/>
          <w:bCs w:val="0"/>
        </w:rPr>
      </w:r>
    </w:p>
    <w:p>
      <w:pPr>
        <w:pStyle w:val="Heading6"/>
        <w:spacing w:line="240" w:lineRule="auto" w:before="122"/>
        <w:ind w:left="153" w:right="0"/>
        <w:jc w:val="left"/>
        <w:rPr>
          <w:b w:val="0"/>
          <w:bCs w:val="0"/>
        </w:rPr>
      </w:pPr>
      <w:r>
        <w:rPr>
          <w:rFonts w:ascii="Times New Roman" w:hAnsi="Times New Roman" w:cs="Times New Roman" w:eastAsia="Times New Roman" w:hint="default"/>
        </w:rPr>
        <w:t>24</w:t>
      </w:r>
      <w:r>
        <w:rPr/>
        <w:t>、应付票据</w:t>
      </w:r>
      <w:r>
        <w:rPr>
          <w:b w:val="0"/>
          <w:bCs w:val="0"/>
        </w:rPr>
      </w:r>
    </w:p>
    <w:p>
      <w:pPr>
        <w:spacing w:before="14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48,385,566.34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48,385,566.34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15,800,000.00</w:t>
            </w:r>
          </w:p>
        </w:tc>
      </w:tr>
    </w:tbl>
    <w:p>
      <w:pPr>
        <w:spacing w:before="35"/>
        <w:ind w:left="514" w:right="0" w:firstLine="0"/>
        <w:jc w:val="left"/>
        <w:rPr>
          <w:rFonts w:ascii="宋体" w:hAnsi="宋体" w:cs="宋体" w:eastAsia="宋体" w:hint="default"/>
          <w:sz w:val="20"/>
          <w:szCs w:val="20"/>
        </w:rPr>
      </w:pPr>
      <w:r>
        <w:rPr>
          <w:rFonts w:ascii="宋体" w:hAnsi="宋体" w:cs="宋体" w:eastAsia="宋体" w:hint="default"/>
          <w:sz w:val="20"/>
          <w:szCs w:val="20"/>
        </w:rPr>
        <w:t>本期末已到期未支付的应付票据总额为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w:t>
      </w:r>
    </w:p>
    <w:p>
      <w:pPr>
        <w:pStyle w:val="Heading6"/>
        <w:spacing w:line="240" w:lineRule="auto" w:before="125"/>
        <w:ind w:right="0"/>
        <w:jc w:val="left"/>
        <w:rPr>
          <w:b w:val="0"/>
          <w:bCs w:val="0"/>
        </w:rPr>
      </w:pPr>
      <w:r>
        <w:rPr>
          <w:rFonts w:ascii="Times New Roman" w:hAnsi="Times New Roman" w:cs="Times New Roman" w:eastAsia="Times New Roman" w:hint="default"/>
        </w:rPr>
        <w:t>25</w:t>
      </w:r>
      <w:r>
        <w:rPr/>
        <w:t>、应付账款</w:t>
      </w:r>
      <w:r>
        <w:rPr>
          <w:b w:val="0"/>
          <w:bCs w:val="0"/>
        </w:rPr>
      </w:r>
    </w:p>
    <w:p>
      <w:pPr>
        <w:pStyle w:val="Heading6"/>
        <w:spacing w:line="240" w:lineRule="auto" w:before="122"/>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7"/>
          <w:szCs w:val="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241,870,298.96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270,888,030.53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20,038,784.87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2,513,210.56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2,338,604.84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10,582,027.31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18,055,517.66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9,514,449.90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282,303,206.33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293,497,718.30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江苏盐城二建集团有限公司海南分公司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16,533,130.45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工程尚未结算，暂未支付</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陕西交通建设集团公司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14,713,333.33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西安五洲电气工程设备有限公司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沈阳华商信息产业有限公司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869,179.18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陕西国红劳务有限责任公司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827,818.98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34,939,461.94</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期末数中欠关联方款项情况详见附注十二、</w:t>
      </w:r>
      <w:r>
        <w:rPr>
          <w:rFonts w:ascii="Times New Roman" w:hAnsi="Times New Roman" w:cs="Times New Roman" w:eastAsia="Times New Roman" w:hint="default"/>
        </w:rPr>
        <w:t>6</w:t>
      </w:r>
      <w:r>
        <w:rPr/>
        <w:t>。</w:t>
      </w:r>
    </w:p>
    <w:p>
      <w:pPr>
        <w:pStyle w:val="BodyText"/>
        <w:spacing w:line="240" w:lineRule="auto" w:before="61"/>
        <w:ind w:right="0"/>
        <w:jc w:val="left"/>
      </w:pPr>
      <w:r>
        <w:rPr/>
        <w:t>期末数中无欠持本公司</w:t>
      </w:r>
      <w:r>
        <w:rPr>
          <w:spacing w:val="-54"/>
        </w:rPr>
        <w:t> </w:t>
      </w:r>
      <w:r>
        <w:rPr>
          <w:rFonts w:ascii="Times New Roman" w:hAnsi="Times New Roman" w:cs="Times New Roman" w:eastAsia="Times New Roman" w:hint="default"/>
        </w:rPr>
        <w:t>5</w:t>
      </w:r>
      <w:r>
        <w:rPr/>
        <w:t>％以上（含</w:t>
      </w:r>
      <w:r>
        <w:rPr>
          <w:spacing w:val="-54"/>
        </w:rPr>
        <w:t> </w:t>
      </w:r>
      <w:r>
        <w:rPr>
          <w:rFonts w:ascii="Times New Roman" w:hAnsi="Times New Roman" w:cs="Times New Roman" w:eastAsia="Times New Roman" w:hint="default"/>
        </w:rPr>
        <w:t>5</w:t>
      </w:r>
      <w:r>
        <w:rPr/>
        <w:t>％）表决权股份的股东单位款项。</w:t>
      </w:r>
    </w:p>
    <w:p>
      <w:pPr>
        <w:pStyle w:val="Heading6"/>
        <w:spacing w:line="240" w:lineRule="auto" w:before="121"/>
        <w:ind w:right="0"/>
        <w:jc w:val="left"/>
        <w:rPr>
          <w:b w:val="0"/>
          <w:bCs w:val="0"/>
        </w:rPr>
      </w:pPr>
      <w:r>
        <w:rPr>
          <w:rFonts w:ascii="Times New Roman" w:hAnsi="Times New Roman" w:cs="Times New Roman" w:eastAsia="Times New Roman" w:hint="default"/>
        </w:rPr>
        <w:t>26</w:t>
      </w:r>
      <w:r>
        <w:rPr/>
        <w:t>、预收款项</w:t>
      </w:r>
      <w:r>
        <w:rPr>
          <w:b w:val="0"/>
          <w:bCs w:val="0"/>
        </w:rPr>
      </w:r>
    </w:p>
    <w:p>
      <w:pPr>
        <w:pStyle w:val="Heading6"/>
        <w:spacing w:line="240" w:lineRule="auto" w:before="122"/>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7"/>
          <w:szCs w:val="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327,139,934.74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313,060,243.72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0"/>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118,100,295.94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58,709,801.07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17,137,160.37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11,091,640.73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4,786,587.04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1,746,132.99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467,163,978.09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384,607,818.51</w:t>
            </w:r>
          </w:p>
        </w:tc>
      </w:tr>
    </w:tbl>
    <w:p>
      <w:pPr>
        <w:pStyle w:val="Heading6"/>
        <w:spacing w:line="240" w:lineRule="auto" w:before="86"/>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7"/>
          <w:szCs w:val="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预售房款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107,309,215.37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107,309,215.37</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6"/>
        <w:spacing w:line="240" w:lineRule="auto" w:before="86"/>
        <w:ind w:right="0"/>
        <w:jc w:val="left"/>
        <w:rPr>
          <w:b w:val="0"/>
          <w:bCs w:val="0"/>
        </w:rPr>
      </w:pPr>
      <w:r>
        <w:rPr>
          <w:rFonts w:ascii="Times New Roman" w:hAnsi="Times New Roman" w:cs="Times New Roman" w:eastAsia="Times New Roman" w:hint="default"/>
        </w:rPr>
        <w:t>27</w:t>
      </w:r>
      <w:r>
        <w:rPr/>
        <w:t>、应付职工薪酬</w:t>
      </w:r>
      <w:r>
        <w:rPr>
          <w:b w:val="0"/>
          <w:bCs w:val="0"/>
        </w:rPr>
      </w:r>
    </w:p>
    <w:p>
      <w:pPr>
        <w:pStyle w:val="Heading6"/>
        <w:spacing w:line="240" w:lineRule="auto" w:before="122"/>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7"/>
          <w:szCs w:val="7"/>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141,923,443.89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695,649,667.99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661,323,522.21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176,249,589.67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634,760.57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73,160,353.86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72,758,239.57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1,036,874.86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2,565,662.65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2,565,662.65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142,558,204.46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771,375,684.50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736,647,424.43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177,286,464.53</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102,494,765.11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601,277,525.52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566,116,367.93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137,655,922.70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31,324,873.99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31,324,873.99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268,703.98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29,799,010.10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29,711,840.81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355,873.27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250,148.67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250,148.67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26,672,068.77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26,672,068.77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1,334,616.13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1,331,515.27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9,436.22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12,219.95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1,713,932.98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1,708,256.77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17,896.16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498,950.80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27,167,278.04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27,004,540.85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661,687.99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38,631,931.64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5,865,548.02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6,958,222.71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37,539,256.95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29,092.36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215,432.32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207,675.92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36,848.76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141,923,443.89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695,649,667.99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661,323,522.21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176,249,589.67</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589,670.02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63,630,068.50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63,243,037.67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976,700.85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5,049,755.95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5,034,672.49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4,480,529.41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4,480,529.41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634,760.57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73,160,353.86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72,758,239.57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1,036,874.86</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19,714,614.88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13,545,449.59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1,110,142.95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-1,075,394.64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140,801,157.26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64,333,759.07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2,164,754.29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1,833,428.59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1,531,750.09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723,014.63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488,206.87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292,133.47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1,179,083.16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542,587.93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372,964.11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569,665.70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504,653.26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537,761.94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80,755,230.93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64,281,886.68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203,292.47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195,539.45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97,092.84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47,083.24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248,922,943.11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145,826,915.65</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157,850.00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43,693,200.00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25,506,800.00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365,833.32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43,851,050.00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25,872,633.32</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30</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16,062,500.00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16,062,500.00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海口长秀工程公司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765,888.48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765,888.48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16,969,388.48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16,969,388.48</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31</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286,293,475.97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267,267,756.00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124,573,396.19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33,236,288.00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13,424,375.32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7,173,547.55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17,797,947.74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14,825,866.25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442,089,195.22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322,503,457.80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shape style="position:absolute;margin-left:165.119705pt;margin-top:39.83213pt;width:210.3pt;height:35.25pt;mso-position-horizontal-relative:page;mso-position-vertical-relative:paragraph;z-index:-12164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16.300003pt;margin-top:67.252129pt;width:159.15pt;height:7.8pt;mso-position-horizontal-relative:page;mso-position-vertical-relative:paragraph;z-index:-1216432" coordorigin="4326,1345" coordsize="3183,156">
            <v:shape style="position:absolute;left:4326;top:1345;width:3183;height:156" coordorigin="4326,1345" coordsize="3183,156" path="m4326,1501l7508,1501,7508,1345,4326,1345,4326,1501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新疆锐聚股权投资合伙企业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新疆锐聚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159.15pt;height:7.8pt;mso-position-horizontal-relative:char;mso-position-vertical-relative:line" coordorigin="0,0" coordsize="3183,156">
                  <v:group style="position:absolute;left:0;top:0;width:3183;height:156" coordorigin="0,0" coordsize="3183,156">
                    <v:shape style="position:absolute;left:0;top:0;width:3183;height:156" coordorigin="0,0" coordsize="3183,156" path="m0,156l3182,156,3182,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61,590,625.00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26,934,375.00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2,491,973.21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潘为群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房屋押金</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93,415,473.21</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1" w:lineRule="auto" w:before="1"/>
        <w:ind w:left="153" w:right="3261"/>
        <w:jc w:val="left"/>
      </w:pPr>
      <w:r>
        <w:rPr>
          <w:sz w:val="24"/>
          <w:szCs w:val="24"/>
        </w:rPr>
        <w:t>其他说明： </w:t>
      </w:r>
      <w:r>
        <w:rPr/>
        <w:t>期末数中无欠持本公司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 期末数中欠关联方情况详见附注十二、</w:t>
      </w:r>
      <w:r>
        <w:rPr>
          <w:rFonts w:ascii="Times New Roman" w:hAnsi="Times New Roman" w:cs="Times New Roman" w:eastAsia="Times New Roman" w:hint="default"/>
        </w:rPr>
        <w:t>6</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32</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119,878,687.50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110,926,687.50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一年内到期的其他非流动负债</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21,903,877.81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14,156,569.63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141,782,565.31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125,083,257.13</w:t>
            </w:r>
          </w:p>
        </w:tc>
      </w:tr>
    </w:tbl>
    <w:p>
      <w:pPr>
        <w:pStyle w:val="Heading5"/>
        <w:spacing w:line="240" w:lineRule="auto" w:before="1"/>
        <w:ind w:left="154" w:right="0"/>
        <w:jc w:val="left"/>
      </w:pPr>
      <w:r>
        <w:rPr/>
        <w:t>其他说明：</w:t>
      </w:r>
    </w:p>
    <w:p>
      <w:pPr>
        <w:pStyle w:val="Heading5"/>
        <w:spacing w:line="312" w:lineRule="exact" w:before="68"/>
        <w:ind w:right="0" w:firstLine="384"/>
        <w:jc w:val="left"/>
      </w:pPr>
      <w:r>
        <w:rPr>
          <w:rFonts w:ascii="Times New Roman" w:hAnsi="Times New Roman" w:cs="Times New Roman" w:eastAsia="Times New Roman" w:hint="default"/>
        </w:rPr>
        <w:t>*</w:t>
      </w:r>
      <w:r>
        <w:rPr/>
        <w:t>其中应在一年内摊销的入网费金额为</w:t>
      </w:r>
      <w:r>
        <w:rPr>
          <w:rFonts w:ascii="Times New Roman" w:hAnsi="Times New Roman" w:cs="Times New Roman" w:eastAsia="Times New Roman" w:hint="default"/>
        </w:rPr>
        <w:t>19,658,985.57</w:t>
      </w:r>
      <w:r>
        <w:rPr/>
        <w:t>元，详见附注七、</w:t>
      </w:r>
      <w:r>
        <w:rPr>
          <w:rFonts w:ascii="Times New Roman" w:hAnsi="Times New Roman" w:cs="Times New Roman" w:eastAsia="Times New Roman" w:hint="default"/>
        </w:rPr>
        <w:t>36</w:t>
      </w:r>
      <w:r>
        <w:rPr/>
        <w:t>；一年内分摊的</w:t>
      </w:r>
      <w:r>
        <w:rPr>
          <w:spacing w:val="2"/>
        </w:rPr>
        <w:t> </w:t>
      </w:r>
      <w:r>
        <w:rPr/>
        <w:t>政府补助金额为</w:t>
      </w:r>
      <w:r>
        <w:rPr>
          <w:rFonts w:ascii="Times New Roman" w:hAnsi="Times New Roman" w:cs="Times New Roman" w:eastAsia="Times New Roman" w:hint="default"/>
        </w:rPr>
        <w:t>2,244,892.24</w:t>
      </w:r>
      <w:r>
        <w:rPr/>
        <w:t>元，详见附注七、</w:t>
      </w:r>
      <w:r>
        <w:rPr>
          <w:rFonts w:ascii="Times New Roman" w:hAnsi="Times New Roman" w:cs="Times New Roman" w:eastAsia="Times New Roman" w:hint="default"/>
        </w:rPr>
        <w:t>36</w:t>
      </w:r>
      <w:r>
        <w:rPr/>
        <w:t>。</w:t>
      </w:r>
    </w:p>
    <w:p>
      <w:pPr>
        <w:pStyle w:val="BodyText"/>
        <w:spacing w:line="268" w:lineRule="exact" w:before="0"/>
        <w:ind w:left="550" w:right="0"/>
        <w:jc w:val="left"/>
      </w:pPr>
      <w:r>
        <w:rPr/>
        <w:t>一年内到期的长期借款：</w:t>
      </w:r>
    </w:p>
    <w:p>
      <w:pPr>
        <w:spacing w:line="240" w:lineRule="auto" w:before="2"/>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716"/>
        <w:gridCol w:w="2824"/>
        <w:gridCol w:w="2826"/>
      </w:tblGrid>
      <w:tr>
        <w:trPr>
          <w:trHeight w:val="337" w:hRule="exact"/>
        </w:trPr>
        <w:tc>
          <w:tcPr>
            <w:tcW w:w="27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2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7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28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114,598,687.50</w:t>
            </w:r>
          </w:p>
        </w:tc>
        <w:tc>
          <w:tcPr>
            <w:tcW w:w="28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110,926,687.50</w:t>
            </w:r>
          </w:p>
        </w:tc>
      </w:tr>
      <w:tr>
        <w:trPr>
          <w:trHeight w:val="352" w:hRule="exact"/>
        </w:trPr>
        <w:tc>
          <w:tcPr>
            <w:tcW w:w="27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w:t>
            </w:r>
          </w:p>
        </w:tc>
        <w:tc>
          <w:tcPr>
            <w:tcW w:w="2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5,280,000.00</w:t>
            </w:r>
          </w:p>
        </w:tc>
        <w:tc>
          <w:tcPr>
            <w:tcW w:w="2826"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7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119,878,687.50</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110,926,687.50</w:t>
            </w:r>
          </w:p>
        </w:tc>
      </w:tr>
    </w:tbl>
    <w:p>
      <w:pPr>
        <w:pStyle w:val="BodyText"/>
        <w:spacing w:line="276" w:lineRule="exact" w:before="0"/>
        <w:ind w:right="0" w:firstLine="335"/>
        <w:jc w:val="left"/>
      </w:pPr>
      <w:r>
        <w:rPr>
          <w:rFonts w:ascii="Times New Roman" w:hAnsi="Times New Roman" w:cs="Times New Roman" w:eastAsia="Times New Roman" w:hint="default"/>
        </w:rPr>
        <w:t>*</w:t>
      </w:r>
      <w:r>
        <w:rPr/>
        <w:t>本公司之子公司邦富软件于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月与中国银行签订合同号为</w:t>
      </w:r>
      <w:r>
        <w:rPr>
          <w:rFonts w:ascii="Times New Roman" w:hAnsi="Times New Roman" w:cs="Times New Roman" w:eastAsia="Times New Roman" w:hint="default"/>
        </w:rPr>
        <w:t>GDK476780120130117</w:t>
      </w:r>
      <w:r>
        <w:rPr/>
        <w:t>的借款合同，借</w:t>
      </w:r>
    </w:p>
    <w:p>
      <w:pPr>
        <w:pStyle w:val="BodyText"/>
        <w:spacing w:line="256" w:lineRule="auto" w:before="21"/>
        <w:ind w:right="147"/>
        <w:jc w:val="both"/>
      </w:pPr>
      <w:r>
        <w:rPr/>
        <w:t>款合同总金额为</w:t>
      </w:r>
      <w:r>
        <w:rPr>
          <w:rFonts w:ascii="Times New Roman" w:hAnsi="Times New Roman" w:cs="Times New Roman" w:eastAsia="Times New Roman" w:hint="default"/>
        </w:rPr>
        <w:t>784</w:t>
      </w:r>
      <w:r>
        <w:rPr/>
        <w:t>万元，本期已归还</w:t>
      </w:r>
      <w:r>
        <w:rPr>
          <w:rFonts w:ascii="Times New Roman" w:hAnsi="Times New Roman" w:cs="Times New Roman" w:eastAsia="Times New Roman" w:hint="default"/>
        </w:rPr>
        <w:t>256</w:t>
      </w:r>
      <w:r>
        <w:rPr/>
        <w:t>万元，剩余的借款金额</w:t>
      </w:r>
      <w:r>
        <w:rPr>
          <w:rFonts w:ascii="Times New Roman" w:hAnsi="Times New Roman" w:cs="Times New Roman" w:eastAsia="Times New Roman" w:hint="default"/>
        </w:rPr>
        <w:t>528</w:t>
      </w:r>
      <w:r>
        <w:rPr/>
        <w:t>万元须于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之前还清，由程</w:t>
      </w:r>
      <w:r>
        <w:rPr>
          <w:spacing w:val="-42"/>
        </w:rPr>
        <w:t> </w:t>
      </w:r>
      <w:r>
        <w:rPr>
          <w:spacing w:val="-42"/>
        </w:rPr>
      </w:r>
      <w:r>
        <w:rPr/>
        <w:t>顺玲、曾子帆、李菊莲提供最高额担保，担保额度为</w:t>
      </w:r>
      <w:r>
        <w:rPr>
          <w:rFonts w:ascii="Times New Roman" w:hAnsi="Times New Roman" w:cs="Times New Roman" w:eastAsia="Times New Roman" w:hint="default"/>
        </w:rPr>
        <w:t>1,200</w:t>
      </w:r>
      <w:r>
        <w:rPr/>
        <w:t>万元，担保合同编号为</w:t>
      </w:r>
      <w:r>
        <w:rPr>
          <w:rFonts w:ascii="Times New Roman" w:hAnsi="Times New Roman" w:cs="Times New Roman" w:eastAsia="Times New Roman" w:hint="default"/>
        </w:rPr>
        <w:t>GBZ476780120130105</w:t>
      </w:r>
      <w:r>
        <w:rPr/>
        <w:t>，</w:t>
      </w:r>
      <w:r>
        <w:rPr>
          <w:spacing w:val="-91"/>
        </w:rPr>
        <w:t> </w:t>
      </w:r>
      <w:r>
        <w:rPr/>
        <w:t>担保期限自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56" w:lineRule="auto"/>
        <w:jc w:val="both"/>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left="814" w:right="0"/>
        <w:jc w:val="left"/>
        <w:rPr>
          <w:b w:val="0"/>
          <w:bCs w:val="0"/>
        </w:rPr>
      </w:pPr>
      <w:r>
        <w:rPr>
          <w:rFonts w:ascii="Times New Roman" w:hAnsi="Times New Roman" w:cs="Times New Roman" w:eastAsia="Times New Roman" w:hint="default"/>
        </w:rPr>
        <w:t>33</w:t>
      </w:r>
      <w:r>
        <w:rPr/>
        <w:t>、长期借款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81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81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56" w:lineRule="auto" w:before="89"/>
        <w:ind w:left="813" w:right="965" w:firstLine="336"/>
        <w:jc w:val="both"/>
      </w:pPr>
      <w:r>
        <w:rPr>
          <w:rFonts w:ascii="Times New Roman" w:hAnsi="Times New Roman" w:cs="Times New Roman" w:eastAsia="Times New Roman" w:hint="default"/>
          <w:spacing w:val="5"/>
        </w:rPr>
        <w:t>*</w:t>
      </w:r>
      <w:r>
        <w:rPr>
          <w:spacing w:val="5"/>
        </w:rPr>
        <w:t>系本公司之子公司华商传媒于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12</w:t>
      </w:r>
      <w:r>
        <w:rPr>
          <w:spacing w:val="5"/>
        </w:rPr>
        <w:t>日与中国光大银行股份有限公司西安分行签订的编号为</w:t>
      </w:r>
      <w:r>
        <w:rPr>
          <w:spacing w:val="6"/>
        </w:rPr>
        <w:t> </w:t>
      </w:r>
      <w:r>
        <w:rPr>
          <w:rFonts w:ascii="Times New Roman" w:hAnsi="Times New Roman" w:cs="Times New Roman" w:eastAsia="Times New Roman" w:hint="default"/>
        </w:rPr>
        <w:t>79251303037</w:t>
      </w:r>
      <w:r>
        <w:rPr/>
        <w:t>号的《固定资产暨项目融资借款合同》，借款金额为人民币</w:t>
      </w:r>
      <w:r>
        <w:rPr>
          <w:rFonts w:ascii="Times New Roman" w:hAnsi="Times New Roman" w:cs="Times New Roman" w:eastAsia="Times New Roman" w:hint="default"/>
        </w:rPr>
        <w:t>25,000.00</w:t>
      </w:r>
      <w:r>
        <w:rPr/>
        <w:t>万元，用于华商传媒文</w:t>
      </w:r>
      <w:r>
        <w:rPr>
          <w:spacing w:val="-46"/>
        </w:rPr>
        <w:t> </w:t>
      </w:r>
      <w:r>
        <w:rPr>
          <w:spacing w:val="-46"/>
        </w:rPr>
      </w:r>
      <w:r>
        <w:rPr>
          <w:spacing w:val="-1"/>
        </w:rPr>
        <w:t>化中心项目，借款期限自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日止，借款利率以合同约定利率为准。以本公司之</w:t>
      </w:r>
      <w:r>
        <w:rPr>
          <w:spacing w:val="-88"/>
        </w:rPr>
        <w:t> </w:t>
      </w:r>
      <w:r>
        <w:rPr>
          <w:spacing w:val="-88"/>
        </w:rPr>
      </w:r>
      <w:r>
        <w:rPr>
          <w:spacing w:val="-1"/>
        </w:rPr>
        <w:t>西安市曲江国用（</w:t>
      </w:r>
      <w:r>
        <w:rPr>
          <w:rFonts w:ascii="Times New Roman" w:hAnsi="Times New Roman" w:cs="Times New Roman" w:eastAsia="Times New Roman" w:hint="default"/>
          <w:spacing w:val="-1"/>
        </w:rPr>
        <w:t>2012</w:t>
      </w:r>
      <w:r>
        <w:rPr>
          <w:spacing w:val="-1"/>
        </w:rPr>
        <w:t>出）第</w:t>
      </w:r>
      <w:r>
        <w:rPr>
          <w:rFonts w:ascii="Times New Roman" w:hAnsi="Times New Roman" w:cs="Times New Roman" w:eastAsia="Times New Roman" w:hint="default"/>
          <w:spacing w:val="-1"/>
        </w:rPr>
        <w:t>74</w:t>
      </w:r>
      <w:r>
        <w:rPr>
          <w:spacing w:val="-1"/>
        </w:rPr>
        <w:t>号土地使用权及在建工程抵押及本公司之子公司华商数码提供连带责任保</w:t>
      </w:r>
      <w:r>
        <w:rPr>
          <w:spacing w:val="-82"/>
        </w:rPr>
        <w:t> </w:t>
      </w:r>
      <w:r>
        <w:rPr>
          <w:spacing w:val="-82"/>
        </w:rPr>
      </w:r>
      <w:r>
        <w:rPr/>
        <w:t>证。截至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日止，借款余额为</w:t>
      </w:r>
      <w:r>
        <w:rPr>
          <w:rFonts w:ascii="Times New Roman" w:hAnsi="Times New Roman" w:cs="Times New Roman" w:eastAsia="Times New Roman" w:hint="default"/>
        </w:rPr>
        <w:t>8,000.00</w:t>
      </w:r>
      <w:r>
        <w:rPr/>
        <w:t>万元。</w:t>
      </w:r>
    </w:p>
    <w:p>
      <w:pPr>
        <w:spacing w:line="240" w:lineRule="auto" w:before="5"/>
        <w:rPr>
          <w:rFonts w:ascii="宋体" w:hAnsi="宋体" w:cs="宋体" w:eastAsia="宋体" w:hint="default"/>
          <w:sz w:val="23"/>
          <w:szCs w:val="23"/>
        </w:rPr>
      </w:pPr>
    </w:p>
    <w:p>
      <w:pPr>
        <w:pStyle w:val="Heading6"/>
        <w:spacing w:line="240" w:lineRule="auto" w:before="0"/>
        <w:ind w:left="814" w:right="0"/>
        <w:jc w:val="left"/>
        <w:rPr>
          <w:b w:val="0"/>
          <w:bCs w:val="0"/>
        </w:rPr>
      </w:pPr>
      <w:r>
        <w:rPr>
          <w:rFonts w:ascii="Times New Roman" w:hAnsi="Times New Roman" w:cs="Times New Roman" w:eastAsia="Times New Roman" w:hint="default"/>
        </w:rPr>
        <w:t>34</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81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中期票据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1,391,080,600.00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695,180,600.00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1,391,080,600.00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695,180,600.00</w:t>
            </w:r>
          </w:p>
        </w:tc>
      </w:tr>
    </w:tbl>
    <w:p>
      <w:pPr>
        <w:spacing w:line="240" w:lineRule="auto" w:before="2"/>
        <w:rPr>
          <w:rFonts w:ascii="宋体" w:hAnsi="宋体" w:cs="宋体" w:eastAsia="宋体" w:hint="default"/>
          <w:sz w:val="19"/>
          <w:szCs w:val="19"/>
        </w:rPr>
      </w:pPr>
    </w:p>
    <w:p>
      <w:pPr>
        <w:pStyle w:val="Heading6"/>
        <w:spacing w:line="240" w:lineRule="auto"/>
        <w:ind w:left="814"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9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4"/>
        <w:gridCol w:w="1276"/>
        <w:gridCol w:w="709"/>
        <w:gridCol w:w="708"/>
        <w:gridCol w:w="1418"/>
        <w:gridCol w:w="1276"/>
        <w:gridCol w:w="1276"/>
        <w:gridCol w:w="425"/>
        <w:gridCol w:w="1134"/>
        <w:gridCol w:w="283"/>
        <w:gridCol w:w="283"/>
        <w:gridCol w:w="1418"/>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7" w:right="78"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按面 值计 提利 息</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 w:right="44"/>
              <w:jc w:val="both"/>
              <w:rPr>
                <w:rFonts w:ascii="宋体" w:hAnsi="宋体" w:cs="宋体" w:eastAsia="宋体" w:hint="default"/>
                <w:sz w:val="18"/>
                <w:szCs w:val="18"/>
              </w:rPr>
            </w:pPr>
            <w:r>
              <w:rPr>
                <w:rFonts w:ascii="宋体" w:hAnsi="宋体" w:cs="宋体" w:eastAsia="宋体" w:hint="default"/>
                <w:sz w:val="18"/>
                <w:szCs w:val="18"/>
              </w:rPr>
              <w:t>本 期 偿 还</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华传媒</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MTN1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700,000,000.00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695,180,600.00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1,054,300.00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696,234,900.00</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华闻传媒</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MTN001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700,000,000.00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-5,154,300.00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694,845,700.00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695,180,600.00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700,000,000.00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-4,100,000.00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1,391,080,600.00</w:t>
            </w:r>
          </w:p>
        </w:tc>
      </w:tr>
    </w:tbl>
    <w:p>
      <w:pPr>
        <w:pStyle w:val="Heading6"/>
        <w:spacing w:line="240" w:lineRule="auto" w:before="86"/>
        <w:ind w:left="814" w:right="0"/>
        <w:jc w:val="left"/>
        <w:rPr>
          <w:b w:val="0"/>
          <w:bCs w:val="0"/>
        </w:rPr>
      </w:pPr>
      <w:r>
        <w:rPr/>
        <w:t>（</w:t>
      </w:r>
      <w:r>
        <w:rPr>
          <w:rFonts w:ascii="Times New Roman" w:hAnsi="Times New Roman" w:cs="Times New Roman" w:eastAsia="Times New Roman" w:hint="default"/>
        </w:rPr>
        <w:t>3</w:t>
      </w:r>
      <w:r>
        <w:rPr/>
        <w:t>）应付债券说明</w:t>
      </w:r>
      <w:r>
        <w:rPr>
          <w:b w:val="0"/>
          <w:bCs w:val="0"/>
        </w:rPr>
      </w:r>
    </w:p>
    <w:p>
      <w:pPr>
        <w:pStyle w:val="BodyText"/>
        <w:spacing w:line="240" w:lineRule="auto" w:before="121"/>
        <w:ind w:left="133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 </w:t>
      </w:r>
      <w:r>
        <w:rPr/>
        <w:t>日</w:t>
      </w:r>
      <w:r>
        <w:rPr>
          <w:spacing w:val="-2"/>
        </w:rPr>
        <w:t>发</w:t>
      </w:r>
      <w:r>
        <w:rPr/>
        <w:t>行</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14 </w:t>
      </w:r>
      <w:r>
        <w:rPr/>
        <w:t>年度第</w:t>
      </w:r>
      <w:r>
        <w:rPr>
          <w:spacing w:val="-2"/>
        </w:rPr>
        <w:t>一</w:t>
      </w:r>
      <w:r>
        <w:rPr/>
        <w:t>期中期票</w:t>
      </w:r>
      <w:r>
        <w:rPr>
          <w:spacing w:val="-23"/>
        </w:rPr>
        <w:t>据</w:t>
      </w:r>
      <w:r>
        <w:rPr/>
        <w:t>（票据简</w:t>
      </w:r>
      <w:r>
        <w:rPr>
          <w:spacing w:val="-23"/>
        </w:rPr>
        <w:t>称</w:t>
      </w:r>
      <w:r>
        <w:rPr/>
        <w:t>“</w:t>
      </w:r>
      <w:r>
        <w:rPr>
          <w:rFonts w:ascii="Times New Roman" w:hAnsi="Times New Roman" w:cs="Times New Roman" w:eastAsia="Times New Roman" w:hint="default"/>
        </w:rPr>
        <w:t>14 </w:t>
      </w:r>
      <w:r>
        <w:rPr/>
        <w:t>华闻</w:t>
      </w:r>
      <w:r>
        <w:rPr>
          <w:spacing w:val="-2"/>
        </w:rPr>
        <w:t>传</w:t>
      </w:r>
      <w:r>
        <w:rPr/>
        <w:t>媒</w:t>
      </w:r>
      <w:r>
        <w:rPr>
          <w:spacing w:val="-54"/>
        </w:rPr>
        <w:t> </w:t>
      </w:r>
      <w:r>
        <w:rPr>
          <w:rFonts w:ascii="Times New Roman" w:hAnsi="Times New Roman" w:cs="Times New Roman" w:eastAsia="Times New Roman" w:hint="default"/>
        </w:rPr>
        <w:t>MTN0</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spacing w:val="-106"/>
        </w:rPr>
        <w:t>”</w:t>
      </w:r>
      <w:r>
        <w:rPr>
          <w:spacing w:val="-105"/>
        </w:rPr>
        <w:t>）</w:t>
      </w:r>
      <w:r>
        <w:rPr>
          <w:spacing w:val="-24"/>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p>
    <w:p>
      <w:pPr>
        <w:spacing w:after="0" w:line="240" w:lineRule="auto"/>
        <w:jc w:val="left"/>
        <w:sectPr>
          <w:pgSz w:w="11910" w:h="16840"/>
          <w:pgMar w:header="0" w:footer="982" w:top="1100" w:bottom="1180" w:left="320" w:right="160"/>
        </w:sectPr>
      </w:pPr>
    </w:p>
    <w:p>
      <w:pPr>
        <w:spacing w:line="240" w:lineRule="auto" w:before="10"/>
        <w:rPr>
          <w:rFonts w:ascii="宋体" w:hAnsi="宋体" w:cs="宋体" w:eastAsia="宋体" w:hint="default"/>
          <w:sz w:val="20"/>
          <w:szCs w:val="20"/>
        </w:rPr>
      </w:pPr>
      <w:r>
        <w:rPr/>
        <w:pict>
          <v:group style="position:absolute;margin-left:156.179993pt;margin-top:531.419983pt;width:77.5pt;height:50.8pt;mso-position-horizontal-relative:page;mso-position-vertical-relative:page;z-index:-1216408" coordorigin="3124,10628" coordsize="1550,1016">
            <v:group style="position:absolute;left:3124;top:10628;width:1550;height:1016" coordorigin="3124,10628" coordsize="1550,1016">
              <v:shape style="position:absolute;left:3124;top:10628;width:1550;height:1016" coordorigin="3124,10628" coordsize="1550,1016" path="m3124,11644l4673,11644,4673,10628,3124,10628,3124,11644xe" filled="true" fillcolor="#ffffff" stroked="false">
                <v:path arrowok="t"/>
                <v:fill type="solid"/>
              </v:shape>
            </v:group>
            <v:group style="position:absolute;left:3146;top:10940;width:1504;height:392" coordorigin="3146,10940" coordsize="1504,392">
              <v:shape style="position:absolute;left:3146;top:10940;width:1504;height:392" coordorigin="3146,10940" coordsize="1504,392" path="m3146,11332l4650,11332,4650,10940,3146,10940,3146,11332xe" filled="true" fillcolor="#ffffff" stroked="false">
                <v:path arrowok="t"/>
                <v:fill type="solid"/>
              </v:shape>
            </v:group>
            <w10:wrap type="none"/>
          </v:group>
        </w:pict>
      </w:r>
    </w:p>
    <w:p>
      <w:pPr>
        <w:pStyle w:val="BodyText"/>
        <w:spacing w:line="240" w:lineRule="auto" w:before="35"/>
        <w:ind w:left="814" w:right="807"/>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日募集资金已全额到账，发行总额</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亿元，期限</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年，票面利率为</w:t>
      </w:r>
      <w:r>
        <w:rPr>
          <w:spacing w:val="-55"/>
        </w:rPr>
        <w:t> </w:t>
      </w:r>
      <w:r>
        <w:rPr>
          <w:rFonts w:ascii="Times New Roman" w:hAnsi="Times New Roman" w:cs="Times New Roman" w:eastAsia="Times New Roman" w:hint="default"/>
        </w:rPr>
        <w:t>5.89%</w:t>
      </w:r>
      <w:r>
        <w:rPr/>
        <w:t>。</w:t>
      </w:r>
    </w:p>
    <w:p>
      <w:pPr>
        <w:pStyle w:val="Heading6"/>
        <w:spacing w:line="240" w:lineRule="auto" w:before="121"/>
        <w:ind w:left="813" w:right="807"/>
        <w:jc w:val="left"/>
        <w:rPr>
          <w:b w:val="0"/>
          <w:bCs w:val="0"/>
        </w:rPr>
      </w:pPr>
      <w:r>
        <w:rPr>
          <w:rFonts w:ascii="Times New Roman" w:hAnsi="Times New Roman" w:cs="Times New Roman" w:eastAsia="Times New Roman" w:hint="default"/>
        </w:rPr>
        <w:t>35</w:t>
      </w:r>
      <w:r>
        <w:rPr/>
        <w:t>、预计负债</w:t>
      </w:r>
      <w:r>
        <w:rPr>
          <w:b w:val="0"/>
          <w:bCs w:val="0"/>
        </w:rPr>
      </w:r>
    </w:p>
    <w:p>
      <w:pPr>
        <w:spacing w:line="240" w:lineRule="auto" w:before="11"/>
        <w:rPr>
          <w:rFonts w:ascii="宋体" w:hAnsi="宋体" w:cs="宋体" w:eastAsia="宋体" w:hint="default"/>
          <w:b/>
          <w:bCs/>
          <w:sz w:val="7"/>
          <w:szCs w:val="7"/>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6,957,191.40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7,739,807.99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退款拨备</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6,957,191.40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7,739,807.99</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5"/>
        <w:spacing w:line="268" w:lineRule="auto" w:before="1"/>
        <w:ind w:left="1197" w:right="807" w:hanging="384"/>
        <w:jc w:val="left"/>
      </w:pPr>
      <w:r>
        <w:rPr/>
        <w:t>其他说明，包括重要预计负债的相关重要假设、估计说明： 本期预计负债系子公司澄怀科技根据当年的实际退款率对截至资产负债表日止未执行完</w:t>
      </w:r>
    </w:p>
    <w:p>
      <w:pPr>
        <w:pStyle w:val="Heading5"/>
        <w:spacing w:line="283" w:lineRule="exact" w:before="0"/>
        <w:ind w:left="813" w:right="807"/>
        <w:jc w:val="left"/>
      </w:pPr>
      <w:r>
        <w:rPr/>
        <w:t>毕的合同累计收入确认的退款义务。</w:t>
      </w:r>
    </w:p>
    <w:p>
      <w:pPr>
        <w:pStyle w:val="Heading6"/>
        <w:spacing w:line="240" w:lineRule="auto" w:before="123"/>
        <w:ind w:left="814" w:right="807"/>
        <w:jc w:val="left"/>
        <w:rPr>
          <w:b w:val="0"/>
          <w:bCs w:val="0"/>
        </w:rPr>
      </w:pPr>
      <w:r>
        <w:rPr>
          <w:rFonts w:ascii="Times New Roman" w:hAnsi="Times New Roman" w:cs="Times New Roman" w:eastAsia="Times New Roman" w:hint="default"/>
        </w:rPr>
        <w:t>36</w:t>
      </w:r>
      <w:r>
        <w:rPr/>
        <w:t>、递延收益</w:t>
      </w:r>
      <w:r>
        <w:rPr>
          <w:b w:val="0"/>
          <w:bCs w:val="0"/>
        </w:rPr>
      </w:r>
    </w:p>
    <w:p>
      <w:pPr>
        <w:spacing w:before="147"/>
        <w:ind w:left="0" w:right="6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32,519,975.37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8,753,109.35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7,793,267.53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33,479,817.19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入网费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90,143,470.23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61,655,159.00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18,894,701.91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132,903,927.32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7,095.33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122,668,848.48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70,409,960.80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26,687,969.44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166,390,839.84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814" w:right="80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6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694"/>
        <w:gridCol w:w="1559"/>
        <w:gridCol w:w="1134"/>
        <w:gridCol w:w="1560"/>
        <w:gridCol w:w="1417"/>
        <w:gridCol w:w="1276"/>
        <w:gridCol w:w="1276"/>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本期计入营业外收 入金额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72" w:right="66"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年国家服务外包业务发展资 金</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56,308.14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28,113.21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28,194.93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年省级服务业专项资金（黄 马甲城市快捷配送网络工程）</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1,796,152.72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1,651,805.33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4,273.68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140,073.71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年第三批扩大内需财政拨款</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（黄马甲城市快捷配送网络工程</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80" w:val="left" w:leader="none"/>
              </w:tabs>
              <w:spacing w:line="240" w:lineRule="auto" w:before="128"/>
              <w:ind w:left="-152"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1,358,018.75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18,476.76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1,623,504.49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西安市公共电子商务购物平台一 期项目</w:t>
            </w:r>
            <w:r>
              <w:rPr>
                <w:rFonts w:ascii="Times New Roman" w:hAnsi="Times New Roman" w:cs="Times New Roman" w:eastAsia="Times New Roman" w:hint="default"/>
                <w:sz w:val="18"/>
                <w:szCs w:val="18"/>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46,653.02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463,346.98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信息化建设专项（西安电子商务综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合服务平台一期）</w:t>
            </w:r>
            <w:r>
              <w:rPr>
                <w:rFonts w:ascii="Times New Roman" w:hAnsi="Times New Roman" w:cs="Times New Roman" w:eastAsia="Times New Roman" w:hint="default"/>
                <w:sz w:val="18"/>
                <w:szCs w:val="18"/>
              </w:rPr>
              <w:t>*5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19,417.48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70,582.52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家政服务网络平台建设</w:t>
            </w:r>
            <w:r>
              <w:rPr>
                <w:rFonts w:ascii="Times New Roman" w:hAnsi="Times New Roman" w:cs="Times New Roman" w:eastAsia="Times New Roman" w:hint="default"/>
                <w:sz w:val="18"/>
                <w:szCs w:val="18"/>
              </w:rPr>
              <w:t>*6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1,819,999.91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1,659,999.83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家政服务体系建设补助资金</w:t>
            </w:r>
            <w:r>
              <w:rPr>
                <w:rFonts w:ascii="Times New Roman" w:hAnsi="Times New Roman" w:cs="Times New Roman" w:eastAsia="Times New Roman" w:hint="default"/>
                <w:sz w:val="18"/>
                <w:szCs w:val="18"/>
              </w:rPr>
              <w:t>*7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乳品冷链配送项目</w:t>
            </w:r>
            <w:r>
              <w:rPr>
                <w:rFonts w:ascii="Times New Roman" w:hAnsi="Times New Roman" w:cs="Times New Roman" w:eastAsia="Times New Roman" w:hint="default"/>
                <w:sz w:val="18"/>
                <w:szCs w:val="18"/>
              </w:rPr>
              <w:t>*8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646,982.36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105,038.40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110,352.00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431,591.96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年信息化和工业化深度融合 专项资金</w:t>
            </w:r>
            <w:r>
              <w:rPr>
                <w:rFonts w:ascii="Times New Roman" w:hAnsi="Times New Roman" w:cs="Times New Roman" w:eastAsia="Times New Roman" w:hint="default"/>
                <w:sz w:val="18"/>
                <w:szCs w:val="18"/>
              </w:rPr>
              <w:t>*9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591,595.47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87,204.50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20,691.96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483,699.01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82" w:top="1100" w:bottom="1180" w:left="320" w:right="44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694"/>
        <w:gridCol w:w="1559"/>
        <w:gridCol w:w="1134"/>
        <w:gridCol w:w="1560"/>
        <w:gridCol w:w="1417"/>
        <w:gridCol w:w="1276"/>
        <w:gridCol w:w="1276"/>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高技术服务促进专项</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电子商务物 流信息平台建设</w:t>
            </w:r>
            <w:r>
              <w:rPr>
                <w:rFonts w:ascii="Times New Roman" w:hAnsi="Times New Roman" w:cs="Times New Roman" w:eastAsia="Times New Roman" w:hint="default"/>
                <w:sz w:val="18"/>
                <w:szCs w:val="18"/>
              </w:rPr>
              <w:t>*10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23,357.32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35,406.96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241,235.72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绿色印刷包装项目</w:t>
            </w:r>
            <w:r>
              <w:rPr>
                <w:rFonts w:ascii="Times New Roman" w:hAnsi="Times New Roman" w:cs="Times New Roman" w:eastAsia="Times New Roman" w:hint="default"/>
                <w:sz w:val="18"/>
                <w:szCs w:val="18"/>
              </w:rPr>
              <w:t>*11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3,243,103.44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341,379.36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341,379.36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2,560,344.72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黄马甲快递物流中心</w:t>
            </w:r>
            <w:r>
              <w:rPr>
                <w:rFonts w:ascii="Times New Roman" w:hAnsi="Times New Roman" w:cs="Times New Roman" w:eastAsia="Times New Roman" w:hint="default"/>
                <w:sz w:val="18"/>
                <w:szCs w:val="18"/>
              </w:rPr>
              <w:t>*12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1,001,031.07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492,904.01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陕西黄马甲物流配送股份有限公 司快递物流配送中心建设项目</w:t>
            </w:r>
            <w:r>
              <w:rPr>
                <w:rFonts w:ascii="Times New Roman" w:hAnsi="Times New Roman" w:cs="Times New Roman" w:eastAsia="Times New Roman" w:hint="default"/>
                <w:sz w:val="18"/>
                <w:szCs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78,802.00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271,198.00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印刷车间改造项目</w:t>
            </w:r>
            <w:r>
              <w:rPr>
                <w:rFonts w:ascii="Times New Roman" w:hAnsi="Times New Roman" w:cs="Times New Roman" w:eastAsia="Times New Roman" w:hint="default"/>
                <w:sz w:val="18"/>
                <w:szCs w:val="18"/>
              </w:rPr>
              <w:t>*14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56,074.77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134,579.40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1,009,345.83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快递中心服务建设项目</w:t>
            </w:r>
            <w:r>
              <w:rPr>
                <w:rFonts w:ascii="Times New Roman" w:hAnsi="Times New Roman" w:cs="Times New Roman" w:eastAsia="Times New Roman" w:hint="default"/>
                <w:sz w:val="18"/>
                <w:szCs w:val="18"/>
              </w:rPr>
              <w:t>*15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海口市天然气第二气源厂项目</w:t>
            </w:r>
            <w:r>
              <w:rPr>
                <w:rFonts w:ascii="Times New Roman" w:hAnsi="Times New Roman" w:cs="Times New Roman" w:eastAsia="Times New Roman" w:hint="default"/>
                <w:sz w:val="18"/>
                <w:szCs w:val="18"/>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16,079,166.66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849,999.95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15,229,166.71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年重大科技创新项目</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燃气</w:t>
            </w:r>
            <w:r>
              <w:rPr>
                <w:rFonts w:ascii="Times New Roman" w:hAnsi="Times New Roman" w:cs="Times New Roman" w:eastAsia="Times New Roman" w:hint="default"/>
                <w:sz w:val="18"/>
                <w:szCs w:val="18"/>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626,666.67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159,999.84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智慧城市项目</w:t>
            </w:r>
            <w:r>
              <w:rPr>
                <w:rFonts w:ascii="Times New Roman" w:hAnsi="Times New Roman" w:cs="Times New Roman" w:eastAsia="Times New Roman" w:hint="default"/>
                <w:sz w:val="18"/>
                <w:szCs w:val="18"/>
              </w:rPr>
              <w:t>*18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小巨人项目</w:t>
            </w:r>
            <w:r>
              <w:rPr>
                <w:rFonts w:ascii="Times New Roman" w:hAnsi="Times New Roman" w:cs="Times New Roman" w:eastAsia="Times New Roman" w:hint="default"/>
                <w:sz w:val="18"/>
                <w:szCs w:val="18"/>
              </w:rPr>
              <w:t>*19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移动手机动漫产业技术平台扶持 资金</w:t>
            </w:r>
            <w:r>
              <w:rPr>
                <w:rFonts w:ascii="Times New Roman" w:hAnsi="Times New Roman" w:cs="Times New Roman" w:eastAsia="Times New Roman" w:hint="default"/>
                <w:sz w:val="18"/>
                <w:szCs w:val="18"/>
              </w:rPr>
              <w:t>*20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1,876,016.21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194,340.38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1,681,675.83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南方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动漫产业创新产业化基地 扶持资金</w:t>
            </w:r>
            <w:r>
              <w:rPr>
                <w:rFonts w:ascii="Times New Roman" w:hAnsi="Times New Roman" w:cs="Times New Roman" w:eastAsia="Times New Roman" w:hint="default"/>
                <w:sz w:val="18"/>
                <w:szCs w:val="18"/>
              </w:rPr>
              <w:t>*21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430,740.53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430,740.53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漫友手机动漫产业平台项目专项 资金</w:t>
            </w:r>
            <w:r>
              <w:rPr>
                <w:rFonts w:ascii="Times New Roman" w:hAnsi="Times New Roman" w:cs="Times New Roman" w:eastAsia="Times New Roman" w:hint="default"/>
                <w:sz w:val="18"/>
                <w:szCs w:val="18"/>
              </w:rPr>
              <w:t>*22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430,477.07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323,357.63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107,119.44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 台项目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156,127.42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156,127.42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动漫画创作制作技术系统集成及 产业化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的动漫电子书出版运营 平台的建设</w:t>
            </w:r>
            <w:r>
              <w:rPr>
                <w:rFonts w:ascii="Times New Roman" w:hAnsi="Times New Roman" w:cs="Times New Roman" w:eastAsia="Times New Roman" w:hint="default"/>
                <w:sz w:val="18"/>
                <w:szCs w:val="18"/>
              </w:rPr>
              <w:t>*23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南方移动动漫游戏产业服务平台</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1,197,902.00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1,197,902.00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基于《科幻画报》为平台的科普漫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画创作库项目资金</w:t>
            </w:r>
            <w:r>
              <w:rPr>
                <w:rFonts w:ascii="Times New Roman" w:hAnsi="Times New Roman" w:cs="Times New Roman" w:eastAsia="Times New Roman" w:hint="default"/>
                <w:sz w:val="18"/>
                <w:szCs w:val="18"/>
              </w:rPr>
              <w:t>*25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设备补贴</w:t>
            </w:r>
            <w:r>
              <w:rPr>
                <w:rFonts w:ascii="Times New Roman" w:hAnsi="Times New Roman" w:cs="Times New Roman" w:eastAsia="Times New Roman" w:hint="default"/>
                <w:sz w:val="18"/>
                <w:szCs w:val="18"/>
              </w:rPr>
              <w:t>*26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668,494.74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33,181.57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483,667.16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151,646.01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移动互联网手机动漫产业聚合平 台</w:t>
            </w:r>
            <w:r>
              <w:rPr>
                <w:rFonts w:ascii="Times New Roman" w:hAnsi="Times New Roman" w:cs="Times New Roman" w:eastAsia="Times New Roman" w:hint="default"/>
                <w:sz w:val="18"/>
                <w:szCs w:val="18"/>
              </w:rPr>
              <w:t>*27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147,851.38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10,600.67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137,250.71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32,519,975.37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8,753,109.35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5,225,017.87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2,568,249.66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33,479,817.19</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814" w:right="80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813" w:right="687" w:firstLine="423"/>
        <w:jc w:val="both"/>
      </w:pPr>
      <w:r>
        <w:rPr>
          <w:rFonts w:ascii="Times New Roman" w:hAnsi="Times New Roman" w:cs="Times New Roman" w:eastAsia="Times New Roman" w:hint="default"/>
        </w:rPr>
        <w:t>*1</w:t>
      </w:r>
      <w:r>
        <w:rPr/>
        <w:t>根据西安市财政局市财发</w:t>
      </w:r>
      <w:r>
        <w:rPr>
          <w:rFonts w:ascii="Times New Roman" w:hAnsi="Times New Roman" w:cs="Times New Roman" w:eastAsia="Times New Roman" w:hint="default"/>
        </w:rPr>
        <w:t>[2008]43</w:t>
      </w:r>
      <w:r>
        <w:rPr/>
        <w:t>号文《关于拨付</w:t>
      </w:r>
      <w:r>
        <w:rPr>
          <w:rFonts w:ascii="Times New Roman" w:hAnsi="Times New Roman" w:cs="Times New Roman" w:eastAsia="Times New Roman" w:hint="default"/>
        </w:rPr>
        <w:t>2007</w:t>
      </w:r>
      <w:r>
        <w:rPr/>
        <w:t>年度陕西省农产品现代流通网络建设专项资</w:t>
      </w:r>
      <w:r>
        <w:rPr>
          <w:spacing w:val="1"/>
        </w:rPr>
        <w:t> </w:t>
      </w:r>
      <w:r>
        <w:rPr/>
        <w:t>金》，对本公司之子公司陕西黄马甲基层配送站物流系统改造项目进行补助，补助资金人民币</w:t>
      </w:r>
      <w:r>
        <w:rPr>
          <w:rFonts w:ascii="Times New Roman" w:hAnsi="Times New Roman" w:cs="Times New Roman" w:eastAsia="Times New Roman" w:hint="default"/>
        </w:rPr>
        <w:t>162,000.00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元。该工程已于</w:t>
      </w:r>
      <w:r>
        <w:rPr>
          <w:rFonts w:ascii="Times New Roman" w:hAnsi="Times New Roman" w:cs="Times New Roman" w:eastAsia="Times New Roman" w:hint="default"/>
        </w:rPr>
        <w:t>2008</w:t>
      </w:r>
      <w:r>
        <w:rPr/>
        <w:t>年完工，以前年度进入损益</w:t>
      </w:r>
      <w:r>
        <w:rPr>
          <w:spacing w:val="-38"/>
        </w:rPr>
        <w:t> </w:t>
      </w:r>
      <w:r>
        <w:rPr>
          <w:rFonts w:ascii="Times New Roman" w:hAnsi="Times New Roman" w:cs="Times New Roman" w:eastAsia="Times New Roman" w:hint="default"/>
        </w:rPr>
        <w:t>105,691.86</w:t>
      </w:r>
      <w:r>
        <w:rPr/>
        <w:t>元，本期进入损益</w:t>
      </w:r>
      <w:r>
        <w:rPr>
          <w:rFonts w:ascii="Times New Roman" w:hAnsi="Times New Roman" w:cs="Times New Roman" w:eastAsia="Times New Roman" w:hint="default"/>
        </w:rPr>
        <w:t>28,113.21</w:t>
      </w:r>
      <w:r>
        <w:rPr/>
        <w:t>元，尚余</w:t>
      </w:r>
      <w:r>
        <w:rPr>
          <w:rFonts w:ascii="Times New Roman" w:hAnsi="Times New Roman" w:cs="Times New Roman" w:eastAsia="Times New Roman" w:hint="default"/>
        </w:rPr>
        <w:t>28,194.93</w:t>
      </w:r>
      <w:r>
        <w:rPr>
          <w:rFonts w:ascii="Times New Roman" w:hAnsi="Times New Roman" w:cs="Times New Roman" w:eastAsia="Times New Roman" w:hint="default"/>
          <w:spacing w:val="-1"/>
        </w:rPr>
        <w:t> </w:t>
      </w:r>
      <w:r>
        <w:rPr/>
        <w:t>元需要递延。</w:t>
      </w:r>
    </w:p>
    <w:p>
      <w:pPr>
        <w:spacing w:after="0" w:line="256" w:lineRule="auto"/>
        <w:jc w:val="both"/>
        <w:sectPr>
          <w:pgSz w:w="11910" w:h="16840"/>
          <w:pgMar w:header="0" w:footer="982" w:top="1100" w:bottom="1180" w:left="320" w:right="440"/>
        </w:sectPr>
      </w:pPr>
    </w:p>
    <w:p>
      <w:pPr>
        <w:spacing w:line="240" w:lineRule="auto" w:before="9"/>
        <w:rPr>
          <w:rFonts w:ascii="宋体" w:hAnsi="宋体" w:cs="宋体" w:eastAsia="宋体" w:hint="default"/>
          <w:sz w:val="20"/>
          <w:szCs w:val="20"/>
        </w:rPr>
      </w:pPr>
    </w:p>
    <w:p>
      <w:pPr>
        <w:pStyle w:val="BodyText"/>
        <w:spacing w:line="256" w:lineRule="auto" w:before="35"/>
        <w:ind w:right="208" w:firstLine="423"/>
        <w:jc w:val="both"/>
      </w:pPr>
      <w:r>
        <w:rPr>
          <w:rFonts w:ascii="Times New Roman" w:hAnsi="Times New Roman" w:cs="Times New Roman" w:eastAsia="Times New Roman" w:hint="default"/>
          <w:spacing w:val="-2"/>
        </w:rPr>
        <w:t>*2</w:t>
      </w:r>
      <w:r>
        <w:rPr>
          <w:spacing w:val="-2"/>
        </w:rPr>
        <w:t>根据陕西省发展和改革委员会文件陕发改投资</w:t>
      </w:r>
      <w:r>
        <w:rPr>
          <w:rFonts w:ascii="Times New Roman" w:hAnsi="Times New Roman" w:cs="Times New Roman" w:eastAsia="Times New Roman" w:hint="default"/>
          <w:spacing w:val="-2"/>
        </w:rPr>
        <w:t>[2009]732</w:t>
      </w:r>
      <w:r>
        <w:rPr>
          <w:spacing w:val="-2"/>
        </w:rPr>
        <w:t>号《关于下达</w:t>
      </w:r>
      <w:r>
        <w:rPr>
          <w:rFonts w:ascii="Times New Roman" w:hAnsi="Times New Roman" w:cs="Times New Roman" w:eastAsia="Times New Roman" w:hint="default"/>
          <w:spacing w:val="-2"/>
        </w:rPr>
        <w:t>2009</w:t>
      </w:r>
      <w:r>
        <w:rPr>
          <w:spacing w:val="-2"/>
        </w:rPr>
        <w:t>年省级服务业专项资金项</w:t>
      </w:r>
      <w:r>
        <w:rPr/>
        <w:t> </w:t>
      </w:r>
      <w:r>
        <w:rPr>
          <w:spacing w:val="-6"/>
        </w:rPr>
        <w:t>目投资计划（第一批）的通知》，对本公司之子公司陕西黄马甲建设城市快捷配送网络工程补助</w:t>
      </w:r>
      <w:r>
        <w:rPr>
          <w:rFonts w:ascii="Times New Roman" w:hAnsi="Times New Roman" w:cs="Times New Roman" w:eastAsia="Times New Roman" w:hint="default"/>
          <w:spacing w:val="-6"/>
        </w:rPr>
        <w:t>4,000,000.00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1"/>
        </w:rPr>
        <w:t>元。截至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日止，该工程已完成一期工程，根据公司网络建设报告，陕西黄马甲于</w:t>
      </w:r>
      <w:r>
        <w:rPr>
          <w:rFonts w:ascii="Times New Roman" w:hAnsi="Times New Roman" w:cs="Times New Roman" w:eastAsia="Times New Roman" w:hint="default"/>
          <w:spacing w:val="-1"/>
        </w:rPr>
        <w:t>2010</w:t>
      </w:r>
      <w:r>
        <w:rPr>
          <w:spacing w:val="-1"/>
        </w:rPr>
        <w:t>年将该</w:t>
      </w:r>
      <w:r>
        <w:rPr>
          <w:spacing w:val="-81"/>
        </w:rPr>
        <w:t> </w:t>
      </w:r>
      <w:r>
        <w:rPr>
          <w:spacing w:val="-1"/>
        </w:rPr>
        <w:t>项补助</w:t>
      </w:r>
      <w:r>
        <w:rPr>
          <w:rFonts w:ascii="Times New Roman" w:hAnsi="Times New Roman" w:cs="Times New Roman" w:eastAsia="Times New Roman" w:hint="default"/>
          <w:spacing w:val="-1"/>
        </w:rPr>
        <w:t>2,000,000.00</w:t>
      </w:r>
      <w:r>
        <w:rPr>
          <w:spacing w:val="-1"/>
        </w:rPr>
        <w:t>元计入损益，以前年度进入损益</w:t>
      </w:r>
      <w:r>
        <w:rPr>
          <w:rFonts w:ascii="Times New Roman" w:hAnsi="Times New Roman" w:cs="Times New Roman" w:eastAsia="Times New Roman" w:hint="default"/>
          <w:spacing w:val="-1"/>
        </w:rPr>
        <w:t>203,847.28</w:t>
      </w:r>
      <w:r>
        <w:rPr>
          <w:spacing w:val="-1"/>
        </w:rPr>
        <w:t>元，本期进入损益</w:t>
      </w:r>
      <w:r>
        <w:rPr>
          <w:rFonts w:ascii="Times New Roman" w:hAnsi="Times New Roman" w:cs="Times New Roman" w:eastAsia="Times New Roman" w:hint="default"/>
          <w:spacing w:val="-1"/>
        </w:rPr>
        <w:t>1,651,805.33</w:t>
      </w:r>
      <w:r>
        <w:rPr>
          <w:spacing w:val="-1"/>
        </w:rPr>
        <w:t>元，</w:t>
      </w:r>
      <w:r>
        <w:rPr>
          <w:rFonts w:ascii="Times New Roman" w:hAnsi="Times New Roman" w:cs="Times New Roman" w:eastAsia="Times New Roman" w:hint="default"/>
          <w:spacing w:val="-1"/>
        </w:rPr>
        <w:t>2015</w:t>
      </w:r>
      <w:r>
        <w:rPr>
          <w:spacing w:val="-1"/>
        </w:rPr>
        <w:t>年预</w:t>
      </w:r>
      <w:r>
        <w:rPr>
          <w:spacing w:val="-80"/>
        </w:rPr>
        <w:t> </w:t>
      </w:r>
      <w:r>
        <w:rPr/>
        <w:t>计进入损益</w:t>
      </w:r>
      <w:r>
        <w:rPr>
          <w:rFonts w:ascii="Times New Roman" w:hAnsi="Times New Roman" w:cs="Times New Roman" w:eastAsia="Times New Roman" w:hint="default"/>
        </w:rPr>
        <w:t>4,273.68</w:t>
      </w:r>
      <w:r>
        <w:rPr/>
        <w:t>元已重分类至一年内到期非流动负债。</w:t>
      </w:r>
    </w:p>
    <w:p>
      <w:pPr>
        <w:pStyle w:val="BodyText"/>
        <w:spacing w:line="256" w:lineRule="auto" w:before="5"/>
        <w:ind w:right="208" w:firstLine="423"/>
        <w:jc w:val="both"/>
      </w:pPr>
      <w:r>
        <w:rPr>
          <w:rFonts w:ascii="Times New Roman" w:hAnsi="Times New Roman" w:cs="Times New Roman" w:eastAsia="Times New Roman" w:hint="default"/>
          <w:spacing w:val="-2"/>
        </w:rPr>
        <w:t>*3</w:t>
      </w:r>
      <w:r>
        <w:rPr>
          <w:spacing w:val="-2"/>
        </w:rPr>
        <w:t>根据陕西省发展和改革委员会文件陕发改投资</w:t>
      </w:r>
      <w:r>
        <w:rPr>
          <w:rFonts w:ascii="Times New Roman" w:hAnsi="Times New Roman" w:cs="Times New Roman" w:eastAsia="Times New Roman" w:hint="default"/>
          <w:spacing w:val="-2"/>
        </w:rPr>
        <w:t>[2009]643</w:t>
      </w:r>
      <w:r>
        <w:rPr>
          <w:spacing w:val="-2"/>
        </w:rPr>
        <w:t>号《转发国家发展改革委关于下达物流业调</w:t>
      </w:r>
      <w:r>
        <w:rPr/>
        <w:t> </w:t>
      </w:r>
      <w:r>
        <w:rPr>
          <w:spacing w:val="-1"/>
        </w:rPr>
        <w:t>整和振兴项目</w:t>
      </w:r>
      <w:r>
        <w:rPr>
          <w:rFonts w:ascii="Times New Roman" w:hAnsi="Times New Roman" w:cs="Times New Roman" w:eastAsia="Times New Roman" w:hint="default"/>
          <w:spacing w:val="-1"/>
        </w:rPr>
        <w:t>2009</w:t>
      </w:r>
      <w:r>
        <w:rPr>
          <w:spacing w:val="-1"/>
        </w:rPr>
        <w:t>年第三批扩大内需中央预算内投资计划的通知》，拨付本公司之子公司陕西黄马甲</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年第三批扩大内需中央预算内投资计划</w:t>
      </w:r>
      <w:r>
        <w:rPr>
          <w:rFonts w:ascii="Times New Roman" w:hAnsi="Times New Roman" w:cs="Times New Roman" w:eastAsia="Times New Roman" w:hint="default"/>
        </w:rPr>
        <w:t>3,000,000.00</w:t>
      </w:r>
      <w:r>
        <w:rPr/>
        <w:t>元。本期进入损益</w:t>
      </w:r>
      <w:r>
        <w:rPr>
          <w:rFonts w:ascii="Times New Roman" w:hAnsi="Times New Roman" w:cs="Times New Roman" w:eastAsia="Times New Roman" w:hint="default"/>
        </w:rPr>
        <w:t>1,358,018.75</w:t>
      </w:r>
      <w:r>
        <w:rPr/>
        <w:t>元，</w:t>
      </w:r>
      <w:r>
        <w:rPr>
          <w:rFonts w:ascii="Times New Roman" w:hAnsi="Times New Roman" w:cs="Times New Roman" w:eastAsia="Times New Roman" w:hint="default"/>
        </w:rPr>
        <w:t>2015</w:t>
      </w:r>
      <w:r>
        <w:rPr/>
        <w:t>年预计进入损</w:t>
      </w:r>
      <w:r>
        <w:rPr>
          <w:spacing w:val="-47"/>
        </w:rPr>
        <w:t> </w:t>
      </w:r>
      <w:r>
        <w:rPr>
          <w:spacing w:val="-47"/>
        </w:rPr>
      </w:r>
      <w:r>
        <w:rPr/>
        <w:t>益</w:t>
      </w:r>
      <w:r>
        <w:rPr>
          <w:rFonts w:ascii="Times New Roman" w:hAnsi="Times New Roman" w:cs="Times New Roman" w:eastAsia="Times New Roman" w:hint="default"/>
        </w:rPr>
        <w:t>18,476.76</w:t>
      </w:r>
      <w:r>
        <w:rPr/>
        <w:t>元已重分类至一年内到期非流动负债。</w:t>
      </w:r>
    </w:p>
    <w:p>
      <w:pPr>
        <w:pStyle w:val="BodyText"/>
        <w:spacing w:line="256" w:lineRule="auto" w:before="5"/>
        <w:ind w:right="206" w:firstLine="423"/>
        <w:jc w:val="both"/>
      </w:pPr>
      <w:r>
        <w:rPr>
          <w:rFonts w:ascii="Times New Roman" w:hAnsi="Times New Roman" w:cs="Times New Roman" w:eastAsia="Times New Roman" w:hint="default"/>
        </w:rPr>
        <w:t>*4</w:t>
      </w:r>
      <w:r>
        <w:rPr/>
        <w:t>根据西安市财政局市财发</w:t>
      </w:r>
      <w:r>
        <w:rPr>
          <w:rFonts w:ascii="Times New Roman" w:hAnsi="Times New Roman" w:cs="Times New Roman" w:eastAsia="Times New Roman" w:hint="default"/>
        </w:rPr>
        <w:t>[2009]1287</w:t>
      </w:r>
      <w:r>
        <w:rPr/>
        <w:t>号《关于拨付</w:t>
      </w:r>
      <w:r>
        <w:rPr>
          <w:rFonts w:ascii="Times New Roman" w:hAnsi="Times New Roman" w:cs="Times New Roman" w:eastAsia="Times New Roman" w:hint="default"/>
        </w:rPr>
        <w:t>2009</w:t>
      </w:r>
      <w:r>
        <w:rPr/>
        <w:t>年度现代服务业发展专项资金（第二批）的</w:t>
      </w:r>
      <w:r>
        <w:rPr>
          <w:spacing w:val="1"/>
        </w:rPr>
        <w:t> </w:t>
      </w:r>
      <w:r>
        <w:rPr/>
        <w:t>通知》，对本公司之子公司陕西黄马甲建设西安公共电子商务购物平台一期工程补助</w:t>
      </w:r>
      <w:r>
        <w:rPr>
          <w:rFonts w:ascii="Times New Roman" w:hAnsi="Times New Roman" w:cs="Times New Roman" w:eastAsia="Times New Roman" w:hint="default"/>
        </w:rPr>
        <w:t>510,000.00</w:t>
      </w:r>
      <w:r>
        <w:rPr/>
        <w:t>元。本期</w:t>
      </w:r>
      <w:r>
        <w:rPr>
          <w:spacing w:val="-38"/>
        </w:rPr>
        <w:t> </w:t>
      </w:r>
      <w:r>
        <w:rPr>
          <w:spacing w:val="-38"/>
        </w:rPr>
      </w:r>
      <w:r>
        <w:rPr/>
        <w:t>进入损益</w:t>
      </w:r>
      <w:r>
        <w:rPr>
          <w:rFonts w:ascii="Times New Roman" w:hAnsi="Times New Roman" w:cs="Times New Roman" w:eastAsia="Times New Roman" w:hint="default"/>
        </w:rPr>
        <w:t>46,653.02</w:t>
      </w:r>
      <w:r>
        <w:rPr/>
        <w:t>元，尚余</w:t>
      </w:r>
      <w:r>
        <w:rPr>
          <w:rFonts w:ascii="Times New Roman" w:hAnsi="Times New Roman" w:cs="Times New Roman" w:eastAsia="Times New Roman" w:hint="default"/>
        </w:rPr>
        <w:t>463,346.98</w:t>
      </w:r>
      <w:r>
        <w:rPr/>
        <w:t>元需要递延。</w:t>
      </w:r>
    </w:p>
    <w:p>
      <w:pPr>
        <w:pStyle w:val="BodyText"/>
        <w:spacing w:line="264" w:lineRule="auto" w:before="5"/>
        <w:ind w:right="207" w:firstLine="423"/>
        <w:jc w:val="both"/>
      </w:pPr>
      <w:r>
        <w:rPr>
          <w:rFonts w:ascii="Times New Roman" w:hAnsi="Times New Roman" w:cs="Times New Roman" w:eastAsia="Times New Roman" w:hint="default"/>
          <w:spacing w:val="-2"/>
        </w:rPr>
        <w:t>*5</w:t>
      </w:r>
      <w:r>
        <w:rPr>
          <w:spacing w:val="-2"/>
        </w:rPr>
        <w:t>根据西安经济技术开发区管理委员会文件西经开发</w:t>
      </w:r>
      <w:r>
        <w:rPr>
          <w:rFonts w:ascii="Times New Roman" w:hAnsi="Times New Roman" w:cs="Times New Roman" w:eastAsia="Times New Roman" w:hint="default"/>
          <w:spacing w:val="-2"/>
        </w:rPr>
        <w:t>[2009]503</w:t>
      </w:r>
      <w:r>
        <w:rPr>
          <w:spacing w:val="-2"/>
        </w:rPr>
        <w:t>号《关于下达</w:t>
      </w:r>
      <w:r>
        <w:rPr>
          <w:rFonts w:ascii="Times New Roman" w:hAnsi="Times New Roman" w:cs="Times New Roman" w:eastAsia="Times New Roman" w:hint="default"/>
          <w:spacing w:val="-2"/>
        </w:rPr>
        <w:t>2009</w:t>
      </w:r>
      <w:r>
        <w:rPr>
          <w:spacing w:val="-2"/>
        </w:rPr>
        <w:t>年工业保增长专项第</w:t>
      </w:r>
      <w:r>
        <w:rPr/>
        <w:t> </w:t>
      </w:r>
      <w:r>
        <w:rPr>
          <w:spacing w:val="8"/>
        </w:rPr>
        <w:t>二批计划项目的通知》，对本公司之子公司陕西黄马甲建设西安电子商务综合服务平台一期工程补助</w:t>
      </w:r>
      <w:r>
        <w:rPr>
          <w:spacing w:val="-81"/>
        </w:rPr>
        <w:t> </w:t>
      </w:r>
      <w:r>
        <w:rPr>
          <w:spacing w:val="-81"/>
        </w:rPr>
      </w:r>
      <w:r>
        <w:rPr>
          <w:rFonts w:ascii="Times New Roman" w:hAnsi="Times New Roman" w:cs="Times New Roman" w:eastAsia="Times New Roman" w:hint="default"/>
        </w:rPr>
        <w:t>90,000.00</w:t>
      </w:r>
      <w:r>
        <w:rPr/>
        <w:t>元。本期进入损益</w:t>
      </w:r>
      <w:r>
        <w:rPr>
          <w:rFonts w:ascii="Times New Roman" w:hAnsi="Times New Roman" w:cs="Times New Roman" w:eastAsia="Times New Roman" w:hint="default"/>
        </w:rPr>
        <w:t>19,417.48</w:t>
      </w:r>
      <w:r>
        <w:rPr/>
        <w:t>元，尚余</w:t>
      </w:r>
      <w:r>
        <w:rPr>
          <w:rFonts w:ascii="Times New Roman" w:hAnsi="Times New Roman" w:cs="Times New Roman" w:eastAsia="Times New Roman" w:hint="default"/>
        </w:rPr>
        <w:t>70,582.52</w:t>
      </w:r>
      <w:r>
        <w:rPr/>
        <w:t>元需要递延。</w:t>
      </w:r>
    </w:p>
    <w:p>
      <w:pPr>
        <w:pStyle w:val="BodyText"/>
        <w:spacing w:line="256" w:lineRule="auto" w:before="0"/>
        <w:ind w:left="153" w:right="101" w:firstLine="423"/>
        <w:jc w:val="left"/>
      </w:pPr>
      <w:r>
        <w:rPr>
          <w:rFonts w:ascii="Times New Roman" w:hAnsi="Times New Roman" w:cs="Times New Roman" w:eastAsia="Times New Roman" w:hint="default"/>
          <w:spacing w:val="-2"/>
        </w:rPr>
        <w:t>*6</w:t>
      </w:r>
      <w:r>
        <w:rPr>
          <w:spacing w:val="-2"/>
        </w:rPr>
        <w:t>根据陕西省财政厅陕财办建</w:t>
      </w:r>
      <w:r>
        <w:rPr>
          <w:rFonts w:ascii="Times New Roman" w:hAnsi="Times New Roman" w:cs="Times New Roman" w:eastAsia="Times New Roman" w:hint="default"/>
          <w:spacing w:val="-2"/>
        </w:rPr>
        <w:t>[2010]87</w:t>
      </w:r>
      <w:r>
        <w:rPr>
          <w:spacing w:val="-2"/>
        </w:rPr>
        <w:t>号《陕西省财政厅关于下达商贸流通服务业发展资金的通知》，</w:t>
      </w:r>
      <w:r>
        <w:rPr/>
        <w:t> 对本公司之子公司陕西黄马甲家政服务网络平台建设项目补贴</w:t>
      </w:r>
      <w:r>
        <w:rPr>
          <w:rFonts w:ascii="Times New Roman" w:hAnsi="Times New Roman" w:cs="Times New Roman" w:eastAsia="Times New Roman" w:hint="default"/>
        </w:rPr>
        <w:t>2,000,000.00</w:t>
      </w:r>
      <w:r>
        <w:rPr/>
        <w:t>元。 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r>
        <w:rPr>
          <w:spacing w:val="-93"/>
        </w:rPr>
        <w:t> </w:t>
      </w:r>
      <w:r>
        <w:rPr>
          <w:spacing w:val="-93"/>
        </w:rPr>
      </w:r>
      <w:r>
        <w:rPr/>
        <w:t>该项目第一期工程基本完工，进入无形资产的价值为</w:t>
      </w:r>
      <w:r>
        <w:rPr>
          <w:rFonts w:ascii="Times New Roman" w:hAnsi="Times New Roman" w:cs="Times New Roman" w:eastAsia="Times New Roman" w:hint="default"/>
        </w:rPr>
        <w:t>800,000.00</w:t>
      </w:r>
      <w:r>
        <w:rPr/>
        <w:t>元。以前年度进入损益</w:t>
      </w:r>
      <w:r>
        <w:rPr>
          <w:rFonts w:ascii="Times New Roman" w:hAnsi="Times New Roman" w:cs="Times New Roman" w:eastAsia="Times New Roman" w:hint="default"/>
        </w:rPr>
        <w:t>180,000.09</w:t>
      </w:r>
      <w:r>
        <w:rPr/>
        <w:t>元，本期 进入损益</w:t>
      </w:r>
      <w:r>
        <w:rPr>
          <w:rFonts w:ascii="Times New Roman" w:hAnsi="Times New Roman" w:cs="Times New Roman" w:eastAsia="Times New Roman" w:hint="default"/>
        </w:rPr>
        <w:t>80,000.04</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2015</w:t>
      </w:r>
      <w:r>
        <w:rPr/>
        <w:t>年预计进入损益</w:t>
      </w:r>
      <w:r>
        <w:rPr>
          <w:rFonts w:ascii="Times New Roman" w:hAnsi="Times New Roman" w:cs="Times New Roman" w:eastAsia="Times New Roman" w:hint="default"/>
        </w:rPr>
        <w:t>80,000.04</w:t>
      </w:r>
      <w:r>
        <w:rPr/>
        <w:t>元已重分类至一年内到期非流动负债。</w:t>
      </w:r>
    </w:p>
    <w:p>
      <w:pPr>
        <w:pStyle w:val="BodyText"/>
        <w:spacing w:line="256" w:lineRule="auto" w:before="5"/>
        <w:ind w:left="153" w:right="136" w:firstLine="423"/>
        <w:jc w:val="both"/>
      </w:pPr>
      <w:r>
        <w:rPr>
          <w:rFonts w:ascii="Times New Roman" w:hAnsi="Times New Roman" w:cs="Times New Roman" w:eastAsia="Times New Roman" w:hint="default"/>
        </w:rPr>
        <w:t>*7</w:t>
      </w:r>
      <w:r>
        <w:rPr/>
        <w:t>根据西安市财政局市财发</w:t>
      </w:r>
      <w:r>
        <w:rPr>
          <w:rFonts w:ascii="Times New Roman" w:hAnsi="Times New Roman" w:cs="Times New Roman" w:eastAsia="Times New Roman" w:hint="default"/>
        </w:rPr>
        <w:t>[2010]1336</w:t>
      </w:r>
      <w:r>
        <w:rPr/>
        <w:t>号《关于拨付家政服务体系建设补助资金的通知》，对本公司</w:t>
      </w:r>
      <w:r>
        <w:rPr>
          <w:spacing w:val="1"/>
        </w:rPr>
        <w:t> </w:t>
      </w:r>
      <w:r>
        <w:rPr>
          <w:spacing w:val="-1"/>
        </w:rPr>
        <w:t>子公司陕西黄马甲拨付补助资金</w:t>
      </w:r>
      <w:r>
        <w:rPr>
          <w:rFonts w:ascii="Times New Roman" w:hAnsi="Times New Roman" w:cs="Times New Roman" w:eastAsia="Times New Roman" w:hint="default"/>
          <w:spacing w:val="-1"/>
        </w:rPr>
        <w:t>1,910,000.00</w:t>
      </w:r>
      <w:r>
        <w:rPr>
          <w:spacing w:val="-1"/>
        </w:rPr>
        <w:t>元，本期进入损益</w:t>
      </w:r>
      <w:r>
        <w:rPr>
          <w:rFonts w:ascii="Times New Roman" w:hAnsi="Times New Roman" w:cs="Times New Roman" w:eastAsia="Times New Roman" w:hint="default"/>
          <w:spacing w:val="-1"/>
        </w:rPr>
        <w:t>110,000.00</w:t>
      </w:r>
      <w:r>
        <w:rPr>
          <w:spacing w:val="-1"/>
        </w:rPr>
        <w:t>元</w:t>
      </w:r>
      <w:r>
        <w:rPr>
          <w:rFonts w:ascii="Times New Roman" w:hAnsi="Times New Roman" w:cs="Times New Roman" w:eastAsia="Times New Roman" w:hint="default"/>
          <w:spacing w:val="-1"/>
        </w:rPr>
        <w:t>,</w:t>
      </w:r>
      <w:r>
        <w:rPr>
          <w:spacing w:val="-1"/>
        </w:rPr>
        <w:t>尚余</w:t>
      </w:r>
      <w:r>
        <w:rPr>
          <w:rFonts w:ascii="Times New Roman" w:hAnsi="Times New Roman" w:cs="Times New Roman" w:eastAsia="Times New Roman" w:hint="default"/>
          <w:spacing w:val="-1"/>
        </w:rPr>
        <w:t>1,800,000.00</w:t>
      </w:r>
      <w:r>
        <w:rPr>
          <w:spacing w:val="-1"/>
        </w:rPr>
        <w:t>元需要递延。</w:t>
      </w:r>
    </w:p>
    <w:p>
      <w:pPr>
        <w:pStyle w:val="BodyText"/>
        <w:spacing w:line="256" w:lineRule="auto" w:before="5"/>
        <w:ind w:left="153" w:right="210" w:firstLine="423"/>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根据西经开发</w:t>
      </w:r>
      <w:r>
        <w:rPr>
          <w:rFonts w:ascii="Times New Roman" w:hAnsi="Times New Roman" w:cs="Times New Roman" w:eastAsia="Times New Roman" w:hint="default"/>
        </w:rPr>
        <w:t>[2012]344</w:t>
      </w:r>
      <w:r>
        <w:rPr/>
        <w:t>号《西安经开区管委会关于下达</w:t>
      </w:r>
      <w:r>
        <w:rPr>
          <w:rFonts w:ascii="Times New Roman" w:hAnsi="Times New Roman" w:cs="Times New Roman" w:eastAsia="Times New Roman" w:hint="default"/>
        </w:rPr>
        <w:t>2012</w:t>
      </w:r>
      <w:r>
        <w:rPr/>
        <w:t>年度促进主导产业发展专项资金第一 批计划项目的通知》对本公司乳品冷链配送项目补助人民币</w:t>
      </w:r>
      <w:r>
        <w:rPr>
          <w:rFonts w:ascii="Times New Roman" w:hAnsi="Times New Roman" w:cs="Times New Roman" w:eastAsia="Times New Roman" w:hint="default"/>
        </w:rPr>
        <w:t>200,000.00</w:t>
      </w:r>
      <w:r>
        <w:rPr/>
        <w:t>元，上期实际收到补贴金额为人民</w:t>
      </w:r>
      <w:r>
        <w:rPr>
          <w:spacing w:val="-41"/>
        </w:rPr>
        <w:t> </w:t>
      </w:r>
      <w:r>
        <w:rPr>
          <w:spacing w:val="-41"/>
        </w:rPr>
      </w:r>
      <w:r>
        <w:rPr>
          <w:spacing w:val="-2"/>
        </w:rPr>
        <w:t>币</w:t>
      </w:r>
      <w:r>
        <w:rPr>
          <w:rFonts w:ascii="Times New Roman" w:hAnsi="Times New Roman" w:cs="Times New Roman" w:eastAsia="Times New Roman" w:hint="default"/>
          <w:spacing w:val="-2"/>
        </w:rPr>
        <w:t>200,000.00</w:t>
      </w:r>
      <w:r>
        <w:rPr>
          <w:spacing w:val="-2"/>
        </w:rPr>
        <w:t>元。根据市财发</w:t>
      </w:r>
      <w:r>
        <w:rPr>
          <w:rFonts w:ascii="Times New Roman" w:hAnsi="Times New Roman" w:cs="Times New Roman" w:eastAsia="Times New Roman" w:hint="default"/>
          <w:spacing w:val="-2"/>
        </w:rPr>
        <w:t>[2012]1678</w:t>
      </w:r>
      <w:r>
        <w:rPr>
          <w:spacing w:val="-2"/>
        </w:rPr>
        <w:t>号《西安市财政局西安市商务局关于下达</w:t>
      </w:r>
      <w:r>
        <w:rPr>
          <w:rFonts w:ascii="Times New Roman" w:hAnsi="Times New Roman" w:cs="Times New Roman" w:eastAsia="Times New Roman" w:hint="default"/>
          <w:spacing w:val="-2"/>
        </w:rPr>
        <w:t>2012</w:t>
      </w:r>
      <w:r>
        <w:rPr>
          <w:spacing w:val="-2"/>
        </w:rPr>
        <w:t>年度现代服务业发展</w:t>
      </w:r>
      <w:r>
        <w:rPr>
          <w:spacing w:val="-60"/>
        </w:rPr>
        <w:t> </w:t>
      </w:r>
      <w:r>
        <w:rPr>
          <w:spacing w:val="-60"/>
        </w:rPr>
      </w:r>
      <w:r>
        <w:rPr>
          <w:spacing w:val="5"/>
        </w:rPr>
        <w:t>专项资金（第三批）的通知》对本公司乳品冷链配送项目补助人民币</w:t>
      </w:r>
      <w:r>
        <w:rPr>
          <w:rFonts w:ascii="Times New Roman" w:hAnsi="Times New Roman" w:cs="Times New Roman" w:eastAsia="Times New Roman" w:hint="default"/>
          <w:spacing w:val="5"/>
        </w:rPr>
        <w:t>600,000.00</w:t>
      </w:r>
      <w:r>
        <w:rPr>
          <w:spacing w:val="5"/>
        </w:rPr>
        <w:t>元，以前年度进入损益</w:t>
      </w:r>
      <w:r>
        <w:rPr>
          <w:spacing w:val="-77"/>
        </w:rPr>
        <w:t> </w:t>
      </w:r>
      <w:r>
        <w:rPr>
          <w:spacing w:val="-77"/>
        </w:rPr>
      </w:r>
      <w:r>
        <w:rPr>
          <w:rFonts w:ascii="Times New Roman" w:hAnsi="Times New Roman" w:cs="Times New Roman" w:eastAsia="Times New Roman" w:hint="default"/>
        </w:rPr>
        <w:t>153,017.64</w:t>
      </w:r>
      <w:r>
        <w:rPr/>
        <w:t>元，本期进入损益</w:t>
      </w:r>
      <w:r>
        <w:rPr>
          <w:rFonts w:ascii="Times New Roman" w:hAnsi="Times New Roman" w:cs="Times New Roman" w:eastAsia="Times New Roman" w:hint="default"/>
        </w:rPr>
        <w:t>105,038.40</w:t>
      </w:r>
      <w:r>
        <w:rPr/>
        <w:t>元，</w:t>
      </w:r>
      <w:r>
        <w:rPr>
          <w:rFonts w:ascii="Times New Roman" w:hAnsi="Times New Roman" w:cs="Times New Roman" w:eastAsia="Times New Roman" w:hint="default"/>
        </w:rPr>
        <w:t>2015</w:t>
      </w:r>
      <w:r>
        <w:rPr/>
        <w:t>年预计进入损益</w:t>
      </w:r>
      <w:r>
        <w:rPr>
          <w:rFonts w:ascii="Times New Roman" w:hAnsi="Times New Roman" w:cs="Times New Roman" w:eastAsia="Times New Roman" w:hint="default"/>
        </w:rPr>
        <w:t>110,352.00</w:t>
      </w:r>
      <w:r>
        <w:rPr/>
        <w:t>元已重分类至一年内到期非流</w:t>
      </w:r>
      <w:r>
        <w:rPr>
          <w:spacing w:val="-51"/>
        </w:rPr>
        <w:t> </w:t>
      </w:r>
      <w:r>
        <w:rPr>
          <w:spacing w:val="-51"/>
        </w:rPr>
      </w:r>
      <w:r>
        <w:rPr/>
        <w:t>动负债。</w:t>
      </w:r>
    </w:p>
    <w:p>
      <w:pPr>
        <w:pStyle w:val="BodyText"/>
        <w:spacing w:line="256" w:lineRule="auto" w:before="22"/>
        <w:ind w:left="153" w:right="210" w:firstLine="423"/>
        <w:jc w:val="both"/>
      </w:pPr>
      <w:r>
        <w:rPr>
          <w:rFonts w:ascii="Times New Roman" w:hAnsi="Times New Roman" w:cs="Times New Roman" w:eastAsia="Times New Roman" w:hint="default"/>
          <w:spacing w:val="-2"/>
        </w:rPr>
        <w:t>*9</w:t>
      </w:r>
      <w:r>
        <w:rPr>
          <w:spacing w:val="-2"/>
        </w:rPr>
        <w:t>根据国家工业和信息化部工信部信函</w:t>
      </w:r>
      <w:r>
        <w:rPr>
          <w:rFonts w:ascii="Times New Roman" w:hAnsi="Times New Roman" w:cs="Times New Roman" w:eastAsia="Times New Roman" w:hint="default"/>
          <w:spacing w:val="-2"/>
        </w:rPr>
        <w:t>[2012]325</w:t>
      </w:r>
      <w:r>
        <w:rPr>
          <w:spacing w:val="-2"/>
        </w:rPr>
        <w:t>号《工业和信息化部关于下达</w:t>
      </w:r>
      <w:r>
        <w:rPr>
          <w:rFonts w:ascii="Times New Roman" w:hAnsi="Times New Roman" w:cs="Times New Roman" w:eastAsia="Times New Roman" w:hint="default"/>
          <w:spacing w:val="-2"/>
        </w:rPr>
        <w:t>2012</w:t>
      </w:r>
      <w:r>
        <w:rPr>
          <w:spacing w:val="-2"/>
        </w:rPr>
        <w:t>年信息化和工业化</w:t>
      </w:r>
      <w:r>
        <w:rPr/>
        <w:t> 深度融合专项资金使用计划的通知》，对本公司之子公司陕西黄马甲配送信息化建设项目补贴</w:t>
      </w:r>
      <w:r>
        <w:rPr>
          <w:rFonts w:ascii="Times New Roman" w:hAnsi="Times New Roman" w:cs="Times New Roman" w:eastAsia="Times New Roman" w:hint="default"/>
        </w:rPr>
        <w:t>600,000.00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元。以前年度进入损益</w:t>
      </w:r>
      <w:r>
        <w:rPr>
          <w:rFonts w:ascii="Times New Roman" w:hAnsi="Times New Roman" w:cs="Times New Roman" w:eastAsia="Times New Roman" w:hint="default"/>
        </w:rPr>
        <w:t>8,404.53</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本期进入损益</w:t>
      </w:r>
      <w:r>
        <w:rPr>
          <w:rFonts w:ascii="Times New Roman" w:hAnsi="Times New Roman" w:cs="Times New Roman" w:eastAsia="Times New Roman" w:hint="default"/>
        </w:rPr>
        <w:t>87,204.50</w:t>
      </w:r>
      <w:r>
        <w:rPr/>
        <w:t>元，</w:t>
      </w:r>
      <w:r>
        <w:rPr>
          <w:rFonts w:ascii="Times New Roman" w:hAnsi="Times New Roman" w:cs="Times New Roman" w:eastAsia="Times New Roman" w:hint="default"/>
        </w:rPr>
        <w:t>2015</w:t>
      </w:r>
      <w:r>
        <w:rPr/>
        <w:t>年预计进入损益</w:t>
      </w:r>
      <w:r>
        <w:rPr>
          <w:rFonts w:ascii="Times New Roman" w:hAnsi="Times New Roman" w:cs="Times New Roman" w:eastAsia="Times New Roman" w:hint="default"/>
        </w:rPr>
        <w:t>20,691.96</w:t>
      </w:r>
      <w:r>
        <w:rPr/>
        <w:t>元已重分类至 一年内到期非流动负债。</w:t>
      </w:r>
    </w:p>
    <w:p>
      <w:pPr>
        <w:pStyle w:val="BodyText"/>
        <w:spacing w:line="240" w:lineRule="auto" w:before="22"/>
        <w:ind w:left="577" w:right="101"/>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根据西安经济技术开发区管委会西经开发</w:t>
      </w:r>
      <w:r>
        <w:rPr>
          <w:rFonts w:ascii="Times New Roman" w:hAnsi="Times New Roman" w:cs="Times New Roman" w:eastAsia="Times New Roman" w:hint="default"/>
        </w:rPr>
        <w:t>[2013]304</w:t>
      </w:r>
      <w:r>
        <w:rPr/>
        <w:t>号《西安经济技术开发区管委会关于下达</w:t>
      </w:r>
      <w:r>
        <w:rPr>
          <w:rFonts w:ascii="Times New Roman" w:hAnsi="Times New Roman" w:cs="Times New Roman" w:eastAsia="Times New Roman" w:hint="default"/>
        </w:rPr>
        <w:t>2013</w:t>
      </w:r>
    </w:p>
    <w:p>
      <w:pPr>
        <w:pStyle w:val="BodyText"/>
        <w:spacing w:line="240" w:lineRule="auto" w:before="21"/>
        <w:ind w:left="153" w:right="101"/>
        <w:jc w:val="left"/>
      </w:pPr>
      <w:r>
        <w:rPr/>
        <w:t>年度支持产业发展专项资金第一批计划项目的通知》，对本公司之子公司陕西黄马甲高技术服务促进专项</w:t>
      </w:r>
    </w:p>
    <w:p>
      <w:pPr>
        <w:pStyle w:val="BodyText"/>
        <w:spacing w:line="256" w:lineRule="auto" w:before="37"/>
        <w:ind w:left="153" w:right="101"/>
        <w:jc w:val="left"/>
      </w:pPr>
      <w:r>
        <w:rPr>
          <w:rFonts w:ascii="Times New Roman" w:hAnsi="Times New Roman" w:cs="Times New Roman" w:eastAsia="Times New Roman" w:hint="default"/>
          <w:spacing w:val="7"/>
        </w:rPr>
        <w:t>-</w:t>
      </w:r>
      <w:r>
        <w:rPr>
          <w:spacing w:val="7"/>
        </w:rPr>
        <w:t>电子商务物流信息平台建设项目补贴</w:t>
      </w:r>
      <w:r>
        <w:rPr>
          <w:rFonts w:ascii="Times New Roman" w:hAnsi="Times New Roman" w:cs="Times New Roman" w:eastAsia="Times New Roman" w:hint="default"/>
          <w:spacing w:val="7"/>
        </w:rPr>
        <w:t>300,000.00</w:t>
      </w:r>
      <w:r>
        <w:rPr>
          <w:spacing w:val="7"/>
        </w:rPr>
        <w:t>元。本期进入损益</w:t>
      </w:r>
      <w:r>
        <w:rPr>
          <w:rFonts w:ascii="Times New Roman" w:hAnsi="Times New Roman" w:cs="Times New Roman" w:eastAsia="Times New Roman" w:hint="default"/>
          <w:spacing w:val="7"/>
        </w:rPr>
        <w:t>23,357.32</w:t>
      </w:r>
      <w:r>
        <w:rPr>
          <w:spacing w:val="7"/>
        </w:rPr>
        <w:t>元，</w:t>
      </w:r>
      <w:r>
        <w:rPr>
          <w:rFonts w:ascii="Times New Roman" w:hAnsi="Times New Roman" w:cs="Times New Roman" w:eastAsia="Times New Roman" w:hint="default"/>
          <w:spacing w:val="7"/>
        </w:rPr>
        <w:t>2015</w:t>
      </w:r>
      <w:r>
        <w:rPr>
          <w:spacing w:val="7"/>
        </w:rPr>
        <w:t>年预计进入损益</w:t>
      </w:r>
      <w:r>
        <w:rPr>
          <w:spacing w:val="-71"/>
        </w:rPr>
        <w:t> </w:t>
      </w:r>
      <w:r>
        <w:rPr>
          <w:rFonts w:ascii="Times New Roman" w:hAnsi="Times New Roman" w:cs="Times New Roman" w:eastAsia="Times New Roman" w:hint="default"/>
        </w:rPr>
        <w:t>35,406.96</w:t>
      </w:r>
      <w:r>
        <w:rPr/>
        <w:t>元已重分类至一年内到期非流动负债。</w:t>
      </w:r>
    </w:p>
    <w:p>
      <w:pPr>
        <w:pStyle w:val="BodyText"/>
        <w:spacing w:line="256" w:lineRule="auto" w:before="5"/>
        <w:ind w:left="153" w:right="118" w:firstLine="423"/>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根据本公司之子公司华商数码与陕西省新闻出版局签订的《陕西省西安国家数字出版基地西安国 家印刷包装产业基地建设专项资金使用管理协议书》，对华商数码绿色印刷包装项目补助</w:t>
      </w:r>
      <w:r>
        <w:rPr>
          <w:rFonts w:ascii="Times New Roman" w:hAnsi="Times New Roman" w:cs="Times New Roman" w:eastAsia="Times New Roman" w:hint="default"/>
        </w:rPr>
        <w:t>3,300,000.00</w:t>
      </w:r>
      <w:r>
        <w:rPr/>
        <w:t>元。 以前年度进入损益</w:t>
      </w:r>
      <w:r>
        <w:rPr>
          <w:rFonts w:ascii="Times New Roman" w:hAnsi="Times New Roman" w:cs="Times New Roman" w:eastAsia="Times New Roman" w:hint="default"/>
        </w:rPr>
        <w:t>56,896.56</w:t>
      </w:r>
      <w:r>
        <w:rPr/>
        <w:t>元，本期进入损益</w:t>
      </w:r>
      <w:r>
        <w:rPr>
          <w:rFonts w:ascii="Times New Roman" w:hAnsi="Times New Roman" w:cs="Times New Roman" w:eastAsia="Times New Roman" w:hint="default"/>
        </w:rPr>
        <w:t>341,379.36</w:t>
      </w:r>
      <w:r>
        <w:rPr/>
        <w:t>元，</w:t>
      </w:r>
      <w:r>
        <w:rPr>
          <w:rFonts w:ascii="Times New Roman" w:hAnsi="Times New Roman" w:cs="Times New Roman" w:eastAsia="Times New Roman" w:hint="default"/>
        </w:rPr>
        <w:t>2015</w:t>
      </w:r>
      <w:r>
        <w:rPr/>
        <w:t>年预计进入损益</w:t>
      </w:r>
      <w:r>
        <w:rPr>
          <w:rFonts w:ascii="Times New Roman" w:hAnsi="Times New Roman" w:cs="Times New Roman" w:eastAsia="Times New Roman" w:hint="default"/>
        </w:rPr>
        <w:t>341,379.36</w:t>
      </w:r>
      <w:r>
        <w:rPr/>
        <w:t>元已重分类至 一年内到期非流动负债。</w:t>
      </w:r>
    </w:p>
    <w:p>
      <w:pPr>
        <w:pStyle w:val="BodyText"/>
        <w:spacing w:line="256" w:lineRule="auto" w:before="22"/>
        <w:ind w:right="211" w:firstLine="423"/>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根据西安市财政局市财函</w:t>
      </w:r>
      <w:r>
        <w:rPr>
          <w:rFonts w:ascii="Times New Roman" w:hAnsi="Times New Roman" w:cs="Times New Roman" w:eastAsia="Times New Roman" w:hint="default"/>
        </w:rPr>
        <w:t>[2013]865</w:t>
      </w:r>
      <w:r>
        <w:rPr/>
        <w:t>号《西安市财政局关于下达</w:t>
      </w:r>
      <w:r>
        <w:rPr>
          <w:rFonts w:ascii="Times New Roman" w:hAnsi="Times New Roman" w:cs="Times New Roman" w:eastAsia="Times New Roman" w:hint="default"/>
        </w:rPr>
        <w:t>2013</w:t>
      </w:r>
      <w:r>
        <w:rPr/>
        <w:t>年服务业发展项目省级基建支 </w:t>
      </w:r>
      <w:r>
        <w:rPr>
          <w:spacing w:val="-2"/>
        </w:rPr>
        <w:t>出预算（拨款）的通知》，对本公司之子公司陕西黄马甲快递物流中心项目拨付</w:t>
      </w:r>
      <w:r>
        <w:rPr>
          <w:rFonts w:ascii="Times New Roman" w:hAnsi="Times New Roman" w:cs="Times New Roman" w:eastAsia="Times New Roman" w:hint="default"/>
          <w:spacing w:val="-2"/>
        </w:rPr>
        <w:t>1,500,000.00</w:t>
      </w:r>
      <w:r>
        <w:rPr>
          <w:spacing w:val="-2"/>
        </w:rPr>
        <w:t>元。本期进入</w:t>
      </w:r>
      <w:r>
        <w:rPr>
          <w:spacing w:val="-83"/>
        </w:rPr>
        <w:t> </w:t>
      </w:r>
      <w:r>
        <w:rPr>
          <w:spacing w:val="-83"/>
        </w:rPr>
      </w:r>
      <w:r>
        <w:rPr/>
        <w:t>损益</w:t>
      </w:r>
      <w:r>
        <w:rPr>
          <w:rFonts w:ascii="Times New Roman" w:hAnsi="Times New Roman" w:cs="Times New Roman" w:eastAsia="Times New Roman" w:hint="default"/>
        </w:rPr>
        <w:t>1,001,031.07</w:t>
      </w:r>
      <w:r>
        <w:rPr/>
        <w:t>元，</w:t>
      </w:r>
      <w:r>
        <w:rPr>
          <w:rFonts w:ascii="Times New Roman" w:hAnsi="Times New Roman" w:cs="Times New Roman" w:eastAsia="Times New Roman" w:hint="default"/>
        </w:rPr>
        <w:t>2015</w:t>
      </w:r>
      <w:r>
        <w:rPr/>
        <w:t>年预计进入损益</w:t>
      </w:r>
      <w:r>
        <w:rPr>
          <w:rFonts w:ascii="Times New Roman" w:hAnsi="Times New Roman" w:cs="Times New Roman" w:eastAsia="Times New Roman" w:hint="default"/>
        </w:rPr>
        <w:t>6,064.92</w:t>
      </w:r>
      <w:r>
        <w:rPr/>
        <w:t>元已重分类至一年内到期非流动负债。</w:t>
      </w:r>
    </w:p>
    <w:p>
      <w:pPr>
        <w:pStyle w:val="BodyText"/>
        <w:spacing w:line="256" w:lineRule="auto" w:before="5"/>
        <w:ind w:right="209" w:firstLine="423"/>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根据西安市发展和改革委员会、西安市财政局市发改服发</w:t>
      </w:r>
      <w:r>
        <w:rPr>
          <w:rFonts w:ascii="Times New Roman" w:hAnsi="Times New Roman" w:cs="Times New Roman" w:eastAsia="Times New Roman" w:hint="default"/>
        </w:rPr>
        <w:t>[2013]848</w:t>
      </w:r>
      <w:r>
        <w:rPr/>
        <w:t>号《西安市发展和改革委员会 </w:t>
      </w:r>
      <w:r>
        <w:rPr>
          <w:spacing w:val="-1"/>
        </w:rPr>
        <w:t>西安市财政局关于下达</w:t>
      </w:r>
      <w:r>
        <w:rPr>
          <w:rFonts w:ascii="Times New Roman" w:hAnsi="Times New Roman" w:cs="Times New Roman" w:eastAsia="Times New Roman" w:hint="default"/>
          <w:spacing w:val="-1"/>
        </w:rPr>
        <w:t>2013</w:t>
      </w:r>
      <w:r>
        <w:rPr>
          <w:spacing w:val="-1"/>
        </w:rPr>
        <w:t>年西安市服务业综合改革试点专项资金计划（第二批）的通知》，对本公司之</w:t>
      </w:r>
    </w:p>
    <w:p>
      <w:pPr>
        <w:spacing w:after="0" w:line="256" w:lineRule="auto"/>
        <w:jc w:val="both"/>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spacing w:val="19"/>
        </w:rPr>
        <w:t>子公司陕西黄马甲快递物流配送中心建设项目拨付</w:t>
      </w:r>
      <w:r>
        <w:rPr>
          <w:spacing w:val="-86"/>
        </w:rPr>
        <w:t> </w:t>
      </w:r>
      <w:r>
        <w:rPr>
          <w:rFonts w:ascii="Times New Roman" w:hAnsi="Times New Roman" w:cs="Times New Roman" w:eastAsia="Times New Roman" w:hint="default"/>
        </w:rPr>
        <w:t>350,000.00</w:t>
      </w:r>
      <w:r>
        <w:rPr>
          <w:rFonts w:ascii="Times New Roman" w:hAnsi="Times New Roman" w:cs="Times New Roman" w:eastAsia="Times New Roman" w:hint="default"/>
          <w:spacing w:val="-33"/>
        </w:rPr>
        <w:t> </w:t>
      </w:r>
      <w:r>
        <w:rPr>
          <w:spacing w:val="17"/>
        </w:rPr>
        <w:t>元。本期进入损益</w:t>
      </w:r>
      <w:r>
        <w:rPr>
          <w:spacing w:val="-86"/>
        </w:rPr>
        <w:t> </w:t>
      </w:r>
      <w:r>
        <w:rPr>
          <w:rFonts w:ascii="Times New Roman" w:hAnsi="Times New Roman" w:cs="Times New Roman" w:eastAsia="Times New Roman" w:hint="default"/>
        </w:rPr>
        <w:t>78,802.00</w:t>
      </w:r>
      <w:r>
        <w:rPr>
          <w:rFonts w:ascii="Times New Roman" w:hAnsi="Times New Roman" w:cs="Times New Roman" w:eastAsia="Times New Roman" w:hint="default"/>
          <w:spacing w:val="-33"/>
        </w:rPr>
        <w:t> </w:t>
      </w:r>
      <w:r>
        <w:rPr>
          <w:spacing w:val="10"/>
        </w:rPr>
        <w:t>元，</w:t>
      </w:r>
      <w:r>
        <w:rPr>
          <w:spacing w:val="-87"/>
        </w:rPr>
        <w:t> </w:t>
      </w:r>
      <w:r>
        <w:rPr>
          <w:spacing w:val="10"/>
        </w:rPr>
        <w:t>尚余</w:t>
      </w:r>
      <w:r>
        <w:rPr>
          <w:spacing w:val="-85"/>
        </w:rPr>
        <w:t> </w:t>
      </w:r>
      <w:r>
        <w:rPr/>
      </w:r>
    </w:p>
    <w:p>
      <w:pPr>
        <w:pStyle w:val="BodyText"/>
        <w:spacing w:line="240" w:lineRule="auto" w:before="21"/>
        <w:ind w:left="153" w:right="0"/>
        <w:jc w:val="left"/>
      </w:pPr>
      <w:r>
        <w:rPr>
          <w:rFonts w:ascii="Times New Roman" w:hAnsi="Times New Roman" w:cs="Times New Roman" w:eastAsia="Times New Roman" w:hint="default"/>
        </w:rPr>
        <w:t>271,198.00</w:t>
      </w:r>
      <w:r>
        <w:rPr/>
        <w:t>元需要递延。</w:t>
      </w:r>
    </w:p>
    <w:p>
      <w:pPr>
        <w:pStyle w:val="BodyText"/>
        <w:spacing w:line="261" w:lineRule="auto" w:before="21"/>
        <w:ind w:left="153" w:right="148" w:firstLine="423"/>
        <w:jc w:val="both"/>
      </w:pPr>
      <w:r>
        <w:rPr>
          <w:rFonts w:ascii="Times New Roman" w:hAnsi="Times New Roman" w:cs="Times New Roman" w:eastAsia="Times New Roman" w:hint="default"/>
        </w:rPr>
        <w:t>*14</w:t>
      </w:r>
      <w:r>
        <w:rPr/>
        <w:t>根据西安经济技术开发区管委会西经开发</w:t>
      </w:r>
      <w:r>
        <w:rPr>
          <w:rFonts w:ascii="Times New Roman" w:hAnsi="Times New Roman" w:cs="Times New Roman" w:eastAsia="Times New Roman" w:hint="default"/>
        </w:rPr>
        <w:t>[2014]271</w:t>
      </w:r>
      <w:r>
        <w:rPr/>
        <w:t>号《西安经济技术开发区管委会关于下达</w:t>
      </w:r>
      <w:r>
        <w:rPr>
          <w:rFonts w:ascii="Times New Roman" w:hAnsi="Times New Roman" w:cs="Times New Roman" w:eastAsia="Times New Roman" w:hint="default"/>
        </w:rPr>
        <w:t>2014 </w:t>
      </w:r>
      <w:r>
        <w:rPr>
          <w:spacing w:val="-1"/>
        </w:rPr>
        <w:t>年度支持产业发展专项资金第一批计划项目的通知》对本公司之子公司华商数码印刷生产线升级改造项目</w:t>
      </w:r>
      <w:r>
        <w:rPr>
          <w:spacing w:val="-81"/>
        </w:rPr>
        <w:t> </w:t>
      </w:r>
      <w:r>
        <w:rPr>
          <w:spacing w:val="-81"/>
        </w:rPr>
      </w:r>
      <w:r>
        <w:rPr>
          <w:spacing w:val="-4"/>
        </w:rPr>
        <w:t>补助</w:t>
      </w:r>
      <w:r>
        <w:rPr>
          <w:rFonts w:ascii="Times New Roman" w:hAnsi="Times New Roman" w:cs="Times New Roman" w:eastAsia="Times New Roman" w:hint="default"/>
          <w:spacing w:val="-4"/>
        </w:rPr>
        <w:t>1,200,000.00</w:t>
      </w:r>
      <w:r>
        <w:rPr>
          <w:spacing w:val="-4"/>
        </w:rPr>
        <w:t>元，用于购买土地和印刷设备。本期进入损益</w:t>
      </w:r>
      <w:r>
        <w:rPr>
          <w:rFonts w:ascii="Times New Roman" w:hAnsi="Times New Roman" w:cs="Times New Roman" w:eastAsia="Times New Roman" w:hint="default"/>
          <w:spacing w:val="-4"/>
        </w:rPr>
        <w:t>56,074.77</w:t>
      </w:r>
      <w:r>
        <w:rPr>
          <w:spacing w:val="-4"/>
        </w:rPr>
        <w:t>元，</w:t>
      </w:r>
      <w:r>
        <w:rPr>
          <w:rFonts w:ascii="Times New Roman" w:hAnsi="Times New Roman" w:cs="Times New Roman" w:eastAsia="Times New Roman" w:hint="default"/>
          <w:spacing w:val="-4"/>
        </w:rPr>
        <w:t>2015</w:t>
      </w:r>
      <w:r>
        <w:rPr>
          <w:spacing w:val="-4"/>
        </w:rPr>
        <w:t>年预计进入损益</w:t>
      </w:r>
      <w:r>
        <w:rPr>
          <w:rFonts w:ascii="Times New Roman" w:hAnsi="Times New Roman" w:cs="Times New Roman" w:eastAsia="Times New Roman" w:hint="default"/>
          <w:spacing w:val="-4"/>
        </w:rPr>
        <w:t>134,579.40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元已重分类至一年内到期非流动负债。</w:t>
      </w:r>
    </w:p>
    <w:p>
      <w:pPr>
        <w:pStyle w:val="BodyText"/>
        <w:spacing w:line="264" w:lineRule="auto" w:before="18"/>
        <w:ind w:left="153" w:right="148" w:firstLine="423"/>
        <w:jc w:val="both"/>
      </w:pPr>
      <w:r>
        <w:rPr>
          <w:rFonts w:ascii="Times New Roman" w:hAnsi="Times New Roman" w:cs="Times New Roman" w:eastAsia="Times New Roman" w:hint="default"/>
        </w:rPr>
        <w:t>*15</w:t>
      </w:r>
      <w:r>
        <w:rPr/>
        <w:t>根据西安经济技术开发区管委会西经开发</w:t>
      </w:r>
      <w:r>
        <w:rPr>
          <w:rFonts w:ascii="Times New Roman" w:hAnsi="Times New Roman" w:cs="Times New Roman" w:eastAsia="Times New Roman" w:hint="default"/>
        </w:rPr>
        <w:t>[2014]271</w:t>
      </w:r>
      <w:r>
        <w:rPr/>
        <w:t>号《西安经济技术开发区管委会关于下达</w:t>
      </w:r>
      <w:r>
        <w:rPr>
          <w:rFonts w:ascii="Times New Roman" w:hAnsi="Times New Roman" w:cs="Times New Roman" w:eastAsia="Times New Roman" w:hint="default"/>
        </w:rPr>
        <w:t>2014 </w:t>
      </w:r>
      <w:r>
        <w:rPr>
          <w:spacing w:val="-1"/>
        </w:rPr>
        <w:t>年度支持产业发展专项资金第一批计划项目的通知》对本公司之子公司陕西黄马甲快递服务中心建设项目</w:t>
      </w:r>
      <w:r>
        <w:rPr>
          <w:spacing w:val="-81"/>
        </w:rPr>
        <w:t> </w:t>
      </w:r>
      <w:r>
        <w:rPr>
          <w:spacing w:val="-81"/>
        </w:rPr>
      </w:r>
      <w:r>
        <w:rPr/>
        <w:t>支持</w:t>
      </w:r>
      <w:r>
        <w:rPr>
          <w:rFonts w:ascii="Times New Roman" w:hAnsi="Times New Roman" w:cs="Times New Roman" w:eastAsia="Times New Roman" w:hint="default"/>
        </w:rPr>
        <w:t>300,000.00</w:t>
      </w:r>
      <w:r>
        <w:rPr/>
        <w:t>元。</w:t>
      </w:r>
    </w:p>
    <w:p>
      <w:pPr>
        <w:pStyle w:val="BodyText"/>
        <w:spacing w:line="256" w:lineRule="auto" w:before="0"/>
        <w:ind w:left="153" w:right="147" w:firstLine="423"/>
        <w:jc w:val="both"/>
      </w:pPr>
      <w:r>
        <w:rPr>
          <w:rFonts w:ascii="Times New Roman" w:hAnsi="Times New Roman" w:cs="Times New Roman" w:eastAsia="Times New Roman" w:hint="default"/>
        </w:rPr>
        <w:t>*16</w:t>
      </w:r>
      <w:r>
        <w:rPr/>
        <w:t>根据海南省发展和改革委员会文件琼发改投资【</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2440</w:t>
      </w:r>
      <w:r>
        <w:rPr/>
        <w:t>号《关于下达城市供气基础设施建设 </w:t>
      </w:r>
      <w:r>
        <w:rPr>
          <w:rFonts w:ascii="Times New Roman" w:hAnsi="Times New Roman" w:cs="Times New Roman" w:eastAsia="Times New Roman" w:hint="default"/>
        </w:rPr>
        <w:t>2010</w:t>
      </w:r>
      <w:r>
        <w:rPr/>
        <w:t>年中央预算内投资计划的通知》，对民生燃气的海口市天然气第二气源厂项目工程补助</w:t>
      </w:r>
      <w:r>
        <w:rPr>
          <w:rFonts w:ascii="Times New Roman" w:hAnsi="Times New Roman" w:cs="Times New Roman" w:eastAsia="Times New Roman" w:hint="default"/>
        </w:rPr>
        <w:t>17,000,000.00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元，该工程已于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日完工，以前年度摊销</w:t>
      </w:r>
      <w:r>
        <w:rPr>
          <w:rFonts w:ascii="Times New Roman" w:hAnsi="Times New Roman" w:cs="Times New Roman" w:eastAsia="Times New Roman" w:hint="default"/>
        </w:rPr>
        <w:t>70,833.34</w:t>
      </w:r>
      <w:r>
        <w:rPr/>
        <w:t>元，本期进入损益</w:t>
      </w:r>
      <w:r>
        <w:rPr>
          <w:rFonts w:ascii="Times New Roman" w:hAnsi="Times New Roman" w:cs="Times New Roman" w:eastAsia="Times New Roman" w:hint="default"/>
        </w:rPr>
        <w:t>850,000.00</w:t>
      </w:r>
      <w:r>
        <w:rPr/>
        <w:t>元，</w:t>
      </w:r>
      <w:r>
        <w:rPr>
          <w:rFonts w:ascii="Times New Roman" w:hAnsi="Times New Roman" w:cs="Times New Roman" w:eastAsia="Times New Roman" w:hint="default"/>
        </w:rPr>
        <w:t>2015</w:t>
      </w:r>
      <w:r>
        <w:rPr/>
        <w:t>年预</w:t>
      </w:r>
      <w:r>
        <w:rPr>
          <w:spacing w:val="-45"/>
        </w:rPr>
        <w:t> </w:t>
      </w:r>
      <w:r>
        <w:rPr/>
        <w:t>计进入损益</w:t>
      </w:r>
      <w:r>
        <w:rPr>
          <w:rFonts w:ascii="Times New Roman" w:hAnsi="Times New Roman" w:cs="Times New Roman" w:eastAsia="Times New Roman" w:hint="default"/>
        </w:rPr>
        <w:t>849,999.95</w:t>
      </w:r>
      <w:r>
        <w:rPr/>
        <w:t>元已重分类至一年内到期非流动负债。</w:t>
      </w:r>
    </w:p>
    <w:p>
      <w:pPr>
        <w:pStyle w:val="BodyText"/>
        <w:spacing w:line="256" w:lineRule="auto" w:before="5"/>
        <w:ind w:left="153" w:right="150" w:firstLine="423"/>
        <w:jc w:val="both"/>
      </w:pPr>
      <w:r>
        <w:rPr>
          <w:rFonts w:ascii="Times New Roman" w:hAnsi="Times New Roman" w:cs="Times New Roman" w:eastAsia="Times New Roman" w:hint="default"/>
          <w:spacing w:val="-2"/>
        </w:rPr>
        <w:t>*17</w:t>
      </w:r>
      <w:r>
        <w:rPr>
          <w:spacing w:val="-2"/>
        </w:rPr>
        <w:t>根据海口市科学技术工业信息化局海科工信立</w:t>
      </w:r>
      <w:r>
        <w:rPr>
          <w:rFonts w:ascii="Times New Roman" w:hAnsi="Times New Roman" w:cs="Times New Roman" w:eastAsia="Times New Roman" w:hint="default"/>
          <w:spacing w:val="-2"/>
        </w:rPr>
        <w:t>[2011]</w:t>
      </w:r>
      <w:r>
        <w:rPr>
          <w:spacing w:val="-2"/>
        </w:rPr>
        <w:t>号《关于</w:t>
      </w:r>
      <w:r>
        <w:rPr>
          <w:rFonts w:ascii="Times New Roman" w:hAnsi="Times New Roman" w:cs="Times New Roman" w:eastAsia="Times New Roman" w:hint="default"/>
          <w:spacing w:val="-2"/>
        </w:rPr>
        <w:t>2011</w:t>
      </w:r>
      <w:r>
        <w:rPr>
          <w:spacing w:val="-2"/>
        </w:rPr>
        <w:t>年度海口市重大科技创新项目立</w:t>
      </w:r>
      <w:r>
        <w:rPr/>
        <w:t> </w:t>
      </w:r>
      <w:r>
        <w:rPr>
          <w:spacing w:val="2"/>
        </w:rPr>
        <w:t>项的批复》，对民生燃气给予基于</w:t>
      </w:r>
      <w:r>
        <w:rPr>
          <w:rFonts w:ascii="Times New Roman" w:hAnsi="Times New Roman" w:cs="Times New Roman" w:eastAsia="Times New Roman" w:hint="default"/>
          <w:spacing w:val="2"/>
        </w:rPr>
        <w:t>3G</w:t>
      </w:r>
      <w:r>
        <w:rPr>
          <w:spacing w:val="2"/>
        </w:rPr>
        <w:t>、</w:t>
      </w:r>
      <w:r>
        <w:rPr>
          <w:rFonts w:ascii="Times New Roman" w:hAnsi="Times New Roman" w:cs="Times New Roman" w:eastAsia="Times New Roman" w:hint="default"/>
          <w:spacing w:val="2"/>
        </w:rPr>
        <w:t>3S</w:t>
      </w:r>
      <w:r>
        <w:rPr>
          <w:spacing w:val="2"/>
        </w:rPr>
        <w:t>技术的燃气管网智能抢险、巡检、派工管理系统的科技经费金</w:t>
      </w:r>
      <w:r>
        <w:rPr>
          <w:spacing w:val="-95"/>
        </w:rPr>
        <w:t> </w:t>
      </w:r>
      <w:r>
        <w:rPr>
          <w:spacing w:val="-95"/>
        </w:rPr>
      </w:r>
      <w:r>
        <w:rPr>
          <w:rFonts w:ascii="Times New Roman" w:hAnsi="Times New Roman" w:cs="Times New Roman" w:eastAsia="Times New Roman" w:hint="default"/>
        </w:rPr>
        <w:t>800,000.00</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月收到</w:t>
      </w:r>
      <w:r>
        <w:rPr>
          <w:rFonts w:ascii="Times New Roman" w:hAnsi="Times New Roman" w:cs="Times New Roman" w:eastAsia="Times New Roman" w:hint="default"/>
        </w:rPr>
        <w:t>400,000.00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月收到</w:t>
      </w:r>
      <w:r>
        <w:rPr>
          <w:rFonts w:ascii="Times New Roman" w:hAnsi="Times New Roman" w:cs="Times New Roman" w:eastAsia="Times New Roman" w:hint="default"/>
        </w:rPr>
        <w:t>400,000.00</w:t>
      </w:r>
      <w:r>
        <w:rPr/>
        <w:t>元。该工程已于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56"/>
        </w:rPr>
        <w:t> </w:t>
      </w:r>
      <w:r>
        <w:rPr>
          <w:spacing w:val="-1"/>
        </w:rPr>
        <w:t>完工，以前年度摊销</w:t>
      </w:r>
      <w:r>
        <w:rPr>
          <w:rFonts w:ascii="Times New Roman" w:hAnsi="Times New Roman" w:cs="Times New Roman" w:eastAsia="Times New Roman" w:hint="default"/>
          <w:spacing w:val="-1"/>
        </w:rPr>
        <w:t>13,333.33</w:t>
      </w:r>
      <w:r>
        <w:rPr>
          <w:spacing w:val="-1"/>
        </w:rPr>
        <w:t>元，本期进入损益</w:t>
      </w:r>
      <w:r>
        <w:rPr>
          <w:rFonts w:ascii="Times New Roman" w:hAnsi="Times New Roman" w:cs="Times New Roman" w:eastAsia="Times New Roman" w:hint="default"/>
          <w:spacing w:val="-1"/>
        </w:rPr>
        <w:t>160,000.00</w:t>
      </w:r>
      <w:r>
        <w:rPr>
          <w:spacing w:val="-1"/>
        </w:rPr>
        <w:t>元，</w:t>
      </w:r>
      <w:r>
        <w:rPr>
          <w:rFonts w:ascii="Times New Roman" w:hAnsi="Times New Roman" w:cs="Times New Roman" w:eastAsia="Times New Roman" w:hint="default"/>
          <w:spacing w:val="-1"/>
        </w:rPr>
        <w:t>2015</w:t>
      </w:r>
      <w:r>
        <w:rPr>
          <w:spacing w:val="-1"/>
        </w:rPr>
        <w:t>年预计进入损益</w:t>
      </w:r>
      <w:r>
        <w:rPr>
          <w:rFonts w:ascii="Times New Roman" w:hAnsi="Times New Roman" w:cs="Times New Roman" w:eastAsia="Times New Roman" w:hint="default"/>
          <w:spacing w:val="-1"/>
        </w:rPr>
        <w:t>159,999.84</w:t>
      </w:r>
      <w:r>
        <w:rPr>
          <w:spacing w:val="-1"/>
        </w:rPr>
        <w:t>元已重分类</w:t>
      </w:r>
      <w:r>
        <w:rPr>
          <w:spacing w:val="-85"/>
        </w:rPr>
        <w:t> </w:t>
      </w:r>
      <w:r>
        <w:rPr>
          <w:spacing w:val="-85"/>
        </w:rPr>
      </w:r>
      <w:r>
        <w:rPr/>
        <w:t>至一年内到期非流动负债。</w:t>
      </w:r>
    </w:p>
    <w:p>
      <w:pPr>
        <w:pStyle w:val="BodyText"/>
        <w:spacing w:line="256" w:lineRule="auto" w:before="22"/>
        <w:ind w:left="153" w:right="151" w:firstLine="423"/>
        <w:jc w:val="both"/>
      </w:pPr>
      <w:r>
        <w:rPr>
          <w:rFonts w:ascii="Times New Roman" w:hAnsi="Times New Roman" w:cs="Times New Roman" w:eastAsia="Times New Roman" w:hint="default"/>
          <w:spacing w:val="-1"/>
        </w:rPr>
        <w:t>*18</w:t>
      </w:r>
      <w:r>
        <w:rPr>
          <w:spacing w:val="-1"/>
        </w:rPr>
        <w:t>本公司之子公司邦富软件</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23</w:t>
      </w:r>
      <w:r>
        <w:rPr>
          <w:spacing w:val="-1"/>
        </w:rPr>
        <w:t>日收到天河区科技和信息化局（</w:t>
      </w:r>
      <w:r>
        <w:rPr>
          <w:rFonts w:ascii="Times New Roman" w:hAnsi="Times New Roman" w:cs="Times New Roman" w:eastAsia="Times New Roman" w:hint="default"/>
          <w:spacing w:val="-1"/>
        </w:rPr>
        <w:t>2014</w:t>
      </w:r>
      <w:r>
        <w:rPr>
          <w:spacing w:val="-1"/>
        </w:rPr>
        <w:t>年智慧城市项目）拨款</w:t>
      </w:r>
      <w:r>
        <w:rPr/>
        <w:t> </w:t>
      </w:r>
      <w:r>
        <w:rPr>
          <w:rFonts w:ascii="Times New Roman" w:hAnsi="Times New Roman" w:cs="Times New Roman" w:eastAsia="Times New Roman" w:hint="default"/>
        </w:rPr>
        <w:t>500,000.00</w:t>
      </w:r>
      <w:r>
        <w:rPr/>
        <w:t>元。</w:t>
      </w:r>
    </w:p>
    <w:p>
      <w:pPr>
        <w:pStyle w:val="BodyText"/>
        <w:spacing w:line="240" w:lineRule="auto" w:before="5"/>
        <w:ind w:left="577"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*19</w:t>
      </w:r>
      <w:r>
        <w:rPr>
          <w:spacing w:val="-3"/>
        </w:rPr>
        <w:t>本公司之子公司邦富软件</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日收到天河区科技和信息化局（小巨人项目）拨款</w:t>
      </w:r>
      <w:r>
        <w:rPr>
          <w:rFonts w:ascii="Times New Roman" w:hAnsi="Times New Roman" w:cs="Times New Roman" w:eastAsia="Times New Roman" w:hint="default"/>
          <w:spacing w:val="-3"/>
        </w:rPr>
        <w:t>600,000.00</w:t>
      </w:r>
    </w:p>
    <w:p>
      <w:pPr>
        <w:pStyle w:val="BodyText"/>
        <w:spacing w:line="240" w:lineRule="auto" w:before="21"/>
        <w:ind w:left="153" w:right="0"/>
        <w:jc w:val="left"/>
      </w:pPr>
      <w:r>
        <w:rPr/>
        <w:t>元。</w:t>
      </w:r>
    </w:p>
    <w:p>
      <w:pPr>
        <w:pStyle w:val="BodyText"/>
        <w:spacing w:line="240" w:lineRule="auto" w:before="37"/>
        <w:ind w:left="577" w:right="0"/>
        <w:jc w:val="left"/>
      </w:pPr>
      <w:r>
        <w:rPr>
          <w:rFonts w:ascii="Times New Roman" w:hAnsi="Times New Roman" w:cs="Times New Roman" w:eastAsia="Times New Roman" w:hint="default"/>
        </w:rPr>
        <w:t>*20</w:t>
      </w:r>
      <w:r>
        <w:rPr/>
        <w:t>广东省新闻出版局转国家财政部对本公司之子公司漫友文化拨付的移动手机动漫产业技术平台的</w:t>
      </w:r>
    </w:p>
    <w:p>
      <w:pPr>
        <w:pStyle w:val="BodyText"/>
        <w:spacing w:line="240" w:lineRule="auto" w:before="21"/>
        <w:ind w:left="153" w:right="0"/>
        <w:jc w:val="left"/>
      </w:pPr>
      <w:r>
        <w:rPr/>
        <w:t>扶持资金。</w:t>
      </w:r>
    </w:p>
    <w:p>
      <w:pPr>
        <w:pStyle w:val="BodyText"/>
        <w:spacing w:line="256" w:lineRule="auto" w:before="37"/>
        <w:ind w:left="153" w:right="0" w:firstLine="423"/>
        <w:jc w:val="left"/>
      </w:pPr>
      <w:r>
        <w:rPr>
          <w:rFonts w:ascii="Times New Roman" w:hAnsi="Times New Roman" w:cs="Times New Roman" w:eastAsia="Times New Roman" w:hint="default"/>
        </w:rPr>
        <w:t>*21</w:t>
      </w:r>
      <w:r>
        <w:rPr/>
        <w:t>广州市越秀区经济贸易局转广东省中小企业局对本公司之子公司漫友文化拨付的南方</w:t>
      </w:r>
      <w:r>
        <w:rPr>
          <w:rFonts w:ascii="Times New Roman" w:hAnsi="Times New Roman" w:cs="Times New Roman" w:eastAsia="Times New Roman" w:hint="default"/>
        </w:rPr>
        <w:t>3G</w:t>
      </w:r>
      <w:r>
        <w:rPr/>
        <w:t>动漫产业 创新产业化基金的扶持资金。</w:t>
      </w:r>
    </w:p>
    <w:p>
      <w:pPr>
        <w:pStyle w:val="BodyText"/>
        <w:spacing w:line="240" w:lineRule="auto" w:before="22"/>
        <w:ind w:left="577" w:right="0"/>
        <w:jc w:val="left"/>
      </w:pPr>
      <w:r>
        <w:rPr>
          <w:rFonts w:ascii="Times New Roman" w:hAnsi="Times New Roman" w:cs="Times New Roman" w:eastAsia="Times New Roman" w:hint="default"/>
        </w:rPr>
        <w:t>*22</w:t>
      </w:r>
      <w:r>
        <w:rPr/>
        <w:t>广州市越秀区科技和信息化局对本公司之子公司漫友文化拨付漫画作品动画化产业化平台项目资</w:t>
      </w:r>
    </w:p>
    <w:p>
      <w:pPr>
        <w:pStyle w:val="BodyText"/>
        <w:spacing w:line="240" w:lineRule="auto" w:before="21"/>
        <w:ind w:left="153" w:right="0"/>
        <w:jc w:val="left"/>
      </w:pPr>
      <w:r>
        <w:rPr/>
        <w:t>金。</w:t>
      </w:r>
    </w:p>
    <w:p>
      <w:pPr>
        <w:pStyle w:val="BodyText"/>
        <w:spacing w:line="240" w:lineRule="auto" w:before="37"/>
        <w:ind w:left="577" w:right="0"/>
        <w:jc w:val="left"/>
      </w:pPr>
      <w:r>
        <w:rPr>
          <w:rFonts w:ascii="Times New Roman" w:hAnsi="Times New Roman" w:cs="Times New Roman" w:eastAsia="Times New Roman" w:hint="default"/>
        </w:rPr>
        <w:t>*23</w:t>
      </w:r>
      <w:r>
        <w:rPr/>
        <w:t>广州市越秀区财政国库支付中心对本公司之子公司漫友文化的</w:t>
      </w:r>
      <w:r>
        <w:rPr>
          <w:rFonts w:ascii="Times New Roman" w:hAnsi="Times New Roman" w:cs="Times New Roman" w:eastAsia="Times New Roman" w:hint="default"/>
        </w:rPr>
        <w:t>PaaS</w:t>
      </w:r>
      <w:r>
        <w:rPr/>
        <w:t>动漫电子书出版运营平台的建</w:t>
      </w:r>
    </w:p>
    <w:p>
      <w:pPr>
        <w:pStyle w:val="BodyText"/>
        <w:spacing w:line="240" w:lineRule="auto" w:before="21"/>
        <w:ind w:left="153" w:right="0"/>
        <w:jc w:val="left"/>
      </w:pPr>
      <w:r>
        <w:rPr/>
        <w:t>设及产业化项目拨付的研究款。</w:t>
      </w:r>
    </w:p>
    <w:p>
      <w:pPr>
        <w:pStyle w:val="BodyText"/>
        <w:spacing w:line="256" w:lineRule="auto" w:before="37"/>
        <w:ind w:left="153" w:right="151" w:firstLine="423"/>
        <w:jc w:val="both"/>
      </w:pPr>
      <w:r>
        <w:rPr>
          <w:rFonts w:ascii="Times New Roman" w:hAnsi="Times New Roman" w:cs="Times New Roman" w:eastAsia="Times New Roman" w:hint="default"/>
        </w:rPr>
        <w:t>*24</w:t>
      </w:r>
      <w:r>
        <w:rPr/>
        <w:t>广州市越秀区宣传部对本公司之子公司漫友文化拨付</w:t>
      </w:r>
      <w:r>
        <w:rPr>
          <w:rFonts w:ascii="Times New Roman" w:hAnsi="Times New Roman" w:cs="Times New Roman" w:eastAsia="Times New Roman" w:hint="default"/>
        </w:rPr>
        <w:t>2012</w:t>
      </w:r>
      <w:r>
        <w:rPr/>
        <w:t>年度广州文化旅游项目</w:t>
      </w:r>
      <w:r>
        <w:rPr>
          <w:rFonts w:ascii="Times New Roman" w:hAnsi="Times New Roman" w:cs="Times New Roman" w:eastAsia="Times New Roman" w:hint="default"/>
        </w:rPr>
        <w:t>-</w:t>
      </w:r>
      <w:r>
        <w:rPr/>
        <w:t>南方移动动漫游 戏产业服务平台项目的扶持资金。</w:t>
      </w:r>
    </w:p>
    <w:p>
      <w:pPr>
        <w:pStyle w:val="BodyText"/>
        <w:spacing w:line="256" w:lineRule="auto" w:before="22"/>
        <w:ind w:left="153" w:right="146" w:firstLine="423"/>
        <w:jc w:val="both"/>
      </w:pPr>
      <w:r>
        <w:rPr>
          <w:rFonts w:ascii="Times New Roman" w:hAnsi="Times New Roman" w:cs="Times New Roman" w:eastAsia="Times New Roman" w:hint="default"/>
        </w:rPr>
        <w:t>*25</w:t>
      </w:r>
      <w:r>
        <w:rPr/>
        <w:t>广州市越秀区科技和信息化局对本公司之子公司漫友文化拨付用于《科幻画报》科普漫画创作库</w:t>
      </w:r>
      <w:r>
        <w:rPr>
          <w:spacing w:val="2"/>
        </w:rPr>
        <w:t> </w:t>
      </w:r>
      <w:r>
        <w:rPr/>
        <w:t>项目资金。</w:t>
      </w:r>
    </w:p>
    <w:p>
      <w:pPr>
        <w:pStyle w:val="BodyText"/>
        <w:spacing w:line="256" w:lineRule="auto" w:before="22"/>
        <w:ind w:left="153" w:right="151" w:firstLine="423"/>
        <w:jc w:val="both"/>
      </w:pPr>
      <w:r>
        <w:rPr>
          <w:rFonts w:ascii="Times New Roman" w:hAnsi="Times New Roman" w:cs="Times New Roman" w:eastAsia="Times New Roman" w:hint="default"/>
        </w:rPr>
        <w:t>*26</w:t>
      </w:r>
      <w:r>
        <w:rPr>
          <w:rFonts w:ascii="Times New Roman" w:hAnsi="Times New Roman" w:cs="Times New Roman" w:eastAsia="Times New Roman" w:hint="default"/>
          <w:spacing w:val="-31"/>
        </w:rPr>
        <w:t> </w:t>
      </w:r>
      <w:r>
        <w:rPr>
          <w:rFonts w:ascii="Times New Roman" w:hAnsi="Times New Roman" w:cs="Times New Roman" w:eastAsia="Times New Roman" w:hint="default"/>
        </w:rPr>
        <w:t>2011</w:t>
      </w:r>
      <w:r>
        <w:rPr/>
        <w:t>年本公司之子公司漫友文化</w:t>
      </w:r>
      <w:r>
        <w:rPr>
          <w:rFonts w:ascii="Times New Roman" w:hAnsi="Times New Roman" w:cs="Times New Roman" w:eastAsia="Times New Roman" w:hint="default"/>
        </w:rPr>
        <w:t>2011</w:t>
      </w:r>
      <w:r>
        <w:rPr/>
        <w:t>年收到政府补贴设备价值</w:t>
      </w:r>
      <w:r>
        <w:rPr>
          <w:rFonts w:ascii="Times New Roman" w:hAnsi="Times New Roman" w:cs="Times New Roman" w:eastAsia="Times New Roman" w:hint="default"/>
        </w:rPr>
        <w:t>1,471,185.00</w:t>
      </w:r>
      <w:r>
        <w:rPr/>
        <w:t>元，该批设备计入固定 资产核算，购买日前摊销金额为</w:t>
      </w:r>
      <w:r>
        <w:rPr>
          <w:rFonts w:ascii="Times New Roman" w:hAnsi="Times New Roman" w:cs="Times New Roman" w:eastAsia="Times New Roman" w:hint="default"/>
        </w:rPr>
        <w:t>802,690.26</w:t>
      </w:r>
      <w:r>
        <w:rPr>
          <w:rFonts w:ascii="Times New Roman" w:hAnsi="Times New Roman" w:cs="Times New Roman" w:eastAsia="Times New Roman" w:hint="default"/>
          <w:spacing w:val="22"/>
        </w:rPr>
        <w:t> </w:t>
      </w:r>
      <w:r>
        <w:rPr/>
        <w:t>元，本期入损益的金额为</w:t>
      </w:r>
      <w:r>
        <w:rPr>
          <w:rFonts w:ascii="Times New Roman" w:hAnsi="Times New Roman" w:cs="Times New Roman" w:eastAsia="Times New Roman" w:hint="default"/>
        </w:rPr>
        <w:t>33,181.57</w:t>
      </w:r>
      <w:r>
        <w:rPr/>
        <w:t>元。</w:t>
      </w:r>
    </w:p>
    <w:p>
      <w:pPr>
        <w:pStyle w:val="BodyText"/>
        <w:spacing w:line="256" w:lineRule="auto" w:before="5"/>
        <w:ind w:left="153" w:right="147" w:firstLine="423"/>
        <w:jc w:val="both"/>
      </w:pPr>
      <w:r>
        <w:rPr>
          <w:rFonts w:ascii="Times New Roman" w:hAnsi="Times New Roman" w:cs="Times New Roman" w:eastAsia="Times New Roman" w:hint="default"/>
        </w:rPr>
        <w:t>*27</w:t>
      </w:r>
      <w:r>
        <w:rPr>
          <w:rFonts w:ascii="Times New Roman" w:hAnsi="Times New Roman" w:cs="Times New Roman" w:eastAsia="Times New Roman" w:hint="default"/>
          <w:spacing w:val="22"/>
        </w:rPr>
        <w:t> </w:t>
      </w:r>
      <w:r>
        <w:rPr>
          <w:rFonts w:ascii="Times New Roman" w:hAnsi="Times New Roman" w:cs="Times New Roman" w:eastAsia="Times New Roman" w:hint="default"/>
        </w:rPr>
        <w:t>2012</w:t>
      </w:r>
      <w:r>
        <w:rPr/>
        <w:t>年本公司之子公司漫友文化收到移动互联网手机动漫产业聚合平台项目专项资金，</w:t>
      </w:r>
      <w:r>
        <w:rPr>
          <w:rFonts w:ascii="Times New Roman" w:hAnsi="Times New Roman" w:cs="Times New Roman" w:eastAsia="Times New Roman" w:hint="default"/>
        </w:rPr>
        <w:t>2013</w:t>
      </w:r>
      <w:r>
        <w:rPr/>
        <w:t>年度</w:t>
      </w:r>
      <w:r>
        <w:rPr>
          <w:spacing w:val="1"/>
        </w:rPr>
        <w:t> </w:t>
      </w:r>
      <w:r>
        <w:rPr>
          <w:rFonts w:ascii="Times New Roman" w:hAnsi="Times New Roman" w:cs="Times New Roman" w:eastAsia="Times New Roman" w:hint="default"/>
        </w:rPr>
        <w:t>200,854.70</w:t>
      </w:r>
      <w:r>
        <w:rPr/>
        <w:t>元用于购置专项设备，该项资产计入固定资产核算，购买日前摊销金额为</w:t>
      </w:r>
      <w:r>
        <w:rPr>
          <w:rFonts w:ascii="Times New Roman" w:hAnsi="Times New Roman" w:cs="Times New Roman" w:eastAsia="Times New Roman" w:hint="default"/>
        </w:rPr>
        <w:t>53,003.32</w:t>
      </w:r>
      <w:r>
        <w:rPr/>
        <w:t>元，本期进</w:t>
      </w:r>
      <w:r>
        <w:rPr>
          <w:spacing w:val="-43"/>
        </w:rPr>
        <w:t> </w:t>
      </w:r>
      <w:r>
        <w:rPr/>
        <w:t>入损益的金额为</w:t>
      </w:r>
      <w:r>
        <w:rPr>
          <w:rFonts w:ascii="Times New Roman" w:hAnsi="Times New Roman" w:cs="Times New Roman" w:eastAsia="Times New Roman" w:hint="default"/>
        </w:rPr>
        <w:t>10,600.67</w:t>
      </w:r>
      <w:r>
        <w:rPr/>
        <w:t>元。</w:t>
      </w:r>
    </w:p>
    <w:p>
      <w:pPr>
        <w:spacing w:line="240" w:lineRule="auto" w:before="5"/>
        <w:rPr>
          <w:rFonts w:ascii="宋体" w:hAnsi="宋体" w:cs="宋体" w:eastAsia="宋体" w:hint="default"/>
          <w:sz w:val="23"/>
          <w:szCs w:val="23"/>
        </w:rPr>
      </w:pPr>
    </w:p>
    <w:p>
      <w:pPr>
        <w:pStyle w:val="Heading6"/>
        <w:spacing w:line="240" w:lineRule="auto" w:before="0"/>
        <w:ind w:left="153" w:right="0"/>
        <w:jc w:val="left"/>
        <w:rPr>
          <w:b w:val="0"/>
          <w:bCs w:val="0"/>
        </w:rPr>
      </w:pPr>
      <w:r>
        <w:rPr>
          <w:rFonts w:ascii="Times New Roman" w:hAnsi="Times New Roman" w:cs="Times New Roman" w:eastAsia="Times New Roman" w:hint="default"/>
        </w:rPr>
        <w:t>37</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10,748,696.14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10,748,696.14</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293"/>
        <w:jc w:val="left"/>
        <w:rPr>
          <w:b w:val="0"/>
          <w:bCs w:val="0"/>
        </w:rPr>
      </w:pPr>
      <w:r>
        <w:rPr>
          <w:rFonts w:ascii="Times New Roman" w:hAnsi="Times New Roman" w:cs="Times New Roman" w:eastAsia="Times New Roman" w:hint="default"/>
        </w:rPr>
        <w:t>38</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398"/>
        <w:gridCol w:w="1196"/>
        <w:gridCol w:w="1196"/>
        <w:gridCol w:w="1195"/>
        <w:gridCol w:w="1196"/>
        <w:gridCol w:w="1196"/>
        <w:gridCol w:w="1409"/>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0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1,846,262,977.00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134,760,955.00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-4,531,236.00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130,229,719.00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1,976,492,696.00</w:t>
            </w:r>
          </w:p>
        </w:tc>
      </w:tr>
    </w:tbl>
    <w:p>
      <w:pPr>
        <w:pStyle w:val="BodyText"/>
        <w:spacing w:line="240" w:lineRule="auto" w:before="26"/>
        <w:ind w:right="293"/>
        <w:jc w:val="left"/>
      </w:pPr>
      <w:r>
        <w:rPr/>
        <w:t>其他说明：</w:t>
      </w:r>
    </w:p>
    <w:p>
      <w:pPr>
        <w:pStyle w:val="BodyText"/>
        <w:spacing w:line="240" w:lineRule="auto" w:before="76"/>
        <w:ind w:left="490" w:right="293"/>
        <w:jc w:val="left"/>
      </w:pPr>
      <w:r>
        <w:rPr/>
        <w:t>公司股本变动及验资情况详见附注三。</w:t>
      </w:r>
    </w:p>
    <w:p>
      <w:pPr>
        <w:spacing w:line="240" w:lineRule="auto" w:before="11"/>
        <w:rPr>
          <w:rFonts w:ascii="宋体" w:hAnsi="宋体" w:cs="宋体" w:eastAsia="宋体" w:hint="default"/>
          <w:sz w:val="25"/>
          <w:szCs w:val="25"/>
        </w:rPr>
      </w:pPr>
    </w:p>
    <w:p>
      <w:pPr>
        <w:pStyle w:val="Heading6"/>
        <w:spacing w:line="240" w:lineRule="auto" w:before="0"/>
        <w:ind w:right="293"/>
        <w:jc w:val="left"/>
        <w:rPr>
          <w:b w:val="0"/>
          <w:bCs w:val="0"/>
        </w:rPr>
      </w:pPr>
      <w:r>
        <w:rPr>
          <w:rFonts w:ascii="Times New Roman" w:hAnsi="Times New Roman" w:cs="Times New Roman" w:eastAsia="Times New Roman" w:hint="default"/>
        </w:rPr>
        <w:t>39</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1,112,591,246.90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1,710,300,145.40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2,562,891,392.30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33,492,656.31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16,277,788.32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213,224.03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49,557,220.60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1,146,083,903.21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1,726,577,933.72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260,213,224.03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2,612,448,612.90</w:t>
            </w:r>
          </w:p>
        </w:tc>
      </w:tr>
    </w:tbl>
    <w:p>
      <w:pPr>
        <w:pStyle w:val="BodyText"/>
        <w:spacing w:line="307" w:lineRule="auto" w:before="26"/>
        <w:ind w:left="577" w:right="293" w:hanging="424"/>
        <w:jc w:val="left"/>
      </w:pPr>
      <w:r>
        <w:rPr/>
        <w:t>其他说明，包括本期增减变动情况、变动原因说明： 本期增加系：（</w:t>
      </w:r>
      <w:r>
        <w:rPr>
          <w:rFonts w:ascii="Times New Roman" w:hAnsi="Times New Roman" w:cs="Times New Roman" w:eastAsia="Times New Roman" w:hint="default"/>
        </w:rPr>
        <w:t>1</w:t>
      </w:r>
      <w:r>
        <w:rPr/>
        <w:t>）经中国证券监督管理委员会《关于核准华闻传媒投资集团股份有限公司向西藏风</w:t>
      </w:r>
    </w:p>
    <w:p>
      <w:pPr>
        <w:pStyle w:val="BodyText"/>
        <w:spacing w:line="247" w:lineRule="exact" w:before="0"/>
        <w:ind w:left="153" w:right="0"/>
        <w:jc w:val="both"/>
      </w:pPr>
      <w:r>
        <w:rPr/>
        <w:t>网科技有限公司等发行股份购买资产并募集配套资金的批复》</w:t>
      </w:r>
      <w:r>
        <w:rPr>
          <w:spacing w:val="63"/>
        </w:rPr>
        <w:t> </w:t>
      </w:r>
      <w:r>
        <w:rPr/>
        <w:t>（证监许可〔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1077</w:t>
      </w:r>
      <w:r>
        <w:rPr/>
        <w:t>号）核准，本公</w:t>
      </w:r>
    </w:p>
    <w:p>
      <w:pPr>
        <w:pStyle w:val="BodyText"/>
        <w:spacing w:line="256" w:lineRule="auto" w:before="21"/>
        <w:ind w:left="153" w:right="387"/>
        <w:jc w:val="both"/>
      </w:pPr>
      <w:r>
        <w:rPr>
          <w:spacing w:val="20"/>
        </w:rPr>
        <w:t>司非公开发行</w:t>
      </w:r>
      <w:r>
        <w:rPr>
          <w:spacing w:val="-80"/>
        </w:rPr>
        <w:t> </w:t>
      </w:r>
      <w:r>
        <w:rPr>
          <w:rFonts w:ascii="Times New Roman" w:hAnsi="Times New Roman" w:cs="Times New Roman" w:eastAsia="Times New Roman" w:hint="default"/>
        </w:rPr>
        <w:t>134,760,955.00</w:t>
      </w:r>
      <w:r>
        <w:rPr>
          <w:rFonts w:ascii="Times New Roman" w:hAnsi="Times New Roman" w:cs="Times New Roman" w:eastAsia="Times New Roman" w:hint="default"/>
          <w:spacing w:val="-27"/>
        </w:rPr>
        <w:t> </w:t>
      </w:r>
      <w:r>
        <w:rPr>
          <w:spacing w:val="21"/>
        </w:rPr>
        <w:t>股</w:t>
      </w:r>
      <w:r>
        <w:rPr>
          <w:rFonts w:ascii="Times New Roman" w:hAnsi="Times New Roman" w:cs="Times New Roman" w:eastAsia="Times New Roman" w:hint="default"/>
          <w:spacing w:val="21"/>
        </w:rPr>
        <w:t>A</w:t>
      </w:r>
      <w:r>
        <w:rPr>
          <w:spacing w:val="21"/>
        </w:rPr>
        <w:t>股，每股面值为</w:t>
      </w:r>
      <w:r>
        <w:rPr>
          <w:spacing w:val="-80"/>
        </w:rPr>
        <w:t> </w:t>
      </w:r>
      <w:r>
        <w:rPr>
          <w:rFonts w:ascii="Times New Roman" w:hAnsi="Times New Roman" w:cs="Times New Roman" w:eastAsia="Times New Roman" w:hint="default"/>
        </w:rPr>
        <w:t>1.00</w:t>
      </w:r>
      <w:r>
        <w:rPr>
          <w:rFonts w:ascii="Times New Roman" w:hAnsi="Times New Roman" w:cs="Times New Roman" w:eastAsia="Times New Roman" w:hint="default"/>
          <w:spacing w:val="-27"/>
        </w:rPr>
        <w:t> </w:t>
      </w:r>
      <w:r>
        <w:rPr>
          <w:spacing w:val="12"/>
        </w:rPr>
        <w:t>元，</w:t>
      </w:r>
      <w:r>
        <w:rPr>
          <w:spacing w:val="-82"/>
        </w:rPr>
        <w:t> </w:t>
      </w:r>
      <w:r>
        <w:rPr>
          <w:spacing w:val="20"/>
        </w:rPr>
        <w:t>每股发行价格为</w:t>
      </w:r>
      <w:r>
        <w:rPr>
          <w:spacing w:val="-80"/>
        </w:rPr>
        <w:t> </w:t>
      </w:r>
      <w:r>
        <w:rPr>
          <w:rFonts w:ascii="Times New Roman" w:hAnsi="Times New Roman" w:cs="Times New Roman" w:eastAsia="Times New Roman" w:hint="default"/>
        </w:rPr>
        <w:t>13.68</w:t>
      </w:r>
      <w:r>
        <w:rPr>
          <w:rFonts w:ascii="Times New Roman" w:hAnsi="Times New Roman" w:cs="Times New Roman" w:eastAsia="Times New Roman" w:hint="default"/>
          <w:spacing w:val="-27"/>
        </w:rPr>
        <w:t> </w:t>
      </w:r>
      <w:r>
        <w:rPr>
          <w:spacing w:val="20"/>
        </w:rPr>
        <w:t>元，确认资本公积</w:t>
      </w:r>
      <w:r>
        <w:rPr>
          <w:spacing w:val="-103"/>
        </w:rPr>
        <w:t> </w:t>
      </w:r>
      <w:r>
        <w:rPr>
          <w:rFonts w:ascii="Times New Roman" w:hAnsi="Times New Roman" w:cs="Times New Roman" w:eastAsia="Times New Roman" w:hint="default"/>
          <w:spacing w:val="-1"/>
        </w:rPr>
        <w:t>1,705,768,909.40</w:t>
      </w:r>
      <w:r>
        <w:rPr>
          <w:spacing w:val="-1"/>
        </w:rPr>
        <w:t>元。（</w:t>
      </w:r>
      <w:r>
        <w:rPr>
          <w:rFonts w:ascii="Times New Roman" w:hAnsi="Times New Roman" w:cs="Times New Roman" w:eastAsia="Times New Roman" w:hint="default"/>
          <w:spacing w:val="-1"/>
        </w:rPr>
        <w:t>2</w:t>
      </w:r>
      <w:r>
        <w:rPr>
          <w:spacing w:val="-1"/>
        </w:rPr>
        <w:t>）合一信息技术有限公司对本公司联营企业国广东方增资</w:t>
      </w:r>
      <w:r>
        <w:rPr>
          <w:rFonts w:ascii="Times New Roman" w:hAnsi="Times New Roman" w:cs="Times New Roman" w:eastAsia="Times New Roman" w:hint="default"/>
          <w:spacing w:val="-1"/>
        </w:rPr>
        <w:t>5,000.00</w:t>
      </w:r>
      <w:r>
        <w:rPr>
          <w:spacing w:val="-1"/>
        </w:rPr>
        <w:t>万元，增资后本</w:t>
      </w:r>
      <w:r>
        <w:rPr>
          <w:spacing w:val="-83"/>
        </w:rPr>
        <w:t> </w:t>
      </w:r>
      <w:r>
        <w:rPr>
          <w:spacing w:val="-83"/>
        </w:rPr>
      </w:r>
      <w:r>
        <w:rPr/>
        <w:t>公司持股比例由</w:t>
      </w:r>
      <w:r>
        <w:rPr>
          <w:rFonts w:ascii="Times New Roman" w:hAnsi="Times New Roman" w:cs="Times New Roman" w:eastAsia="Times New Roman" w:hint="default"/>
        </w:rPr>
        <w:t>44.18%</w:t>
      </w:r>
      <w:r>
        <w:rPr/>
        <w:t>下降为</w:t>
      </w:r>
      <w:r>
        <w:rPr>
          <w:rFonts w:ascii="Times New Roman" w:hAnsi="Times New Roman" w:cs="Times New Roman" w:eastAsia="Times New Roman" w:hint="default"/>
        </w:rPr>
        <w:t>36.8171%</w:t>
      </w:r>
      <w:r>
        <w:rPr/>
        <w:t>，所占权益份额增加</w:t>
      </w:r>
      <w:r>
        <w:rPr>
          <w:rFonts w:ascii="Times New Roman" w:hAnsi="Times New Roman" w:cs="Times New Roman" w:eastAsia="Times New Roman" w:hint="default"/>
        </w:rPr>
        <w:t>16,036,576.28</w:t>
      </w:r>
      <w:r>
        <w:rPr/>
        <w:t>元。（</w:t>
      </w:r>
      <w:r>
        <w:rPr>
          <w:rFonts w:ascii="Times New Roman" w:hAnsi="Times New Roman" w:cs="Times New Roman" w:eastAsia="Times New Roman" w:hint="default"/>
        </w:rPr>
        <w:t>3</w:t>
      </w:r>
      <w:r>
        <w:rPr/>
        <w:t>）本公司联营企业国广</w:t>
      </w:r>
      <w:r>
        <w:rPr>
          <w:spacing w:val="-33"/>
        </w:rPr>
        <w:t> </w:t>
      </w:r>
      <w:r>
        <w:rPr>
          <w:spacing w:val="-33"/>
        </w:rPr>
      </w:r>
      <w:r>
        <w:rPr>
          <w:spacing w:val="-2"/>
        </w:rPr>
        <w:t>东方本期收到文化创意基金</w:t>
      </w:r>
      <w:r>
        <w:rPr>
          <w:rFonts w:ascii="Times New Roman" w:hAnsi="Times New Roman" w:cs="Times New Roman" w:eastAsia="Times New Roman" w:hint="default"/>
          <w:spacing w:val="-2"/>
        </w:rPr>
        <w:t>25.00</w:t>
      </w:r>
      <w:r>
        <w:rPr>
          <w:spacing w:val="-2"/>
        </w:rPr>
        <w:t>万元，本公司所占权益份额增加</w:t>
      </w:r>
      <w:r>
        <w:rPr>
          <w:rFonts w:ascii="Times New Roman" w:hAnsi="Times New Roman" w:cs="Times New Roman" w:eastAsia="Times New Roman" w:hint="default"/>
          <w:spacing w:val="-2"/>
        </w:rPr>
        <w:t>110,450.00</w:t>
      </w:r>
      <w:r>
        <w:rPr>
          <w:spacing w:val="-2"/>
        </w:rPr>
        <w:t>元。（</w:t>
      </w:r>
      <w:r>
        <w:rPr>
          <w:rFonts w:ascii="Times New Roman" w:hAnsi="Times New Roman" w:cs="Times New Roman" w:eastAsia="Times New Roman" w:hint="default"/>
          <w:spacing w:val="-2"/>
        </w:rPr>
        <w:t>4</w:t>
      </w:r>
      <w:r>
        <w:rPr>
          <w:spacing w:val="-2"/>
        </w:rPr>
        <w:t>）本公司之子公司华商</w:t>
      </w:r>
      <w:r>
        <w:rPr>
          <w:spacing w:val="-81"/>
        </w:rPr>
        <w:t> </w:t>
      </w:r>
      <w:r>
        <w:rPr>
          <w:spacing w:val="-81"/>
        </w:rPr>
      </w:r>
      <w:r>
        <w:rPr>
          <w:spacing w:val="-2"/>
        </w:rPr>
        <w:t>传媒收购陕西黄马甲</w:t>
      </w:r>
      <w:r>
        <w:rPr>
          <w:rFonts w:ascii="Times New Roman" w:hAnsi="Times New Roman" w:cs="Times New Roman" w:eastAsia="Times New Roman" w:hint="default"/>
          <w:spacing w:val="-2"/>
        </w:rPr>
        <w:t>10%</w:t>
      </w:r>
      <w:r>
        <w:rPr>
          <w:spacing w:val="-2"/>
        </w:rPr>
        <w:t>股权，增加资本公积</w:t>
      </w:r>
      <w:r>
        <w:rPr>
          <w:rFonts w:ascii="Times New Roman" w:hAnsi="Times New Roman" w:cs="Times New Roman" w:eastAsia="Times New Roman" w:hint="default"/>
          <w:spacing w:val="-2"/>
        </w:rPr>
        <w:t>130,762.04</w:t>
      </w:r>
      <w:r>
        <w:rPr>
          <w:spacing w:val="-2"/>
        </w:rPr>
        <w:t>元。（</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月，由于澄怀科技未能实现</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年利润承诺，公司在履行相关审批程序后，注销注册资本</w:t>
      </w:r>
      <w:r>
        <w:rPr>
          <w:rFonts w:ascii="Times New Roman" w:hAnsi="Times New Roman" w:cs="Times New Roman" w:eastAsia="Times New Roman" w:hint="default"/>
        </w:rPr>
        <w:t>4,531,236.00</w:t>
      </w:r>
      <w:r>
        <w:rPr/>
        <w:t>元，增加资本公积</w:t>
      </w:r>
      <w:r>
        <w:rPr>
          <w:rFonts w:ascii="Times New Roman" w:hAnsi="Times New Roman" w:cs="Times New Roman" w:eastAsia="Times New Roman" w:hint="default"/>
        </w:rPr>
        <w:t>4,531,236.00</w:t>
      </w:r>
      <w:r>
        <w:rPr/>
        <w:t>元。</w:t>
      </w:r>
    </w:p>
    <w:p>
      <w:pPr>
        <w:pStyle w:val="BodyText"/>
        <w:spacing w:line="256" w:lineRule="auto" w:before="5"/>
        <w:ind w:left="153" w:right="293" w:firstLine="423"/>
        <w:jc w:val="left"/>
      </w:pPr>
      <w:r>
        <w:rPr>
          <w:spacing w:val="12"/>
        </w:rPr>
        <w:t>本期减少系：（</w:t>
      </w:r>
      <w:r>
        <w:rPr>
          <w:rFonts w:ascii="Times New Roman" w:hAnsi="Times New Roman" w:cs="Times New Roman" w:eastAsia="Times New Roman" w:hint="default"/>
          <w:spacing w:val="12"/>
        </w:rPr>
        <w:t>1</w:t>
      </w:r>
      <w:r>
        <w:rPr>
          <w:spacing w:val="12"/>
        </w:rPr>
        <w:t>）本期收购国广视讯</w:t>
      </w:r>
      <w:r>
        <w:rPr>
          <w:rFonts w:ascii="Times New Roman" w:hAnsi="Times New Roman" w:cs="Times New Roman" w:eastAsia="Times New Roman" w:hint="default"/>
          <w:spacing w:val="12"/>
        </w:rPr>
        <w:t>100.00%</w:t>
      </w:r>
      <w:r>
        <w:rPr>
          <w:spacing w:val="12"/>
        </w:rPr>
        <w:t>股权，构成同一控制下企业合并，冲减资本公积</w:t>
      </w:r>
      <w:r>
        <w:rPr>
          <w:spacing w:val="15"/>
        </w:rPr>
        <w:t> </w:t>
      </w:r>
      <w:r>
        <w:rPr>
          <w:rFonts w:ascii="Times New Roman" w:hAnsi="Times New Roman" w:cs="Times New Roman" w:eastAsia="Times New Roman" w:hint="default"/>
        </w:rPr>
        <w:t>260,000,000.00</w:t>
      </w:r>
      <w:r>
        <w:rPr/>
        <w:t>元。（</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月，本公司之子公司西安华商网络受让重庆华博持重庆盈略网络</w:t>
      </w:r>
      <w:r>
        <w:rPr>
          <w:rFonts w:ascii="Times New Roman" w:hAnsi="Times New Roman" w:cs="Times New Roman" w:eastAsia="Times New Roman" w:hint="default"/>
        </w:rPr>
        <w:t>100.00% </w:t>
      </w:r>
      <w:r>
        <w:rPr/>
        <w:t>股权，将前期确认</w:t>
      </w:r>
      <w:r>
        <w:rPr>
          <w:rFonts w:ascii="Times New Roman" w:hAnsi="Times New Roman" w:cs="Times New Roman" w:eastAsia="Times New Roman" w:hint="default"/>
        </w:rPr>
        <w:t>139,656.53</w:t>
      </w:r>
      <w:r>
        <w:rPr/>
        <w:t>元转回。（</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月，本公司之子公司民享投资对酷视网络增资</w:t>
      </w:r>
      <w:r>
        <w:rPr>
          <w:rFonts w:ascii="Times New Roman" w:hAnsi="Times New Roman" w:cs="Times New Roman" w:eastAsia="Times New Roman" w:hint="default"/>
        </w:rPr>
        <w:t>302.50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万元，其中</w:t>
      </w:r>
      <w:r>
        <w:rPr>
          <w:rFonts w:ascii="Times New Roman" w:hAnsi="Times New Roman" w:cs="Times New Roman" w:eastAsia="Times New Roman" w:hint="default"/>
        </w:rPr>
        <w:t>275.00</w:t>
      </w:r>
      <w:r>
        <w:rPr/>
        <w:t>万元计入注册资本，</w:t>
      </w:r>
      <w:r>
        <w:rPr>
          <w:rFonts w:ascii="Times New Roman" w:hAnsi="Times New Roman" w:cs="Times New Roman" w:eastAsia="Times New Roman" w:hint="default"/>
        </w:rPr>
        <w:t>27.50</w:t>
      </w:r>
      <w:r>
        <w:rPr/>
        <w:t>万元计入资本公积。</w:t>
      </w:r>
      <w:r>
        <w:rPr>
          <w:spacing w:val="-62"/>
        </w:rPr>
        <w:t> </w:t>
      </w:r>
      <w:r>
        <w:rPr/>
        <w:t>增资后持股比例由</w:t>
      </w:r>
      <w:r>
        <w:rPr>
          <w:rFonts w:ascii="Times New Roman" w:hAnsi="Times New Roman" w:cs="Times New Roman" w:eastAsia="Times New Roman" w:hint="default"/>
        </w:rPr>
        <w:t>50.77%</w:t>
      </w:r>
      <w:r>
        <w:rPr/>
        <w:t>上升为</w:t>
      </w:r>
      <w:r>
        <w:rPr>
          <w:rFonts w:ascii="Times New Roman" w:hAnsi="Times New Roman" w:cs="Times New Roman" w:eastAsia="Times New Roman" w:hint="default"/>
        </w:rPr>
        <w:t>73.33%</w:t>
      </w:r>
      <w:r>
        <w:rPr/>
        <w:t>， 视同收购少数股权，冲减资本公积</w:t>
      </w:r>
      <w:r>
        <w:rPr>
          <w:rFonts w:ascii="Times New Roman" w:hAnsi="Times New Roman" w:cs="Times New Roman" w:eastAsia="Times New Roman" w:hint="default"/>
        </w:rPr>
        <w:t>73,567.50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before="0"/>
        <w:ind w:right="0"/>
        <w:jc w:val="both"/>
        <w:rPr>
          <w:b w:val="0"/>
          <w:bCs w:val="0"/>
        </w:rPr>
      </w:pPr>
      <w:r>
        <w:rPr>
          <w:rFonts w:ascii="Times New Roman" w:hAnsi="Times New Roman" w:cs="Times New Roman" w:eastAsia="Times New Roman" w:hint="default"/>
        </w:rPr>
        <w:t>40</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4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1"/>
        <w:gridCol w:w="935"/>
        <w:gridCol w:w="936"/>
        <w:gridCol w:w="953"/>
        <w:gridCol w:w="1134"/>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0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113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0" w:footer="982" w:top="1100" w:bottom="1180" w:left="980" w:right="7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1"/>
        <w:gridCol w:w="935"/>
        <w:gridCol w:w="936"/>
        <w:gridCol w:w="953"/>
        <w:gridCol w:w="1134"/>
      </w:tblGrid>
      <w:tr>
        <w:trPr>
          <w:trHeight w:val="67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9"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于母公司</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81" w:right="109"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58,849.80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14,712.45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-140,372.02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184,509.37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-140,372.02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9"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58,849.80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14,712.45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-140,372.02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184,509.37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-140,372.02</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58,849.80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14,712.45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-140,372.02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184,509.37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-140,372.02</w:t>
            </w:r>
          </w:p>
        </w:tc>
      </w:tr>
    </w:tbl>
    <w:p>
      <w:pPr>
        <w:spacing w:line="240" w:lineRule="auto" w:before="2"/>
        <w:rPr>
          <w:rFonts w:ascii="宋体" w:hAnsi="宋体" w:cs="宋体" w:eastAsia="宋体" w:hint="default"/>
          <w:sz w:val="19"/>
          <w:szCs w:val="19"/>
        </w:rPr>
      </w:pPr>
    </w:p>
    <w:p>
      <w:pPr>
        <w:pStyle w:val="Heading6"/>
        <w:spacing w:line="240" w:lineRule="auto"/>
        <w:ind w:right="293"/>
        <w:jc w:val="left"/>
        <w:rPr>
          <w:b w:val="0"/>
          <w:bCs w:val="0"/>
        </w:rPr>
      </w:pPr>
      <w:r>
        <w:rPr>
          <w:rFonts w:ascii="Times New Roman" w:hAnsi="Times New Roman" w:cs="Times New Roman" w:eastAsia="Times New Roman" w:hint="default"/>
        </w:rPr>
        <w:t>41</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5,338,060.99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6,873,144.63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6,922,800.04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5,288,405.58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5,338,060.99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6,873,144.63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6,922,800.04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5,288,405.58</w:t>
            </w:r>
          </w:p>
        </w:tc>
      </w:tr>
    </w:tbl>
    <w:p>
      <w:pPr>
        <w:spacing w:before="51"/>
        <w:ind w:left="154" w:right="29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right="293" w:firstLine="420"/>
        <w:jc w:val="left"/>
      </w:pPr>
      <w:r>
        <w:rPr>
          <w:spacing w:val="-1"/>
        </w:rPr>
        <w:t>系本公司之子公司民生燃气、民生工程、万宁民生和陵水燃气根据市政公用工程收入计提的安全生产</w:t>
      </w:r>
      <w:r>
        <w:rPr/>
        <w:t> 储备。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before="0"/>
        <w:ind w:right="293"/>
        <w:jc w:val="left"/>
        <w:rPr>
          <w:b w:val="0"/>
          <w:bCs w:val="0"/>
        </w:rPr>
      </w:pPr>
      <w:r>
        <w:rPr>
          <w:rFonts w:ascii="Times New Roman" w:hAnsi="Times New Roman" w:cs="Times New Roman" w:eastAsia="Times New Roman" w:hint="default"/>
        </w:rPr>
        <w:t>42</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4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232,711,966.63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61,052,290.81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293,764,257.44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232,711,966.63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61,052,290.81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293,764,257.44</w:t>
            </w:r>
          </w:p>
        </w:tc>
      </w:tr>
    </w:tbl>
    <w:p>
      <w:pPr>
        <w:spacing w:line="240" w:lineRule="auto" w:before="2"/>
        <w:rPr>
          <w:rFonts w:ascii="宋体" w:hAnsi="宋体" w:cs="宋体" w:eastAsia="宋体" w:hint="default"/>
          <w:sz w:val="19"/>
          <w:szCs w:val="19"/>
        </w:rPr>
      </w:pPr>
    </w:p>
    <w:p>
      <w:pPr>
        <w:pStyle w:val="Heading6"/>
        <w:spacing w:line="240" w:lineRule="auto"/>
        <w:ind w:right="293"/>
        <w:jc w:val="left"/>
        <w:rPr>
          <w:b w:val="0"/>
          <w:bCs w:val="0"/>
        </w:rPr>
      </w:pPr>
      <w:r>
        <w:rPr>
          <w:rFonts w:ascii="Times New Roman" w:hAnsi="Times New Roman" w:cs="Times New Roman" w:eastAsia="Times New Roman" w:hint="default"/>
        </w:rPr>
        <w:t>43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1,175,751,531.05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1,221,218,864.80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1,175,751,531.05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1,221,218,864.80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983,541,318.63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525,875,568.17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61,052,290.81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73,850,519.08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27,202,651.52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544,140,250.40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2,024,390,039.79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1,175,751,531.05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72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3,913,650,492.91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2,145,809,569.81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3,712,393,463.43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2,202,860,440.61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39,200,978.84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18,231,132.49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37,164,541.40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14,223,511.86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3,952,851,471.75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2,164,040,702.30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3,749,558,004.83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2,217,083,952.47</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45</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18,172,878.62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46,625,988.57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8,860,268.60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7,385,014.13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6,283,201.65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5,162,993.03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23,890,888.33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31,552,196.82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681,879.54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322,230.54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57,889,116.74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91,048,423.09</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46</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342,058,734.14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321,514,836.25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9,219,435.44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11,443,948.69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10,949,790.74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10,186,864.49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19,750,999.48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16,507,470.02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11,457,191.65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15,032,677.99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286,754.38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2,263,812.18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301,039.24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360,843.99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7,025,652.45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9,866,411.60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11,240,922.40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14,660,187.76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3,800,668.07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4,642,195.35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10,390,358.40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9,031,815.51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19,432,382.01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23,847,365.95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29,306,560.29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25,560,072.53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4,622,858.06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3,190,554.64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54,638,848.75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76,174,181.50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534,482,195.50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544,283,238.45</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47</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183,065,084.91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159,310,994.50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9,727,142.54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8,653,152.25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12,267,493.96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9,434,882.11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17,494,176.47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19,864,151.45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12,040,109.07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11,529,271.71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15,680,016.62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14,525,263.93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17,324,509.24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13,079,294.13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28,787,709.30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28,073,910.10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12,597,931.01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9,322,114.21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9,462,173.02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3,560,922.01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2,251,380.65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3,646,567.79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8,664,130.75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6,964,827.22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1,246,113.65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1,114,297.88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5,130,524.06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14,772,065.64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14,161,987.05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350,510,560.89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303,241,636.34</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48</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63,990,626.54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65,456,063.77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-34,120,515.41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-21,062,801.85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2,080,181.41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1,552,530.52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31,950,292.54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45,945,792.44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49</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-6,973,521.68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11,233,248.50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3,663,538.29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-3,071,815.93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105,248.55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381,250.22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7,795,265.16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12,542,682.79</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50</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36,750,887.13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-5,879,630.25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1,434,832.92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36,750,887.13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-4,444,797.33</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51</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-14,744,386.59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-11,741,689.59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225,367,112.17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28,378,573.54</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641,807.60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51,830,074.65</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-2,577,463.93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3,916,131.74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122,722,965.30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5,309,316.00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33,829,480.00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312,799,743.50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套期保值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20,323,097.86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32,315,413.64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5,710,983.53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397,554,928.19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416,526,231.23</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66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72,195,372.07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2,224,038.07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72,195,372.07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2,224,038.07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18,554,011.31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10,824,039.70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16,231,416.68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588,923.51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61,711.91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5,079,266.23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6,398,263.59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5,082,580.68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25,919,027.52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90,006,598.87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23,599,747.34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460" w:right="980"/>
        </w:sectPr>
      </w:pPr>
    </w:p>
    <w:p>
      <w:pPr>
        <w:pStyle w:val="BodyText"/>
        <w:spacing w:line="240" w:lineRule="auto" w:before="26"/>
        <w:ind w:left="674"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67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460" w:right="980"/>
          <w:cols w:num="2" w:equalWidth="0">
            <w:col w:w="3195" w:space="5634"/>
            <w:col w:w="1641"/>
          </w:cols>
        </w:sectPr>
      </w:pPr>
    </w:p>
    <w:p>
      <w:pPr>
        <w:spacing w:line="240" w:lineRule="auto" w:before="0"/>
        <w:rPr>
          <w:rFonts w:ascii="宋体" w:hAnsi="宋体" w:cs="宋体" w:eastAsia="宋体" w:hint="default"/>
          <w:sz w:val="8"/>
          <w:szCs w:val="8"/>
        </w:rPr>
      </w:pPr>
      <w:r>
        <w:rPr/>
        <w:pict>
          <v:group style="position:absolute;margin-left:290.820007pt;margin-top:608.219971pt;width:63.3pt;height:19.6pt;mso-position-horizontal-relative:page;mso-position-vertical-relative:page;z-index:-1216384" coordorigin="5816,12164" coordsize="1266,392">
            <v:group style="position:absolute;left:7060;top:12164;width:23;height:392" coordorigin="7060,12164" coordsize="23,392">
              <v:shape style="position:absolute;left:7060;top:12164;width:23;height:392" coordorigin="7060,12164" coordsize="23,392" path="m7060,12556l7082,12556,7082,12164,7060,12164,7060,12556xe" filled="true" fillcolor="#ffffff" stroked="false">
                <v:path arrowok="t"/>
                <v:fill type="solid"/>
              </v:shape>
            </v:group>
            <v:group style="position:absolute;left:5816;top:12164;width:24;height:392" coordorigin="5816,12164" coordsize="24,392">
              <v:shape style="position:absolute;left:5816;top:12164;width:24;height:392" coordorigin="5816,12164" coordsize="24,392" path="m5816,12556l5840,12556,5840,12164,5816,12164,5816,12556xe" filled="true" fillcolor="#ffffff" stroked="false">
                <v:path arrowok="t"/>
                <v:fill type="solid"/>
              </v:shape>
            </v:group>
            <v:group style="position:absolute;left:5840;top:12164;width:1220;height:392" coordorigin="5840,12164" coordsize="1220,392">
              <v:shape style="position:absolute;left:5840;top:12164;width:1220;height:392" coordorigin="5840,12164" coordsize="1220,392" path="m5840,12556l7060,12556,7060,12164,5840,12164,5840,12556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5245"/>
        <w:gridCol w:w="1277"/>
        <w:gridCol w:w="1417"/>
        <w:gridCol w:w="2196"/>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网络建设专项资金拨款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28,113.21</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家政网络平台建设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省级服务业专项资金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1,651,805.33</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乳品冷链配送项目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105,038.40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物流配送信息化建设项目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87,204.50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绿色印刷包装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341,379.36</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优秀企业奖励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65,167.00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房租补贴等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第二气源厂项目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849,999.95</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燃气系统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159,999.84</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企业扶持资金及奖励资金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市工信局转来两化融合管理体系贯标补助款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市安全管理局标准化建设专项补贴经费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高技术服务促进专项</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电子商务物流信息平台建设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23,357.32</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陕西黄马甲物流配送股份有限公司快递物流配送中心建设项目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78,802.00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年第三批扩大内需财政拨款（黄马甲城市快捷配送网络工程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299" w:val="left" w:leader="none"/>
              </w:tabs>
              <w:spacing w:line="240" w:lineRule="auto" w:before="52"/>
              <w:ind w:left="-137"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1,358,018.75</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黄马甲快递物流中心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1,001,031.07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西安市公共电子商务购物平台一期项目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46,653.02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信息化建设专项（西安电子商务综合服务平台一期）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19,417.48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收政府补助款</w:t>
            </w:r>
            <w:r>
              <w:rPr>
                <w:rFonts w:ascii="Times New Roman" w:hAnsi="Times New Roman" w:cs="Times New Roman" w:eastAsia="Times New Roman" w:hint="default"/>
                <w:sz w:val="18"/>
                <w:szCs w:val="18"/>
              </w:rPr>
              <w:t>_</w:t>
            </w:r>
            <w:r>
              <w:rPr>
                <w:rFonts w:ascii="宋体" w:hAnsi="宋体" w:cs="宋体" w:eastAsia="宋体" w:hint="default"/>
                <w:sz w:val="18"/>
                <w:szCs w:val="18"/>
              </w:rPr>
              <w:t>总经理办公室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56,074.77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财政局贴息</w:t>
            </w:r>
            <w:r>
              <w:rPr>
                <w:rFonts w:ascii="Times New Roman" w:hAnsi="Times New Roman" w:cs="Times New Roman" w:eastAsia="Times New Roman"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6,806,811.00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政府产业扶持款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204,400.00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年中小商贸企业参展补助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type w:val="continuous"/>
          <w:pgSz w:w="11910" w:h="16840"/>
          <w:pgMar w:top="1060" w:bottom="1180" w:left="460" w:right="98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5245"/>
        <w:gridCol w:w="1277"/>
        <w:gridCol w:w="1417"/>
        <w:gridCol w:w="2196"/>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支持补助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家政服务体系建设补助资金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591,999.52</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113,616.13</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设备补助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33,181.57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移动互联网手机动漫产业聚合平台项目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10,600.67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移动手机动漫产业技术平台扶持基金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194,340.38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增发新股奖励</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经营管理团队奖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18,554,011.31</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left="674" w:right="0"/>
        <w:jc w:val="left"/>
      </w:pPr>
      <w:r>
        <w:rPr/>
        <w:t>其他说明：</w:t>
      </w:r>
    </w:p>
    <w:p>
      <w:pPr>
        <w:pStyle w:val="BodyText"/>
        <w:spacing w:line="256" w:lineRule="auto" w:before="76"/>
        <w:ind w:left="673" w:right="148" w:firstLine="423"/>
        <w:jc w:val="both"/>
      </w:pPr>
      <w:r>
        <w:rPr>
          <w:rFonts w:ascii="Times New Roman" w:hAnsi="Times New Roman" w:cs="Times New Roman" w:eastAsia="Times New Roman" w:hint="default"/>
        </w:rPr>
        <w:t>*1</w:t>
      </w:r>
      <w:r>
        <w:rPr/>
        <w:t>根据西安市财政局市财函</w:t>
      </w:r>
      <w:r>
        <w:rPr>
          <w:rFonts w:ascii="Times New Roman" w:hAnsi="Times New Roman" w:cs="Times New Roman" w:eastAsia="Times New Roman" w:hint="default"/>
        </w:rPr>
        <w:t>[2014]1163</w:t>
      </w:r>
      <w:r>
        <w:rPr/>
        <w:t>号《西安市财政局关于拨付</w:t>
      </w:r>
      <w:r>
        <w:rPr>
          <w:rFonts w:ascii="Times New Roman" w:hAnsi="Times New Roman" w:cs="Times New Roman" w:eastAsia="Times New Roman" w:hint="default"/>
        </w:rPr>
        <w:t>2014</w:t>
      </w:r>
      <w:r>
        <w:rPr/>
        <w:t>年度国家外经贸发展专项资金</w:t>
      </w:r>
      <w:r>
        <w:rPr>
          <w:spacing w:val="1"/>
        </w:rPr>
        <w:t> </w:t>
      </w:r>
      <w:r>
        <w:rPr/>
        <w:t>的通知》，对本公司之子公司华商数码进口贴息项目拨付</w:t>
      </w:r>
      <w:r>
        <w:rPr>
          <w:rFonts w:ascii="Times New Roman" w:hAnsi="Times New Roman" w:cs="Times New Roman" w:eastAsia="Times New Roman" w:hint="default"/>
        </w:rPr>
        <w:t>6,806,811.00</w:t>
      </w:r>
      <w:r>
        <w:rPr/>
        <w:t>元。</w:t>
      </w:r>
    </w:p>
    <w:p>
      <w:pPr>
        <w:pStyle w:val="BodyText"/>
        <w:spacing w:line="256" w:lineRule="auto" w:before="5"/>
        <w:ind w:left="673" w:right="151" w:firstLine="423"/>
        <w:jc w:val="both"/>
      </w:pPr>
      <w:r>
        <w:rPr>
          <w:rFonts w:ascii="Times New Roman" w:hAnsi="Times New Roman" w:cs="Times New Roman" w:eastAsia="Times New Roman" w:hint="default"/>
          <w:spacing w:val="-1"/>
        </w:rPr>
        <w:t>*2</w:t>
      </w:r>
      <w:r>
        <w:rPr>
          <w:spacing w:val="-1"/>
        </w:rPr>
        <w:t>据海南省政府金融工作办公会同省财政厅</w:t>
      </w:r>
      <w:r>
        <w:rPr>
          <w:rFonts w:ascii="Times New Roman" w:hAnsi="Times New Roman" w:cs="Times New Roman" w:eastAsia="Times New Roman" w:hint="default"/>
          <w:spacing w:val="-1"/>
        </w:rPr>
        <w:t>2011</w:t>
      </w:r>
      <w:r>
        <w:rPr>
          <w:spacing w:val="-1"/>
        </w:rPr>
        <w:t>年出台的《海南省资本市场发展专项资金管理暂行办</w:t>
      </w:r>
      <w:r>
        <w:rPr/>
        <w:t> </w:t>
      </w:r>
      <w:r>
        <w:rPr>
          <w:spacing w:val="-1"/>
        </w:rPr>
        <w:t>法》（琼财债【</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2616</w:t>
      </w:r>
      <w:r>
        <w:rPr>
          <w:spacing w:val="-1"/>
        </w:rPr>
        <w:t>号），公司申请了关于发行中期票据和二级市场增发新股奖励。据海南省政府</w:t>
      </w:r>
      <w:r>
        <w:rPr>
          <w:spacing w:val="-85"/>
        </w:rPr>
        <w:t> </w:t>
      </w:r>
      <w:r>
        <w:rPr>
          <w:spacing w:val="-85"/>
        </w:rPr>
      </w:r>
      <w:r>
        <w:rPr>
          <w:spacing w:val="4"/>
        </w:rPr>
        <w:t>金融工作办公室会同海南财政厅琼金办于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w:t>
      </w:r>
      <w:r>
        <w:rPr>
          <w:spacing w:val="4"/>
        </w:rPr>
        <w:t>日印发的</w:t>
      </w:r>
      <w:r>
        <w:rPr>
          <w:rFonts w:ascii="Times New Roman" w:hAnsi="Times New Roman" w:cs="Times New Roman" w:eastAsia="Times New Roman" w:hint="default"/>
          <w:spacing w:val="4"/>
        </w:rPr>
        <w:t>[2014]61</w:t>
      </w:r>
      <w:r>
        <w:rPr>
          <w:spacing w:val="4"/>
        </w:rPr>
        <w:t>号文件，公司获得专项资金奖励</w:t>
      </w:r>
      <w:r>
        <w:rPr>
          <w:spacing w:val="-67"/>
        </w:rPr>
        <w:t> </w:t>
      </w:r>
      <w:r>
        <w:rPr>
          <w:spacing w:val="-67"/>
        </w:rPr>
      </w:r>
      <w:r>
        <w:rPr>
          <w:rFonts w:ascii="Times New Roman" w:hAnsi="Times New Roman" w:cs="Times New Roman" w:eastAsia="Times New Roman" w:hint="default"/>
        </w:rPr>
        <w:t>240.00</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before="0"/>
        <w:ind w:left="674" w:right="0"/>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1,120,793.07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915,286.93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1,120,793.07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1,055,177.65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915,286.93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1,055,177.65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65,615.42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65,615.42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20,491.76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90,008.52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2,044,969.13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4,119,745.24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2,044,969.13</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3,255,770.72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5,055,523.93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3,255,770.72</w:t>
            </w:r>
          </w:p>
        </w:tc>
      </w:tr>
    </w:tbl>
    <w:p>
      <w:pPr>
        <w:spacing w:line="240" w:lineRule="auto" w:before="2"/>
        <w:rPr>
          <w:rFonts w:ascii="宋体" w:hAnsi="宋体" w:cs="宋体" w:eastAsia="宋体" w:hint="default"/>
          <w:sz w:val="19"/>
          <w:szCs w:val="19"/>
        </w:rPr>
      </w:pPr>
    </w:p>
    <w:p>
      <w:pPr>
        <w:pStyle w:val="Heading6"/>
        <w:spacing w:line="240" w:lineRule="auto"/>
        <w:ind w:left="674" w:right="0"/>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67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82" w:top="1100" w:bottom="1180" w:left="46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209,950,584.20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131,852,413.25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3,323,174.23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-1,213,544.15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213,273,758.43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130,638,869.10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1,263,152,410.74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315,788,102.69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-49,303,686.65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-1,165,114.44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-47,289,723.59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4,412,318.34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-20,078,727.18</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10,910,589.26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213,273,758.43</w:t>
            </w:r>
          </w:p>
        </w:tc>
      </w:tr>
    </w:tbl>
    <w:p>
      <w:pPr>
        <w:spacing w:line="240" w:lineRule="auto" w:before="6"/>
        <w:rPr>
          <w:rFonts w:ascii="宋体" w:hAnsi="宋体" w:cs="宋体" w:eastAsia="宋体" w:hint="default"/>
          <w:sz w:val="11"/>
          <w:szCs w:val="11"/>
        </w:rPr>
      </w:pPr>
    </w:p>
    <w:p>
      <w:pPr>
        <w:pStyle w:val="Heading6"/>
        <w:spacing w:line="240" w:lineRule="auto"/>
        <w:ind w:right="0"/>
        <w:jc w:val="left"/>
        <w:rPr>
          <w:b w:val="0"/>
          <w:bCs w:val="0"/>
        </w:rPr>
      </w:pPr>
      <w:r>
        <w:rPr>
          <w:rFonts w:ascii="Times New Roman" w:hAnsi="Times New Roman" w:cs="Times New Roman" w:eastAsia="Times New Roman" w:hint="default"/>
        </w:rPr>
        <w:t>55</w:t>
      </w:r>
      <w:r>
        <w:rPr/>
        <w:t>、现金流量表项目</w:t>
      </w:r>
      <w:r>
        <w:rPr>
          <w:b w:val="0"/>
          <w:bCs w:val="0"/>
        </w:rPr>
      </w:r>
    </w:p>
    <w:p>
      <w:pPr>
        <w:spacing w:line="240" w:lineRule="auto" w:before="11"/>
        <w:rPr>
          <w:rFonts w:ascii="宋体" w:hAnsi="宋体" w:cs="宋体" w:eastAsia="宋体" w:hint="default"/>
          <w:b/>
          <w:bCs/>
          <w:sz w:val="16"/>
          <w:szCs w:val="16"/>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144,139,937.86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156,752,938.55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107,669,481.83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228,893,497.71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31,999,876.88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30,060,747.56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12,109,375.37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10,953,888.24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46,872,826.49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44,263,554.54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22,465,728.40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8,504,869.77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22,749,955.83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28,261,456.97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388,007,182.66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507,690,953.34</w:t>
            </w:r>
          </w:p>
        </w:tc>
      </w:tr>
    </w:tbl>
    <w:p>
      <w:pPr>
        <w:spacing w:line="240" w:lineRule="auto" w:before="6"/>
        <w:rPr>
          <w:rFonts w:ascii="宋体" w:hAnsi="宋体" w:cs="宋体" w:eastAsia="宋体" w:hint="default"/>
          <w:sz w:val="11"/>
          <w:szCs w:val="1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15"/>
          <w:szCs w:val="1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105,520,068.53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104,348,721.49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161,181,427.54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169,918,509.80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148,283,196.52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78,592,598.57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73,259,356.25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157,921,404.76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30,640,236.03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11,320,172.38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85,517,713.21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32,362,248.40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37,561,074.76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51,543,857.15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641,963,072.84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606,007,512.55</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定向增发收购澄怀科技时账面货币资金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109,164,035.80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109,164,035.80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支付购买国广光荣股权尾款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104,040,000.00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104,040,000.00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1,945,604.02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1,945,604.02</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发行债券承销费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61,645.06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8,661,645.06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28,620,928.00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238"/>
        <w:gridCol w:w="1700"/>
        <w:gridCol w:w="1630"/>
      </w:tblGrid>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1,049,878,652.31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901,805,918.99</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7,795,265.16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12,542,682.79</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117,198,300.91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103,342,431.15</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12,451,248.66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7,500,290.08</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10,815,784.53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11,392,475.88</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-1,103,245.00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-71,280,085.14</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-36,750,887.13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4,444,797.33</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63,990,626.54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65,456,063.77</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-397,554,928.19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-416,526,231.23</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-3,702,729.35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-1,228,608.70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7,069,817.46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-65,364,272.52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137,566,492.86</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-480,778,619.16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144,949,074.90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515,222,038.01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28,945,591.80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1,637,048.21</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799,167,052.23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930,547,942.69</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1,771,971,676.73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1,460,423,104.68</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1,460,423,104.68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1,106,038,023.85</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311,548,572.05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354,385,080.83</w:t>
            </w:r>
          </w:p>
        </w:tc>
      </w:tr>
    </w:tbl>
    <w:p>
      <w:pPr>
        <w:spacing w:line="240" w:lineRule="auto" w:before="3"/>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1,117,360,000.00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155,184,296.32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962,175,703.68</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139,143,559.59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514,856,440.41</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1,771,971,676.73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1,460,423,104.68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2,128,402.38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629,321.68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1,656,110,827.63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1,457,751,468.56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113,732,446.72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2,042,314.44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1,771,971,676.73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1,460,423,104.68</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18,402,339.93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73,355,000.82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210,457,874.52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302,215,215.27</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right="0"/>
        <w:jc w:val="left"/>
      </w:pPr>
      <w:r>
        <w:rPr/>
        <w:t>其他说明：</w:t>
      </w:r>
    </w:p>
    <w:p>
      <w:pPr>
        <w:pStyle w:val="BodyText"/>
        <w:spacing w:line="256" w:lineRule="auto" w:before="75"/>
        <w:ind w:left="153" w:right="0" w:firstLine="336"/>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日止，所有权或使用权受限制的的无形资产、在建工程系用于抵押借款，详见附注</w:t>
      </w:r>
      <w:r>
        <w:rPr>
          <w:spacing w:val="1"/>
        </w:rPr>
        <w:t> </w:t>
      </w:r>
      <w:r>
        <w:rPr/>
        <w:t>七、</w:t>
      </w:r>
      <w:r>
        <w:rPr>
          <w:rFonts w:ascii="Times New Roman" w:hAnsi="Times New Roman" w:cs="Times New Roman" w:eastAsia="Times New Roman" w:hint="default"/>
        </w:rPr>
        <w:t>33</w:t>
      </w:r>
      <w:r>
        <w:rPr/>
        <w:t>。</w:t>
      </w:r>
    </w:p>
    <w:p>
      <w:pPr>
        <w:spacing w:after="0" w:line="256" w:lineRule="auto"/>
        <w:jc w:val="left"/>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left="814" w:right="0"/>
        <w:jc w:val="left"/>
        <w:rPr>
          <w:b w:val="0"/>
          <w:bCs w:val="0"/>
        </w:rPr>
      </w:pPr>
      <w:r>
        <w:rPr>
          <w:rFonts w:ascii="Times New Roman" w:hAnsi="Times New Roman" w:cs="Times New Roman" w:eastAsia="Times New Roman" w:hint="default"/>
        </w:rPr>
        <w:t>58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814"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8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1,439,302.86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53,470.24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327,184.40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107,720.03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1,028,047.65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94,905.32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74,867.96</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1,744.45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9,202.85</w:t>
            </w:r>
          </w:p>
        </w:tc>
      </w:tr>
    </w:tbl>
    <w:p>
      <w:pPr>
        <w:spacing w:line="240" w:lineRule="auto" w:before="2"/>
        <w:rPr>
          <w:rFonts w:ascii="宋体" w:hAnsi="宋体" w:cs="宋体" w:eastAsia="宋体" w:hint="default"/>
          <w:sz w:val="18"/>
          <w:szCs w:val="18"/>
        </w:rPr>
      </w:pPr>
    </w:p>
    <w:p>
      <w:pPr>
        <w:pStyle w:val="Heading4"/>
        <w:spacing w:line="240" w:lineRule="auto"/>
        <w:ind w:left="814"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814"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81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8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77"/>
        <w:gridCol w:w="1560"/>
        <w:gridCol w:w="1416"/>
        <w:gridCol w:w="712"/>
        <w:gridCol w:w="1064"/>
        <w:gridCol w:w="1769"/>
        <w:gridCol w:w="850"/>
        <w:gridCol w:w="1276"/>
        <w:gridCol w:w="1134"/>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78"/>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2" w:right="109"/>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1,304,999,988.48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股份及现金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34,007,513.18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19,779,982.58</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431,999,994.24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股份及现金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35,029,738.43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17,319,978.53</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719,999,988.48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股份及现金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37,656,300.49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24,445,232.27</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342,439,893.20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股份及现金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24,186,867.98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4,124,144.83</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海南椰德利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106,850,000.00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-6,054,509.50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6"/>
        <w:spacing w:line="240" w:lineRule="auto"/>
        <w:ind w:left="814"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6"/>
          <w:szCs w:val="26"/>
        </w:rPr>
      </w:pPr>
    </w:p>
    <w:tbl>
      <w:tblPr>
        <w:tblW w:w="0" w:type="auto"/>
        <w:jc w:val="left"/>
        <w:tblInd w:w="804" w:type="dxa"/>
        <w:tblLayout w:type="fixed"/>
        <w:tblCellMar>
          <w:top w:w="0" w:type="dxa"/>
          <w:left w:w="0" w:type="dxa"/>
          <w:bottom w:w="0" w:type="dxa"/>
          <w:right w:w="0" w:type="dxa"/>
        </w:tblCellMar>
        <w:tblLook w:val="01E0"/>
      </w:tblPr>
      <w:tblGrid>
        <w:gridCol w:w="3216"/>
        <w:gridCol w:w="1462"/>
        <w:gridCol w:w="1277"/>
        <w:gridCol w:w="1417"/>
        <w:gridCol w:w="1418"/>
        <w:gridCol w:w="1416"/>
      </w:tblGrid>
      <w:tr>
        <w:trPr>
          <w:trHeight w:val="346"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14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61"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27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268"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41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38"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39"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4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247" w:right="0"/>
              <w:jc w:val="left"/>
              <w:rPr>
                <w:rFonts w:ascii="宋体" w:hAnsi="宋体" w:cs="宋体" w:eastAsia="宋体" w:hint="default"/>
                <w:sz w:val="18"/>
                <w:szCs w:val="18"/>
              </w:rPr>
            </w:pPr>
            <w:r>
              <w:rPr>
                <w:rFonts w:ascii="宋体" w:hAnsi="宋体" w:cs="宋体" w:eastAsia="宋体" w:hint="default"/>
                <w:sz w:val="18"/>
                <w:szCs w:val="18"/>
              </w:rPr>
              <w:t>海南椰德利</w:t>
            </w:r>
          </w:p>
        </w:tc>
      </w:tr>
      <w:tr>
        <w:trPr>
          <w:trHeight w:val="353"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62" w:type="dxa"/>
            <w:tcBorders>
              <w:top w:val="single" w:sz="12" w:space="0" w:color="000000"/>
              <w:left w:val="single" w:sz="8" w:space="0" w:color="000000"/>
              <w:bottom w:val="single" w:sz="8" w:space="0" w:color="000000"/>
              <w:right w:val="single" w:sz="8" w:space="0" w:color="000000"/>
            </w:tcBorders>
          </w:tcPr>
          <w:p>
            <w:pPr/>
          </w:p>
        </w:tc>
        <w:tc>
          <w:tcPr>
            <w:tcW w:w="1277" w:type="dxa"/>
            <w:tcBorders>
              <w:top w:val="single" w:sz="12" w:space="0" w:color="000000"/>
              <w:left w:val="single" w:sz="8" w:space="0" w:color="000000"/>
              <w:bottom w:val="single" w:sz="8" w:space="0" w:color="000000"/>
              <w:right w:val="single" w:sz="8" w:space="0" w:color="000000"/>
            </w:tcBorders>
          </w:tcPr>
          <w:p>
            <w:pPr/>
          </w:p>
        </w:tc>
        <w:tc>
          <w:tcPr>
            <w:tcW w:w="1417" w:type="dxa"/>
            <w:tcBorders>
              <w:top w:val="single" w:sz="12" w:space="0" w:color="000000"/>
              <w:left w:val="single" w:sz="8" w:space="0" w:color="000000"/>
              <w:bottom w:val="single" w:sz="8" w:space="0" w:color="000000"/>
              <w:right w:val="single" w:sz="8" w:space="0" w:color="000000"/>
            </w:tcBorders>
          </w:tcPr>
          <w:p>
            <w:pPr/>
          </w:p>
        </w:tc>
        <w:tc>
          <w:tcPr>
            <w:tcW w:w="1418" w:type="dxa"/>
            <w:tcBorders>
              <w:top w:val="single" w:sz="12" w:space="0" w:color="000000"/>
              <w:left w:val="single" w:sz="8" w:space="0" w:color="000000"/>
              <w:bottom w:val="single" w:sz="8" w:space="0" w:color="000000"/>
              <w:right w:val="single" w:sz="8" w:space="0" w:color="000000"/>
            </w:tcBorders>
          </w:tcPr>
          <w:p>
            <w:pPr/>
          </w:p>
        </w:tc>
        <w:tc>
          <w:tcPr>
            <w:tcW w:w="1416"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495,900,000.00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172,800,000.00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3" w:right="-2"/>
              <w:jc w:val="left"/>
              <w:rPr>
                <w:rFonts w:ascii="Times New Roman" w:hAnsi="Times New Roman" w:cs="Times New Roman" w:eastAsia="Times New Roman" w:hint="default"/>
                <w:sz w:val="18"/>
                <w:szCs w:val="18"/>
              </w:rPr>
            </w:pPr>
            <w:r>
              <w:rPr>
                <w:rFonts w:ascii="Times New Roman"/>
                <w:sz w:val="18"/>
              </w:rPr>
              <w:t>201,600,000.00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85,610,000.00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0" w:right="-1"/>
              <w:jc w:val="left"/>
              <w:rPr>
                <w:rFonts w:ascii="Times New Roman" w:hAnsi="Times New Roman" w:cs="Times New Roman" w:eastAsia="Times New Roman" w:hint="default"/>
                <w:sz w:val="18"/>
                <w:szCs w:val="18"/>
              </w:rPr>
            </w:pPr>
            <w:r>
              <w:rPr>
                <w:rFonts w:ascii="Times New Roman"/>
                <w:sz w:val="18"/>
              </w:rPr>
              <w:t>106,850,000.00</w:t>
            </w:r>
          </w:p>
        </w:tc>
      </w:tr>
      <w:tr>
        <w:trPr>
          <w:trHeight w:val="352"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809,099,988.48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259,199,994.24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3" w:right="-2"/>
              <w:jc w:val="left"/>
              <w:rPr>
                <w:rFonts w:ascii="Times New Roman" w:hAnsi="Times New Roman" w:cs="Times New Roman" w:eastAsia="Times New Roman" w:hint="default"/>
                <w:sz w:val="18"/>
                <w:szCs w:val="18"/>
              </w:rPr>
            </w:pPr>
            <w:r>
              <w:rPr>
                <w:rFonts w:ascii="Times New Roman"/>
                <w:sz w:val="18"/>
              </w:rPr>
              <w:t>518,399,988.48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256,829,893.20</w:t>
            </w: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1,304,999,988.48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431,999,994.24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2" w:right="-2"/>
              <w:jc w:val="left"/>
              <w:rPr>
                <w:rFonts w:ascii="Times New Roman" w:hAnsi="Times New Roman" w:cs="Times New Roman" w:eastAsia="Times New Roman" w:hint="default"/>
                <w:sz w:val="18"/>
                <w:szCs w:val="18"/>
              </w:rPr>
            </w:pPr>
            <w:r>
              <w:rPr>
                <w:rFonts w:ascii="Times New Roman"/>
                <w:sz w:val="18"/>
              </w:rPr>
              <w:t>719,999,988.48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342,439,893.20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0" w:right="0"/>
              <w:jc w:val="left"/>
              <w:rPr>
                <w:rFonts w:ascii="Times New Roman" w:hAnsi="Times New Roman" w:cs="Times New Roman" w:eastAsia="Times New Roman" w:hint="default"/>
                <w:sz w:val="18"/>
                <w:szCs w:val="18"/>
              </w:rPr>
            </w:pPr>
            <w:r>
              <w:rPr>
                <w:rFonts w:ascii="Times New Roman"/>
                <w:sz w:val="18"/>
              </w:rPr>
              <w:t>106,850,000.00</w:t>
            </w:r>
          </w:p>
        </w:tc>
      </w:tr>
      <w:tr>
        <w:trPr>
          <w:trHeight w:val="352"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212,010,161.39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76,712,455.64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2" w:right="-2"/>
              <w:jc w:val="left"/>
              <w:rPr>
                <w:rFonts w:ascii="Times New Roman" w:hAnsi="Times New Roman" w:cs="Times New Roman" w:eastAsia="Times New Roman" w:hint="default"/>
                <w:sz w:val="18"/>
                <w:szCs w:val="18"/>
              </w:rPr>
            </w:pPr>
            <w:r>
              <w:rPr>
                <w:rFonts w:ascii="Times New Roman"/>
                <w:sz w:val="18"/>
              </w:rPr>
              <w:t>126,015,752.76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138,344,610.70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70" w:right="0"/>
              <w:jc w:val="left"/>
              <w:rPr>
                <w:rFonts w:ascii="Times New Roman" w:hAnsi="Times New Roman" w:cs="Times New Roman" w:eastAsia="Times New Roman" w:hint="default"/>
                <w:sz w:val="18"/>
                <w:szCs w:val="18"/>
              </w:rPr>
            </w:pPr>
            <w:r>
              <w:rPr>
                <w:rFonts w:ascii="Times New Roman"/>
                <w:sz w:val="18"/>
              </w:rPr>
              <w:t>106,850,000.00</w:t>
            </w:r>
          </w:p>
        </w:tc>
      </w:tr>
      <w:tr>
        <w:trPr>
          <w:trHeight w:val="665" w:hRule="exact"/>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00" w:lineRule="auto" w:before="21"/>
              <w:ind w:right="-3"/>
              <w:jc w:val="left"/>
              <w:rPr>
                <w:rFonts w:ascii="宋体" w:hAnsi="宋体" w:cs="宋体" w:eastAsia="宋体" w:hint="default"/>
                <w:sz w:val="18"/>
                <w:szCs w:val="18"/>
              </w:rPr>
            </w:pPr>
            <w:r>
              <w:rPr>
                <w:rFonts w:ascii="宋体" w:hAnsi="宋体" w:cs="宋体" w:eastAsia="宋体" w:hint="default"/>
                <w:spacing w:val="4"/>
                <w:sz w:val="18"/>
                <w:szCs w:val="18"/>
              </w:rPr>
              <w:t>商誉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合并成本小于取得的可辨认净资产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公允价值份额的金额</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1,092,989,827.09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355,287,538.60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73" w:right="-2"/>
              <w:jc w:val="left"/>
              <w:rPr>
                <w:rFonts w:ascii="Times New Roman" w:hAnsi="Times New Roman" w:cs="Times New Roman" w:eastAsia="Times New Roman" w:hint="default"/>
                <w:sz w:val="18"/>
                <w:szCs w:val="18"/>
              </w:rPr>
            </w:pPr>
            <w:r>
              <w:rPr>
                <w:rFonts w:ascii="Times New Roman"/>
                <w:sz w:val="18"/>
              </w:rPr>
              <w:t>593,984,235.72</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204,095,282.50</w:t>
            </w:r>
          </w:p>
        </w:tc>
        <w:tc>
          <w:tcPr>
            <w:tcW w:w="1416"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26"/>
        <w:ind w:left="814" w:right="0"/>
        <w:jc w:val="left"/>
      </w:pPr>
      <w:r>
        <w:rPr/>
        <w:t>合并成本公允价值的确定方法、或有对价及其变动的说明：</w:t>
      </w:r>
    </w:p>
    <w:p>
      <w:pPr>
        <w:spacing w:after="0" w:line="240" w:lineRule="auto"/>
        <w:jc w:val="left"/>
        <w:sectPr>
          <w:pgSz w:w="11910" w:h="16840"/>
          <w:pgMar w:header="0" w:footer="982" w:top="1100" w:bottom="1180" w:left="320" w:right="300"/>
        </w:sectPr>
      </w:pPr>
    </w:p>
    <w:p>
      <w:pPr>
        <w:spacing w:line="240" w:lineRule="auto" w:before="9"/>
        <w:rPr>
          <w:rFonts w:ascii="宋体" w:hAnsi="宋体" w:cs="宋体" w:eastAsia="宋体" w:hint="default"/>
          <w:sz w:val="20"/>
          <w:szCs w:val="20"/>
        </w:rPr>
      </w:pPr>
    </w:p>
    <w:p>
      <w:pPr>
        <w:pStyle w:val="BodyText"/>
        <w:spacing w:line="256" w:lineRule="auto" w:before="35"/>
        <w:ind w:left="153" w:right="207" w:firstLine="484"/>
        <w:jc w:val="both"/>
      </w:pPr>
      <w:r>
        <w:rPr/>
        <w:t>①本公司以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日为购买日，向西藏风网发行</w:t>
      </w:r>
      <w:r>
        <w:rPr>
          <w:rFonts w:ascii="Times New Roman" w:hAnsi="Times New Roman" w:cs="Times New Roman" w:eastAsia="Times New Roman" w:hint="default"/>
        </w:rPr>
        <w:t>59,144,736</w:t>
      </w:r>
      <w:r>
        <w:rPr/>
        <w:t>股并支付现金</w:t>
      </w:r>
      <w:r>
        <w:rPr>
          <w:rFonts w:ascii="Times New Roman" w:hAnsi="Times New Roman" w:cs="Times New Roman" w:eastAsia="Times New Roman" w:hint="default"/>
        </w:rPr>
        <w:t>49,590.00</w:t>
      </w:r>
      <w:r>
        <w:rPr/>
        <w:t>万元购买其 </w:t>
      </w:r>
      <w:r>
        <w:rPr>
          <w:spacing w:val="-2"/>
        </w:rPr>
        <w:t>持有的掌视亿通</w:t>
      </w:r>
      <w:r>
        <w:rPr>
          <w:rFonts w:ascii="Times New Roman" w:hAnsi="Times New Roman" w:cs="Times New Roman" w:eastAsia="Times New Roman" w:hint="default"/>
          <w:spacing w:val="-2"/>
        </w:rPr>
        <w:t>100%</w:t>
      </w:r>
      <w:r>
        <w:rPr>
          <w:spacing w:val="-2"/>
        </w:rPr>
        <w:t>股权。每股账面价值人民币</w:t>
      </w:r>
      <w:r>
        <w:rPr>
          <w:rFonts w:ascii="Times New Roman" w:hAnsi="Times New Roman" w:cs="Times New Roman" w:eastAsia="Times New Roman" w:hint="default"/>
          <w:spacing w:val="-2"/>
        </w:rPr>
        <w:t>1.00</w:t>
      </w:r>
      <w:r>
        <w:rPr>
          <w:spacing w:val="-2"/>
        </w:rPr>
        <w:t>元，每股公允价值人民币</w:t>
      </w:r>
      <w:r>
        <w:rPr>
          <w:rFonts w:ascii="Times New Roman" w:hAnsi="Times New Roman" w:cs="Times New Roman" w:eastAsia="Times New Roman" w:hint="default"/>
          <w:spacing w:val="-2"/>
        </w:rPr>
        <w:t>13.68</w:t>
      </w:r>
      <w:r>
        <w:rPr>
          <w:spacing w:val="-2"/>
        </w:rPr>
        <w:t>元（由于本公司股价波</w:t>
      </w:r>
      <w:r>
        <w:rPr>
          <w:spacing w:val="-101"/>
        </w:rPr>
        <w:t> </w:t>
      </w:r>
      <w:r>
        <w:rPr>
          <w:spacing w:val="-101"/>
        </w:rPr>
      </w:r>
      <w:r>
        <w:rPr>
          <w:spacing w:val="-1"/>
        </w:rPr>
        <w:t>动较大，且有一定的限售条件，而本公司的发行价格的定价基准日为第六届董事会</w:t>
      </w:r>
      <w:r>
        <w:rPr>
          <w:rFonts w:ascii="Times New Roman" w:hAnsi="Times New Roman" w:cs="Times New Roman" w:eastAsia="Times New Roman" w:hint="default"/>
          <w:spacing w:val="-1"/>
        </w:rPr>
        <w:t>2014</w:t>
      </w:r>
      <w:r>
        <w:rPr>
          <w:spacing w:val="-1"/>
        </w:rPr>
        <w:t>年第五次临时会议</w:t>
      </w:r>
      <w:r>
        <w:rPr>
          <w:spacing w:val="-83"/>
        </w:rPr>
        <w:t> </w:t>
      </w:r>
      <w:r>
        <w:rPr>
          <w:spacing w:val="-83"/>
        </w:rPr>
      </w:r>
      <w:r>
        <w:rPr>
          <w:spacing w:val="-1"/>
        </w:rPr>
        <w:t>决议公告（</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日），发行价格为定价基准日前</w:t>
      </w:r>
      <w:r>
        <w:rPr>
          <w:rFonts w:ascii="Times New Roman" w:hAnsi="Times New Roman" w:cs="Times New Roman" w:eastAsia="Times New Roman" w:hint="default"/>
          <w:spacing w:val="-1"/>
        </w:rPr>
        <w:t>20</w:t>
      </w:r>
      <w:r>
        <w:rPr>
          <w:spacing w:val="-1"/>
        </w:rPr>
        <w:t>个交易日公司股票均价，即</w:t>
      </w:r>
      <w:r>
        <w:rPr>
          <w:rFonts w:ascii="Times New Roman" w:hAnsi="Times New Roman" w:cs="Times New Roman" w:eastAsia="Times New Roman" w:hint="default"/>
          <w:spacing w:val="-1"/>
        </w:rPr>
        <w:t>13.72</w:t>
      </w:r>
      <w:r>
        <w:rPr>
          <w:spacing w:val="-1"/>
        </w:rPr>
        <w:t>元</w:t>
      </w:r>
      <w:r>
        <w:rPr>
          <w:rFonts w:ascii="Times New Roman" w:hAnsi="Times New Roman" w:cs="Times New Roman" w:eastAsia="Times New Roman" w:hint="default"/>
          <w:spacing w:val="-1"/>
        </w:rPr>
        <w:t>/</w:t>
      </w:r>
      <w:r>
        <w:rPr>
          <w:spacing w:val="-1"/>
        </w:rPr>
        <w:t>股。经公司</w:t>
      </w:r>
      <w:r>
        <w:rPr>
          <w:spacing w:val="-87"/>
        </w:rPr>
        <w:t> </w:t>
      </w:r>
      <w:r>
        <w:rPr>
          <w:spacing w:val="-87"/>
        </w:rPr>
      </w:r>
      <w:r>
        <w:rPr>
          <w:spacing w:val="-5"/>
        </w:rPr>
        <w:t>与交易对方协商，发行价格为</w:t>
      </w:r>
      <w:r>
        <w:rPr>
          <w:rFonts w:ascii="Times New Roman" w:hAnsi="Times New Roman" w:cs="Times New Roman" w:eastAsia="Times New Roman" w:hint="default"/>
          <w:spacing w:val="-5"/>
        </w:rPr>
        <w:t>13.72</w:t>
      </w:r>
      <w:r>
        <w:rPr>
          <w:spacing w:val="-5"/>
        </w:rPr>
        <w:t>元</w:t>
      </w:r>
      <w:r>
        <w:rPr>
          <w:rFonts w:ascii="Times New Roman" w:hAnsi="Times New Roman" w:cs="Times New Roman" w:eastAsia="Times New Roman" w:hint="default"/>
          <w:spacing w:val="-5"/>
        </w:rPr>
        <w:t>/</w:t>
      </w:r>
      <w:r>
        <w:rPr>
          <w:spacing w:val="-5"/>
        </w:rPr>
        <w:t>股。公司于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25</w:t>
      </w:r>
      <w:r>
        <w:rPr>
          <w:spacing w:val="-5"/>
        </w:rPr>
        <w:t>日召开的</w:t>
      </w:r>
      <w:r>
        <w:rPr>
          <w:rFonts w:ascii="Times New Roman" w:hAnsi="Times New Roman" w:cs="Times New Roman" w:eastAsia="Times New Roman" w:hint="default"/>
          <w:spacing w:val="-5"/>
        </w:rPr>
        <w:t>2013</w:t>
      </w:r>
      <w:r>
        <w:rPr>
          <w:spacing w:val="-5"/>
        </w:rPr>
        <w:t>年度股东大会审议通过了《</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年度利润分配预案及公积金转增股本预案》，同意向公司全体股东每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0.40</w:t>
      </w:r>
      <w:r>
        <w:rPr/>
        <w:t>元（含税）。公司</w:t>
      </w:r>
      <w:r>
        <w:rPr>
          <w:spacing w:val="-81"/>
        </w:rPr>
        <w:t> </w:t>
      </w:r>
      <w:r>
        <w:rPr>
          <w:spacing w:val="-81"/>
        </w:rPr>
      </w:r>
      <w:r>
        <w:rPr/>
        <w:t>实施上述分红派息事项后向交易对方发行股份的价格调整为</w:t>
      </w:r>
      <w:r>
        <w:rPr>
          <w:rFonts w:ascii="Times New Roman" w:hAnsi="Times New Roman" w:cs="Times New Roman" w:eastAsia="Times New Roman" w:hint="default"/>
        </w:rPr>
        <w:t>13.68</w:t>
      </w:r>
      <w:r>
        <w:rPr/>
        <w:t>元</w:t>
      </w:r>
      <w:r>
        <w:rPr>
          <w:rFonts w:ascii="Times New Roman" w:hAnsi="Times New Roman" w:cs="Times New Roman" w:eastAsia="Times New Roman" w:hint="default"/>
        </w:rPr>
        <w:t>/</w:t>
      </w:r>
      <w:r>
        <w:rPr/>
        <w:t>股。）合并成本在购买日的总额为人</w:t>
      </w:r>
      <w:r>
        <w:rPr>
          <w:spacing w:val="-46"/>
        </w:rPr>
        <w:t> </w:t>
      </w:r>
      <w:r>
        <w:rPr>
          <w:spacing w:val="-46"/>
        </w:rPr>
      </w:r>
      <w:r>
        <w:rPr/>
        <w:t>民币</w:t>
      </w:r>
      <w:r>
        <w:rPr>
          <w:rFonts w:ascii="Times New Roman" w:hAnsi="Times New Roman" w:cs="Times New Roman" w:eastAsia="Times New Roman" w:hint="default"/>
        </w:rPr>
        <w:t>1,304,999,988.48</w:t>
      </w:r>
      <w:r>
        <w:rPr/>
        <w:t>元。</w:t>
      </w:r>
    </w:p>
    <w:p>
      <w:pPr>
        <w:pStyle w:val="BodyText"/>
        <w:spacing w:line="256" w:lineRule="auto" w:before="5"/>
        <w:ind w:left="153" w:right="101" w:firstLine="484"/>
        <w:jc w:val="left"/>
      </w:pPr>
      <w:r>
        <w:rPr/>
        <w:t>购买日的确定依据：</w:t>
      </w:r>
      <w:r>
        <w:rPr>
          <w:spacing w:val="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日，掌视亿通股权过户手续已办理完成，履行了工商变更登记手</w:t>
      </w:r>
      <w:r>
        <w:rPr>
          <w:spacing w:val="1"/>
        </w:rPr>
        <w:t> </w:t>
      </w:r>
      <w:r>
        <w:rPr/>
        <w:t>续，股权已经过户到公司名下。</w:t>
      </w:r>
    </w:p>
    <w:p>
      <w:pPr>
        <w:pStyle w:val="BodyText"/>
        <w:spacing w:line="256" w:lineRule="auto" w:before="22"/>
        <w:ind w:left="153" w:right="203" w:firstLine="484"/>
        <w:jc w:val="left"/>
      </w:pPr>
      <w:r>
        <w:rPr>
          <w:spacing w:val="-2"/>
        </w:rPr>
        <w:t>掌视亿通是于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日在天津成立的公司，总部位于天津，主要从事于运营商视频业务。在被</w:t>
      </w:r>
      <w:r>
        <w:rPr/>
        <w:t> 合并之前，掌视亿通的母公司为西藏风网，最终实际控制人为刘述尧。</w:t>
      </w:r>
    </w:p>
    <w:p>
      <w:pPr>
        <w:pStyle w:val="BodyText"/>
        <w:spacing w:line="256" w:lineRule="auto" w:before="22"/>
        <w:ind w:left="153" w:right="176" w:firstLine="484"/>
        <w:jc w:val="both"/>
      </w:pPr>
      <w:r>
        <w:rPr/>
        <w:t>②本公司以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日为购买日，向精视投资发行</w:t>
      </w:r>
      <w:r>
        <w:rPr>
          <w:rFonts w:ascii="Times New Roman" w:hAnsi="Times New Roman" w:cs="Times New Roman" w:eastAsia="Times New Roman" w:hint="default"/>
        </w:rPr>
        <w:t>13,039,049</w:t>
      </w:r>
      <w:r>
        <w:rPr/>
        <w:t>股、向莫昂投资发行</w:t>
      </w:r>
      <w:r>
        <w:rPr>
          <w:rFonts w:ascii="Times New Roman" w:hAnsi="Times New Roman" w:cs="Times New Roman" w:eastAsia="Times New Roman" w:hint="default"/>
        </w:rPr>
        <w:t>5,908,319</w:t>
      </w:r>
      <w:r>
        <w:rPr/>
        <w:t>股并 向精视投资、莫昂投资支付现金合计</w:t>
      </w:r>
      <w:r>
        <w:rPr>
          <w:rFonts w:ascii="Times New Roman" w:hAnsi="Times New Roman" w:cs="Times New Roman" w:eastAsia="Times New Roman" w:hint="default"/>
        </w:rPr>
        <w:t>17,280.00</w:t>
      </w:r>
      <w:r>
        <w:rPr/>
        <w:t>万元购买其合计持有的精视文化</w:t>
      </w:r>
      <w:r>
        <w:rPr>
          <w:rFonts w:ascii="Times New Roman" w:hAnsi="Times New Roman" w:cs="Times New Roman" w:eastAsia="Times New Roman" w:hint="default"/>
        </w:rPr>
        <w:t>60%</w:t>
      </w:r>
      <w:r>
        <w:rPr/>
        <w:t>股权。每股账面价值人</w:t>
      </w:r>
      <w:r>
        <w:rPr>
          <w:spacing w:val="-101"/>
        </w:rPr>
        <w:t> </w:t>
      </w:r>
      <w:r>
        <w:rPr>
          <w:spacing w:val="-101"/>
        </w:rPr>
      </w:r>
      <w:r>
        <w:rPr/>
        <w:t>民币</w:t>
      </w:r>
      <w:r>
        <w:rPr>
          <w:rFonts w:ascii="Times New Roman" w:hAnsi="Times New Roman" w:cs="Times New Roman" w:eastAsia="Times New Roman" w:hint="default"/>
        </w:rPr>
        <w:t>1.00</w:t>
      </w:r>
      <w:r>
        <w:rPr/>
        <w:t>元，每股公允价值人民币</w:t>
      </w:r>
      <w:r>
        <w:rPr>
          <w:rFonts w:ascii="Times New Roman" w:hAnsi="Times New Roman" w:cs="Times New Roman" w:eastAsia="Times New Roman" w:hint="default"/>
        </w:rPr>
        <w:t>13.68</w:t>
      </w:r>
      <w:r>
        <w:rPr/>
        <w:t>元（由于本公司股价波动较大，且有一定的限售条件，而本公司的 发行价格的定价基准日为第六届董事会</w:t>
      </w:r>
      <w:r>
        <w:rPr>
          <w:rFonts w:ascii="Times New Roman" w:hAnsi="Times New Roman" w:cs="Times New Roman" w:eastAsia="Times New Roman" w:hint="default"/>
        </w:rPr>
        <w:t>2014</w:t>
      </w:r>
      <w:r>
        <w:rPr/>
        <w:t>年第五次临时会议决议公告（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日），发行价格为</w:t>
      </w:r>
      <w:r>
        <w:rPr>
          <w:spacing w:val="-41"/>
        </w:rPr>
        <w:t> </w:t>
      </w:r>
      <w:r>
        <w:rPr>
          <w:spacing w:val="-41"/>
        </w:rPr>
      </w:r>
      <w:r>
        <w:rPr/>
        <w:t>定价基准日前</w:t>
      </w:r>
      <w:r>
        <w:rPr>
          <w:rFonts w:ascii="Times New Roman" w:hAnsi="Times New Roman" w:cs="Times New Roman" w:eastAsia="Times New Roman" w:hint="default"/>
        </w:rPr>
        <w:t>20</w:t>
      </w:r>
      <w:r>
        <w:rPr/>
        <w:t>个交易日公司股票均价，即</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股。经公司与交易对方协商，发行价格为</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年度利润分配预案及公积金转增股本预</w:t>
      </w:r>
      <w:r>
        <w:rPr>
          <w:spacing w:val="-38"/>
        </w:rPr>
        <w:t> </w:t>
      </w:r>
      <w:r>
        <w:rPr>
          <w:spacing w:val="-38"/>
        </w:rPr>
      </w:r>
      <w:r>
        <w:rPr/>
        <w:t>案》，同意向公司全体股东每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0.40</w:t>
      </w:r>
      <w:r>
        <w:rPr/>
        <w:t>元（含税）。公司实施上述分红派息事项后向交易对方发</w:t>
      </w:r>
      <w:r>
        <w:rPr>
          <w:spacing w:val="-81"/>
        </w:rPr>
        <w:t> </w:t>
      </w:r>
      <w:r>
        <w:rPr>
          <w:spacing w:val="-81"/>
        </w:rPr>
      </w:r>
      <w:r>
        <w:rPr/>
        <w:t>行股份的价格调整为</w:t>
      </w:r>
      <w:r>
        <w:rPr>
          <w:rFonts w:ascii="Times New Roman" w:hAnsi="Times New Roman" w:cs="Times New Roman" w:eastAsia="Times New Roman" w:hint="default"/>
        </w:rPr>
        <w:t>13.68</w:t>
      </w:r>
      <w:r>
        <w:rPr/>
        <w:t>元</w:t>
      </w:r>
      <w:r>
        <w:rPr>
          <w:rFonts w:ascii="Times New Roman" w:hAnsi="Times New Roman" w:cs="Times New Roman" w:eastAsia="Times New Roman" w:hint="default"/>
        </w:rPr>
        <w:t>/</w:t>
      </w:r>
      <w:r>
        <w:rPr/>
        <w:t>股。）合并成本在购买日的总额为人民币</w:t>
      </w:r>
      <w:r>
        <w:rPr>
          <w:rFonts w:ascii="Times New Roman" w:hAnsi="Times New Roman" w:cs="Times New Roman" w:eastAsia="Times New Roman" w:hint="default"/>
        </w:rPr>
        <w:t>431,999,994.24</w:t>
      </w:r>
      <w:r>
        <w:rPr/>
        <w:t>元。</w:t>
      </w:r>
    </w:p>
    <w:p>
      <w:pPr>
        <w:pStyle w:val="BodyText"/>
        <w:spacing w:line="256" w:lineRule="auto" w:before="5"/>
        <w:ind w:left="153" w:right="101" w:firstLine="484"/>
        <w:jc w:val="left"/>
      </w:pPr>
      <w:r>
        <w:rPr/>
        <w:t>购买日的确定依据：</w:t>
      </w:r>
      <w:r>
        <w:rPr>
          <w:spacing w:val="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日，精视文化股权过户手续已办理完成，履行了工商变更登记手</w:t>
      </w:r>
      <w:r>
        <w:rPr>
          <w:spacing w:val="1"/>
        </w:rPr>
        <w:t> </w:t>
      </w:r>
      <w:r>
        <w:rPr/>
        <w:t>续，股权已经过户到公司名下。</w:t>
      </w:r>
    </w:p>
    <w:p>
      <w:pPr>
        <w:pStyle w:val="BodyText"/>
        <w:spacing w:line="264" w:lineRule="auto" w:before="22"/>
        <w:ind w:left="153" w:right="102" w:firstLine="484"/>
        <w:jc w:val="left"/>
      </w:pPr>
      <w:r>
        <w:rPr/>
        <w:t>精视文化是于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日在上海成立的公司，总部位于上海，主要从事于电梯框架广告业务。在 </w:t>
      </w:r>
      <w:r>
        <w:rPr>
          <w:spacing w:val="-3"/>
        </w:rPr>
        <w:t>被合并之前，精视文化的母公司为精视投资，根据精视投资股东蔡德春与傅广平签订的《一致行动协议》，</w:t>
      </w:r>
      <w:r>
        <w:rPr>
          <w:spacing w:val="-95"/>
        </w:rPr>
        <w:t> </w:t>
      </w:r>
      <w:r>
        <w:rPr>
          <w:spacing w:val="-95"/>
        </w:rPr>
      </w:r>
      <w:r>
        <w:rPr/>
        <w:t>精视投资的实际控制人为蔡德春和傅广平。</w:t>
      </w:r>
    </w:p>
    <w:p>
      <w:pPr>
        <w:pStyle w:val="BodyText"/>
        <w:spacing w:line="256" w:lineRule="auto" w:before="16"/>
        <w:ind w:left="153" w:right="101" w:firstLine="484"/>
        <w:jc w:val="left"/>
      </w:pPr>
      <w:r>
        <w:rPr>
          <w:spacing w:val="-2"/>
        </w:rPr>
        <w:t>③本公司以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日为购买日，向程顺玲发行</w:t>
      </w:r>
      <w:r>
        <w:rPr>
          <w:rFonts w:ascii="Times New Roman" w:hAnsi="Times New Roman" w:cs="Times New Roman" w:eastAsia="Times New Roman" w:hint="default"/>
          <w:spacing w:val="-2"/>
        </w:rPr>
        <w:t>20,751,789</w:t>
      </w:r>
      <w:r>
        <w:rPr>
          <w:spacing w:val="-2"/>
        </w:rPr>
        <w:t>股、向李菊莲发行</w:t>
      </w:r>
      <w:r>
        <w:rPr>
          <w:rFonts w:ascii="Times New Roman" w:hAnsi="Times New Roman" w:cs="Times New Roman" w:eastAsia="Times New Roman" w:hint="default"/>
          <w:spacing w:val="-2"/>
        </w:rPr>
        <w:t>14,436,421</w:t>
      </w:r>
      <w:r>
        <w:rPr>
          <w:spacing w:val="-2"/>
        </w:rPr>
        <w:t>股、向曾</w:t>
      </w:r>
      <w:r>
        <w:rPr/>
        <w:t> 子帆发行</w:t>
      </w:r>
      <w:r>
        <w:rPr>
          <w:rFonts w:ascii="Times New Roman" w:hAnsi="Times New Roman" w:cs="Times New Roman" w:eastAsia="Times New Roman" w:hint="default"/>
        </w:rPr>
        <w:t>2,706,526</w:t>
      </w:r>
      <w:r>
        <w:rPr/>
        <w:t>股并向程顺玲、李菊莲、曾子帆支付现金合计</w:t>
      </w:r>
      <w:r>
        <w:rPr>
          <w:rFonts w:ascii="Times New Roman" w:hAnsi="Times New Roman" w:cs="Times New Roman" w:eastAsia="Times New Roman" w:hint="default"/>
        </w:rPr>
        <w:t>20,160.00</w:t>
      </w:r>
      <w:r>
        <w:rPr/>
        <w:t>万元购买其合计持有的邦富软件 </w:t>
      </w:r>
      <w:r>
        <w:rPr>
          <w:rFonts w:ascii="Times New Roman" w:hAnsi="Times New Roman" w:cs="Times New Roman" w:eastAsia="Times New Roman" w:hint="default"/>
          <w:spacing w:val="-2"/>
        </w:rPr>
        <w:t>100%</w:t>
      </w:r>
      <w:r>
        <w:rPr>
          <w:spacing w:val="-2"/>
        </w:rPr>
        <w:t>股权。每股账面价值人民币</w:t>
      </w:r>
      <w:r>
        <w:rPr>
          <w:rFonts w:ascii="Times New Roman" w:hAnsi="Times New Roman" w:cs="Times New Roman" w:eastAsia="Times New Roman" w:hint="default"/>
          <w:spacing w:val="-2"/>
        </w:rPr>
        <w:t>1.00</w:t>
      </w:r>
      <w:r>
        <w:rPr>
          <w:spacing w:val="-2"/>
        </w:rPr>
        <w:t>元，每股公允价值人民币</w:t>
      </w:r>
      <w:r>
        <w:rPr>
          <w:rFonts w:ascii="Times New Roman" w:hAnsi="Times New Roman" w:cs="Times New Roman" w:eastAsia="Times New Roman" w:hint="default"/>
          <w:spacing w:val="-2"/>
        </w:rPr>
        <w:t>13.68</w:t>
      </w:r>
      <w:r>
        <w:rPr>
          <w:spacing w:val="-2"/>
        </w:rPr>
        <w:t>元（由于本公司股价波动较大，且有一</w:t>
      </w:r>
      <w:r>
        <w:rPr>
          <w:spacing w:val="-98"/>
        </w:rPr>
        <w:t> </w:t>
      </w:r>
      <w:r>
        <w:rPr>
          <w:spacing w:val="-98"/>
        </w:rPr>
      </w:r>
      <w:r>
        <w:rPr/>
        <w:t>定的限售条件，而本公司的发行价格的定价基准日为第六届董事会</w:t>
      </w:r>
      <w:r>
        <w:rPr>
          <w:rFonts w:ascii="Times New Roman" w:hAnsi="Times New Roman" w:cs="Times New Roman" w:eastAsia="Times New Roman" w:hint="default"/>
        </w:rPr>
        <w:t>2014</w:t>
      </w:r>
      <w:r>
        <w:rPr/>
        <w:t>年第五次临时会议决议公告（</w:t>
      </w:r>
      <w:r>
        <w:rPr>
          <w:rFonts w:ascii="Times New Roman" w:hAnsi="Times New Roman" w:cs="Times New Roman" w:eastAsia="Times New Roman" w:hint="default"/>
        </w:rPr>
        <w:t>2014 </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30</w:t>
      </w:r>
      <w:r>
        <w:rPr>
          <w:spacing w:val="-3"/>
        </w:rPr>
        <w:t>日），发行价格为定价基准日前</w:t>
      </w:r>
      <w:r>
        <w:rPr>
          <w:rFonts w:ascii="Times New Roman" w:hAnsi="Times New Roman" w:cs="Times New Roman" w:eastAsia="Times New Roman" w:hint="default"/>
          <w:spacing w:val="-3"/>
        </w:rPr>
        <w:t>20</w:t>
      </w:r>
      <w:r>
        <w:rPr>
          <w:spacing w:val="-3"/>
        </w:rPr>
        <w:t>个交易日公司股票均价，即</w:t>
      </w:r>
      <w:r>
        <w:rPr>
          <w:rFonts w:ascii="Times New Roman" w:hAnsi="Times New Roman" w:cs="Times New Roman" w:eastAsia="Times New Roman" w:hint="default"/>
          <w:spacing w:val="-3"/>
        </w:rPr>
        <w:t>13.72</w:t>
      </w:r>
      <w:r>
        <w:rPr>
          <w:spacing w:val="-3"/>
        </w:rPr>
        <w:t>元</w:t>
      </w:r>
      <w:r>
        <w:rPr>
          <w:rFonts w:ascii="Times New Roman" w:hAnsi="Times New Roman" w:cs="Times New Roman" w:eastAsia="Times New Roman" w:hint="default"/>
          <w:spacing w:val="-3"/>
        </w:rPr>
        <w:t>/</w:t>
      </w:r>
      <w:r>
        <w:rPr>
          <w:spacing w:val="-3"/>
        </w:rPr>
        <w:t>股。经公司与交易对方协商，</w:t>
      </w:r>
      <w:r>
        <w:rPr>
          <w:spacing w:val="-88"/>
        </w:rPr>
        <w:t> </w:t>
      </w:r>
      <w:r>
        <w:rPr>
          <w:spacing w:val="-88"/>
        </w:rPr>
      </w:r>
      <w:r>
        <w:rPr/>
        <w:t>发行价格为</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年度利润分配预 案及公积金转增股本预案》，同意向公司全体股东每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0.40</w:t>
      </w:r>
      <w:r>
        <w:rPr/>
        <w:t>元（含税）。公司实施上述分红派</w:t>
      </w:r>
      <w:r>
        <w:rPr>
          <w:spacing w:val="-81"/>
        </w:rPr>
        <w:t> </w:t>
      </w:r>
      <w:r>
        <w:rPr>
          <w:spacing w:val="-81"/>
        </w:rPr>
      </w:r>
      <w:r>
        <w:rPr>
          <w:spacing w:val="-4"/>
        </w:rPr>
        <w:t>息事项后向交易对方发行股份的价格调整为</w:t>
      </w:r>
      <w:r>
        <w:rPr>
          <w:rFonts w:ascii="Times New Roman" w:hAnsi="Times New Roman" w:cs="Times New Roman" w:eastAsia="Times New Roman" w:hint="default"/>
          <w:spacing w:val="-4"/>
        </w:rPr>
        <w:t>13.68</w:t>
      </w:r>
      <w:r>
        <w:rPr>
          <w:spacing w:val="-4"/>
        </w:rPr>
        <w:t>元</w:t>
      </w:r>
      <w:r>
        <w:rPr>
          <w:rFonts w:ascii="Times New Roman" w:hAnsi="Times New Roman" w:cs="Times New Roman" w:eastAsia="Times New Roman" w:hint="default"/>
          <w:spacing w:val="-4"/>
        </w:rPr>
        <w:t>/</w:t>
      </w:r>
      <w:r>
        <w:rPr>
          <w:spacing w:val="-4"/>
        </w:rPr>
        <w:t>股。）合并成本在购买日的总额为人民币</w:t>
      </w:r>
      <w:r>
        <w:rPr>
          <w:rFonts w:ascii="Times New Roman" w:hAnsi="Times New Roman" w:cs="Times New Roman" w:eastAsia="Times New Roman" w:hint="default"/>
          <w:spacing w:val="-4"/>
        </w:rPr>
        <w:t>719,999,988.48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w:t>
      </w:r>
    </w:p>
    <w:p>
      <w:pPr>
        <w:pStyle w:val="BodyText"/>
        <w:spacing w:line="256" w:lineRule="auto" w:before="22"/>
        <w:ind w:right="101" w:firstLine="484"/>
        <w:jc w:val="left"/>
      </w:pPr>
      <w:r>
        <w:rPr/>
        <w:t>购买日的确定依据：</w:t>
      </w:r>
      <w:r>
        <w:rPr>
          <w:spacing w:val="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日，邦富软件股权过户手续已办理完成，履行了工商变更登记手</w:t>
      </w:r>
      <w:r>
        <w:rPr>
          <w:spacing w:val="1"/>
        </w:rPr>
        <w:t> </w:t>
      </w:r>
      <w:r>
        <w:rPr/>
        <w:t>续，股权已经过户到公司名下。</w:t>
      </w:r>
    </w:p>
    <w:p>
      <w:pPr>
        <w:pStyle w:val="BodyText"/>
        <w:spacing w:line="256" w:lineRule="auto" w:before="22"/>
        <w:ind w:right="202" w:firstLine="484"/>
        <w:jc w:val="left"/>
      </w:pPr>
      <w:r>
        <w:rPr>
          <w:spacing w:val="-2"/>
        </w:rPr>
        <w:t>邦富软件是于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日在广州成立的公司，总部位于广州，主要从事于舆情监测业务。在被合</w:t>
      </w:r>
      <w:r>
        <w:rPr/>
        <w:t> 并之前，邦富软件的实际控制人为程顺玲。</w:t>
      </w:r>
    </w:p>
    <w:p>
      <w:pPr>
        <w:pStyle w:val="BodyText"/>
        <w:spacing w:line="256" w:lineRule="auto" w:before="22"/>
        <w:ind w:right="101" w:firstLine="484"/>
        <w:jc w:val="left"/>
      </w:pPr>
      <w:r>
        <w:rPr/>
        <w:t>④本公司以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日为购买日，向金城发行</w:t>
      </w:r>
      <w:r>
        <w:rPr>
          <w:rFonts w:ascii="Times New Roman" w:hAnsi="Times New Roman" w:cs="Times New Roman" w:eastAsia="Times New Roman" w:hint="default"/>
        </w:rPr>
        <w:t>11,348,684</w:t>
      </w:r>
      <w:r>
        <w:rPr/>
        <w:t>股、向长沙传怡发行</w:t>
      </w:r>
      <w:r>
        <w:rPr>
          <w:rFonts w:ascii="Times New Roman" w:hAnsi="Times New Roman" w:cs="Times New Roman" w:eastAsia="Times New Roman" w:hint="default"/>
        </w:rPr>
        <w:t>2,691,885</w:t>
      </w:r>
      <w:r>
        <w:rPr/>
        <w:t>股、向湖 南富坤发行</w:t>
      </w:r>
      <w:r>
        <w:rPr>
          <w:rFonts w:ascii="Times New Roman" w:hAnsi="Times New Roman" w:cs="Times New Roman" w:eastAsia="Times New Roman" w:hint="default"/>
        </w:rPr>
        <w:t>1,096,491</w:t>
      </w:r>
      <w:r>
        <w:rPr/>
        <w:t>股、向北京中技发行</w:t>
      </w:r>
      <w:r>
        <w:rPr>
          <w:rFonts w:ascii="Times New Roman" w:hAnsi="Times New Roman" w:cs="Times New Roman" w:eastAsia="Times New Roman" w:hint="default"/>
        </w:rPr>
        <w:t>1,096,491</w:t>
      </w:r>
      <w:r>
        <w:rPr/>
        <w:t>股、向广东粤文投发行</w:t>
      </w:r>
      <w:r>
        <w:rPr>
          <w:rFonts w:ascii="Times New Roman" w:hAnsi="Times New Roman" w:cs="Times New Roman" w:eastAsia="Times New Roman" w:hint="default"/>
        </w:rPr>
        <w:t>1,096,491</w:t>
      </w:r>
      <w:r>
        <w:rPr/>
        <w:t>股、向广州漫时代发行 </w:t>
      </w:r>
      <w:r>
        <w:rPr>
          <w:rFonts w:ascii="Times New Roman" w:hAnsi="Times New Roman" w:cs="Times New Roman" w:eastAsia="Times New Roman" w:hint="default"/>
          <w:spacing w:val="-2"/>
        </w:rPr>
        <w:t>375,000</w:t>
      </w:r>
      <w:r>
        <w:rPr>
          <w:spacing w:val="-2"/>
        </w:rPr>
        <w:t>股、向俞涌发行</w:t>
      </w:r>
      <w:r>
        <w:rPr>
          <w:rFonts w:ascii="Times New Roman" w:hAnsi="Times New Roman" w:cs="Times New Roman" w:eastAsia="Times New Roman" w:hint="default"/>
          <w:spacing w:val="-2"/>
        </w:rPr>
        <w:t>230,263</w:t>
      </w:r>
      <w:r>
        <w:rPr>
          <w:spacing w:val="-2"/>
        </w:rPr>
        <w:t>股、向邵璐璐发行</w:t>
      </w:r>
      <w:r>
        <w:rPr>
          <w:rFonts w:ascii="Times New Roman" w:hAnsi="Times New Roman" w:cs="Times New Roman" w:eastAsia="Times New Roman" w:hint="default"/>
          <w:spacing w:val="-2"/>
        </w:rPr>
        <w:t>98,684</w:t>
      </w:r>
      <w:r>
        <w:rPr>
          <w:spacing w:val="-2"/>
        </w:rPr>
        <w:t>股、向刘洋发行</w:t>
      </w:r>
      <w:r>
        <w:rPr>
          <w:rFonts w:ascii="Times New Roman" w:hAnsi="Times New Roman" w:cs="Times New Roman" w:eastAsia="Times New Roman" w:hint="default"/>
          <w:spacing w:val="-2"/>
        </w:rPr>
        <w:t>78,947</w:t>
      </w:r>
      <w:r>
        <w:rPr>
          <w:spacing w:val="-2"/>
        </w:rPr>
        <w:t>股、向张显峰发行</w:t>
      </w:r>
      <w:r>
        <w:rPr>
          <w:rFonts w:ascii="Times New Roman" w:hAnsi="Times New Roman" w:cs="Times New Roman" w:eastAsia="Times New Roman" w:hint="default"/>
          <w:spacing w:val="-2"/>
        </w:rPr>
        <w:t>78,947</w:t>
      </w:r>
      <w:r>
        <w:rPr>
          <w:spacing w:val="-2"/>
        </w:rPr>
        <w:t>股、</w:t>
      </w:r>
      <w:r>
        <w:rPr>
          <w:spacing w:val="-73"/>
        </w:rPr>
        <w:t> </w:t>
      </w:r>
      <w:r>
        <w:rPr/>
        <w:t>向张茜发行</w:t>
      </w:r>
      <w:r>
        <w:rPr>
          <w:rFonts w:ascii="Times New Roman" w:hAnsi="Times New Roman" w:cs="Times New Roman" w:eastAsia="Times New Roman" w:hint="default"/>
        </w:rPr>
        <w:t>78,947</w:t>
      </w:r>
      <w:r>
        <w:rPr/>
        <w:t>股、向朱斌发行</w:t>
      </w:r>
      <w:r>
        <w:rPr>
          <w:rFonts w:ascii="Times New Roman" w:hAnsi="Times New Roman" w:cs="Times New Roman" w:eastAsia="Times New Roman" w:hint="default"/>
        </w:rPr>
        <w:t>78,947</w:t>
      </w:r>
      <w:r>
        <w:rPr/>
        <w:t>股、向崔伟良发行</w:t>
      </w:r>
      <w:r>
        <w:rPr>
          <w:rFonts w:ascii="Times New Roman" w:hAnsi="Times New Roman" w:cs="Times New Roman" w:eastAsia="Times New Roman" w:hint="default"/>
        </w:rPr>
        <w:t>49,342</w:t>
      </w:r>
      <w:r>
        <w:rPr/>
        <w:t>股、向施桂贤发行</w:t>
      </w:r>
      <w:r>
        <w:rPr>
          <w:rFonts w:ascii="Times New Roman" w:hAnsi="Times New Roman" w:cs="Times New Roman" w:eastAsia="Times New Roman" w:hint="default"/>
        </w:rPr>
        <w:t>49,342</w:t>
      </w:r>
      <w:r>
        <w:rPr/>
        <w:t>股、向许勇和发 </w:t>
      </w:r>
      <w:r>
        <w:rPr>
          <w:spacing w:val="-4"/>
        </w:rPr>
        <w:t>行</w:t>
      </w:r>
      <w:r>
        <w:rPr>
          <w:rFonts w:ascii="Times New Roman" w:hAnsi="Times New Roman" w:cs="Times New Roman" w:eastAsia="Times New Roman" w:hint="default"/>
          <w:spacing w:val="-4"/>
        </w:rPr>
        <w:t>49,342</w:t>
      </w:r>
      <w:r>
        <w:rPr>
          <w:spacing w:val="-4"/>
        </w:rPr>
        <w:t>股、向曹凌玲发行</w:t>
      </w:r>
      <w:r>
        <w:rPr>
          <w:rFonts w:ascii="Times New Roman" w:hAnsi="Times New Roman" w:cs="Times New Roman" w:eastAsia="Times New Roman" w:hint="default"/>
          <w:spacing w:val="-4"/>
        </w:rPr>
        <w:t>49,342</w:t>
      </w:r>
      <w:r>
        <w:rPr>
          <w:spacing w:val="-4"/>
        </w:rPr>
        <w:t>股、向赖春晖发行</w:t>
      </w:r>
      <w:r>
        <w:rPr>
          <w:rFonts w:ascii="Times New Roman" w:hAnsi="Times New Roman" w:cs="Times New Roman" w:eastAsia="Times New Roman" w:hint="default"/>
          <w:spacing w:val="-4"/>
        </w:rPr>
        <w:t>49,342</w:t>
      </w:r>
      <w:r>
        <w:rPr>
          <w:spacing w:val="-4"/>
        </w:rPr>
        <w:t>股、向邵洪涛发行</w:t>
      </w:r>
      <w:r>
        <w:rPr>
          <w:rFonts w:ascii="Times New Roman" w:hAnsi="Times New Roman" w:cs="Times New Roman" w:eastAsia="Times New Roman" w:hint="default"/>
          <w:spacing w:val="-4"/>
        </w:rPr>
        <w:t>29,605</w:t>
      </w:r>
      <w:r>
        <w:rPr>
          <w:spacing w:val="-4"/>
        </w:rPr>
        <w:t>股、向祖雅乐发行</w:t>
      </w:r>
      <w:r>
        <w:rPr>
          <w:rFonts w:ascii="Times New Roman" w:hAnsi="Times New Roman" w:cs="Times New Roman" w:eastAsia="Times New Roman" w:hint="default"/>
          <w:spacing w:val="-4"/>
        </w:rPr>
        <w:t>29,605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股、向邱月仙发行</w:t>
      </w:r>
      <w:r>
        <w:rPr>
          <w:rFonts w:ascii="Times New Roman" w:hAnsi="Times New Roman" w:cs="Times New Roman" w:eastAsia="Times New Roman" w:hint="default"/>
        </w:rPr>
        <w:t>29,605</w:t>
      </w:r>
      <w:r>
        <w:rPr/>
        <w:t>股、向葛重葳发行</w:t>
      </w:r>
      <w:r>
        <w:rPr>
          <w:rFonts w:ascii="Times New Roman" w:hAnsi="Times New Roman" w:cs="Times New Roman" w:eastAsia="Times New Roman" w:hint="default"/>
        </w:rPr>
        <w:t>29,605</w:t>
      </w:r>
      <w:r>
        <w:rPr/>
        <w:t>股、向韩露发行</w:t>
      </w:r>
      <w:r>
        <w:rPr>
          <w:rFonts w:ascii="Times New Roman" w:hAnsi="Times New Roman" w:cs="Times New Roman" w:eastAsia="Times New Roman" w:hint="default"/>
        </w:rPr>
        <w:t>19,736</w:t>
      </w:r>
      <w:r>
        <w:rPr/>
        <w:t>股、向丁冰发行</w:t>
      </w:r>
      <w:r>
        <w:rPr>
          <w:rFonts w:ascii="Times New Roman" w:hAnsi="Times New Roman" w:cs="Times New Roman" w:eastAsia="Times New Roman" w:hint="default"/>
        </w:rPr>
        <w:t>19,736</w:t>
      </w:r>
      <w:r>
        <w:rPr/>
        <w:t>股、向李凌</w:t>
      </w:r>
    </w:p>
    <w:p>
      <w:pPr>
        <w:spacing w:after="0" w:line="256" w:lineRule="auto"/>
        <w:jc w:val="left"/>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BodyText"/>
        <w:spacing w:line="256" w:lineRule="auto" w:before="35"/>
        <w:ind w:left="693" w:right="967"/>
        <w:jc w:val="both"/>
      </w:pPr>
      <w:r>
        <w:rPr>
          <w:spacing w:val="-2"/>
        </w:rPr>
        <w:t>彪发行</w:t>
      </w:r>
      <w:r>
        <w:rPr>
          <w:rFonts w:ascii="Times New Roman" w:hAnsi="Times New Roman" w:cs="Times New Roman" w:eastAsia="Times New Roman" w:hint="default"/>
          <w:spacing w:val="-2"/>
        </w:rPr>
        <w:t>19,736</w:t>
      </w:r>
      <w:r>
        <w:rPr>
          <w:spacing w:val="-2"/>
        </w:rPr>
        <w:t>股并向金城等支付现金合计</w:t>
      </w:r>
      <w:r>
        <w:rPr>
          <w:rFonts w:ascii="Times New Roman" w:hAnsi="Times New Roman" w:cs="Times New Roman" w:eastAsia="Times New Roman" w:hint="default"/>
          <w:spacing w:val="-2"/>
        </w:rPr>
        <w:t>8,561.00</w:t>
      </w:r>
      <w:r>
        <w:rPr>
          <w:spacing w:val="-2"/>
        </w:rPr>
        <w:t>万元购买其合计持有的漫友文化</w:t>
      </w:r>
      <w:r>
        <w:rPr>
          <w:rFonts w:ascii="Times New Roman" w:hAnsi="Times New Roman" w:cs="Times New Roman" w:eastAsia="Times New Roman" w:hint="default"/>
          <w:spacing w:val="-2"/>
        </w:rPr>
        <w:t>85.61%</w:t>
      </w:r>
      <w:r>
        <w:rPr>
          <w:spacing w:val="-2"/>
        </w:rPr>
        <w:t>股权。每股账面价</w:t>
      </w:r>
      <w:r>
        <w:rPr>
          <w:spacing w:val="-94"/>
        </w:rPr>
        <w:t> </w:t>
      </w:r>
      <w:r>
        <w:rPr>
          <w:spacing w:val="-94"/>
        </w:rPr>
      </w:r>
      <w:r>
        <w:rPr>
          <w:spacing w:val="-1"/>
        </w:rPr>
        <w:t>值人民币</w:t>
      </w:r>
      <w:r>
        <w:rPr>
          <w:rFonts w:ascii="Times New Roman" w:hAnsi="Times New Roman" w:cs="Times New Roman" w:eastAsia="Times New Roman" w:hint="default"/>
          <w:spacing w:val="-1"/>
        </w:rPr>
        <w:t>1.00</w:t>
      </w:r>
      <w:r>
        <w:rPr>
          <w:spacing w:val="-1"/>
        </w:rPr>
        <w:t>元，每股公允价值人民币</w:t>
      </w:r>
      <w:r>
        <w:rPr>
          <w:rFonts w:ascii="Times New Roman" w:hAnsi="Times New Roman" w:cs="Times New Roman" w:eastAsia="Times New Roman" w:hint="default"/>
          <w:spacing w:val="-1"/>
        </w:rPr>
        <w:t>13.68</w:t>
      </w:r>
      <w:r>
        <w:rPr>
          <w:spacing w:val="-1"/>
        </w:rPr>
        <w:t>元（由于本公司股价波动较大，且有一定的限售条件，而本公</w:t>
      </w:r>
      <w:r>
        <w:rPr>
          <w:spacing w:val="-82"/>
        </w:rPr>
        <w:t> </w:t>
      </w:r>
      <w:r>
        <w:rPr>
          <w:spacing w:val="-82"/>
        </w:rPr>
      </w:r>
      <w:r>
        <w:rPr/>
        <w:t>司的发行价格的定价基准日为第六届董事会</w:t>
      </w:r>
      <w:r>
        <w:rPr>
          <w:rFonts w:ascii="Times New Roman" w:hAnsi="Times New Roman" w:cs="Times New Roman" w:eastAsia="Times New Roman" w:hint="default"/>
        </w:rPr>
        <w:t>2014</w:t>
      </w:r>
      <w:r>
        <w:rPr/>
        <w:t>年第五次临时会议决议公告（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日），发行价</w:t>
      </w:r>
      <w:r>
        <w:rPr>
          <w:spacing w:val="-38"/>
        </w:rPr>
        <w:t> </w:t>
      </w:r>
      <w:r>
        <w:rPr>
          <w:spacing w:val="-38"/>
        </w:rPr>
      </w:r>
      <w:r>
        <w:rPr>
          <w:spacing w:val="-1"/>
        </w:rPr>
        <w:t>格为定价基准日前</w:t>
      </w:r>
      <w:r>
        <w:rPr>
          <w:rFonts w:ascii="Times New Roman" w:hAnsi="Times New Roman" w:cs="Times New Roman" w:eastAsia="Times New Roman" w:hint="default"/>
          <w:spacing w:val="-1"/>
        </w:rPr>
        <w:t>20</w:t>
      </w:r>
      <w:r>
        <w:rPr>
          <w:spacing w:val="-1"/>
        </w:rPr>
        <w:t>个交易日公司股票均价，即</w:t>
      </w:r>
      <w:r>
        <w:rPr>
          <w:rFonts w:ascii="Times New Roman" w:hAnsi="Times New Roman" w:cs="Times New Roman" w:eastAsia="Times New Roman" w:hint="default"/>
          <w:spacing w:val="-1"/>
        </w:rPr>
        <w:t>13.72</w:t>
      </w:r>
      <w:r>
        <w:rPr>
          <w:spacing w:val="-1"/>
        </w:rPr>
        <w:t>元</w:t>
      </w:r>
      <w:r>
        <w:rPr>
          <w:rFonts w:ascii="Times New Roman" w:hAnsi="Times New Roman" w:cs="Times New Roman" w:eastAsia="Times New Roman" w:hint="default"/>
          <w:spacing w:val="-1"/>
        </w:rPr>
        <w:t>/</w:t>
      </w:r>
      <w:r>
        <w:rPr>
          <w:spacing w:val="-1"/>
        </w:rPr>
        <w:t>股。经公司与交易对方协商，发行价格为</w:t>
      </w:r>
      <w:r>
        <w:rPr>
          <w:rFonts w:ascii="Times New Roman" w:hAnsi="Times New Roman" w:cs="Times New Roman" w:eastAsia="Times New Roman" w:hint="default"/>
          <w:spacing w:val="-1"/>
        </w:rPr>
        <w:t>13.72</w:t>
      </w:r>
      <w:r>
        <w:rPr>
          <w:spacing w:val="-1"/>
        </w:rPr>
        <w:t>元</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3"/>
        </w:rPr>
        <w:t> </w:t>
      </w:r>
      <w:r>
        <w:rPr/>
        <w:t>股。公司于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年度利润分配预案及公积金转增股</w:t>
      </w:r>
      <w:r>
        <w:rPr>
          <w:spacing w:val="-38"/>
        </w:rPr>
        <w:t> </w:t>
      </w:r>
      <w:r>
        <w:rPr>
          <w:spacing w:val="-38"/>
        </w:rPr>
      </w:r>
      <w:r>
        <w:rPr/>
        <w:t>本预案》，同意向公司全体股东每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0.40</w:t>
      </w:r>
      <w:r>
        <w:rPr/>
        <w:t>元（含税）。公司实施上述分红派息事项后向交易对</w:t>
      </w:r>
      <w:r>
        <w:rPr>
          <w:spacing w:val="-81"/>
        </w:rPr>
        <w:t> </w:t>
      </w:r>
      <w:r>
        <w:rPr>
          <w:spacing w:val="-81"/>
        </w:rPr>
      </w:r>
      <w:r>
        <w:rPr/>
        <w:t>方发行股份的价格调整为</w:t>
      </w:r>
      <w:r>
        <w:rPr>
          <w:rFonts w:ascii="Times New Roman" w:hAnsi="Times New Roman" w:cs="Times New Roman" w:eastAsia="Times New Roman" w:hint="default"/>
        </w:rPr>
        <w:t>13.68</w:t>
      </w:r>
      <w:r>
        <w:rPr/>
        <w:t>元</w:t>
      </w:r>
      <w:r>
        <w:rPr>
          <w:rFonts w:ascii="Times New Roman" w:hAnsi="Times New Roman" w:cs="Times New Roman" w:eastAsia="Times New Roman" w:hint="default"/>
        </w:rPr>
        <w:t>/</w:t>
      </w:r>
      <w:r>
        <w:rPr/>
        <w:t>股。）合并成本在购买日的总额为人民币</w:t>
      </w:r>
      <w:r>
        <w:rPr>
          <w:rFonts w:ascii="Times New Roman" w:hAnsi="Times New Roman" w:cs="Times New Roman" w:eastAsia="Times New Roman" w:hint="default"/>
        </w:rPr>
        <w:t>342,439,893.20</w:t>
      </w:r>
      <w:r>
        <w:rPr/>
        <w:t>元。</w:t>
      </w:r>
    </w:p>
    <w:p>
      <w:pPr>
        <w:pStyle w:val="BodyText"/>
        <w:spacing w:line="256" w:lineRule="auto" w:before="5"/>
        <w:ind w:left="693" w:right="967" w:firstLine="484"/>
        <w:jc w:val="both"/>
      </w:pPr>
      <w:r>
        <w:rPr/>
        <w:t>购买日的确定依据：</w:t>
      </w:r>
      <w:r>
        <w:rPr>
          <w:spacing w:val="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日，漫友文化股权过户手续已办理完成，履行了工商变更登记手</w:t>
      </w:r>
      <w:r>
        <w:rPr>
          <w:spacing w:val="1"/>
        </w:rPr>
        <w:t> </w:t>
      </w:r>
      <w:r>
        <w:rPr/>
        <w:t>续，股权已经过户到公司名下。</w:t>
      </w:r>
    </w:p>
    <w:p>
      <w:pPr>
        <w:pStyle w:val="BodyText"/>
        <w:spacing w:line="256" w:lineRule="auto" w:before="22"/>
        <w:ind w:left="693" w:right="970" w:firstLine="484"/>
        <w:jc w:val="both"/>
      </w:pPr>
      <w:r>
        <w:rPr>
          <w:spacing w:val="-2"/>
        </w:rPr>
        <w:t>漫友文化是于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日在广州成立的公司，总部位于广州，主要从事于漫画期刊和漫画图书的</w:t>
      </w:r>
      <w:r>
        <w:rPr/>
        <w:t> 策划与发行业务。在被合并之前，漫友文化的实际控制人为金城。</w:t>
      </w:r>
    </w:p>
    <w:p>
      <w:pPr>
        <w:pStyle w:val="BodyText"/>
        <w:spacing w:line="256" w:lineRule="auto" w:before="22"/>
        <w:ind w:left="693" w:right="971" w:firstLine="484"/>
        <w:jc w:val="both"/>
      </w:pPr>
      <w:r>
        <w:rPr>
          <w:spacing w:val="-1"/>
        </w:rPr>
        <w:t>⑤本公司以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日为购买日，支付现金人民币</w:t>
      </w:r>
      <w:r>
        <w:rPr>
          <w:rFonts w:ascii="Times New Roman" w:hAnsi="Times New Roman" w:cs="Times New Roman" w:eastAsia="Times New Roman" w:hint="default"/>
          <w:spacing w:val="-1"/>
        </w:rPr>
        <w:t>106,850,000.00</w:t>
      </w:r>
      <w:r>
        <w:rPr>
          <w:spacing w:val="-1"/>
        </w:rPr>
        <w:t>元作为合并成本购买了海南椰德</w:t>
      </w:r>
      <w:r>
        <w:rPr/>
        <w:t> 利</w:t>
      </w:r>
      <w:r>
        <w:rPr>
          <w:rFonts w:ascii="Times New Roman" w:hAnsi="Times New Roman" w:cs="Times New Roman" w:eastAsia="Times New Roman" w:hint="default"/>
        </w:rPr>
        <w:t>100%</w:t>
      </w:r>
      <w:r>
        <w:rPr/>
        <w:t>的股权。</w:t>
      </w:r>
    </w:p>
    <w:p>
      <w:pPr>
        <w:pStyle w:val="BodyText"/>
        <w:spacing w:line="256" w:lineRule="auto" w:before="5"/>
        <w:ind w:left="693" w:right="970" w:firstLine="484"/>
        <w:jc w:val="both"/>
      </w:pPr>
      <w:r>
        <w:rPr/>
        <w:t>购买日的确定依据：截止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日，本公司已支付股权购买价款，海南椰德利股权过户手续已 办理完成，履行了工商变更登记手续，股权已经过户到公司名下。</w:t>
      </w:r>
    </w:p>
    <w:p>
      <w:pPr>
        <w:pStyle w:val="BodyText"/>
        <w:spacing w:line="256" w:lineRule="auto" w:before="22"/>
        <w:ind w:left="693" w:right="970" w:firstLine="484"/>
        <w:jc w:val="both"/>
      </w:pPr>
      <w:r>
        <w:rPr/>
        <w:t>海南椰德利是于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日在海南成立的公司，总部位于海口，主要从事于房地产开发业务。在 被合并之前，海南椰德利的控股股东为华澳国际信托有限公司。</w:t>
      </w:r>
    </w:p>
    <w:p>
      <w:pPr>
        <w:pStyle w:val="BodyText"/>
        <w:spacing w:line="240" w:lineRule="auto" w:before="63"/>
        <w:ind w:left="693" w:right="0"/>
        <w:jc w:val="both"/>
      </w:pPr>
      <w:r>
        <w:rPr/>
        <w:t>大额商誉形成的主要原因：</w:t>
      </w:r>
    </w:p>
    <w:p>
      <w:pPr>
        <w:pStyle w:val="BodyText"/>
        <w:spacing w:line="261" w:lineRule="auto" w:before="76"/>
        <w:ind w:left="694" w:right="948" w:firstLine="484"/>
        <w:jc w:val="both"/>
      </w:pPr>
      <w:r>
        <w:rPr>
          <w:spacing w:val="18"/>
        </w:rPr>
        <w:t>①本次合并成本</w:t>
      </w:r>
      <w:r>
        <w:rPr>
          <w:spacing w:val="-84"/>
        </w:rPr>
        <w:t> </w:t>
      </w:r>
      <w:r>
        <w:rPr>
          <w:rFonts w:ascii="Times New Roman" w:hAnsi="Times New Roman" w:cs="Times New Roman" w:eastAsia="Times New Roman" w:hint="default"/>
        </w:rPr>
        <w:t>1,304,999,988.48</w:t>
      </w:r>
      <w:r>
        <w:rPr>
          <w:rFonts w:ascii="Times New Roman" w:hAnsi="Times New Roman" w:cs="Times New Roman" w:eastAsia="Times New Roman" w:hint="default"/>
          <w:spacing w:val="-30"/>
        </w:rPr>
        <w:t> </w:t>
      </w:r>
      <w:r>
        <w:rPr>
          <w:spacing w:val="21"/>
        </w:rPr>
        <w:t>元，被购买方掌视亿通于购买日可辨认净资产的公允价值为</w:t>
      </w:r>
      <w:r>
        <w:rPr>
          <w:spacing w:val="-83"/>
        </w:rPr>
        <w:t> </w:t>
      </w:r>
      <w:r>
        <w:rPr>
          <w:rFonts w:ascii="Times New Roman" w:hAnsi="Times New Roman" w:cs="Times New Roman" w:eastAsia="Times New Roman" w:hint="default"/>
          <w:spacing w:val="-2"/>
        </w:rPr>
        <w:t>212,010,161.39</w:t>
      </w:r>
      <w:r>
        <w:rPr>
          <w:spacing w:val="-2"/>
        </w:rPr>
        <w:t>元，差额</w:t>
      </w:r>
      <w:r>
        <w:rPr>
          <w:rFonts w:ascii="Times New Roman" w:hAnsi="Times New Roman" w:cs="Times New Roman" w:eastAsia="Times New Roman" w:hint="default"/>
          <w:spacing w:val="-2"/>
        </w:rPr>
        <w:t>1,092,989,827.09</w:t>
      </w:r>
      <w:r>
        <w:rPr>
          <w:spacing w:val="-2"/>
        </w:rPr>
        <w:t>元形成商誉，原因主要系掌视亿通为轻资产类企业，现有净资产价</w:t>
      </w:r>
      <w:r>
        <w:rPr>
          <w:spacing w:val="-70"/>
        </w:rPr>
        <w:t> </w:t>
      </w:r>
      <w:r>
        <w:rPr>
          <w:spacing w:val="-70"/>
        </w:rPr>
      </w:r>
      <w:r>
        <w:rPr>
          <w:spacing w:val="-1"/>
        </w:rPr>
        <w:t>值无法反映企业价值和未来获利能力。根据中和资产评估有限公司公司出具的《资产评估报告》（中和评</w:t>
      </w:r>
      <w:r>
        <w:rPr>
          <w:spacing w:val="-82"/>
        </w:rPr>
        <w:t> </w:t>
      </w:r>
      <w:r>
        <w:rPr>
          <w:spacing w:val="-82"/>
        </w:rPr>
      </w:r>
      <w:r>
        <w:rPr/>
        <w:t>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YCV1038D001</w:t>
      </w:r>
      <w:r>
        <w:rPr/>
        <w:t>号），掌视亿通按收益法评估的价值与本次合并成本基本一致。</w:t>
      </w:r>
    </w:p>
    <w:p>
      <w:pPr>
        <w:pStyle w:val="BodyText"/>
        <w:spacing w:line="261" w:lineRule="auto" w:before="0"/>
        <w:ind w:left="694" w:right="943" w:firstLine="484"/>
        <w:jc w:val="both"/>
      </w:pPr>
      <w:r>
        <w:rPr>
          <w:spacing w:val="23"/>
        </w:rPr>
        <w:t>②本次合并成本</w:t>
      </w:r>
      <w:r>
        <w:rPr>
          <w:spacing w:val="-75"/>
        </w:rPr>
        <w:t> </w:t>
      </w:r>
      <w:r>
        <w:rPr>
          <w:rFonts w:ascii="Times New Roman" w:hAnsi="Times New Roman" w:cs="Times New Roman" w:eastAsia="Times New Roman" w:hint="default"/>
        </w:rPr>
        <w:t>431,999,994.24</w:t>
      </w:r>
      <w:r>
        <w:rPr>
          <w:rFonts w:ascii="Times New Roman" w:hAnsi="Times New Roman" w:cs="Times New Roman" w:eastAsia="Times New Roman" w:hint="default"/>
          <w:spacing w:val="-22"/>
        </w:rPr>
        <w:t> </w:t>
      </w:r>
      <w:r>
        <w:rPr>
          <w:spacing w:val="13"/>
        </w:rPr>
        <w:t>元，</w:t>
      </w:r>
      <w:r>
        <w:rPr>
          <w:spacing w:val="-76"/>
        </w:rPr>
        <w:t> </w:t>
      </w:r>
      <w:r>
        <w:rPr>
          <w:spacing w:val="25"/>
        </w:rPr>
        <w:t>被购买方精视文化于购买日可辨认净资产的公允价值为</w:t>
      </w:r>
      <w:r>
        <w:rPr>
          <w:spacing w:val="-78"/>
        </w:rPr>
        <w:t> </w:t>
      </w:r>
      <w:r>
        <w:rPr>
          <w:rFonts w:ascii="Times New Roman" w:hAnsi="Times New Roman" w:cs="Times New Roman" w:eastAsia="Times New Roman" w:hint="default"/>
          <w:spacing w:val="-1"/>
        </w:rPr>
        <w:t>76,712,455.64</w:t>
      </w:r>
      <w:r>
        <w:rPr>
          <w:spacing w:val="-1"/>
        </w:rPr>
        <w:t>元，差额</w:t>
      </w:r>
      <w:r>
        <w:rPr>
          <w:rFonts w:ascii="Times New Roman" w:hAnsi="Times New Roman" w:cs="Times New Roman" w:eastAsia="Times New Roman" w:hint="default"/>
          <w:spacing w:val="-1"/>
        </w:rPr>
        <w:t>355,287,538.60</w:t>
      </w:r>
      <w:r>
        <w:rPr>
          <w:spacing w:val="-1"/>
        </w:rPr>
        <w:t>元形成商誉，原因主要系精视文化为轻资产类企业，现有净资产价值</w:t>
      </w:r>
      <w:r>
        <w:rPr>
          <w:spacing w:val="-82"/>
        </w:rPr>
        <w:t> </w:t>
      </w:r>
      <w:r>
        <w:rPr>
          <w:spacing w:val="-82"/>
        </w:rPr>
      </w:r>
      <w:r>
        <w:rPr/>
        <w:t>无法反映企业价值和未来获利能力。根据中和资产评估有限公司公司出具的《资产评估报告》（中和评报</w:t>
      </w:r>
      <w:r>
        <w:rPr/>
        <w:t> 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YCV1038D002</w:t>
      </w:r>
      <w:r>
        <w:rPr/>
        <w:t>号），精视文化收益法评估的价值与本次合并成本基本一致。</w:t>
      </w:r>
    </w:p>
    <w:p>
      <w:pPr>
        <w:pStyle w:val="BodyText"/>
        <w:spacing w:line="261" w:lineRule="auto" w:before="0"/>
        <w:ind w:left="694" w:right="943" w:firstLine="484"/>
        <w:jc w:val="both"/>
      </w:pPr>
      <w:r>
        <w:rPr>
          <w:spacing w:val="23"/>
        </w:rPr>
        <w:t>③本次合并成本</w:t>
      </w:r>
      <w:r>
        <w:rPr>
          <w:spacing w:val="-75"/>
        </w:rPr>
        <w:t> </w:t>
      </w:r>
      <w:r>
        <w:rPr>
          <w:rFonts w:ascii="Times New Roman" w:hAnsi="Times New Roman" w:cs="Times New Roman" w:eastAsia="Times New Roman" w:hint="default"/>
        </w:rPr>
        <w:t>719,999,988.48</w:t>
      </w:r>
      <w:r>
        <w:rPr>
          <w:rFonts w:ascii="Times New Roman" w:hAnsi="Times New Roman" w:cs="Times New Roman" w:eastAsia="Times New Roman" w:hint="default"/>
          <w:spacing w:val="-22"/>
        </w:rPr>
        <w:t> </w:t>
      </w:r>
      <w:r>
        <w:rPr>
          <w:spacing w:val="13"/>
        </w:rPr>
        <w:t>元，</w:t>
      </w:r>
      <w:r>
        <w:rPr>
          <w:spacing w:val="-76"/>
        </w:rPr>
        <w:t> </w:t>
      </w:r>
      <w:r>
        <w:rPr>
          <w:spacing w:val="25"/>
        </w:rPr>
        <w:t>被购买方邦富软件于购买日可辨认净资产的公允价值为</w:t>
      </w:r>
      <w:r>
        <w:rPr>
          <w:spacing w:val="-78"/>
        </w:rPr>
        <w:t> </w:t>
      </w:r>
      <w:r>
        <w:rPr>
          <w:rFonts w:ascii="Times New Roman" w:hAnsi="Times New Roman" w:cs="Times New Roman" w:eastAsia="Times New Roman" w:hint="default"/>
        </w:rPr>
        <w:t>126,015,752.76</w:t>
      </w:r>
      <w:r>
        <w:rPr/>
        <w:t>元，差额</w:t>
      </w:r>
      <w:r>
        <w:rPr>
          <w:rFonts w:ascii="Times New Roman" w:hAnsi="Times New Roman" w:cs="Times New Roman" w:eastAsia="Times New Roman" w:hint="default"/>
        </w:rPr>
        <w:t>593,984,235.72</w:t>
      </w:r>
      <w:r>
        <w:rPr/>
        <w:t>元形成商誉，原因主要系邦富软件为轻资产类企业，现有净资产价</w:t>
      </w:r>
      <w:r>
        <w:rPr>
          <w:spacing w:val="-48"/>
        </w:rPr>
        <w:t> </w:t>
      </w:r>
      <w:r>
        <w:rPr/>
        <w:t>值无法反映企业价值和未来获利能力。根据中和资产评估有限公司公司出具的《资产评估报告》（中和评</w:t>
      </w:r>
      <w:r>
        <w:rPr/>
        <w:t> 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YCV1038D003</w:t>
      </w:r>
      <w:r>
        <w:rPr/>
        <w:t>号），邦富软件收益法评估的价值与本次合并成本基本一致。</w:t>
      </w:r>
    </w:p>
    <w:p>
      <w:pPr>
        <w:pStyle w:val="BodyText"/>
        <w:spacing w:line="261" w:lineRule="auto" w:before="0"/>
        <w:ind w:left="694" w:right="943" w:firstLine="484"/>
        <w:jc w:val="both"/>
      </w:pPr>
      <w:r>
        <w:rPr>
          <w:spacing w:val="23"/>
        </w:rPr>
        <w:t>④本次合并成本</w:t>
      </w:r>
      <w:r>
        <w:rPr>
          <w:spacing w:val="-75"/>
        </w:rPr>
        <w:t> </w:t>
      </w:r>
      <w:r>
        <w:rPr>
          <w:rFonts w:ascii="Times New Roman" w:hAnsi="Times New Roman" w:cs="Times New Roman" w:eastAsia="Times New Roman" w:hint="default"/>
        </w:rPr>
        <w:t>342,439,893.20</w:t>
      </w:r>
      <w:r>
        <w:rPr>
          <w:rFonts w:ascii="Times New Roman" w:hAnsi="Times New Roman" w:cs="Times New Roman" w:eastAsia="Times New Roman" w:hint="default"/>
          <w:spacing w:val="-22"/>
        </w:rPr>
        <w:t> </w:t>
      </w:r>
      <w:r>
        <w:rPr>
          <w:spacing w:val="13"/>
        </w:rPr>
        <w:t>元，</w:t>
      </w:r>
      <w:r>
        <w:rPr>
          <w:spacing w:val="-76"/>
        </w:rPr>
        <w:t> </w:t>
      </w:r>
      <w:r>
        <w:rPr>
          <w:spacing w:val="25"/>
        </w:rPr>
        <w:t>被购买方漫友文化于购买日可辨认净资产的公允价值为</w:t>
      </w:r>
      <w:r>
        <w:rPr>
          <w:spacing w:val="-78"/>
        </w:rPr>
        <w:t> </w:t>
      </w:r>
      <w:r>
        <w:rPr>
          <w:rFonts w:ascii="Times New Roman" w:hAnsi="Times New Roman" w:cs="Times New Roman" w:eastAsia="Times New Roman" w:hint="default"/>
        </w:rPr>
        <w:t>138,344,610.70</w:t>
      </w:r>
      <w:r>
        <w:rPr/>
        <w:t>元，差额</w:t>
      </w:r>
      <w:r>
        <w:rPr>
          <w:rFonts w:ascii="Times New Roman" w:hAnsi="Times New Roman" w:cs="Times New Roman" w:eastAsia="Times New Roman" w:hint="default"/>
        </w:rPr>
        <w:t>204,095,282.50</w:t>
      </w:r>
      <w:r>
        <w:rPr/>
        <w:t>元形成商誉，原因主要系漫友文化为轻资产类企业，现有净资产价</w:t>
      </w:r>
      <w:r>
        <w:rPr>
          <w:spacing w:val="-48"/>
        </w:rPr>
        <w:t> </w:t>
      </w:r>
      <w:r>
        <w:rPr/>
        <w:t>值无法反映企业价值和未来获利能力。根据中和资产评估有限公司公司出具的《资产评估报告》（中和评</w:t>
      </w:r>
      <w:r>
        <w:rPr/>
        <w:t> 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YCV1038D004</w:t>
      </w:r>
      <w:r>
        <w:rPr/>
        <w:t>号），漫友文化收益法评估的价值与本次合并成本基本一致。</w:t>
      </w:r>
    </w:p>
    <w:p>
      <w:pPr>
        <w:spacing w:line="240" w:lineRule="auto" w:before="1"/>
        <w:rPr>
          <w:rFonts w:ascii="宋体" w:hAnsi="宋体" w:cs="宋体" w:eastAsia="宋体" w:hint="default"/>
          <w:sz w:val="23"/>
          <w:szCs w:val="23"/>
        </w:rPr>
      </w:pPr>
    </w:p>
    <w:p>
      <w:pPr>
        <w:pStyle w:val="Heading6"/>
        <w:spacing w:line="240" w:lineRule="auto" w:before="0"/>
        <w:ind w:left="694" w:right="0"/>
        <w:jc w:val="both"/>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561"/>
        <w:gridCol w:w="1559"/>
        <w:gridCol w:w="1559"/>
        <w:gridCol w:w="1700"/>
        <w:gridCol w:w="1702"/>
        <w:gridCol w:w="1559"/>
        <w:gridCol w:w="1418"/>
      </w:tblGrid>
      <w:tr>
        <w:trPr>
          <w:trHeight w:val="346" w:hRule="exact"/>
        </w:trPr>
        <w:tc>
          <w:tcPr>
            <w:tcW w:w="1561" w:type="dxa"/>
            <w:vMerge w:val="restart"/>
            <w:tcBorders>
              <w:top w:val="single" w:sz="8" w:space="0" w:color="000000"/>
              <w:left w:val="single" w:sz="8" w:space="0" w:color="000000"/>
              <w:right w:val="single" w:sz="8" w:space="0" w:color="000000"/>
            </w:tcBorders>
            <w:shd w:val="clear" w:color="auto" w:fill="CCCCCC"/>
          </w:tcPr>
          <w:p>
            <w:pPr/>
          </w:p>
        </w:tc>
        <w:tc>
          <w:tcPr>
            <w:tcW w:w="3118"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3402"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邦富软件</w:t>
            </w:r>
          </w:p>
        </w:tc>
      </w:tr>
      <w:tr>
        <w:trPr>
          <w:trHeight w:val="352" w:hRule="exact"/>
        </w:trPr>
        <w:tc>
          <w:tcPr>
            <w:tcW w:w="1561" w:type="dxa"/>
            <w:vMerge/>
            <w:tcBorders>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0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6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221,422,604.60</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221,422,604.60</w:t>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152,783,924.39</w:t>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137,479,066.84</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148,613,688.07</w:t>
            </w:r>
          </w:p>
        </w:tc>
        <w:tc>
          <w:tcPr>
            <w:tcW w:w="14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103,057,610.97</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85,319,342.24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85,319,342.24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19,654,082.69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19,654,082.69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14,506,291.06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14,506,291.06</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135,037,125.68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135,037,125.68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92,960,436.30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92,960,436.30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66,067,072.28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66,067,072.28</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95,426.64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95,426.64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2,941,334.42</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2,941,334.42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440" w:right="1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561"/>
        <w:gridCol w:w="1559"/>
        <w:gridCol w:w="1559"/>
        <w:gridCol w:w="1700"/>
        <w:gridCol w:w="1702"/>
        <w:gridCol w:w="1559"/>
        <w:gridCol w:w="1418"/>
      </w:tblGrid>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596,454.99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596,454.99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2,656,842.84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2,656,842.84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11,147,609.20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11,147,609.20</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15,521,950.24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217,092.69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48,895,266.94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3,339,189.84</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469,681.69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469,681.69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21,895,185.68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21,895,185.68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5,056,114.17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5,056,114.17</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9,412,443.21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9,412,443.21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24,929,831.65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24,929,831.65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22,597,935.31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22,597,935.31</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6,080,000.00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6,080,000.00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5,436,037.19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5,436,037.19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6,911,312.75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6,911,312.75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284,420.44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284,420.44</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5,676,316.99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5,676,316.99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2,443,790.26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2,443,790.26</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969,636.32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969,636.32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1,019,251.50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1,019,251.50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3,976,406.02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3,976,406.02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7,626,961.32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7,626,961.32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6,170,278.18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6,170,278.18</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3,745,604.27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3,745,604.27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118,957.60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118,957.60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101,237.33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101,237.33</w:t>
            </w:r>
          </w:p>
        </w:tc>
      </w:tr>
      <w:tr>
        <w:trPr>
          <w:trHeight w:val="665"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1" w:right="-14"/>
              <w:jc w:val="left"/>
              <w:rPr>
                <w:rFonts w:ascii="宋体" w:hAnsi="宋体" w:cs="宋体" w:eastAsia="宋体" w:hint="default"/>
                <w:sz w:val="18"/>
                <w:szCs w:val="18"/>
              </w:rPr>
            </w:pPr>
            <w:r>
              <w:rPr>
                <w:rFonts w:ascii="宋体" w:hAnsi="宋体" w:cs="宋体" w:eastAsia="宋体" w:hint="default"/>
                <w:spacing w:val="13"/>
                <w:sz w:val="18"/>
                <w:szCs w:val="18"/>
              </w:rPr>
              <w:t>一年内到期的非流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动负债</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5,280,000.00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5,280,000.00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212,010,161.39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212,010,161.39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127,854,092.74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112,549,235.19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126,015,752.76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80,459,675.66</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51,141,637.10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45,019,694.08</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212,010,161.39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212,010,161.39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76,712,455.64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67,529,541.11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126,015,752.76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80,459,675.66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561"/>
        <w:gridCol w:w="1559"/>
        <w:gridCol w:w="1559"/>
        <w:gridCol w:w="1700"/>
        <w:gridCol w:w="1702"/>
      </w:tblGrid>
      <w:tr>
        <w:trPr>
          <w:trHeight w:val="346" w:hRule="exact"/>
        </w:trPr>
        <w:tc>
          <w:tcPr>
            <w:tcW w:w="1561" w:type="dxa"/>
            <w:vMerge w:val="restart"/>
            <w:tcBorders>
              <w:top w:val="single" w:sz="8" w:space="0" w:color="000000"/>
              <w:left w:val="single" w:sz="8" w:space="0" w:color="000000"/>
              <w:right w:val="single" w:sz="8" w:space="0" w:color="000000"/>
            </w:tcBorders>
            <w:shd w:val="clear" w:color="auto" w:fill="CCCCCC"/>
          </w:tcPr>
          <w:p>
            <w:pPr/>
          </w:p>
        </w:tc>
        <w:tc>
          <w:tcPr>
            <w:tcW w:w="3118"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3402"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海南椰德利</w:t>
            </w:r>
          </w:p>
        </w:tc>
      </w:tr>
      <w:tr>
        <w:trPr>
          <w:trHeight w:val="352" w:hRule="exact"/>
        </w:trPr>
        <w:tc>
          <w:tcPr>
            <w:tcW w:w="1561" w:type="dxa"/>
            <w:vMerge/>
            <w:tcBorders>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0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199,205,806.39</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170,771,104.75</w:t>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210,617,557.28</w:t>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169,982,789.08</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15,820,431.01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15,820,431.01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19,998,149.32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19,998,149.32</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97,090,023.68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97,090,023.68</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15,349,821.86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15,349,821.86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176,039,138.34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135,404,370.14</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780,837.45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780,837.45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943,812.62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943,812.62</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28,494,916.37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60,214.73</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41,669,776.02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41,669,776.02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13,636,457.00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13,636,457.00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37,607,148.87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37,607,148.87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103,767,557.28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103,767,557.28</w:t>
            </w:r>
          </w:p>
        </w:tc>
      </w:tr>
      <w:tr>
        <w:trPr>
          <w:trHeight w:val="665"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25,481,084.50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25,481,084.50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10,062,231.81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10,062,231.81</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2,619,285.89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2,619,285.89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94,055,794.36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94,055,794.36</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955,891.56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955,891.56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211,235.00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211,235.00</w:t>
            </w: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164,404.71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164,404.71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-9,321,817.51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-9,321,817.51</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2,871,731.25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2,871,731.25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8,760,113.62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8,760,113.62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440" w:right="1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561"/>
        <w:gridCol w:w="1559"/>
        <w:gridCol w:w="1559"/>
        <w:gridCol w:w="1700"/>
        <w:gridCol w:w="1702"/>
      </w:tblGrid>
      <w:tr>
        <w:trPr>
          <w:trHeight w:val="664"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1" w:right="-14"/>
              <w:jc w:val="left"/>
              <w:rPr>
                <w:rFonts w:ascii="宋体" w:hAnsi="宋体" w:cs="宋体" w:eastAsia="宋体" w:hint="default"/>
                <w:sz w:val="18"/>
                <w:szCs w:val="18"/>
              </w:rPr>
            </w:pPr>
            <w:r>
              <w:rPr>
                <w:rFonts w:ascii="宋体" w:hAnsi="宋体" w:cs="宋体" w:eastAsia="宋体" w:hint="default"/>
                <w:spacing w:val="13"/>
                <w:sz w:val="18"/>
                <w:szCs w:val="18"/>
              </w:rPr>
              <w:t>一年内到期的非流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动负债</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5,514,750.96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5,514,750.96</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161,598,657.52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133,163,955.88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106,850,000.00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66,215,231.80</w:t>
            </w: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23,254,046.82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19,162,293.25</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56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138,344,610.70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114,001,662.63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106,850,000.00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66,215,231.80</w:t>
            </w:r>
          </w:p>
        </w:tc>
      </w:tr>
    </w:tbl>
    <w:p>
      <w:pPr>
        <w:pStyle w:val="BodyText"/>
        <w:spacing w:line="240" w:lineRule="auto" w:before="26"/>
        <w:ind w:left="694" w:right="0"/>
        <w:jc w:val="left"/>
      </w:pPr>
      <w:r>
        <w:rPr/>
        <w:t>可辨认资产、负债公允价值的确定方法：</w:t>
      </w:r>
    </w:p>
    <w:p>
      <w:pPr>
        <w:pStyle w:val="BodyText"/>
        <w:spacing w:line="256" w:lineRule="auto" w:before="75"/>
        <w:ind w:left="1117" w:right="385"/>
        <w:jc w:val="both"/>
      </w:pPr>
      <w:r>
        <w:rPr/>
        <w:t>掌视亿通可辨认资产、负债公允价值经中和评报字（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YCV1038D001</w:t>
      </w:r>
      <w:r>
        <w:rPr/>
        <w:t>号评估报告评估确定。 精视文化可辨认资产、负债公允价值经中和评报字（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YCV1038D002</w:t>
      </w:r>
      <w:r>
        <w:rPr/>
        <w:t>号评估报告评估确定。 邦富软件可辨认资产、负债公允价值经中和评报字（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YCV1038D003</w:t>
      </w:r>
      <w:r>
        <w:rPr/>
        <w:t>号评估报告评估确定。 漫友文化可辨认资产、负债公允价值经中和评报字（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YCV1038D004</w:t>
      </w:r>
      <w:r>
        <w:rPr/>
        <w:t>号评估报告评估确定。 海南椰德利可辨认资产、负债公允价值经卓信大华评报字（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8202</w:t>
      </w:r>
      <w:r>
        <w:rPr/>
        <w:t>号评估报告评估确定。</w:t>
      </w:r>
    </w:p>
    <w:p>
      <w:pPr>
        <w:spacing w:line="240" w:lineRule="auto" w:before="5"/>
        <w:rPr>
          <w:rFonts w:ascii="宋体" w:hAnsi="宋体" w:cs="宋体" w:eastAsia="宋体" w:hint="default"/>
          <w:sz w:val="23"/>
          <w:szCs w:val="23"/>
        </w:rPr>
      </w:pPr>
    </w:p>
    <w:p>
      <w:pPr>
        <w:pStyle w:val="Heading6"/>
        <w:spacing w:line="240" w:lineRule="auto" w:before="0"/>
        <w:ind w:left="693" w:right="0"/>
        <w:jc w:val="left"/>
        <w:rPr>
          <w:b w:val="0"/>
          <w:bCs w:val="0"/>
        </w:rPr>
      </w:pPr>
      <w:r>
        <w:rPr/>
        <w:t>（</w:t>
      </w:r>
      <w:r>
        <w:rPr>
          <w:rFonts w:ascii="Times New Roman" w:hAnsi="Times New Roman" w:cs="Times New Roman" w:eastAsia="Times New Roman" w:hint="default"/>
        </w:rPr>
        <w:t>4</w:t>
      </w:r>
      <w:r>
        <w:rPr/>
        <w:t>）</w:t>
      </w:r>
      <w:r>
        <w:rPr>
          <w:spacing w:val="-2"/>
        </w:rPr>
        <w:t> </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93" w:right="248" w:firstLine="336"/>
        <w:jc w:val="both"/>
      </w:pPr>
      <w:r>
        <w:rPr>
          <w:spacing w:val="10"/>
        </w:rPr>
        <w:t>本公司于</w:t>
      </w:r>
      <w:r>
        <w:rPr>
          <w:rFonts w:ascii="Times New Roman" w:hAnsi="Times New Roman" w:cs="Times New Roman" w:eastAsia="Times New Roman" w:hint="default"/>
          <w:spacing w:val="10"/>
        </w:rPr>
        <w:t>2013</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26</w:t>
      </w:r>
      <w:r>
        <w:rPr>
          <w:spacing w:val="10"/>
        </w:rPr>
        <w:t>日完成对澄怀科技的并购，在购买日，对澄怀科技的合并成本暂按购买价</w:t>
      </w:r>
      <w:r>
        <w:rPr>
          <w:spacing w:val="12"/>
        </w:rPr>
        <w:t> </w:t>
      </w:r>
      <w:r>
        <w:rPr>
          <w:rFonts w:ascii="Times New Roman" w:hAnsi="Times New Roman" w:cs="Times New Roman" w:eastAsia="Times New Roman" w:hint="default"/>
        </w:rPr>
        <w:t>697,999,997.52</w:t>
      </w:r>
      <w:r>
        <w:rPr/>
        <w:t>元确定。根据《企业会计准则讲解》中</w:t>
      </w:r>
      <w:r>
        <w:rPr>
          <w:rFonts w:ascii="Times New Roman" w:hAnsi="Times New Roman" w:cs="Times New Roman" w:eastAsia="Times New Roman" w:hint="default"/>
        </w:rPr>
        <w:t>“</w:t>
      </w:r>
      <w:r>
        <w:rPr/>
        <w:t>合并当期期末，对企业合并成本以暂时确定的价值</w:t>
      </w:r>
      <w:r>
        <w:rPr>
          <w:spacing w:val="-78"/>
        </w:rPr>
        <w:t> </w:t>
      </w:r>
      <w:r>
        <w:rPr>
          <w:spacing w:val="-78"/>
        </w:rPr>
      </w:r>
      <w:r>
        <w:rPr/>
        <w:t>对企业合并进行处理，自购买日算起</w:t>
      </w:r>
      <w:r>
        <w:rPr>
          <w:rFonts w:ascii="Times New Roman" w:hAnsi="Times New Roman" w:cs="Times New Roman" w:eastAsia="Times New Roman" w:hint="default"/>
        </w:rPr>
        <w:t>12</w:t>
      </w:r>
      <w:r>
        <w:rPr/>
        <w:t>个月内取得进一步的信息表明需对原暂时确定的价值进行调整的， 应视同在购买日发生，进行追溯调整</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月，本公司根据北京卓信大华资产评估有限公司卓信大华 </w:t>
      </w:r>
      <w:r>
        <w:rPr>
          <w:spacing w:val="-1"/>
        </w:rPr>
        <w:t>咨报字（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8201</w:t>
      </w:r>
      <w:r>
        <w:rPr>
          <w:spacing w:val="-1"/>
        </w:rPr>
        <w:t>号《收购北京澄怀科技有限公司股权购买日公允价值估值报告》，对购买日的合并</w:t>
      </w:r>
      <w:r>
        <w:rPr>
          <w:spacing w:val="-82"/>
        </w:rPr>
        <w:t> </w:t>
      </w:r>
      <w:r>
        <w:rPr>
          <w:spacing w:val="-82"/>
        </w:rPr>
      </w:r>
      <w:r>
        <w:rPr/>
        <w:t>成本进行追溯调整，调减母公司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日长期股权投资和资本公积</w:t>
      </w:r>
      <w:r>
        <w:rPr>
          <w:rFonts w:ascii="Times New Roman" w:hAnsi="Times New Roman" w:cs="Times New Roman" w:eastAsia="Times New Roman" w:hint="default"/>
        </w:rPr>
        <w:t>29,099,997.52</w:t>
      </w:r>
      <w:r>
        <w:rPr/>
        <w:t>元，同时合并财务</w:t>
      </w:r>
      <w:r>
        <w:rPr>
          <w:spacing w:val="-90"/>
        </w:rPr>
        <w:t> </w:t>
      </w:r>
      <w:r>
        <w:rPr>
          <w:spacing w:val="-90"/>
        </w:rPr>
      </w:r>
      <w:r>
        <w:rPr/>
        <w:t>报表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日商誉减少</w:t>
      </w:r>
      <w:r>
        <w:rPr>
          <w:rFonts w:ascii="Times New Roman" w:hAnsi="Times New Roman" w:cs="Times New Roman" w:eastAsia="Times New Roman" w:hint="default"/>
        </w:rPr>
        <w:t>29,099,997.52</w:t>
      </w:r>
      <w:r>
        <w:rPr/>
        <w:t>元。</w:t>
      </w:r>
    </w:p>
    <w:p>
      <w:pPr>
        <w:spacing w:line="240" w:lineRule="auto" w:before="5"/>
        <w:rPr>
          <w:rFonts w:ascii="宋体" w:hAnsi="宋体" w:cs="宋体" w:eastAsia="宋体" w:hint="default"/>
          <w:sz w:val="23"/>
          <w:szCs w:val="23"/>
        </w:rPr>
      </w:pPr>
    </w:p>
    <w:p>
      <w:pPr>
        <w:pStyle w:val="Heading6"/>
        <w:spacing w:line="240" w:lineRule="auto" w:before="0"/>
        <w:ind w:left="693"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693"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2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547" w:type="dxa"/>
        <w:tblLayout w:type="fixed"/>
        <w:tblCellMar>
          <w:top w:w="0" w:type="dxa"/>
          <w:left w:w="0" w:type="dxa"/>
          <w:bottom w:w="0" w:type="dxa"/>
          <w:right w:w="0" w:type="dxa"/>
        </w:tblCellMar>
        <w:tblLook w:val="01E0"/>
      </w:tblPr>
      <w:tblGrid>
        <w:gridCol w:w="851"/>
        <w:gridCol w:w="851"/>
        <w:gridCol w:w="1417"/>
        <w:gridCol w:w="1559"/>
        <w:gridCol w:w="851"/>
        <w:gridCol w:w="1277"/>
        <w:gridCol w:w="1134"/>
        <w:gridCol w:w="708"/>
        <w:gridCol w:w="1276"/>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3" w:right="72"/>
              <w:jc w:val="left"/>
              <w:rPr>
                <w:rFonts w:ascii="宋体" w:hAnsi="宋体" w:cs="宋体" w:eastAsia="宋体" w:hint="default"/>
                <w:sz w:val="18"/>
                <w:szCs w:val="18"/>
              </w:rPr>
            </w:pPr>
            <w:r>
              <w:rPr>
                <w:rFonts w:ascii="宋体" w:hAnsi="宋体" w:cs="宋体" w:eastAsia="宋体" w:hint="default"/>
                <w:sz w:val="18"/>
                <w:szCs w:val="18"/>
              </w:rPr>
              <w:t>构成同一控制下 企业合并的依据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2"/>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比较期 间被合 并方的 收入</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比较期间被合 并方的净利润</w:t>
            </w: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国广视讯与本公</w:t>
            </w:r>
          </w:p>
        </w:tc>
        <w:tc>
          <w:tcPr>
            <w:tcW w:w="155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国广视讯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firstLine="50"/>
              <w:jc w:val="left"/>
              <w:rPr>
                <w:rFonts w:ascii="宋体" w:hAnsi="宋体" w:cs="宋体" w:eastAsia="宋体" w:hint="default"/>
                <w:sz w:val="18"/>
                <w:szCs w:val="18"/>
              </w:rPr>
            </w:pPr>
            <w:r>
              <w:rPr>
                <w:rFonts w:ascii="宋体" w:hAnsi="宋体" w:cs="宋体" w:eastAsia="宋体" w:hint="default"/>
                <w:sz w:val="18"/>
                <w:szCs w:val="18"/>
              </w:rPr>
              <w:t>司同受国广控股 </w:t>
            </w:r>
            <w:r>
              <w:rPr>
                <w:rFonts w:ascii="宋体" w:hAnsi="宋体" w:cs="宋体" w:eastAsia="宋体" w:hint="default"/>
                <w:spacing w:val="-10"/>
                <w:sz w:val="18"/>
                <w:szCs w:val="18"/>
              </w:rPr>
              <w:t>最终控制，且该控</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149,584,006.47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15,629,584.77</w:t>
            </w:r>
          </w:p>
        </w:tc>
        <w:tc>
          <w:tcPr>
            <w:tcW w:w="708"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-1,131,818.50</w:t>
            </w:r>
          </w:p>
        </w:tc>
      </w:tr>
      <w:tr>
        <w:trPr>
          <w:trHeight w:val="356" w:hRule="exact"/>
        </w:trPr>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制非暂时性。</w:t>
            </w:r>
          </w:p>
        </w:tc>
        <w:tc>
          <w:tcPr>
            <w:tcW w:w="155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26"/>
        <w:ind w:left="694" w:right="0"/>
        <w:jc w:val="left"/>
      </w:pPr>
      <w:r>
        <w:rPr/>
        <w:t>其他说明：</w:t>
      </w:r>
    </w:p>
    <w:p>
      <w:pPr>
        <w:pStyle w:val="BodyText"/>
        <w:spacing w:line="256" w:lineRule="auto" w:before="76"/>
        <w:ind w:left="693" w:right="0" w:firstLine="423"/>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日与国视北京签署《购买资产协议》，公司以现金方式购买国视北京持有的国</w:t>
      </w:r>
      <w:r>
        <w:rPr>
          <w:spacing w:val="2"/>
        </w:rPr>
        <w:t> </w:t>
      </w:r>
      <w:r>
        <w:rPr>
          <w:spacing w:val="-2"/>
        </w:rPr>
        <w:t>视上海</w:t>
      </w:r>
      <w:r>
        <w:rPr>
          <w:rFonts w:ascii="Times New Roman" w:hAnsi="Times New Roman" w:cs="Times New Roman" w:eastAsia="Times New Roman" w:hint="default"/>
          <w:spacing w:val="-2"/>
        </w:rPr>
        <w:t>100.00%</w:t>
      </w:r>
      <w:r>
        <w:rPr>
          <w:spacing w:val="-2"/>
        </w:rPr>
        <w:t>股权，股权转让价格为</w:t>
      </w:r>
      <w:r>
        <w:rPr>
          <w:rFonts w:ascii="Times New Roman" w:hAnsi="Times New Roman" w:cs="Times New Roman" w:eastAsia="Times New Roman" w:hint="default"/>
          <w:spacing w:val="-2"/>
        </w:rPr>
        <w:t>28,000.00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月，国视北京出资</w:t>
      </w:r>
      <w:r>
        <w:rPr>
          <w:rFonts w:ascii="Times New Roman" w:hAnsi="Times New Roman" w:cs="Times New Roman" w:eastAsia="Times New Roman" w:hint="default"/>
          <w:spacing w:val="-2"/>
        </w:rPr>
        <w:t>100.00</w:t>
      </w:r>
      <w:r>
        <w:rPr>
          <w:spacing w:val="-2"/>
        </w:rPr>
        <w:t>万元成立国广视讯，</w:t>
      </w:r>
      <w:r>
        <w:rPr>
          <w:spacing w:val="-98"/>
        </w:rPr>
        <w:t> </w:t>
      </w:r>
      <w:r>
        <w:rPr>
          <w:spacing w:val="-98"/>
        </w:rPr>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8</w:t>
      </w:r>
      <w:r>
        <w:rPr>
          <w:spacing w:val="7"/>
        </w:rPr>
        <w:t>月，国视北京以其持有国视上海</w:t>
      </w:r>
      <w:r>
        <w:rPr>
          <w:rFonts w:ascii="Times New Roman" w:hAnsi="Times New Roman" w:cs="Times New Roman" w:eastAsia="Times New Roman" w:hint="default"/>
          <w:spacing w:val="7"/>
        </w:rPr>
        <w:t>100.00%</w:t>
      </w:r>
      <w:r>
        <w:rPr>
          <w:spacing w:val="7"/>
        </w:rPr>
        <w:t>股权增资国广视讯，增资后国广视讯注册资本变更为</w:t>
      </w:r>
    </w:p>
    <w:p>
      <w:pPr>
        <w:pStyle w:val="BodyText"/>
        <w:spacing w:line="240" w:lineRule="auto" w:before="5"/>
        <w:ind w:left="693" w:right="0"/>
        <w:jc w:val="left"/>
      </w:pPr>
      <w:r>
        <w:rPr>
          <w:rFonts w:ascii="Times New Roman" w:hAnsi="Times New Roman" w:cs="Times New Roman" w:eastAsia="Times New Roman" w:hint="default"/>
        </w:rPr>
        <w:t>3,100.00</w:t>
      </w:r>
      <w:r>
        <w:rPr/>
        <w:t>万元。国视上海于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日完成工商变更登记。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月，本公司和国视北京签署协议，</w:t>
      </w:r>
    </w:p>
    <w:p>
      <w:pPr>
        <w:spacing w:after="0" w:line="240" w:lineRule="auto"/>
        <w:jc w:val="left"/>
        <w:sectPr>
          <w:pgSz w:w="11910" w:h="16840"/>
          <w:pgMar w:header="0" w:footer="982" w:top="1100" w:bottom="1180" w:left="440" w:right="860"/>
        </w:sectPr>
      </w:pPr>
    </w:p>
    <w:p>
      <w:pPr>
        <w:spacing w:line="240" w:lineRule="auto" w:before="9"/>
        <w:rPr>
          <w:rFonts w:ascii="宋体" w:hAnsi="宋体" w:cs="宋体" w:eastAsia="宋体" w:hint="default"/>
          <w:sz w:val="20"/>
          <w:szCs w:val="20"/>
        </w:rPr>
      </w:pPr>
    </w:p>
    <w:p>
      <w:pPr>
        <w:pStyle w:val="BodyText"/>
        <w:spacing w:line="256" w:lineRule="auto" w:before="35"/>
        <w:ind w:left="153" w:right="146"/>
        <w:jc w:val="left"/>
      </w:pPr>
      <w:r>
        <w:rPr/>
        <w:t>受让其持有的国广视讯</w:t>
      </w:r>
      <w:r>
        <w:rPr>
          <w:rFonts w:ascii="Times New Roman" w:hAnsi="Times New Roman" w:cs="Times New Roman" w:eastAsia="Times New Roman" w:hint="default"/>
        </w:rPr>
        <w:t>100.00%</w:t>
      </w:r>
      <w:r>
        <w:rPr/>
        <w:t>的股权，受让价款为</w:t>
      </w:r>
      <w:r>
        <w:rPr>
          <w:rFonts w:ascii="Times New Roman" w:hAnsi="Times New Roman" w:cs="Times New Roman" w:eastAsia="Times New Roman" w:hint="default"/>
        </w:rPr>
        <w:t>100.00</w:t>
      </w:r>
      <w:r>
        <w:rPr/>
        <w:t>万元。国广视讯于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日完成工商变更 登记，故以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日确定为合并日。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3402"/>
        <w:gridCol w:w="4111"/>
      </w:tblGrid>
      <w:tr>
        <w:trPr>
          <w:trHeight w:val="346"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281,000,000.00</w:t>
            </w:r>
          </w:p>
        </w:tc>
      </w:tr>
      <w:tr>
        <w:trPr>
          <w:trHeight w:val="358"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281,000,000.00</w:t>
            </w:r>
          </w:p>
        </w:tc>
      </w:tr>
      <w:tr>
        <w:trPr>
          <w:trHeight w:val="346"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非现金资产的账面价值</w:t>
            </w:r>
          </w:p>
        </w:tc>
        <w:tc>
          <w:tcPr>
            <w:tcW w:w="4111"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发行或承担的债务的账面价值</w:t>
            </w:r>
          </w:p>
        </w:tc>
        <w:tc>
          <w:tcPr>
            <w:tcW w:w="4111"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发行的权益性证券的面值</w:t>
            </w:r>
          </w:p>
        </w:tc>
        <w:tc>
          <w:tcPr>
            <w:tcW w:w="4111"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4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w:t>
            </w:r>
          </w:p>
        </w:tc>
        <w:tc>
          <w:tcPr>
            <w:tcW w:w="411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b/>
          <w:bCs/>
          <w:sz w:val="24"/>
          <w:szCs w:val="24"/>
        </w:rPr>
      </w:pPr>
    </w:p>
    <w:p>
      <w:pPr>
        <w:spacing w:line="357" w:lineRule="auto" w:before="44"/>
        <w:ind w:left="153" w:right="7611"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1702"/>
        <w:gridCol w:w="2834"/>
        <w:gridCol w:w="2977"/>
      </w:tblGrid>
      <w:tr>
        <w:trPr>
          <w:trHeight w:val="347" w:hRule="exact"/>
        </w:trPr>
        <w:tc>
          <w:tcPr>
            <w:tcW w:w="1702"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12"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国广视讯</w:t>
            </w:r>
          </w:p>
        </w:tc>
      </w:tr>
      <w:tr>
        <w:trPr>
          <w:trHeight w:val="346" w:hRule="exact"/>
        </w:trPr>
        <w:tc>
          <w:tcPr>
            <w:tcW w:w="1702" w:type="dxa"/>
            <w:vMerge/>
            <w:tcBorders>
              <w:left w:val="single" w:sz="8" w:space="0" w:color="000000"/>
              <w:bottom w:val="single" w:sz="8" w:space="0" w:color="000000"/>
              <w:right w:val="single" w:sz="8" w:space="0" w:color="000000"/>
            </w:tcBorders>
            <w:shd w:val="clear" w:color="auto" w:fill="CCCCCC"/>
          </w:tcPr>
          <w:p>
            <w:pPr/>
          </w:p>
        </w:tc>
        <w:tc>
          <w:tcPr>
            <w:tcW w:w="28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297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357"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8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164,143,175.74</w:t>
            </w:r>
          </w:p>
        </w:tc>
        <w:tc>
          <w:tcPr>
            <w:tcW w:w="29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9,211,427.89</w:t>
            </w: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49,037,677.96</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7,821,427.20</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114,210,206.48</w:t>
            </w:r>
          </w:p>
        </w:tc>
        <w:tc>
          <w:tcPr>
            <w:tcW w:w="2977"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14,320.00</w:t>
            </w:r>
          </w:p>
        </w:tc>
        <w:tc>
          <w:tcPr>
            <w:tcW w:w="2977"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72,795.96</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9,930.00</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442,638.49</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419,015.02</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365,536.85</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583,782.84</w:t>
            </w: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34" w:type="dxa"/>
            <w:tcBorders>
              <w:top w:val="single" w:sz="8" w:space="0" w:color="000000"/>
              <w:left w:val="single" w:sz="8" w:space="0" w:color="000000"/>
              <w:bottom w:val="single" w:sz="8" w:space="0" w:color="000000"/>
              <w:right w:val="single" w:sz="8" w:space="0" w:color="000000"/>
            </w:tcBorders>
          </w:tcPr>
          <w:p>
            <w:pP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377,272.83</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118,645,409.47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343,246.39</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117,315,211.92</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77,023.00</w:t>
            </w: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预收帐款</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0.01</w:t>
            </w:r>
          </w:p>
        </w:tc>
        <w:tc>
          <w:tcPr>
            <w:tcW w:w="2977"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269,767.37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252,252.19</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1,018,772.17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12,171.20</w:t>
            </w: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41,658.00</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1,800.00</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45,497,766.27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8,868,181.50</w:t>
            </w:r>
          </w:p>
        </w:tc>
      </w:tr>
      <w:tr>
        <w:trPr>
          <w:trHeight w:val="352"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834" w:type="dxa"/>
            <w:tcBorders>
              <w:top w:val="single" w:sz="8" w:space="0" w:color="000000"/>
              <w:left w:val="single" w:sz="8" w:space="0" w:color="000000"/>
              <w:bottom w:val="single" w:sz="8" w:space="0" w:color="000000"/>
              <w:right w:val="single" w:sz="8" w:space="0" w:color="000000"/>
            </w:tcBorders>
          </w:tcPr>
          <w:p>
            <w:pPr/>
          </w:p>
        </w:tc>
        <w:tc>
          <w:tcPr>
            <w:tcW w:w="2977"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45,497,766.27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8,868,181.50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before="17"/>
        <w:ind w:left="0" w:right="899"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6"/>
        <w:spacing w:line="240" w:lineRule="auto"/>
        <w:ind w:left="819" w:right="0"/>
        <w:jc w:val="left"/>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51"/>
          <w:footerReference w:type="default" r:id="rId52"/>
          <w:pgSz w:w="16840" w:h="11910" w:orient="landscape"/>
          <w:pgMar w:header="0" w:footer="0" w:top="800" w:bottom="280" w:left="620" w:right="540"/>
        </w:sectPr>
      </w:pPr>
    </w:p>
    <w:p>
      <w:pPr>
        <w:spacing w:before="44"/>
        <w:ind w:left="819"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81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81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620" w:right="540"/>
          <w:cols w:num="2" w:equalWidth="0">
            <w:col w:w="4960" w:space="8188"/>
            <w:col w:w="2532"/>
          </w:cols>
        </w:sectPr>
      </w:pP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418"/>
        <w:gridCol w:w="1188"/>
        <w:gridCol w:w="736"/>
        <w:gridCol w:w="486"/>
        <w:gridCol w:w="1559"/>
        <w:gridCol w:w="851"/>
        <w:gridCol w:w="1700"/>
        <w:gridCol w:w="851"/>
        <w:gridCol w:w="851"/>
        <w:gridCol w:w="992"/>
        <w:gridCol w:w="1417"/>
        <w:gridCol w:w="1559"/>
        <w:gridCol w:w="1843"/>
      </w:tblGrid>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7" w:right="56"/>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丧失控制权的时点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8"/>
              <w:jc w:val="both"/>
              <w:rPr>
                <w:rFonts w:ascii="宋体" w:hAnsi="宋体" w:cs="宋体" w:eastAsia="宋体" w:hint="default"/>
                <w:sz w:val="18"/>
                <w:szCs w:val="18"/>
              </w:rPr>
            </w:pPr>
            <w:r>
              <w:rPr>
                <w:rFonts w:ascii="宋体" w:hAnsi="宋体" w:cs="宋体" w:eastAsia="宋体" w:hint="default"/>
                <w:sz w:val="18"/>
                <w:szCs w:val="18"/>
              </w:rPr>
              <w:t>丧失控制 权时点的 确定依据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 w:right="34"/>
              <w:jc w:val="center"/>
              <w:rPr>
                <w:rFonts w:ascii="宋体" w:hAnsi="宋体" w:cs="宋体" w:eastAsia="宋体" w:hint="default"/>
                <w:sz w:val="18"/>
                <w:szCs w:val="18"/>
              </w:rPr>
            </w:pPr>
            <w:r>
              <w:rPr>
                <w:rFonts w:ascii="宋体" w:hAnsi="宋体" w:cs="宋体" w:eastAsia="宋体" w:hint="default"/>
                <w:sz w:val="18"/>
                <w:szCs w:val="18"/>
              </w:rPr>
              <w:t>处置价款与处置投资 对应的合并财务报表 层面享有该子公司净 资产份额的差额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丧失控制 权之日剩 余股权的 比例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 w:right="58"/>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按照公允价值重 新计量剩余股权 产生的利得或损 失</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丧失控制权之日剩 余股权公允价值的 确定方法及主要假 设</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106"/>
              <w:jc w:val="both"/>
              <w:rPr>
                <w:rFonts w:ascii="宋体" w:hAnsi="宋体" w:cs="宋体" w:eastAsia="宋体" w:hint="default"/>
                <w:sz w:val="18"/>
                <w:szCs w:val="18"/>
              </w:rPr>
            </w:pPr>
            <w:r>
              <w:rPr>
                <w:rFonts w:ascii="宋体" w:hAnsi="宋体" w:cs="宋体" w:eastAsia="宋体" w:hint="default"/>
                <w:sz w:val="18"/>
                <w:szCs w:val="18"/>
              </w:rPr>
              <w:t>与原子公司股权投资 相关的其他综合收益 转入投资损益的金额</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海南民生长流油 气储运有限公司</w:t>
            </w:r>
          </w:p>
          <w:p>
            <w:pPr>
              <w:pStyle w:val="TableParagraph"/>
              <w:spacing w:line="302"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w:t>
            </w:r>
            <w:r>
              <w:rPr>
                <w:rFonts w:ascii="宋体" w:hAnsi="宋体" w:cs="宋体" w:eastAsia="宋体" w:hint="default"/>
                <w:spacing w:val="1"/>
                <w:sz w:val="18"/>
                <w:szCs w:val="18"/>
              </w:rPr>
              <w:t> </w:t>
            </w:r>
            <w:r>
              <w:rPr>
                <w:rFonts w:ascii="宋体" w:hAnsi="宋体" w:cs="宋体" w:eastAsia="宋体" w:hint="default"/>
                <w:sz w:val="18"/>
                <w:szCs w:val="18"/>
              </w:rPr>
              <w:t>长流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718,000,000.00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225,513,617.59</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819" w:right="0"/>
        <w:jc w:val="left"/>
      </w:pPr>
      <w:r>
        <w:rPr/>
        <w:t>其他说明：</w:t>
      </w:r>
    </w:p>
    <w:p>
      <w:pPr>
        <w:pStyle w:val="BodyText"/>
        <w:spacing w:line="256" w:lineRule="auto" w:before="76"/>
        <w:ind w:left="819" w:right="897" w:firstLine="423"/>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月，本公司与北京首都开发股份有限公司签订关于民生长流的股权转让协议，将其所持民生长流</w:t>
      </w:r>
      <w:r>
        <w:rPr>
          <w:rFonts w:ascii="Times New Roman" w:hAnsi="Times New Roman" w:cs="Times New Roman" w:eastAsia="Times New Roman" w:hint="default"/>
        </w:rPr>
        <w:t>100.00%</w:t>
      </w:r>
      <w:r>
        <w:rPr/>
        <w:t>的股权进行转让，股权转让协议约 定转让价款为</w:t>
      </w:r>
      <w:r>
        <w:rPr>
          <w:rFonts w:ascii="Times New Roman" w:hAnsi="Times New Roman" w:cs="Times New Roman" w:eastAsia="Times New Roman" w:hint="default"/>
        </w:rPr>
        <w:t>718,000,000.00</w:t>
      </w:r>
      <w:r>
        <w:rPr/>
        <w:t>元，由于股权转让尾款</w:t>
      </w:r>
      <w:r>
        <w:rPr>
          <w:rFonts w:ascii="Times New Roman" w:hAnsi="Times New Roman" w:cs="Times New Roman" w:eastAsia="Times New Roman" w:hint="default"/>
        </w:rPr>
        <w:t>64,000,000.00</w:t>
      </w:r>
      <w:r>
        <w:rPr/>
        <w:t>元收回存在不确定因素，故公司预计转让价款为</w:t>
      </w:r>
      <w:r>
        <w:rPr>
          <w:rFonts w:ascii="Times New Roman" w:hAnsi="Times New Roman" w:cs="Times New Roman" w:eastAsia="Times New Roman" w:hint="default"/>
        </w:rPr>
        <w:t>654,000,000.00</w:t>
      </w:r>
      <w:r>
        <w:rPr/>
        <w:t>元。民生长流于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18</w:t>
      </w:r>
      <w:r>
        <w:rPr/>
        <w:t>日完成工商变更登记，从完成工商变更起不再纳入合并范围。</w:t>
      </w:r>
    </w:p>
    <w:p>
      <w:pPr>
        <w:spacing w:line="240" w:lineRule="auto" w:before="4"/>
        <w:rPr>
          <w:rFonts w:ascii="宋体" w:hAnsi="宋体" w:cs="宋体" w:eastAsia="宋体" w:hint="default"/>
          <w:sz w:val="29"/>
          <w:szCs w:val="29"/>
        </w:rPr>
      </w:pPr>
    </w:p>
    <w:p>
      <w:pPr>
        <w:spacing w:before="0"/>
        <w:ind w:left="819"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8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76"/>
        <w:ind w:left="0" w:right="899" w:firstLine="0"/>
        <w:jc w:val="right"/>
        <w:rPr>
          <w:rFonts w:ascii="Times New Roman" w:hAnsi="Times New Roman" w:cs="Times New Roman" w:eastAsia="Times New Roman" w:hint="default"/>
          <w:sz w:val="18"/>
          <w:szCs w:val="18"/>
        </w:rPr>
      </w:pPr>
      <w:r>
        <w:rPr>
          <w:rFonts w:ascii="Times New Roman"/>
          <w:sz w:val="18"/>
        </w:rPr>
        <w:t>189</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620" w:right="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3" w:right="0"/>
        <w:jc w:val="left"/>
      </w:pPr>
      <w:r>
        <w:rPr/>
        <w:t>说明其他原因导致的合并范围变动（如，新设子公司、清算子公司等）及其相关情况：</w:t>
      </w:r>
    </w:p>
    <w:p>
      <w:pPr>
        <w:pStyle w:val="BodyText"/>
        <w:spacing w:line="240" w:lineRule="auto" w:before="76"/>
        <w:ind w:left="153" w:right="0"/>
        <w:jc w:val="left"/>
      </w:pPr>
      <w:r>
        <w:rPr>
          <w:rFonts w:ascii="Times New Roman" w:hAnsi="Times New Roman" w:cs="Times New Roman" w:eastAsia="Times New Roman" w:hint="default"/>
        </w:rPr>
        <w:t>1</w:t>
      </w:r>
      <w:r>
        <w:rPr/>
        <w:t>、与上期相比本期新增合并单位</w:t>
      </w:r>
      <w:r>
        <w:rPr>
          <w:rFonts w:ascii="Times New Roman" w:hAnsi="Times New Roman" w:cs="Times New Roman" w:eastAsia="Times New Roman" w:hint="default"/>
        </w:rPr>
        <w:t>14</w:t>
      </w:r>
      <w:r>
        <w:rPr/>
        <w:t>家，原因为</w:t>
      </w:r>
    </w:p>
    <w:p>
      <w:pPr>
        <w:pStyle w:val="BodyText"/>
        <w:spacing w:line="259" w:lineRule="auto" w:before="59"/>
        <w:ind w:right="142" w:firstLine="480"/>
        <w:jc w:val="both"/>
      </w:pPr>
      <w:r>
        <w:rPr/>
        <w:t>（</w:t>
      </w:r>
      <w:r>
        <w:rPr>
          <w:rFonts w:ascii="Times New Roman" w:hAnsi="Times New Roman" w:cs="Times New Roman" w:eastAsia="Times New Roman" w:hint="default"/>
        </w:rPr>
        <w:t>1</w:t>
      </w:r>
      <w:r>
        <w:rPr/>
        <w:t>）本公司新设成立华闻传媒（香港）有限公司、北京华闻创新传媒文化研究院有限责任公司和华 闻传媒（海外）有限公司；（</w:t>
      </w:r>
      <w:r>
        <w:rPr>
          <w:rFonts w:ascii="Times New Roman" w:hAnsi="Times New Roman" w:cs="Times New Roman" w:eastAsia="Times New Roman" w:hint="default"/>
        </w:rPr>
        <w:t>2</w:t>
      </w:r>
      <w:r>
        <w:rPr/>
        <w:t>）本公司之子公司北京澄怀科技有限公司新设成立北京澄怀众合文化传媒</w:t>
      </w:r>
      <w:r>
        <w:rPr>
          <w:spacing w:val="-35"/>
        </w:rPr>
        <w:t> </w:t>
      </w:r>
      <w:r>
        <w:rPr>
          <w:spacing w:val="-35"/>
        </w:rPr>
      </w:r>
      <w:r>
        <w:rPr/>
        <w:t>有限公司和培领环球有限公司；（</w:t>
      </w:r>
      <w:r>
        <w:rPr>
          <w:rFonts w:ascii="Times New Roman" w:hAnsi="Times New Roman" w:cs="Times New Roman" w:eastAsia="Times New Roman" w:hint="default"/>
        </w:rPr>
        <w:t>3</w:t>
      </w:r>
      <w:r>
        <w:rPr/>
        <w:t>）本公司之子公司深圳证券时报传媒有限公司新设成立深圳市怀远天</w:t>
      </w:r>
      <w:r>
        <w:rPr>
          <w:spacing w:val="-35"/>
        </w:rPr>
        <w:t> </w:t>
      </w:r>
      <w:r>
        <w:rPr>
          <w:spacing w:val="-35"/>
        </w:rPr>
      </w:r>
      <w:r>
        <w:rPr/>
        <w:t>下旅行社有限公司和深圳市新视野影像有限公司；（</w:t>
      </w:r>
      <w:r>
        <w:rPr>
          <w:rFonts w:ascii="Times New Roman" w:hAnsi="Times New Roman" w:cs="Times New Roman" w:eastAsia="Times New Roman" w:hint="default"/>
        </w:rPr>
        <w:t>4</w:t>
      </w:r>
      <w:r>
        <w:rPr/>
        <w:t>）本公司之子公司重庆华博传媒有限公司新设成立</w:t>
      </w:r>
      <w:r>
        <w:rPr>
          <w:spacing w:val="-35"/>
        </w:rPr>
        <w:t> </w:t>
      </w:r>
      <w:r>
        <w:rPr>
          <w:spacing w:val="-35"/>
        </w:rPr>
      </w:r>
      <w:r>
        <w:rPr/>
        <w:t>重庆爱达投资有限公司、重庆爱达财富资产管理有限公司和重庆爱达国际旅行社有限公司；（</w:t>
      </w:r>
      <w:r>
        <w:rPr>
          <w:rFonts w:ascii="Times New Roman" w:hAnsi="Times New Roman" w:cs="Times New Roman" w:eastAsia="Times New Roman" w:hint="default"/>
        </w:rPr>
        <w:t>5</w:t>
      </w:r>
      <w:r>
        <w:rPr/>
        <w:t>）本公司</w:t>
      </w:r>
      <w:r>
        <w:rPr>
          <w:spacing w:val="-34"/>
        </w:rPr>
        <w:t> </w:t>
      </w:r>
      <w:r>
        <w:rPr>
          <w:spacing w:val="-34"/>
        </w:rPr>
      </w:r>
      <w:r>
        <w:rPr/>
        <w:t>之子公司北京国广光荣广告有限公司新设成立拉萨环球风尚投资管理咨询有限公司；（</w:t>
      </w:r>
      <w:r>
        <w:rPr>
          <w:rFonts w:ascii="Times New Roman" w:hAnsi="Times New Roman" w:cs="Times New Roman" w:eastAsia="Times New Roman" w:hint="default"/>
        </w:rPr>
        <w:t>6</w:t>
      </w:r>
      <w:r>
        <w:rPr/>
        <w:t>）本公司之子公</w:t>
      </w:r>
      <w:r>
        <w:rPr>
          <w:spacing w:val="-35"/>
        </w:rPr>
        <w:t> </w:t>
      </w:r>
      <w:r>
        <w:rPr>
          <w:spacing w:val="-35"/>
        </w:rPr>
      </w:r>
      <w:r>
        <w:rPr/>
        <w:t>司华闻世纪影视投资控股（北京）有限责任公司新设成立华闻影视文化传媒（天津）有限公司；（</w:t>
      </w:r>
      <w:r>
        <w:rPr>
          <w:rFonts w:ascii="Times New Roman" w:hAnsi="Times New Roman" w:cs="Times New Roman" w:eastAsia="Times New Roman" w:hint="default"/>
        </w:rPr>
        <w:t>7</w:t>
      </w:r>
      <w:r>
        <w:rPr/>
        <w:t>）本</w:t>
      </w:r>
      <w:r>
        <w:rPr>
          <w:spacing w:val="-34"/>
        </w:rPr>
        <w:t> </w:t>
      </w:r>
      <w:r>
        <w:rPr>
          <w:spacing w:val="3"/>
        </w:rPr>
        <w:t>公司之子公司辽宁盈丰传媒有限公司新设成立沈阳盈广丰广告传媒有限公司和沈阳华创众视广告传媒有</w:t>
      </w:r>
      <w:r>
        <w:rPr>
          <w:spacing w:val="-78"/>
        </w:rPr>
        <w:t> </w:t>
      </w:r>
      <w:r>
        <w:rPr>
          <w:spacing w:val="-78"/>
        </w:rPr>
      </w:r>
      <w:r>
        <w:rPr/>
        <w:t>限公司。</w:t>
      </w:r>
    </w:p>
    <w:p>
      <w:pPr>
        <w:pStyle w:val="BodyText"/>
        <w:spacing w:line="240" w:lineRule="auto" w:before="61"/>
        <w:ind w:right="0"/>
        <w:jc w:val="left"/>
      </w:pPr>
      <w:r>
        <w:rPr>
          <w:rFonts w:ascii="Times New Roman" w:hAnsi="Times New Roman" w:cs="Times New Roman" w:eastAsia="Times New Roman" w:hint="default"/>
        </w:rPr>
        <w:t>2</w:t>
      </w:r>
      <w:r>
        <w:rPr/>
        <w:t>、本期减少合并单位</w:t>
      </w:r>
      <w:r>
        <w:rPr>
          <w:rFonts w:ascii="Times New Roman" w:hAnsi="Times New Roman" w:cs="Times New Roman" w:eastAsia="Times New Roman" w:hint="default"/>
        </w:rPr>
        <w:t>51</w:t>
      </w:r>
      <w:r>
        <w:rPr/>
        <w:t>家，原因为</w:t>
      </w:r>
    </w:p>
    <w:p>
      <w:pPr>
        <w:pStyle w:val="BodyText"/>
        <w:spacing w:line="268" w:lineRule="auto" w:before="59"/>
        <w:ind w:right="128" w:firstLine="484"/>
        <w:jc w:val="both"/>
      </w:pPr>
      <w:r>
        <w:rPr/>
        <w:t>（</w:t>
      </w:r>
      <w:r>
        <w:rPr>
          <w:rFonts w:ascii="Times New Roman" w:hAnsi="Times New Roman" w:cs="Times New Roman" w:eastAsia="Times New Roman" w:hint="default"/>
        </w:rPr>
        <w:t>1</w:t>
      </w:r>
      <w:r>
        <w:rPr/>
        <w:t>）天津华商广告有限公司于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月注销，注销后不再纳入合并范围。（</w:t>
      </w:r>
      <w:r>
        <w:rPr>
          <w:rFonts w:ascii="Times New Roman" w:hAnsi="Times New Roman" w:cs="Times New Roman" w:eastAsia="Times New Roman" w:hint="default"/>
        </w:rPr>
        <w:t>2</w:t>
      </w:r>
      <w:r>
        <w:rPr/>
        <w:t>）海口民生富时实业 </w:t>
      </w:r>
      <w:r>
        <w:rPr>
          <w:spacing w:val="-1"/>
        </w:rPr>
        <w:t>有限公司、海口民生聚富实业有限公司、海口民生鼎盛实业有限公司、海口民生金鼎实业有限公司、海口</w:t>
      </w:r>
      <w:r>
        <w:rPr>
          <w:spacing w:val="-82"/>
        </w:rPr>
        <w:t> </w:t>
      </w:r>
      <w:r>
        <w:rPr>
          <w:spacing w:val="-82"/>
        </w:rPr>
      </w:r>
      <w:r>
        <w:rPr>
          <w:spacing w:val="-1"/>
        </w:rPr>
        <w:t>民生裕隆实业有限公司、海口民生泰信实业有限公司、海口民生天瑞实业有限公司、海口民生景福实业有</w:t>
      </w:r>
      <w:r>
        <w:rPr>
          <w:spacing w:val="-83"/>
        </w:rPr>
        <w:t> </w:t>
      </w:r>
      <w:r>
        <w:rPr>
          <w:spacing w:val="-83"/>
        </w:rPr>
      </w:r>
      <w:r>
        <w:rPr>
          <w:spacing w:val="-1"/>
        </w:rPr>
        <w:t>限公司、海口民生创新实业有限公司、海口民生银丰实业有限公司、海口民生隆元实业有限公司、海口民</w:t>
      </w:r>
      <w:r>
        <w:rPr>
          <w:spacing w:val="-82"/>
        </w:rPr>
        <w:t> </w:t>
      </w:r>
      <w:r>
        <w:rPr>
          <w:spacing w:val="-82"/>
        </w:rPr>
      </w:r>
      <w:r>
        <w:rPr>
          <w:spacing w:val="-1"/>
        </w:rPr>
        <w:t>生精选实业有限公司、海口民生国泰实业有限公司、海口民生景顺实业有限公司、海口民生添福实业有限</w:t>
      </w:r>
      <w:r>
        <w:rPr>
          <w:spacing w:val="-83"/>
        </w:rPr>
        <w:t> </w:t>
      </w:r>
      <w:r>
        <w:rPr>
          <w:spacing w:val="-83"/>
        </w:rPr>
      </w:r>
      <w:r>
        <w:rPr>
          <w:spacing w:val="-1"/>
        </w:rPr>
        <w:t>公司、海口仁和永佳贸易有限公司、海口新弘业贸易有限公司、海口丰之和贸易有限公司、海口恒发通贸</w:t>
      </w:r>
      <w:r>
        <w:rPr>
          <w:spacing w:val="-82"/>
        </w:rPr>
        <w:t> </w:t>
      </w:r>
      <w:r>
        <w:rPr>
          <w:spacing w:val="-82"/>
        </w:rPr>
      </w:r>
      <w:r>
        <w:rPr>
          <w:spacing w:val="-1"/>
        </w:rPr>
        <w:t>易有限公司、海口康隆盛达贸易有限公司、海口海之都贸易有限公司、海口丰之利贸易有限公司于</w:t>
      </w:r>
      <w:r>
        <w:rPr>
          <w:rFonts w:ascii="Times New Roman" w:hAnsi="Times New Roman" w:cs="Times New Roman" w:eastAsia="Times New Roman" w:hint="default"/>
          <w:spacing w:val="-1"/>
        </w:rPr>
        <w:t>2014</w:t>
      </w:r>
      <w:r>
        <w:rPr>
          <w:spacing w:val="-1"/>
        </w:rPr>
        <w:t>年</w:t>
      </w:r>
      <w:r>
        <w:rPr>
          <w:spacing w:val="-83"/>
        </w:rPr>
        <w:t> </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日注销，注销后不再纳入合并范围；（</w:t>
      </w:r>
      <w:r>
        <w:rPr>
          <w:rFonts w:ascii="Times New Roman" w:hAnsi="Times New Roman" w:cs="Times New Roman" w:eastAsia="Times New Roman" w:hint="default"/>
          <w:spacing w:val="-1"/>
        </w:rPr>
        <w:t>3</w:t>
      </w:r>
      <w:r>
        <w:rPr>
          <w:spacing w:val="-1"/>
        </w:rPr>
        <w:t>）西安华商鹏宇企业管理咨询有限公司、西安华商鹏鸿企业</w:t>
      </w:r>
      <w:r>
        <w:rPr>
          <w:spacing w:val="-84"/>
        </w:rPr>
        <w:t> </w:t>
      </w:r>
      <w:r>
        <w:rPr>
          <w:spacing w:val="-84"/>
        </w:rPr>
      </w:r>
      <w:r>
        <w:rPr>
          <w:spacing w:val="-1"/>
        </w:rPr>
        <w:t>管理咨询有限公司、西安华商鹏宝企业管理咨询有限公司、西安华商鹏昌企业管理咨询有限公司、西安华</w:t>
      </w:r>
      <w:r>
        <w:rPr>
          <w:spacing w:val="-83"/>
        </w:rPr>
        <w:t> </w:t>
      </w:r>
      <w:r>
        <w:rPr>
          <w:spacing w:val="-83"/>
        </w:rPr>
      </w:r>
      <w:r>
        <w:rPr>
          <w:spacing w:val="-1"/>
        </w:rPr>
        <w:t>商鹏泰企业管理咨询有限公司、西安华商鹏达企业管理咨询有限公司、西安华商鹏顺企业管理咨询有限公</w:t>
      </w:r>
      <w:r>
        <w:rPr>
          <w:spacing w:val="-81"/>
        </w:rPr>
        <w:t> </w:t>
      </w:r>
      <w:r>
        <w:rPr>
          <w:spacing w:val="-81"/>
        </w:rPr>
      </w:r>
      <w:r>
        <w:rPr>
          <w:spacing w:val="-1"/>
        </w:rPr>
        <w:t>司、西安华商鹏祥企业管理咨询有限公司、西安华商富顺企业管理咨询有限公司、西安华商富兴企业管理</w:t>
      </w:r>
      <w:r>
        <w:rPr>
          <w:spacing w:val="-83"/>
        </w:rPr>
        <w:t> </w:t>
      </w:r>
      <w:r>
        <w:rPr>
          <w:spacing w:val="-83"/>
        </w:rPr>
      </w:r>
      <w:r>
        <w:rPr>
          <w:spacing w:val="-1"/>
        </w:rPr>
        <w:t>咨询有限公司、西安华商达祥企业管理咨询有限公司、西安华商富昌企业管理咨询有限公司、西安华商达</w:t>
      </w:r>
      <w:r>
        <w:rPr>
          <w:spacing w:val="-83"/>
        </w:rPr>
        <w:t> </w:t>
      </w:r>
      <w:r>
        <w:rPr>
          <w:spacing w:val="-83"/>
        </w:rPr>
      </w:r>
      <w:r>
        <w:rPr/>
        <w:t>昌企业管理咨询有限公司、西安华商达富企业管理咨询有限公司、西安华商达顺企业管理咨询有限公司、 </w:t>
      </w:r>
      <w:r>
        <w:rPr>
          <w:spacing w:val="-1"/>
        </w:rPr>
        <w:t>西安华商达泰企业管理咨询有限公司、西安华商弘宝企业管理咨询有限公司、西安华商弘亨企业管理咨询</w:t>
      </w:r>
      <w:r>
        <w:rPr>
          <w:spacing w:val="-81"/>
        </w:rPr>
        <w:t> </w:t>
      </w:r>
      <w:r>
        <w:rPr>
          <w:spacing w:val="-81"/>
        </w:rPr>
      </w:r>
      <w:r>
        <w:rPr>
          <w:spacing w:val="-1"/>
        </w:rPr>
        <w:t>有限公司、西安华商弘远企业管理咨询有限公司、西安华商泰达企业管理咨询有限公司、西安华商弘昌企</w:t>
      </w:r>
      <w:r>
        <w:rPr>
          <w:spacing w:val="-83"/>
        </w:rPr>
        <w:t> </w:t>
      </w:r>
      <w:r>
        <w:rPr>
          <w:spacing w:val="-83"/>
        </w:rPr>
      </w:r>
      <w:r>
        <w:rPr>
          <w:spacing w:val="-1"/>
        </w:rPr>
        <w:t>业管理咨询有限公司、西安华商弘顺企业管理咨询有限公司、西安华商泰兴企业管理咨询有限公司、西安</w:t>
      </w:r>
      <w:r>
        <w:rPr>
          <w:spacing w:val="-83"/>
        </w:rPr>
        <w:t> </w:t>
      </w:r>
      <w:r>
        <w:rPr>
          <w:spacing w:val="-83"/>
        </w:rPr>
      </w:r>
      <w:r>
        <w:rPr>
          <w:spacing w:val="-1"/>
        </w:rPr>
        <w:t>华商泰顺企业管理咨询有限公司、西安华商泰祥企业管理咨询有限公司、西安华商泰亨企业管理咨询有限</w:t>
      </w:r>
      <w:r>
        <w:rPr>
          <w:spacing w:val="-81"/>
        </w:rPr>
        <w:t> </w:t>
      </w:r>
      <w:r>
        <w:rPr>
          <w:spacing w:val="-81"/>
        </w:rPr>
      </w:r>
      <w:r>
        <w:rPr/>
        <w:t>公司、西安华商弘泰企业管理咨询有限公司于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月注销，注销后不再纳入合并范围。（</w:t>
      </w:r>
      <w:r>
        <w:rPr>
          <w:rFonts w:ascii="Times New Roman" w:hAnsi="Times New Roman" w:cs="Times New Roman" w:eastAsia="Times New Roman" w:hint="default"/>
        </w:rPr>
        <w:t>4</w:t>
      </w:r>
      <w:r>
        <w:rPr/>
        <w:t>）北京盈</w:t>
      </w:r>
      <w:r>
        <w:rPr>
          <w:spacing w:val="-35"/>
        </w:rPr>
        <w:t> </w:t>
      </w:r>
      <w:r>
        <w:rPr/>
        <w:t>智传媒广告有限公司于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月注销，注销后不再纳入合并范围。</w:t>
      </w:r>
    </w:p>
    <w:p>
      <w:pPr>
        <w:spacing w:after="0" w:line="268" w:lineRule="auto"/>
        <w:jc w:val="both"/>
        <w:sectPr>
          <w:footerReference w:type="default" r:id="rId53"/>
          <w:pgSz w:w="11910" w:h="16840"/>
          <w:pgMar w:footer="982" w:header="0" w:top="1100" w:bottom="1180" w:left="980" w:right="980"/>
          <w:pgNumType w:start="19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2000"/>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20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建筑安装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质检站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民益工程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万宁民生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万宁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陵水燃气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陵水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文昌石化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文昌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民生公用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北京华商通达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咸阳华商传媒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咸阳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咸阳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西安华商盈众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西安典尚网络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西安华商盈达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沈阳典智晨拍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西安佰乐威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兰州黄马甲物流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西宁黄马甲物流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4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2000"/>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通达中金信息技 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沈阳盈广丰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国广风尚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澄怀众合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环球风尚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华商泰昌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北京华商盈捷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北京华商圣锐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吉林盈通网络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重庆盈略网络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陕西华商会展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西安华迅直递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440"/>
        </w:sectPr>
      </w:pPr>
    </w:p>
    <w:p>
      <w:pPr>
        <w:spacing w:line="240" w:lineRule="auto" w:before="10"/>
        <w:rPr>
          <w:rFonts w:ascii="Times New Roman" w:hAnsi="Times New Roman" w:cs="Times New Roman" w:eastAsia="Times New Roman" w:hint="default"/>
          <w:sz w:val="27"/>
          <w:szCs w:val="27"/>
        </w:rPr>
      </w:pPr>
    </w:p>
    <w:tbl>
      <w:tblPr>
        <w:tblW w:w="0" w:type="auto"/>
        <w:jc w:val="left"/>
        <w:tblInd w:w="529" w:type="dxa"/>
        <w:tblLayout w:type="fixed"/>
        <w:tblCellMar>
          <w:top w:w="0" w:type="dxa"/>
          <w:left w:w="0" w:type="dxa"/>
          <w:bottom w:w="0" w:type="dxa"/>
          <w:right w:w="0" w:type="dxa"/>
        </w:tblCellMar>
        <w:tblLook w:val="01E0"/>
      </w:tblPr>
      <w:tblGrid>
        <w:gridCol w:w="1372"/>
        <w:gridCol w:w="1367"/>
        <w:gridCol w:w="1367"/>
        <w:gridCol w:w="1367"/>
        <w:gridCol w:w="1367"/>
        <w:gridCol w:w="1367"/>
        <w:gridCol w:w="2000"/>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长春华晟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澄怀观道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怀远天下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新视野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盈广丰广告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华创众视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爱达投资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爱达财富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爱达国际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海南椰德利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培领环球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国广视讯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酷视网络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ind w:left="534"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20"/>
        <w:gridCol w:w="2125"/>
        <w:gridCol w:w="2268"/>
        <w:gridCol w:w="2693"/>
        <w:gridCol w:w="2126"/>
      </w:tblGrid>
      <w:tr>
        <w:trPr>
          <w:trHeight w:val="402"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6,825,296.16</w:t>
            </w:r>
          </w:p>
        </w:tc>
        <w:tc>
          <w:tcPr>
            <w:tcW w:w="269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57,966,933.26</w:t>
            </w:r>
          </w:p>
        </w:tc>
      </w:tr>
      <w:tr>
        <w:trPr>
          <w:trHeight w:val="40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461,238.85</w:t>
            </w:r>
          </w:p>
        </w:tc>
        <w:tc>
          <w:tcPr>
            <w:tcW w:w="269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23,715,285.67</w:t>
            </w:r>
          </w:p>
        </w:tc>
      </w:tr>
      <w:tr>
        <w:trPr>
          <w:trHeight w:val="40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13,268,099.15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70,966,962.95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600" w:right="440"/>
        </w:sectPr>
      </w:pPr>
    </w:p>
    <w:p>
      <w:pPr>
        <w:spacing w:before="17"/>
        <w:ind w:left="0" w:right="899"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2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6"/>
        <w:spacing w:line="240" w:lineRule="auto"/>
        <w:ind w:left="1239"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8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50"/>
        <w:gridCol w:w="1278"/>
        <w:gridCol w:w="1214"/>
        <w:gridCol w:w="1194"/>
        <w:gridCol w:w="1276"/>
        <w:gridCol w:w="1134"/>
        <w:gridCol w:w="1277"/>
        <w:gridCol w:w="1276"/>
        <w:gridCol w:w="1276"/>
        <w:gridCol w:w="1417"/>
        <w:gridCol w:w="1277"/>
        <w:gridCol w:w="1134"/>
        <w:gridCol w:w="1276"/>
      </w:tblGrid>
      <w:tr>
        <w:trPr>
          <w:trHeight w:val="402" w:hRule="exact"/>
        </w:trPr>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29" w:right="58"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737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65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850" w:type="dxa"/>
            <w:vMerge/>
            <w:tcBorders>
              <w:left w:val="single" w:sz="4" w:space="0" w:color="000000"/>
              <w:bottom w:val="single" w:sz="4" w:space="0" w:color="000000"/>
              <w:right w:val="single" w:sz="4" w:space="0" w:color="000000"/>
            </w:tcBorders>
            <w:shd w:val="clear" w:color="auto" w:fill="D3D3D3"/>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138,420,754.70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11,849,021.42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150,269,776.12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20,400,562.40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20,400,562.40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59,717,465.27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12,934,644.78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72,652,110.05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24,434,393.75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24,434,393.75</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175,524,566.82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2,449,799.22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177,974,366.04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35,094,636.23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5,591,629.10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40,686,265.33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168,574,077.49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2,197,027.26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170,771,104.75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32,092,397.91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5,514,750.96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37,607,148.87</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297,694,324.91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585,593,474.82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883,287,799.73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439,744,281.30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439,744,281.30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245,795,325.09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579,795,886.34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825,591,211.43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427,473,312.66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427,473,312.66</w:t>
            </w:r>
          </w:p>
        </w:tc>
      </w:tr>
    </w:tbl>
    <w:p>
      <w:pPr>
        <w:spacing w:before="51"/>
        <w:ind w:left="0" w:right="4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950" w:type="dxa"/>
        <w:tblLayout w:type="fixed"/>
        <w:tblCellMar>
          <w:top w:w="0" w:type="dxa"/>
          <w:left w:w="0" w:type="dxa"/>
          <w:bottom w:w="0" w:type="dxa"/>
          <w:right w:w="0" w:type="dxa"/>
        </w:tblCellMar>
        <w:tblLook w:val="01E0"/>
      </w:tblPr>
      <w:tblGrid>
        <w:gridCol w:w="994"/>
        <w:gridCol w:w="1276"/>
        <w:gridCol w:w="1199"/>
        <w:gridCol w:w="1352"/>
        <w:gridCol w:w="1276"/>
        <w:gridCol w:w="1277"/>
        <w:gridCol w:w="1134"/>
        <w:gridCol w:w="1276"/>
        <w:gridCol w:w="1276"/>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1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165,518,563.40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65,199,442.71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65,199,442.71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21,287,953.53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63,861,213.76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28,254,923.76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28,254,923.76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17,640,840.59</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153,639,036.79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32,051,367.61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32,051,367.61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-674,154.48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153,246,788.22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16,467,872.52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16,467,872.52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5,047,202.88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492,327,814.95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82,925,619.66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82,925,619.66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127,604,911.32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416,946,996.17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53,547,113.89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53,547,113.89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18,257,612.27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76"/>
        <w:ind w:left="0" w:right="899" w:firstLine="0"/>
        <w:jc w:val="right"/>
        <w:rPr>
          <w:rFonts w:ascii="Times New Roman" w:hAnsi="Times New Roman" w:cs="Times New Roman" w:eastAsia="Times New Roman" w:hint="default"/>
          <w:sz w:val="18"/>
          <w:szCs w:val="18"/>
        </w:rPr>
      </w:pPr>
      <w:r>
        <w:rPr>
          <w:rFonts w:ascii="Times New Roman"/>
          <w:sz w:val="18"/>
        </w:rPr>
        <w:t>194</w:t>
      </w:r>
    </w:p>
    <w:p>
      <w:pPr>
        <w:spacing w:after="0"/>
        <w:jc w:val="right"/>
        <w:rPr>
          <w:rFonts w:ascii="Times New Roman" w:hAnsi="Times New Roman" w:cs="Times New Roman" w:eastAsia="Times New Roman" w:hint="default"/>
          <w:sz w:val="18"/>
          <w:szCs w:val="18"/>
        </w:rPr>
        <w:sectPr>
          <w:headerReference w:type="default" r:id="rId54"/>
          <w:footerReference w:type="default" r:id="rId55"/>
          <w:pgSz w:w="16840" w:h="11910" w:orient="landscape"/>
          <w:pgMar w:header="0" w:footer="0" w:top="800" w:bottom="280" w:left="200" w:right="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992"/>
        <w:gridCol w:w="1134"/>
        <w:gridCol w:w="991"/>
        <w:gridCol w:w="994"/>
        <w:gridCol w:w="1984"/>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76" w:right="85"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8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 w:right="73" w:firstLine="27"/>
              <w:jc w:val="left"/>
              <w:rPr>
                <w:rFonts w:ascii="Times New Roman" w:hAnsi="Times New Roman" w:cs="Times New Roman" w:eastAsia="Times New Roman" w:hint="default"/>
                <w:sz w:val="18"/>
                <w:szCs w:val="18"/>
              </w:rPr>
            </w:pPr>
            <w:r>
              <w:rPr>
                <w:rFonts w:ascii="宋体" w:hAnsi="宋体" w:cs="宋体" w:eastAsia="宋体" w:hint="default"/>
                <w:sz w:val="18"/>
                <w:szCs w:val="18"/>
              </w:rPr>
              <w:t>国广东方网络（北京）有限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国广东方</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291"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信息传播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36.82%</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辽宁新闻印刷集团有限公司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出版印刷</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6"/>
        <w:spacing w:line="240" w:lineRule="auto"/>
        <w:ind w:right="0"/>
        <w:jc w:val="left"/>
        <w:rPr>
          <w:b w:val="0"/>
          <w:bCs w:val="0"/>
        </w:rPr>
      </w:pPr>
      <w:r>
        <w:rPr/>
        <w:pict>
          <v:group style="position:absolute;margin-left:170.339996pt;margin-top:-68.366051pt;width:56.25pt;height:35.25pt;mso-position-horizontal-relative:page;mso-position-vertical-relative:paragraph;z-index:-1216312" coordorigin="3407,-1367" coordsize="1125,705">
            <v:group style="position:absolute;left:3407;top:-1367;width:1125;height:705" coordorigin="3407,-1367" coordsize="1125,705">
              <v:shape style="position:absolute;left:3407;top:-1367;width:1125;height:705" coordorigin="3407,-1367" coordsize="1125,705" path="m3407,-663l4531,-663,4531,-1367,3407,-1367,3407,-663xe" filled="true" fillcolor="#ffffff" stroked="false">
                <v:path arrowok="t"/>
                <v:fill type="solid"/>
              </v:shape>
            </v:group>
            <v:group style="position:absolute;left:3430;top:-1211;width:1079;height:393" coordorigin="3430,-1211" coordsize="1079,393">
              <v:shape style="position:absolute;left:3430;top:-1211;width:1079;height:393" coordorigin="3430,-1211" coordsize="1079,393" path="m3430,-819l4508,-819,4508,-1211,3430,-1211,3430,-819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2552"/>
        <w:gridCol w:w="1700"/>
        <w:gridCol w:w="1702"/>
        <w:gridCol w:w="1700"/>
        <w:gridCol w:w="1843"/>
      </w:tblGrid>
      <w:tr>
        <w:trPr>
          <w:trHeight w:val="347" w:hRule="exact"/>
        </w:trPr>
        <w:tc>
          <w:tcPr>
            <w:tcW w:w="2552"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3544"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辽宁印刷</w:t>
            </w:r>
          </w:p>
        </w:tc>
      </w:tr>
      <w:tr>
        <w:trPr>
          <w:trHeight w:val="352" w:hRule="exact"/>
        </w:trPr>
        <w:tc>
          <w:tcPr>
            <w:tcW w:w="2552" w:type="dxa"/>
            <w:vMerge/>
            <w:tcBorders>
              <w:left w:val="single" w:sz="8" w:space="0" w:color="000000"/>
              <w:bottom w:val="single" w:sz="8" w:space="0" w:color="000000"/>
              <w:right w:val="single" w:sz="8" w:space="0" w:color="000000"/>
            </w:tcBorders>
            <w:shd w:val="clear" w:color="auto" w:fill="CCCCCC"/>
          </w:tcPr>
          <w:p>
            <w:pPr/>
          </w:p>
        </w:tc>
        <w:tc>
          <w:tcPr>
            <w:tcW w:w="17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c>
          <w:tcPr>
            <w:tcW w:w="17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84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68,087,709.23</w:t>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8,766,245.28</w:t>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1,207,487,905.61</w:t>
            </w:r>
          </w:p>
        </w:tc>
        <w:tc>
          <w:tcPr>
            <w:tcW w:w="18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757,890,566.38</w:t>
            </w: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70,953,447.76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51,354,503.04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236,184,002.72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253,313,611.32</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139,041,156.99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60,120,748.32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1,443,671,908.33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1,011,204,177.70</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28,526,052.98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24,645,330.84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876,881,405.55</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466,024,527.40</w:t>
            </w: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46,000,000.00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33,526,052.98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24,645,330.84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922,881,405.55</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512,024,527.40</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40,600,790.95</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35,579,371.79</w:t>
            </w: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105,515,104.01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35,475,417.48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480,189,711.83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463,600,278.51</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38,847,601.36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15,673,039.44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118,750,915.74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114,648,348.88</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被投资单位其他资本公积变动</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16,147,026.28</w:t>
            </w: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投资溢价</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11,699,012.99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27,845,589.27</w:t>
            </w:r>
          </w:p>
        </w:tc>
        <w:tc>
          <w:tcPr>
            <w:tcW w:w="1700"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66,693,640.63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43,518,628.71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118,750,915.74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114,648,348.88</w:t>
            </w: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8,790,402.49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9,297,915.38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318,363,720.02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373,948,817.04</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-50,060,313.47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-48,281,178.00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22,409,449.91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37,084,468.99</w:t>
            </w:r>
          </w:p>
        </w:tc>
      </w:tr>
      <w:tr>
        <w:trPr>
          <w:trHeight w:val="352"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-50,060,313.47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-48,281,178.00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22,409,449.91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37,084,468.99</w:t>
            </w:r>
          </w:p>
        </w:tc>
      </w:tr>
      <w:tr>
        <w:trPr>
          <w:trHeight w:val="665" w:hRule="exact"/>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right="-2"/>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footerReference w:type="default" r:id="rId56"/>
          <w:pgSz w:w="11910" w:h="16840"/>
          <w:pgMar w:footer="982" w:header="0" w:top="1100" w:bottom="1180" w:left="980" w:right="980"/>
          <w:pgNumType w:start="195"/>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1,858,104.82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1,647,859.09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210,245.73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52,360.44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210,245.73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52,360.44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199,153,736.31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184,721,177.27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-1,675,440.95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-70,988.86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-1,675,440.95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-70,988.86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4"/>
        <w:spacing w:line="240" w:lineRule="auto" w:before="0"/>
        <w:ind w:right="0"/>
        <w:jc w:val="both"/>
        <w:rPr>
          <w:b w:val="0"/>
          <w:bCs w:val="0"/>
        </w:rPr>
      </w:pP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49" w:firstLine="423"/>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险管理目标和政策的确定，并对风险管理目标和政策承担最终责任，但是董事会已授权本公司管理层设计</w:t>
      </w:r>
      <w:r>
        <w:rPr>
          <w:spacing w:val="-81"/>
        </w:rPr>
        <w:t> </w:t>
      </w:r>
      <w:r>
        <w:rPr>
          <w:spacing w:val="-81"/>
        </w:rPr>
      </w:r>
      <w:r>
        <w:rPr>
          <w:spacing w:val="-1"/>
        </w:rPr>
        <w:t>和实施能确保风险管理目标和政策得以有效执行的程序。董事会通过财务部递交的月度报告来审查已执行</w:t>
      </w:r>
      <w:r>
        <w:rPr>
          <w:spacing w:val="-81"/>
        </w:rPr>
        <w:t> </w:t>
      </w:r>
      <w:r>
        <w:rPr>
          <w:spacing w:val="-81"/>
        </w:rPr>
      </w:r>
      <w:r>
        <w:rPr/>
        <w:t>程序的有效性以及风险管理目标和政策的合理性。</w:t>
      </w:r>
    </w:p>
    <w:p>
      <w:pPr>
        <w:pStyle w:val="BodyText"/>
        <w:spacing w:line="273" w:lineRule="auto"/>
        <w:ind w:right="151" w:firstLine="423"/>
        <w:jc w:val="both"/>
      </w:pPr>
      <w:r>
        <w:rPr>
          <w:spacing w:val="-1"/>
        </w:rPr>
        <w:t>本公司风险管理的总体目标是在不过度影响公司竞争力和应变力的情况下，制定尽可能降低风险的风</w:t>
      </w:r>
      <w:r>
        <w:rPr/>
        <w:t> 险管理政策。</w:t>
      </w:r>
    </w:p>
    <w:p>
      <w:pPr>
        <w:pStyle w:val="BodyText"/>
        <w:spacing w:line="256" w:lineRule="auto"/>
        <w:ind w:left="576" w:right="0" w:firstLine="1"/>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spacing w:val="1"/>
          <w:w w:val="99"/>
        </w:rPr>
        <w:t> </w:t>
      </w:r>
      <w:r>
        <w:rPr>
          <w:spacing w:val="-1"/>
        </w:rPr>
        <w:t>信用风险是指金融工具的一方不履行义务，造成另一方发生财务损失的风险。本公司主要面临赊销导</w:t>
      </w:r>
    </w:p>
    <w:p>
      <w:pPr>
        <w:pStyle w:val="BodyText"/>
        <w:spacing w:line="273" w:lineRule="auto" w:before="22"/>
        <w:ind w:right="151"/>
        <w:jc w:val="both"/>
      </w:pPr>
      <w:r>
        <w:rPr>
          <w:spacing w:val="-1"/>
        </w:rPr>
        <w:t>致的客户信用风险。针对新客户，在签订新合同之前，本公司会对新客户的信用风险进行评估。公司对每</w:t>
      </w:r>
      <w:r>
        <w:rPr>
          <w:spacing w:val="-82"/>
        </w:rPr>
        <w:t> </w:t>
      </w:r>
      <w:r>
        <w:rPr>
          <w:spacing w:val="-82"/>
        </w:rPr>
      </w:r>
      <w:r>
        <w:rPr/>
        <w:t>一客户均设置了赊销限额及赊销期限，该限额为无需获得额外批准的最大额度。</w:t>
      </w:r>
    </w:p>
    <w:p>
      <w:pPr>
        <w:pStyle w:val="BodyText"/>
        <w:spacing w:line="273" w:lineRule="auto"/>
        <w:ind w:right="149" w:firstLine="422"/>
        <w:jc w:val="both"/>
      </w:pPr>
      <w:r>
        <w:rPr>
          <w:spacing w:val="-1"/>
        </w:rPr>
        <w:t>本公司按月对应收账款进行催收，对于未及时回款的客户，公司安排专门人员进行跟踪，当客户出现</w:t>
      </w:r>
      <w:r>
        <w:rPr/>
        <w:t> </w:t>
      </w:r>
      <w:r>
        <w:rPr>
          <w:spacing w:val="-1"/>
        </w:rPr>
        <w:t>超出赊销限额或历史欠款严重超出授予的赊销期限时，公司财务部会同法务部门、业务部门进行评估及风</w:t>
      </w:r>
      <w:r>
        <w:rPr>
          <w:spacing w:val="-81"/>
        </w:rPr>
        <w:t> </w:t>
      </w:r>
      <w:r>
        <w:rPr>
          <w:spacing w:val="-81"/>
        </w:rPr>
      </w:r>
      <w:r>
        <w:rPr/>
        <w:t>险判断，必要时会采用法律手段。</w:t>
      </w:r>
    </w:p>
    <w:p>
      <w:pPr>
        <w:pStyle w:val="BodyText"/>
        <w:spacing w:line="256" w:lineRule="auto"/>
        <w:ind w:left="576" w:right="108" w:firstLine="1"/>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spacing w:val="1"/>
          <w:w w:val="99"/>
        </w:rPr>
        <w:t> </w:t>
      </w:r>
      <w:r>
        <w:rPr/>
        <w:t>金融工具的市场风险，是指金融工具的公允价值或未来现金流量因市场价格变动而发生波动的风险，</w:t>
      </w:r>
    </w:p>
    <w:p>
      <w:pPr>
        <w:pStyle w:val="BodyText"/>
        <w:spacing w:line="240" w:lineRule="auto" w:before="22"/>
        <w:ind w:right="0"/>
        <w:jc w:val="both"/>
      </w:pPr>
      <w:r>
        <w:rPr/>
        <w:t>包括汇率风险、利率风险和其他价格风险。</w:t>
      </w:r>
    </w:p>
    <w:p>
      <w:pPr>
        <w:pStyle w:val="BodyText"/>
        <w:spacing w:line="256" w:lineRule="auto" w:before="37"/>
        <w:ind w:left="576" w:right="0" w:hanging="1"/>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利率风险，是指金融工具的公允价值或未来现金流量因市场利率变动而发生波动的风险。本公司的利</w:t>
      </w:r>
    </w:p>
    <w:p>
      <w:pPr>
        <w:pStyle w:val="BodyText"/>
        <w:spacing w:line="266" w:lineRule="auto" w:before="22"/>
        <w:ind w:right="149"/>
        <w:jc w:val="both"/>
      </w:pPr>
      <w:r>
        <w:rPr>
          <w:spacing w:val="-1"/>
        </w:rPr>
        <w:t>率风险产生于银行借款及应付债券等带息债务。浮动利率的金融负债使本公司面临现金流量利率风险，固</w:t>
      </w:r>
      <w:r>
        <w:rPr>
          <w:spacing w:val="-81"/>
        </w:rPr>
        <w:t> </w:t>
      </w:r>
      <w:r>
        <w:rPr>
          <w:spacing w:val="-81"/>
        </w:rPr>
      </w:r>
      <w:r>
        <w:rPr>
          <w:spacing w:val="-1"/>
        </w:rPr>
        <w:t>定利率的金融负债使本公司面临公允价值利率风险。本公司根据当时的市场环境来决定固定利率及浮动利</w:t>
      </w:r>
      <w:r>
        <w:rPr>
          <w:spacing w:val="-81"/>
        </w:rPr>
        <w:t> </w:t>
      </w:r>
      <w:r>
        <w:rPr>
          <w:spacing w:val="-81"/>
        </w:rPr>
      </w:r>
      <w:r>
        <w:rPr>
          <w:spacing w:val="-1"/>
        </w:rPr>
        <w:t>率合同的相对比例。截至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日止，本公司的带息债务均为人民币计价的固定利率借款，金额合</w:t>
      </w:r>
      <w:r>
        <w:rPr>
          <w:spacing w:val="-84"/>
        </w:rPr>
        <w:t> </w:t>
      </w:r>
      <w:r>
        <w:rPr>
          <w:spacing w:val="-84"/>
        </w:rPr>
      </w:r>
      <w:r>
        <w:rPr/>
        <w:t>计为</w:t>
      </w:r>
      <w:r>
        <w:rPr>
          <w:rFonts w:ascii="Times New Roman" w:hAnsi="Times New Roman" w:cs="Times New Roman" w:eastAsia="Times New Roman" w:hint="default"/>
        </w:rPr>
        <w:t>175,280,000.00</w:t>
      </w:r>
      <w:r>
        <w:rPr/>
        <w:t>元及人民币计价的应付债券</w:t>
      </w:r>
      <w:r>
        <w:rPr>
          <w:rFonts w:ascii="Times New Roman" w:hAnsi="Times New Roman" w:cs="Times New Roman" w:eastAsia="Times New Roman" w:hint="default"/>
        </w:rPr>
        <w:t>1,391,080,600.00</w:t>
      </w:r>
      <w:r>
        <w:rPr/>
        <w:t>元。</w:t>
      </w:r>
    </w:p>
    <w:p>
      <w:pPr>
        <w:pStyle w:val="BodyText"/>
        <w:spacing w:line="271" w:lineRule="exact" w:before="0"/>
        <w:ind w:left="576" w:right="0"/>
        <w:jc w:val="left"/>
      </w:pPr>
      <w:r>
        <w:rPr/>
        <w:t>本公司因利率变动引起金融工具公允价值变动的风险主要与固定利率银行借款有关。</w:t>
      </w:r>
    </w:p>
    <w:p>
      <w:pPr>
        <w:pStyle w:val="BodyText"/>
        <w:spacing w:line="256" w:lineRule="auto" w:before="37"/>
        <w:ind w:left="576" w:right="1788" w:hanging="1"/>
        <w:jc w:val="left"/>
      </w:pPr>
      <w:r>
        <w:rPr/>
        <w:t>（</w:t>
      </w:r>
      <w:r>
        <w:rPr>
          <w:rFonts w:ascii="Times New Roman" w:hAnsi="Times New Roman" w:cs="Times New Roman" w:eastAsia="Times New Roman" w:hint="default"/>
        </w:rPr>
        <w:t>2</w:t>
      </w:r>
      <w:r>
        <w:rPr/>
        <w:t>）汇率风险 本公司期末无大额外币货币性项目，因此汇率的变动不会对本公司造成较大风险。</w:t>
      </w:r>
    </w:p>
    <w:p>
      <w:pPr>
        <w:pStyle w:val="BodyText"/>
        <w:spacing w:line="256" w:lineRule="auto" w:before="22"/>
        <w:ind w:left="576" w:right="108" w:hanging="1"/>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w:t>
      </w:r>
    </w:p>
    <w:p>
      <w:pPr>
        <w:spacing w:after="0" w:line="256"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BodyText"/>
        <w:spacing w:line="240" w:lineRule="auto" w:before="35"/>
        <w:ind w:left="576" w:right="0"/>
        <w:jc w:val="left"/>
      </w:pPr>
      <w:r>
        <w:rPr/>
        <w:t>本公司持有的上市公司权益投资列示如下：</w:t>
      </w:r>
    </w:p>
    <w:p>
      <w:pPr>
        <w:spacing w:line="240" w:lineRule="auto" w:before="2"/>
        <w:rPr>
          <w:rFonts w:ascii="宋体" w:hAnsi="宋体" w:cs="宋体" w:eastAsia="宋体" w:hint="default"/>
          <w:sz w:val="5"/>
          <w:szCs w:val="5"/>
        </w:rPr>
      </w:pPr>
    </w:p>
    <w:tbl>
      <w:tblPr>
        <w:tblW w:w="0" w:type="auto"/>
        <w:jc w:val="left"/>
        <w:tblInd w:w="814" w:type="dxa"/>
        <w:tblLayout w:type="fixed"/>
        <w:tblCellMar>
          <w:top w:w="0" w:type="dxa"/>
          <w:left w:w="0" w:type="dxa"/>
          <w:bottom w:w="0" w:type="dxa"/>
          <w:right w:w="0" w:type="dxa"/>
        </w:tblCellMar>
        <w:tblLook w:val="01E0"/>
      </w:tblPr>
      <w:tblGrid>
        <w:gridCol w:w="4434"/>
        <w:gridCol w:w="3119"/>
      </w:tblGrid>
      <w:tr>
        <w:trPr>
          <w:trHeight w:val="337" w:hRule="exact"/>
        </w:trPr>
        <w:tc>
          <w:tcPr>
            <w:tcW w:w="44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6"/>
              <w:ind w:left="13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44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31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72,764,149.18</w:t>
            </w:r>
          </w:p>
        </w:tc>
      </w:tr>
      <w:tr>
        <w:trPr>
          <w:trHeight w:val="352" w:hRule="exact"/>
        </w:trPr>
        <w:tc>
          <w:tcPr>
            <w:tcW w:w="44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36,827,707.23</w:t>
            </w:r>
          </w:p>
        </w:tc>
      </w:tr>
      <w:tr>
        <w:trPr>
          <w:trHeight w:val="352" w:hRule="exact"/>
        </w:trPr>
        <w:tc>
          <w:tcPr>
            <w:tcW w:w="44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一年内到期的可供出售金融资产</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3,369,133.42</w:t>
            </w:r>
          </w:p>
        </w:tc>
      </w:tr>
      <w:tr>
        <w:trPr>
          <w:trHeight w:val="347" w:hRule="exact"/>
        </w:trPr>
        <w:tc>
          <w:tcPr>
            <w:tcW w:w="44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112,960,989.83</w:t>
            </w:r>
          </w:p>
        </w:tc>
      </w:tr>
    </w:tbl>
    <w:p>
      <w:pPr>
        <w:pStyle w:val="BodyText"/>
        <w:spacing w:line="256" w:lineRule="auto" w:before="0"/>
        <w:ind w:left="153" w:right="151" w:firstLine="422"/>
        <w:jc w:val="both"/>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日，在所有其他变量保持不变的情况下，如果权益工具的价值上涨或下跌</w:t>
      </w:r>
      <w:r>
        <w:rPr>
          <w:rFonts w:ascii="Times New Roman" w:hAnsi="Times New Roman" w:cs="Times New Roman" w:eastAsia="Times New Roman" w:hint="default"/>
        </w:rPr>
        <w:t>10%</w:t>
      </w:r>
      <w:r>
        <w:rPr/>
        <w:t>，则本 </w:t>
      </w:r>
      <w:r>
        <w:rPr>
          <w:spacing w:val="-2"/>
        </w:rPr>
        <w:t>公司将增加或减少净利润</w:t>
      </w:r>
      <w:r>
        <w:rPr>
          <w:rFonts w:ascii="Times New Roman" w:hAnsi="Times New Roman" w:cs="Times New Roman" w:eastAsia="Times New Roman" w:hint="default"/>
          <w:spacing w:val="-2"/>
        </w:rPr>
        <w:t>5,466,575.23</w:t>
      </w:r>
      <w:r>
        <w:rPr>
          <w:spacing w:val="-2"/>
        </w:rPr>
        <w:t>元、其他综合收益</w:t>
      </w:r>
      <w:r>
        <w:rPr>
          <w:rFonts w:ascii="Times New Roman" w:hAnsi="Times New Roman" w:cs="Times New Roman" w:eastAsia="Times New Roman" w:hint="default"/>
          <w:spacing w:val="-2"/>
        </w:rPr>
        <w:t>3,014,763.05</w:t>
      </w:r>
      <w:r>
        <w:rPr>
          <w:spacing w:val="-2"/>
        </w:rPr>
        <w:t>元。管理层认为</w:t>
      </w:r>
      <w:r>
        <w:rPr>
          <w:rFonts w:ascii="Times New Roman" w:hAnsi="Times New Roman" w:cs="Times New Roman" w:eastAsia="Times New Roman" w:hint="default"/>
          <w:spacing w:val="-2"/>
        </w:rPr>
        <w:t>10%</w:t>
      </w:r>
      <w:r>
        <w:rPr>
          <w:spacing w:val="-2"/>
        </w:rPr>
        <w:t>合理反映了下一年</w:t>
      </w:r>
      <w:r>
        <w:rPr>
          <w:spacing w:val="-93"/>
        </w:rPr>
        <w:t> </w:t>
      </w:r>
      <w:r>
        <w:rPr/>
        <w:t>度权益工具价值可能发生变动的合理范围。</w:t>
      </w:r>
    </w:p>
    <w:p>
      <w:pPr>
        <w:pStyle w:val="BodyText"/>
        <w:spacing w:line="256" w:lineRule="auto" w:before="22"/>
        <w:ind w:left="576" w:right="0" w:firstLine="1"/>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264" w:lineRule="auto" w:before="22"/>
        <w:ind w:right="15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40" w:lineRule="auto" w:before="16"/>
        <w:ind w:left="576" w:right="0"/>
        <w:jc w:val="left"/>
      </w:pPr>
      <w:r>
        <w:rPr/>
        <w:t>本公司各项金融负债以未折现的合同现金流量按到期日列示如下：</w:t>
      </w:r>
    </w:p>
    <w:p>
      <w:pPr>
        <w:spacing w:line="240" w:lineRule="auto" w:before="5"/>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1418"/>
        <w:gridCol w:w="1559"/>
        <w:gridCol w:w="1559"/>
        <w:gridCol w:w="1418"/>
        <w:gridCol w:w="1700"/>
        <w:gridCol w:w="1702"/>
      </w:tblGrid>
      <w:tr>
        <w:trPr>
          <w:trHeight w:val="347" w:hRule="exact"/>
        </w:trPr>
        <w:tc>
          <w:tcPr>
            <w:tcW w:w="1418"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16"/>
              <w:ind w:left="6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938" w:type="dxa"/>
            <w:gridSpan w:val="5"/>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6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418" w:type="dxa"/>
            <w:vMerge/>
            <w:tcBorders>
              <w:left w:val="single" w:sz="8" w:space="0" w:color="000000"/>
              <w:bottom w:val="single" w:sz="8" w:space="0" w:color="000000"/>
              <w:right w:val="single" w:sz="8" w:space="0" w:color="000000"/>
            </w:tcBorders>
            <w:shd w:val="clear" w:color="auto" w:fill="CCCCCC"/>
          </w:tcPr>
          <w:p>
            <w:pP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6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6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84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559" w:type="dxa"/>
            <w:tcBorders>
              <w:top w:val="single" w:sz="12" w:space="0" w:color="000000"/>
              <w:left w:val="single" w:sz="8" w:space="0" w:color="000000"/>
              <w:bottom w:val="single" w:sz="8" w:space="0" w:color="000000"/>
              <w:right w:val="single" w:sz="8" w:space="0" w:color="000000"/>
            </w:tcBorders>
          </w:tcPr>
          <w:p>
            <w:pPr/>
          </w:p>
        </w:tc>
        <w:tc>
          <w:tcPr>
            <w:tcW w:w="1418" w:type="dxa"/>
            <w:tcBorders>
              <w:top w:val="single" w:sz="12" w:space="0" w:color="000000"/>
              <w:left w:val="single" w:sz="8" w:space="0" w:color="000000"/>
              <w:bottom w:val="single" w:sz="8" w:space="0" w:color="000000"/>
              <w:right w:val="single" w:sz="8" w:space="0" w:color="000000"/>
            </w:tcBorders>
          </w:tcPr>
          <w:p>
            <w:pPr/>
          </w:p>
        </w:tc>
        <w:tc>
          <w:tcPr>
            <w:tcW w:w="1700" w:type="dxa"/>
            <w:tcBorders>
              <w:top w:val="single" w:sz="12" w:space="0" w:color="000000"/>
              <w:left w:val="single" w:sz="8" w:space="0" w:color="000000"/>
              <w:bottom w:val="single" w:sz="8" w:space="0" w:color="000000"/>
              <w:right w:val="single" w:sz="8" w:space="0" w:color="000000"/>
            </w:tcBorders>
          </w:tcPr>
          <w:p>
            <w:pP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3"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48,385,566.34</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48,385,566.34</w:t>
            </w:r>
          </w:p>
        </w:tc>
      </w:tr>
      <w:tr>
        <w:trPr>
          <w:trHeight w:val="352"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257,005,826.85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23,710,989.57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177,744.65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1,408,645.26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282,303,206.33</w:t>
            </w:r>
          </w:p>
        </w:tc>
      </w:tr>
      <w:tr>
        <w:trPr>
          <w:trHeight w:val="352"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43,851,050.00</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43,851,050.00</w:t>
            </w:r>
          </w:p>
        </w:tc>
      </w:tr>
      <w:tr>
        <w:trPr>
          <w:trHeight w:val="353"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280,817,071.66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132,831,376.37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17,353,356.64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11,087,390.55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442,089,195.22</w:t>
            </w:r>
          </w:p>
        </w:tc>
      </w:tr>
      <w:tr>
        <w:trPr>
          <w:trHeight w:val="664"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right="-32" w:firstLine="362"/>
              <w:jc w:val="left"/>
              <w:rPr>
                <w:rFonts w:ascii="宋体" w:hAnsi="宋体" w:cs="宋体" w:eastAsia="宋体" w:hint="default"/>
                <w:sz w:val="18"/>
                <w:szCs w:val="18"/>
              </w:rPr>
            </w:pPr>
            <w:r>
              <w:rPr>
                <w:rFonts w:ascii="宋体" w:hAnsi="宋体" w:cs="宋体" w:eastAsia="宋体" w:hint="default"/>
                <w:spacing w:val="26"/>
                <w:sz w:val="18"/>
                <w:szCs w:val="18"/>
              </w:rPr>
              <w:t>一年内到期</w:t>
            </w:r>
            <w:r>
              <w:rPr>
                <w:rFonts w:ascii="宋体" w:hAnsi="宋体" w:cs="宋体" w:eastAsia="宋体" w:hint="default"/>
                <w:spacing w:val="-57"/>
                <w:sz w:val="18"/>
                <w:szCs w:val="18"/>
              </w:rPr>
              <w:t> </w:t>
            </w:r>
            <w:r>
              <w:rPr>
                <w:rFonts w:ascii="宋体" w:hAnsi="宋体" w:cs="宋体" w:eastAsia="宋体" w:hint="default"/>
                <w:sz w:val="18"/>
                <w:szCs w:val="18"/>
              </w:rPr>
              <w:t>的长期借款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119,878,687.50</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119,878,687.50</w:t>
            </w:r>
          </w:p>
        </w:tc>
      </w:tr>
      <w:tr>
        <w:trPr>
          <w:trHeight w:val="352"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700"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53"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1,391,080,600.00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1,391,080,600.00</w:t>
            </w:r>
          </w:p>
        </w:tc>
      </w:tr>
      <w:tr>
        <w:trPr>
          <w:trHeight w:val="353" w:hRule="exact"/>
        </w:trPr>
        <w:tc>
          <w:tcPr>
            <w:tcW w:w="141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6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779,938,202.35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156,542,365.94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97,531,101.29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1,403,576,635.81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2,437,588,305.39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right="5251"/>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5251"/>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720"/>
        <w:gridCol w:w="1721"/>
        <w:gridCol w:w="1720"/>
        <w:gridCol w:w="1722"/>
      </w:tblGrid>
      <w:tr>
        <w:trPr>
          <w:trHeight w:val="402"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35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4" w:right="4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72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5" w:right="43"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7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4" w:right="43"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7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c>
          <w:tcPr>
            <w:tcW w:w="1721" w:type="dxa"/>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c>
          <w:tcPr>
            <w:tcW w:w="172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72,764,149.18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72,764,149.18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40,196,840.65</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40,196,840.65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40,196,840.65</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40,196,840.65</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72,764,149.18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40,196,840.65</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112,960,989.83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06" w:lineRule="auto" w:before="35"/>
        <w:ind w:left="489" w:right="4225"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以持有的股票资产负债表日收盘价做为公允价值。</w:t>
      </w:r>
    </w:p>
    <w:p>
      <w:pPr>
        <w:pStyle w:val="Heading6"/>
        <w:spacing w:line="240" w:lineRule="auto" w:before="105"/>
        <w:ind w:left="153" w:right="178"/>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3" w:right="178" w:firstLine="424"/>
        <w:jc w:val="left"/>
      </w:pPr>
      <w:r>
        <w:rPr>
          <w:spacing w:val="-1"/>
        </w:rPr>
        <w:t>公司持有的股票处于限售期内的股票，不能直接在二级市场公开转让，因此采用第二层次输入值作为</w:t>
      </w:r>
      <w:r>
        <w:rPr/>
        <w:t> 公允价值，具体计算方法如下：</w:t>
      </w:r>
    </w:p>
    <w:p>
      <w:pPr>
        <w:pStyle w:val="BodyText"/>
        <w:spacing w:line="273" w:lineRule="auto"/>
        <w:ind w:left="153" w:right="178" w:firstLine="424"/>
        <w:jc w:val="left"/>
      </w:pPr>
      <w:r>
        <w:rPr>
          <w:spacing w:val="3"/>
        </w:rPr>
        <w:t>如果估值日非公开发行有明确锁定期的股票的初始取得成本高于在证券交易所上市交易的同一股票</w:t>
      </w:r>
      <w:r>
        <w:rPr/>
        <w:t> 的市价，采用在证券交易所上市交易的同一股票的市价作为估值日该股票的价值。</w:t>
      </w:r>
    </w:p>
    <w:p>
      <w:pPr>
        <w:pStyle w:val="BodyText"/>
        <w:spacing w:line="273" w:lineRule="auto"/>
        <w:ind w:left="153" w:right="178" w:firstLine="508"/>
        <w:jc w:val="left"/>
      </w:pPr>
      <w:r>
        <w:rPr/>
        <w:t>如果估值日非公开发行有明确锁定期的股票的初始取得成本低于在证券交易所上市交易的同一股票</w:t>
      </w:r>
      <w:r>
        <w:rPr>
          <w:spacing w:val="2"/>
        </w:rPr>
        <w:t> </w:t>
      </w:r>
      <w:r>
        <w:rPr/>
        <w:t>的市价，应按以下公式确定该股票的价值：</w:t>
      </w:r>
    </w:p>
    <w:p>
      <w:pPr>
        <w:pStyle w:val="BodyText"/>
        <w:spacing w:line="240" w:lineRule="auto"/>
        <w:ind w:left="578" w:right="178"/>
        <w:jc w:val="left"/>
        <w:rPr>
          <w:rFonts w:ascii="Times New Roman" w:hAnsi="Times New Roman" w:cs="Times New Roman" w:eastAsia="Times New Roman" w:hint="default"/>
        </w:rPr>
      </w:pPr>
      <w:r>
        <w:rPr>
          <w:rFonts w:ascii="Times New Roman" w:hAnsi="Times New Roman" w:cs="Times New Roman" w:eastAsia="Times New Roman" w:hint="default"/>
        </w:rPr>
        <w:t>FV=C+(P-C)</w:t>
      </w:r>
      <w:r>
        <w:rPr/>
        <w:t>行有明确锁定期的股票的初始取得成本低于／</w:t>
      </w:r>
      <w:r>
        <w:rPr>
          <w:rFonts w:ascii="Times New Roman" w:hAnsi="Times New Roman" w:cs="Times New Roman" w:eastAsia="Times New Roman" w:hint="default"/>
        </w:rPr>
        <w:t>D[SUB]l[/SUB]</w:t>
      </w:r>
    </w:p>
    <w:p>
      <w:pPr>
        <w:pStyle w:val="BodyText"/>
        <w:spacing w:line="240" w:lineRule="auto" w:before="21"/>
        <w:ind w:left="578" w:right="5251"/>
        <w:jc w:val="left"/>
      </w:pPr>
      <w:r>
        <w:rPr/>
        <w:t>其中：</w:t>
      </w:r>
    </w:p>
    <w:p>
      <w:pPr>
        <w:pStyle w:val="BodyText"/>
        <w:spacing w:line="256" w:lineRule="auto" w:before="37"/>
        <w:ind w:left="578" w:right="178"/>
        <w:jc w:val="left"/>
      </w:pPr>
      <w:r>
        <w:rPr>
          <w:rFonts w:ascii="Times New Roman" w:hAnsi="Times New Roman" w:cs="Times New Roman" w:eastAsia="Times New Roman" w:hint="default"/>
        </w:rPr>
        <w:t>FV</w:t>
      </w:r>
      <w:r>
        <w:rPr/>
        <w:t>为估值日该非公开发行有明确锁定期的股票的价值； </w:t>
      </w:r>
      <w:r>
        <w:rPr>
          <w:rFonts w:ascii="Times New Roman" w:hAnsi="Times New Roman" w:cs="Times New Roman" w:eastAsia="Times New Roman" w:hint="default"/>
        </w:rPr>
        <w:t>C</w:t>
      </w:r>
      <w:r>
        <w:rPr/>
        <w:t>为该非公开发行有明确锁定期的股票的初始取得成本（因权益业务导致市场价格除权时，应于除权</w:t>
      </w:r>
    </w:p>
    <w:p>
      <w:pPr>
        <w:pStyle w:val="BodyText"/>
        <w:spacing w:line="264" w:lineRule="auto" w:before="5"/>
        <w:ind w:left="578" w:right="1524" w:hanging="425"/>
        <w:jc w:val="left"/>
      </w:pPr>
      <w:r>
        <w:rPr/>
        <w:t>日对其初始取得成本作相应调整）； </w:t>
      </w:r>
      <w:r>
        <w:rPr>
          <w:rFonts w:ascii="Times New Roman" w:hAnsi="Times New Roman" w:cs="Times New Roman" w:eastAsia="Times New Roman" w:hint="default"/>
        </w:rPr>
        <w:t>P</w:t>
      </w:r>
      <w:r>
        <w:rPr/>
        <w:t>为估值日在证券交易所上市交易的同一股票的市价； </w:t>
      </w:r>
      <w:r>
        <w:rPr>
          <w:rFonts w:ascii="Times New Roman" w:hAnsi="Times New Roman" w:cs="Times New Roman" w:eastAsia="Times New Roman" w:hint="default"/>
        </w:rPr>
        <w:t>D[SUB]l[/SUB]</w:t>
      </w:r>
      <w:r>
        <w:rPr/>
        <w:t>为该非公开发行有明确锁定期的股票锁定期所含的交易所的交易天数；</w:t>
      </w:r>
    </w:p>
    <w:p>
      <w:pPr>
        <w:pStyle w:val="BodyText"/>
        <w:spacing w:line="289" w:lineRule="exact" w:before="0"/>
        <w:ind w:left="578" w:right="178"/>
        <w:jc w:val="left"/>
      </w:pPr>
      <w:r>
        <w:rPr>
          <w:rFonts w:ascii="Times New Roman" w:hAnsi="Times New Roman" w:cs="Times New Roman" w:eastAsia="Times New Roman" w:hint="default"/>
        </w:rPr>
        <w:t>Dr</w:t>
      </w:r>
      <w:r>
        <w:rPr/>
        <w:t>为估值日剩余锁定期，即估值日至锁定期结束所含的交易所的交易天数（不含估值日当天）。</w:t>
      </w:r>
    </w:p>
    <w:p>
      <w:pPr>
        <w:spacing w:after="0" w:line="289" w:lineRule="exact"/>
        <w:jc w:val="left"/>
        <w:sectPr>
          <w:pgSz w:w="11910" w:h="16840"/>
          <w:pgMar w:header="0" w:footer="982" w:top="1100" w:bottom="1180" w:left="980" w:right="940"/>
        </w:sect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pict>
          <v:group style="position:absolute;margin-left:296.100006pt;margin-top:67.523987pt;width:79.2pt;height:50.85pt;mso-position-horizontal-relative:page;mso-position-vertical-relative:paragraph;z-index:-1216288" coordorigin="5922,1350" coordsize="1584,1017">
            <v:group style="position:absolute;left:5922;top:1350;width:1584;height:1017" coordorigin="5922,1350" coordsize="1584,1017">
              <v:shape style="position:absolute;left:5922;top:1350;width:1584;height:1017" coordorigin="5922,1350" coordsize="1584,1017" path="m5922,2367l7506,2367,7506,1350,5922,1350,5922,2367xe" filled="true" fillcolor="#ffffff" stroked="false">
                <v:path arrowok="t"/>
                <v:fill type="solid"/>
              </v:shape>
            </v:group>
            <v:group style="position:absolute;left:5945;top:1662;width:1539;height:393" coordorigin="5945,1662" coordsize="1539,393">
              <v:shape style="position:absolute;left:5945;top:1662;width:1539;height:393" coordorigin="5945,1662" coordsize="1539,393" path="m5945,2055l7483,2055,7483,1662,5945,1662,5945,2055xe" filled="true" fillcolor="#ffffff" stroked="false">
                <v:path arrowok="t"/>
                <v:fill type="solid"/>
              </v:shape>
            </v:group>
            <w10:wrap type="none"/>
          </v:group>
        </w:pict>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58" w:hRule="exact"/>
        </w:trPr>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资产管理，投资管</w:t>
            </w: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pacing w:val="-3"/>
                <w:sz w:val="18"/>
                <w:szCs w:val="18"/>
              </w:rPr>
              <w:t>理，商务信息咨询，</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70,650.00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6" w:right="0"/>
              <w:jc w:val="left"/>
              <w:rPr>
                <w:rFonts w:ascii="Times New Roman" w:hAnsi="Times New Roman" w:cs="Times New Roman" w:eastAsia="Times New Roman" w:hint="default"/>
                <w:sz w:val="18"/>
                <w:szCs w:val="18"/>
              </w:rPr>
            </w:pPr>
            <w:r>
              <w:rPr>
                <w:rFonts w:ascii="Times New Roman"/>
                <w:sz w:val="18"/>
              </w:rPr>
              <w:t>13.52%</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6" w:right="0"/>
              <w:jc w:val="left"/>
              <w:rPr>
                <w:rFonts w:ascii="Times New Roman" w:hAnsi="Times New Roman" w:cs="Times New Roman" w:eastAsia="Times New Roman" w:hint="default"/>
                <w:sz w:val="18"/>
                <w:szCs w:val="18"/>
              </w:rPr>
            </w:pPr>
            <w:r>
              <w:rPr>
                <w:rFonts w:ascii="Times New Roman"/>
                <w:sz w:val="18"/>
              </w:rPr>
              <w:t>13.52%</w:t>
            </w:r>
          </w:p>
        </w:tc>
      </w:tr>
      <w:tr>
        <w:trPr>
          <w:trHeight w:val="351" w:hRule="exact"/>
        </w:trPr>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项目投资，投资管</w:t>
            </w: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8" w:hRule="exact"/>
        </w:trPr>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理，资产管理，投资</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10,182.18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1" w:hRule="exact"/>
        </w:trPr>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pStyle w:val="BodyText"/>
        <w:spacing w:line="300" w:lineRule="auto" w:before="26"/>
        <w:ind w:left="153" w:right="2631"/>
        <w:jc w:val="left"/>
      </w:pPr>
      <w:r>
        <w:rPr/>
        <w:t>本企业的母公司情况的说明： 详见本报告</w:t>
      </w:r>
      <w:r>
        <w:rPr>
          <w:rFonts w:ascii="Times New Roman" w:hAnsi="Times New Roman" w:cs="Times New Roman" w:eastAsia="Times New Roman" w:hint="default"/>
        </w:rPr>
        <w:t>“</w:t>
      </w:r>
      <w:r>
        <w:rPr/>
        <w:t>第六节、三、</w:t>
      </w:r>
      <w:r>
        <w:rPr>
          <w:rFonts w:ascii="Times New Roman" w:hAnsi="Times New Roman" w:cs="Times New Roman" w:eastAsia="Times New Roman" w:hint="default"/>
        </w:rPr>
        <w:t>2”</w:t>
      </w:r>
      <w:r>
        <w:rPr/>
        <w:t>与</w:t>
      </w:r>
      <w:r>
        <w:rPr>
          <w:rFonts w:ascii="Times New Roman" w:hAnsi="Times New Roman" w:cs="Times New Roman" w:eastAsia="Times New Roman" w:hint="default"/>
        </w:rPr>
        <w:t>“</w:t>
      </w:r>
      <w:r>
        <w:rPr/>
        <w:t>第六节、三、</w:t>
      </w:r>
      <w:r>
        <w:rPr>
          <w:rFonts w:ascii="Times New Roman" w:hAnsi="Times New Roman" w:cs="Times New Roman" w:eastAsia="Times New Roman" w:hint="default"/>
        </w:rPr>
        <w:t>3”</w:t>
      </w:r>
      <w:r>
        <w:rPr/>
        <w:t>。 本企业最终控制方是中国国际广播电台和无锡市滨湖区国有资产管理委员会。</w:t>
      </w:r>
    </w:p>
    <w:p>
      <w:pPr>
        <w:spacing w:line="240" w:lineRule="auto" w:before="10"/>
        <w:rPr>
          <w:rFonts w:ascii="宋体" w:hAnsi="宋体" w:cs="宋体" w:eastAsia="宋体" w:hint="default"/>
          <w:sz w:val="21"/>
          <w:szCs w:val="21"/>
        </w:rPr>
      </w:pPr>
    </w:p>
    <w:p>
      <w:pPr>
        <w:spacing w:line="520" w:lineRule="auto" w:before="0"/>
        <w:ind w:left="154" w:right="45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77"/>
        <w:ind w:left="153" w:right="131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振江钢结构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公司董事长温子健先生兼任证券时报社社长兼总编辑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深圳华闻在线网络有限公司（以下简称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华闻在线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公司董事长温子健先生兼任华闻在线董事长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北京国广公寓有限公司（以下简称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国广公寓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深圳市静水投资有限公司（以下简称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静水投资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公司董事长温子健先生兼任静水投资董事长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深圳市时报财经公关有限公司（以下简称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财经公关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公司董事长温子健先生兼任财经公关董事长</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before="0"/>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国视北京</w:t>
            </w:r>
            <w:r>
              <w:rPr>
                <w:rFonts w:ascii="Times New Roman" w:hAnsi="Times New Roman" w:cs="Times New Roman" w:eastAsia="Times New Roman" w:hint="default"/>
                <w:sz w:val="18"/>
                <w:szCs w:val="18"/>
              </w:rPr>
              <w:t>*1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审核服务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9,056,603.77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国广控股</w:t>
            </w:r>
            <w:r>
              <w:rPr>
                <w:rFonts w:ascii="Times New Roman" w:hAnsi="Times New Roman" w:cs="Times New Roman" w:eastAsia="Times New Roman" w:hint="default"/>
                <w:sz w:val="18"/>
                <w:szCs w:val="18"/>
              </w:rPr>
              <w:t>*2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代理成本</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42,452,830.32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42,452,830.32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4,660,486.43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746,846.35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823,323.62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财经公关</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1,466,981.12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5,499,371.56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证券时报社</w:t>
            </w:r>
            <w:r>
              <w:rPr>
                <w:rFonts w:ascii="Times New Roman" w:hAnsi="Times New Roman" w:cs="Times New Roman" w:eastAsia="Times New Roman" w:hint="default"/>
                <w:sz w:val="18"/>
                <w:szCs w:val="18"/>
              </w:rPr>
              <w:t>*3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版面费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168,633,574.51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144,130,891.56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华闻在线</w:t>
            </w:r>
            <w:r>
              <w:rPr>
                <w:rFonts w:ascii="Times New Roman" w:hAnsi="Times New Roman" w:cs="Times New Roman" w:eastAsia="Times New Roman" w:hint="default"/>
                <w:sz w:val="18"/>
                <w:szCs w:val="18"/>
              </w:rPr>
              <w:t>*4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网络发布费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7,274,764.00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4,903,301.78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软件开发费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1,503,773.54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1,236,509.41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国视北京</w:t>
            </w:r>
            <w:r>
              <w:rPr>
                <w:rFonts w:ascii="Times New Roman" w:hAnsi="Times New Roman" w:cs="Times New Roman" w:eastAsia="Times New Roman" w:hint="default"/>
                <w:sz w:val="18"/>
                <w:szCs w:val="18"/>
              </w:rPr>
              <w:t>*1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49,482,496.04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提供印刷服务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3,556,502.72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代理发行</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510,216.00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1,164,905.63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信息传播服务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12,292,045.30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资金使用费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13,541,386.44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13,541,386.44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振江钢结构</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资金使用费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1,397,260.28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34,016.70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35"/>
        <w:ind w:left="154" w:right="0" w:firstLine="0"/>
        <w:jc w:val="left"/>
        <w:rPr>
          <w:rFonts w:ascii="宋体" w:hAnsi="宋体" w:cs="宋体" w:eastAsia="宋体" w:hint="default"/>
          <w:sz w:val="20"/>
          <w:szCs w:val="20"/>
        </w:rPr>
      </w:pPr>
      <w:r>
        <w:rPr>
          <w:rFonts w:ascii="宋体" w:hAnsi="宋体" w:cs="宋体" w:eastAsia="宋体" w:hint="default"/>
          <w:sz w:val="20"/>
          <w:szCs w:val="20"/>
        </w:rPr>
        <w:t>购销商品、提供和接受劳务的关联交易说明</w:t>
      </w:r>
    </w:p>
    <w:p>
      <w:pPr>
        <w:spacing w:after="0"/>
        <w:jc w:val="left"/>
        <w:rPr>
          <w:rFonts w:ascii="宋体" w:hAnsi="宋体" w:cs="宋体" w:eastAsia="宋体" w:hint="default"/>
          <w:sz w:val="20"/>
          <w:szCs w:val="20"/>
        </w:rPr>
        <w:sectPr>
          <w:footerReference w:type="default" r:id="rId57"/>
          <w:pgSz w:w="11910" w:h="16840"/>
          <w:pgMar w:footer="982" w:header="0"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before="35"/>
        <w:ind w:right="206" w:firstLine="42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日，国视上海与国视北京签订了《运营管理服务协议》，合作有效期自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 </w:t>
      </w:r>
      <w:r>
        <w:rPr>
          <w:rFonts w:ascii="Times New Roman" w:hAnsi="Times New Roman" w:cs="Times New Roman" w:eastAsia="Times New Roman" w:hint="default"/>
          <w:spacing w:val="-1"/>
        </w:rPr>
        <w:t>2043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日。国视上海每年按约定比例向国视北京支付内容审核及管理等费用。国视北京内容审核及</w:t>
      </w:r>
      <w:r>
        <w:rPr>
          <w:spacing w:val="-85"/>
        </w:rPr>
        <w:t> </w:t>
      </w:r>
      <w:r>
        <w:rPr>
          <w:spacing w:val="-85"/>
        </w:rPr>
      </w:r>
      <w:r>
        <w:rPr/>
        <w:t>管理等费用＝经国视北京审核后产生的全部信息费</w:t>
      </w:r>
      <w:r>
        <w:rPr>
          <w:rFonts w:ascii="Times New Roman" w:hAnsi="Times New Roman" w:cs="Times New Roman" w:eastAsia="Times New Roman" w:hint="default"/>
        </w:rPr>
        <w:t>×2%</w:t>
      </w:r>
      <w:r>
        <w:rPr/>
        <w:t>，每年度，若按照上述公式计算的国视北京内容审 </w:t>
      </w:r>
      <w:r>
        <w:rPr>
          <w:spacing w:val="2"/>
        </w:rPr>
        <w:t>核及管理等费用当年累计低于</w:t>
      </w:r>
      <w:r>
        <w:rPr>
          <w:rFonts w:ascii="Times New Roman" w:hAnsi="Times New Roman" w:cs="Times New Roman" w:eastAsia="Times New Roman" w:hint="default"/>
          <w:spacing w:val="2"/>
        </w:rPr>
        <w:t>960</w:t>
      </w:r>
      <w:r>
        <w:rPr>
          <w:spacing w:val="2"/>
        </w:rPr>
        <w:t>万元的</w:t>
      </w:r>
      <w:r>
        <w:rPr>
          <w:rFonts w:ascii="Times New Roman" w:hAnsi="Times New Roman" w:cs="Times New Roman" w:eastAsia="Times New Roman" w:hint="default"/>
          <w:spacing w:val="2"/>
        </w:rPr>
        <w:t>, </w:t>
      </w:r>
      <w:r>
        <w:rPr>
          <w:spacing w:val="2"/>
        </w:rPr>
        <w:t>差额部分在年终一次性冲减国视上海当年</w:t>
      </w:r>
      <w:r>
        <w:rPr>
          <w:rFonts w:ascii="Times New Roman" w:hAnsi="Times New Roman" w:cs="Times New Roman" w:eastAsia="Times New Roman" w:hint="default"/>
          <w:spacing w:val="2"/>
        </w:rPr>
        <w:t>12</w:t>
      </w:r>
      <w:r>
        <w:rPr>
          <w:spacing w:val="2"/>
        </w:rPr>
        <w:t>月份应收取的运营</w:t>
      </w:r>
      <w:r>
        <w:rPr>
          <w:spacing w:val="-94"/>
        </w:rPr>
        <w:t> </w:t>
      </w:r>
      <w:r>
        <w:rPr>
          <w:spacing w:val="-94"/>
        </w:rPr>
      </w:r>
      <w:r>
        <w:rPr/>
        <w:t>管理服务费用</w:t>
      </w:r>
      <w:r>
        <w:rPr>
          <w:rFonts w:ascii="Times New Roman" w:hAnsi="Times New Roman" w:cs="Times New Roman" w:eastAsia="Times New Roman" w:hint="default"/>
        </w:rPr>
        <w:t>,</w:t>
      </w:r>
      <w:r>
        <w:rPr/>
        <w:t>直至国视上海当年</w:t>
      </w:r>
      <w:r>
        <w:rPr>
          <w:rFonts w:ascii="Times New Roman" w:hAnsi="Times New Roman" w:cs="Times New Roman" w:eastAsia="Times New Roman" w:hint="default"/>
        </w:rPr>
        <w:t>12</w:t>
      </w:r>
      <w:r>
        <w:rPr/>
        <w:t>月份运营管理服务费用为零为止。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月由国视北京与运营商结</w:t>
      </w:r>
      <w:r>
        <w:rPr>
          <w:spacing w:val="-56"/>
        </w:rPr>
        <w:t> </w:t>
      </w:r>
      <w:r>
        <w:rPr>
          <w:spacing w:val="-56"/>
        </w:rPr>
      </w:r>
      <w:r>
        <w:rPr/>
        <w:t>算后再支付给国视上海，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3-12</w:t>
      </w:r>
      <w:r>
        <w:rPr/>
        <w:t>月，由国视上海与运营商结算后再按预定约定比例支付给国视北京。</w:t>
      </w:r>
      <w:r>
        <w:rPr>
          <w:spacing w:val="-100"/>
        </w:rPr>
        <w:t> </w:t>
      </w:r>
      <w:r>
        <w:rPr>
          <w:spacing w:val="-100"/>
        </w:rPr>
      </w:r>
      <w:r>
        <w:rPr/>
        <w:t>国视上海依据协议约定向国视北京收取运营管理服务费用。</w:t>
      </w:r>
    </w:p>
    <w:p>
      <w:pPr>
        <w:pStyle w:val="BodyText"/>
        <w:spacing w:line="256" w:lineRule="auto" w:before="22"/>
        <w:ind w:right="208" w:firstLine="423"/>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日，本公司之子公司国广光荣与国广控股签订了经营业务授权协议，授权期限为</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2040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日止。公司每年需支付业务收入的</w:t>
      </w:r>
      <w:r>
        <w:rPr>
          <w:rFonts w:ascii="Times New Roman" w:hAnsi="Times New Roman" w:cs="Times New Roman" w:eastAsia="Times New Roman" w:hint="default"/>
        </w:rPr>
        <w:t>33%</w:t>
      </w:r>
      <w:r>
        <w:rPr/>
        <w:t>作为授权广告费用，且不得低 于</w:t>
      </w:r>
      <w:r>
        <w:rPr>
          <w:rFonts w:ascii="Times New Roman" w:hAnsi="Times New Roman" w:cs="Times New Roman" w:eastAsia="Times New Roman" w:hint="default"/>
        </w:rPr>
        <w:t>4,500.00</w:t>
      </w:r>
      <w:r>
        <w:rPr/>
        <w:t>万元（含税）。</w:t>
      </w:r>
    </w:p>
    <w:p>
      <w:pPr>
        <w:pStyle w:val="BodyText"/>
        <w:spacing w:line="261" w:lineRule="auto" w:before="5"/>
        <w:ind w:left="153" w:right="211" w:firstLine="423"/>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31</w:t>
      </w:r>
      <w:r>
        <w:rPr>
          <w:spacing w:val="-2"/>
        </w:rPr>
        <w:t>日，时报传媒与证券时报社签订经营业务授权协议。证券时报社授予本公司有关《证</w:t>
      </w:r>
      <w:r>
        <w:rPr/>
        <w:t> </w:t>
      </w:r>
      <w:r>
        <w:rPr>
          <w:spacing w:val="-1"/>
        </w:rPr>
        <w:t>券时报》的商业广告、财经信息的咨询策划、设计制作与代理发布等相关业务的独家经营权，同时授予时</w:t>
      </w:r>
      <w:r>
        <w:rPr>
          <w:spacing w:val="-82"/>
        </w:rPr>
        <w:t> </w:t>
      </w:r>
      <w:r>
        <w:rPr>
          <w:spacing w:val="-82"/>
        </w:rPr>
      </w:r>
      <w:r>
        <w:rPr>
          <w:spacing w:val="-1"/>
        </w:rPr>
        <w:t>报传媒在经营上述业务时可以使用《证券时报》的商标和商誉的权利。授予的独家经营权期限为</w:t>
      </w:r>
      <w:r>
        <w:rPr>
          <w:rFonts w:ascii="Times New Roman" w:hAnsi="Times New Roman" w:cs="Times New Roman" w:eastAsia="Times New Roman" w:hint="default"/>
          <w:spacing w:val="-1"/>
        </w:rPr>
        <w:t>30</w:t>
      </w:r>
      <w:r>
        <w:rPr>
          <w:spacing w:val="-1"/>
        </w:rPr>
        <w:t>年，自</w:t>
      </w:r>
      <w:r>
        <w:rPr>
          <w:spacing w:val="-82"/>
        </w:rPr>
        <w:t> </w:t>
      </w:r>
      <w:r>
        <w:rPr>
          <w:spacing w:val="-82"/>
        </w:rPr>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31</w:t>
      </w:r>
      <w:r>
        <w:rPr/>
        <w:t>日止。时报传媒需每月按其经营《证券时报》业务收入的</w:t>
      </w:r>
      <w:r>
        <w:rPr>
          <w:rFonts w:ascii="Times New Roman" w:hAnsi="Times New Roman" w:cs="Times New Roman" w:eastAsia="Times New Roman" w:hint="default"/>
        </w:rPr>
        <w:t>35%</w:t>
      </w:r>
      <w:r>
        <w:rPr/>
        <w:t>向证券时报 社支付保障《证券时报》出版、发行相关成本的费用，全年累计不得低于</w:t>
      </w:r>
      <w:r>
        <w:rPr>
          <w:rFonts w:ascii="Times New Roman" w:hAnsi="Times New Roman" w:cs="Times New Roman" w:eastAsia="Times New Roman" w:hint="default"/>
        </w:rPr>
        <w:t>6,600.00</w:t>
      </w:r>
      <w:r>
        <w:rPr/>
        <w:t>万元。</w:t>
      </w:r>
    </w:p>
    <w:p>
      <w:pPr>
        <w:pStyle w:val="BodyText"/>
        <w:spacing w:line="256" w:lineRule="auto" w:before="0"/>
        <w:ind w:left="153" w:right="101" w:firstLine="42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日，时报传媒与证券时报社的全资子公司华闻在线签订《创业板公司网络服务协议》，</w:t>
      </w:r>
      <w:r>
        <w:rPr/>
        <w:t> 时报传媒委托华闻在线在证券时报网（</w:t>
      </w:r>
      <w:hyperlink r:id="rId22">
        <w:r>
          <w:rPr>
            <w:rFonts w:ascii="Times New Roman" w:hAnsi="Times New Roman" w:cs="Times New Roman" w:eastAsia="Times New Roman" w:hint="default"/>
          </w:rPr>
          <w:t>www.stcn.com</w:t>
        </w:r>
      </w:hyperlink>
      <w:r>
        <w:rPr/>
        <w:t>）编辑、制作、发布、维护有关创业板公司客户的相 关业务，并支付华闻在线保障网站正常运行的网络发布费用，委托期限自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日止，</w:t>
      </w:r>
      <w:r>
        <w:rPr>
          <w:rFonts w:ascii="Times New Roman" w:hAnsi="Times New Roman" w:cs="Times New Roman" w:eastAsia="Times New Roman" w:hint="default"/>
        </w:rPr>
        <w:t>2014</w:t>
      </w:r>
      <w:r>
        <w:rPr/>
        <w:t>年支付总额不超过人民币</w:t>
      </w:r>
      <w:r>
        <w:rPr>
          <w:rFonts w:ascii="Times New Roman" w:hAnsi="Times New Roman" w:cs="Times New Roman" w:eastAsia="Times New Roman" w:hint="default"/>
        </w:rPr>
        <w:t>1,200.00</w:t>
      </w:r>
      <w:r>
        <w:rPr/>
        <w:t>万元。</w:t>
      </w:r>
    </w:p>
    <w:p>
      <w:pPr>
        <w:spacing w:line="240" w:lineRule="auto" w:before="5"/>
        <w:rPr>
          <w:rFonts w:ascii="宋体" w:hAnsi="宋体" w:cs="宋体" w:eastAsia="宋体" w:hint="default"/>
          <w:sz w:val="23"/>
          <w:szCs w:val="23"/>
        </w:rPr>
      </w:pPr>
    </w:p>
    <w:p>
      <w:pPr>
        <w:pStyle w:val="Heading6"/>
        <w:spacing w:line="240" w:lineRule="auto" w:before="0"/>
        <w:ind w:right="1097"/>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109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1,479,528.00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财经公关</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怀新投资</w:t>
            </w:r>
            <w:r>
              <w:rPr>
                <w:rFonts w:ascii="Times New Roman" w:hAnsi="Times New Roman" w:cs="Times New Roman" w:eastAsia="Times New Roman" w:hint="default"/>
                <w:sz w:val="18"/>
                <w:szCs w:val="18"/>
              </w:rPr>
              <w:t>*1</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800,997.60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9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国广公寓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287,749.33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411,872.24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1,405,090.60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车辆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436,500.00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both"/>
      </w:pPr>
      <w:r>
        <w:rPr/>
        <w:t>关联租赁情况说明</w:t>
      </w:r>
    </w:p>
    <w:p>
      <w:pPr>
        <w:pStyle w:val="BodyText"/>
        <w:spacing w:line="256" w:lineRule="auto" w:before="76"/>
        <w:ind w:left="153" w:right="209"/>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27</w:t>
      </w:r>
      <w:r>
        <w:rPr>
          <w:spacing w:val="-4"/>
        </w:rPr>
        <w:t>日，时报传媒与怀新投资签订房屋租赁协议。时报传媒将房产号为：深房地字第</w:t>
      </w:r>
      <w:r>
        <w:rPr>
          <w:rFonts w:ascii="Times New Roman" w:hAnsi="Times New Roman" w:cs="Times New Roman" w:eastAsia="Times New Roman" w:hint="default"/>
          <w:spacing w:val="-4"/>
        </w:rPr>
        <w:t>3000485011</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1"/>
        </w:rPr>
        <w:t>号的房屋租赁给怀新投资，租赁期限自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日到</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日，每月租金总额为人民币</w:t>
      </w:r>
      <w:r>
        <w:rPr>
          <w:rFonts w:ascii="Times New Roman" w:hAnsi="Times New Roman" w:cs="Times New Roman" w:eastAsia="Times New Roman" w:hint="default"/>
          <w:spacing w:val="-1"/>
        </w:rPr>
        <w:t>85,036.80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元。</w:t>
      </w:r>
    </w:p>
    <w:p>
      <w:pPr>
        <w:spacing w:after="0" w:line="256" w:lineRule="auto"/>
        <w:jc w:val="both"/>
        <w:sectPr>
          <w:footerReference w:type="default" r:id="rId58"/>
          <w:pgSz w:w="11910" w:h="16840"/>
          <w:pgMar w:footer="982" w:header="0" w:top="1100" w:bottom="1180" w:left="980" w:right="920"/>
          <w:pgNumType w:start="201"/>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）对外投资</w:t>
      </w:r>
      <w:r>
        <w:rPr>
          <w:b w:val="0"/>
          <w:bCs w:val="0"/>
        </w:rPr>
      </w:r>
    </w:p>
    <w:p>
      <w:pPr>
        <w:spacing w:line="240" w:lineRule="auto" w:before="6"/>
        <w:rPr>
          <w:rFonts w:ascii="宋体" w:hAnsi="宋体" w:cs="宋体" w:eastAsia="宋体" w:hint="default"/>
          <w:b/>
          <w:bCs/>
          <w:sz w:val="25"/>
          <w:szCs w:val="25"/>
        </w:rPr>
      </w:pPr>
    </w:p>
    <w:p>
      <w:pPr>
        <w:spacing w:line="268" w:lineRule="auto" w:before="0"/>
        <w:ind w:left="154" w:right="0" w:firstLine="423"/>
        <w:jc w:val="left"/>
        <w:rPr>
          <w:rFonts w:ascii="宋体" w:hAnsi="宋体" w:cs="宋体" w:eastAsia="宋体" w:hint="default"/>
          <w:sz w:val="20"/>
          <w:szCs w:val="20"/>
        </w:rPr>
      </w:pPr>
      <w:r>
        <w:rPr>
          <w:rFonts w:ascii="宋体" w:hAnsi="宋体" w:cs="宋体" w:eastAsia="宋体" w:hint="default"/>
          <w:sz w:val="20"/>
          <w:szCs w:val="20"/>
        </w:rPr>
        <w:t>①</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2</w:t>
      </w:r>
      <w:r>
        <w:rPr>
          <w:rFonts w:ascii="宋体" w:hAnsi="宋体" w:cs="宋体" w:eastAsia="宋体" w:hint="default"/>
          <w:sz w:val="20"/>
          <w:szCs w:val="20"/>
        </w:rPr>
        <w:t>月</w:t>
      </w:r>
      <w:r>
        <w:rPr>
          <w:rFonts w:ascii="Times New Roman" w:hAnsi="Times New Roman" w:cs="Times New Roman" w:eastAsia="Times New Roman" w:hint="default"/>
          <w:sz w:val="21"/>
          <w:szCs w:val="21"/>
        </w:rPr>
        <w:t>18</w:t>
      </w:r>
      <w:r>
        <w:rPr>
          <w:rFonts w:ascii="宋体" w:hAnsi="宋体" w:cs="宋体" w:eastAsia="宋体" w:hint="default"/>
          <w:sz w:val="20"/>
          <w:szCs w:val="20"/>
        </w:rPr>
        <w:t>日，本公司和国广控股签署《国广东方网络（北京）有限公司增资协议》，按照协议</w:t>
      </w:r>
      <w:r>
        <w:rPr>
          <w:rFonts w:ascii="宋体" w:hAnsi="宋体" w:cs="宋体" w:eastAsia="宋体" w:hint="default"/>
          <w:spacing w:val="2"/>
          <w:w w:val="103"/>
          <w:sz w:val="20"/>
          <w:szCs w:val="20"/>
        </w:rPr>
        <w:t> </w:t>
      </w:r>
      <w:r>
        <w:rPr>
          <w:rFonts w:ascii="宋体" w:hAnsi="宋体" w:cs="宋体" w:eastAsia="宋体" w:hint="default"/>
          <w:w w:val="105"/>
          <w:sz w:val="20"/>
          <w:szCs w:val="20"/>
        </w:rPr>
        <w:t>约定本公司出资</w:t>
      </w:r>
      <w:r>
        <w:rPr>
          <w:rFonts w:ascii="Times New Roman" w:hAnsi="Times New Roman" w:cs="Times New Roman" w:eastAsia="Times New Roman" w:hint="default"/>
          <w:w w:val="105"/>
          <w:sz w:val="21"/>
          <w:szCs w:val="21"/>
        </w:rPr>
        <w:t>883.60</w:t>
      </w:r>
      <w:r>
        <w:rPr>
          <w:rFonts w:ascii="宋体" w:hAnsi="宋体" w:cs="宋体" w:eastAsia="宋体" w:hint="default"/>
          <w:w w:val="105"/>
          <w:sz w:val="20"/>
          <w:szCs w:val="20"/>
        </w:rPr>
        <w:t>万元，增资后持股比例不变。</w:t>
      </w:r>
      <w:r>
        <w:rPr>
          <w:rFonts w:ascii="宋体" w:hAnsi="宋体" w:cs="宋体" w:eastAsia="宋体" w:hint="default"/>
          <w:sz w:val="20"/>
          <w:szCs w:val="20"/>
        </w:rPr>
      </w:r>
    </w:p>
    <w:p>
      <w:pPr>
        <w:spacing w:before="5"/>
        <w:ind w:left="57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5"/>
          <w:sz w:val="21"/>
          <w:szCs w:val="21"/>
        </w:rPr>
        <w:t>2014</w:t>
      </w:r>
      <w:r>
        <w:rPr>
          <w:rFonts w:ascii="宋体" w:hAnsi="宋体" w:cs="宋体" w:eastAsia="宋体" w:hint="default"/>
          <w:w w:val="105"/>
          <w:sz w:val="20"/>
          <w:szCs w:val="20"/>
        </w:rPr>
        <w:t>年</w:t>
      </w:r>
      <w:r>
        <w:rPr>
          <w:rFonts w:ascii="Times New Roman" w:hAnsi="Times New Roman" w:cs="Times New Roman" w:eastAsia="Times New Roman" w:hint="default"/>
          <w:w w:val="105"/>
          <w:sz w:val="21"/>
          <w:szCs w:val="21"/>
        </w:rPr>
        <w:t>7</w:t>
      </w:r>
      <w:r>
        <w:rPr>
          <w:rFonts w:ascii="宋体" w:hAnsi="宋体" w:cs="宋体" w:eastAsia="宋体" w:hint="default"/>
          <w:w w:val="105"/>
          <w:sz w:val="20"/>
          <w:szCs w:val="20"/>
        </w:rPr>
        <w:t>月，合一信息技术（北京）有限公司单方面对国广东方增资</w:t>
      </w:r>
      <w:r>
        <w:rPr>
          <w:rFonts w:ascii="Times New Roman" w:hAnsi="Times New Roman" w:cs="Times New Roman" w:eastAsia="Times New Roman" w:hint="default"/>
          <w:w w:val="105"/>
          <w:sz w:val="21"/>
          <w:szCs w:val="21"/>
        </w:rPr>
        <w:t>5000</w:t>
      </w:r>
      <w:r>
        <w:rPr>
          <w:rFonts w:ascii="宋体" w:hAnsi="宋体" w:cs="宋体" w:eastAsia="宋体" w:hint="default"/>
          <w:w w:val="105"/>
          <w:sz w:val="20"/>
          <w:szCs w:val="20"/>
        </w:rPr>
        <w:t>万元，公司持股比例有</w:t>
      </w:r>
      <w:r>
        <w:rPr>
          <w:rFonts w:ascii="Times New Roman" w:hAnsi="Times New Roman" w:cs="Times New Roman" w:eastAsia="Times New Roman" w:hint="default"/>
          <w:w w:val="105"/>
          <w:sz w:val="21"/>
          <w:szCs w:val="21"/>
        </w:rPr>
        <w:t>44.18</w:t>
      </w:r>
    </w:p>
    <w:p>
      <w:pPr>
        <w:spacing w:line="268" w:lineRule="auto" w:before="33"/>
        <w:ind w:left="577" w:right="0" w:hanging="424"/>
        <w:jc w:val="left"/>
        <w:rPr>
          <w:rFonts w:ascii="宋体" w:hAnsi="宋体" w:cs="宋体" w:eastAsia="宋体" w:hint="default"/>
          <w:sz w:val="20"/>
          <w:szCs w:val="20"/>
        </w:rPr>
      </w:pPr>
      <w:r>
        <w:rPr>
          <w:rFonts w:ascii="Times New Roman" w:hAnsi="Times New Roman" w:cs="Times New Roman" w:eastAsia="Times New Roman" w:hint="default"/>
          <w:sz w:val="21"/>
          <w:szCs w:val="21"/>
        </w:rPr>
        <w:t>%</w:t>
      </w:r>
      <w:r>
        <w:rPr>
          <w:rFonts w:ascii="宋体" w:hAnsi="宋体" w:cs="宋体" w:eastAsia="宋体" w:hint="default"/>
          <w:sz w:val="20"/>
          <w:szCs w:val="20"/>
        </w:rPr>
        <w:t>下降为</w:t>
      </w:r>
      <w:r>
        <w:rPr>
          <w:rFonts w:ascii="Times New Roman" w:hAnsi="Times New Roman" w:cs="Times New Roman" w:eastAsia="Times New Roman" w:hint="default"/>
          <w:sz w:val="21"/>
          <w:szCs w:val="21"/>
        </w:rPr>
        <w:t>36.8171%</w:t>
      </w:r>
      <w:r>
        <w:rPr>
          <w:rFonts w:ascii="宋体" w:hAnsi="宋体" w:cs="宋体" w:eastAsia="宋体" w:hint="default"/>
          <w:sz w:val="20"/>
          <w:szCs w:val="20"/>
        </w:rPr>
        <w:t>。</w:t>
      </w:r>
      <w:r>
        <w:rPr>
          <w:rFonts w:ascii="宋体" w:hAnsi="宋体" w:cs="宋体" w:eastAsia="宋体" w:hint="default"/>
          <w:spacing w:val="-69"/>
          <w:sz w:val="20"/>
          <w:szCs w:val="20"/>
        </w:rPr>
        <w:t> </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9</w:t>
      </w:r>
      <w:r>
        <w:rPr>
          <w:rFonts w:ascii="宋体" w:hAnsi="宋体" w:cs="宋体" w:eastAsia="宋体" w:hint="default"/>
          <w:sz w:val="20"/>
          <w:szCs w:val="20"/>
        </w:rPr>
        <w:t>月，国广控股、本公司和合一信息同比例增资国广东方，本公司出资</w:t>
      </w:r>
      <w:r>
        <w:rPr>
          <w:rFonts w:ascii="Times New Roman" w:hAnsi="Times New Roman" w:cs="Times New Roman" w:eastAsia="Times New Roman" w:hint="default"/>
          <w:sz w:val="21"/>
          <w:szCs w:val="21"/>
        </w:rPr>
        <w:t>1,840.90</w:t>
      </w:r>
      <w:r>
        <w:rPr>
          <w:rFonts w:ascii="宋体" w:hAnsi="宋体" w:cs="宋体" w:eastAsia="宋体" w:hint="default"/>
          <w:sz w:val="20"/>
          <w:szCs w:val="20"/>
        </w:rPr>
        <w:t>万元，增资后</w:t>
      </w:r>
    </w:p>
    <w:p>
      <w:pPr>
        <w:spacing w:before="2"/>
        <w:ind w:left="154" w:right="0" w:firstLine="0"/>
        <w:jc w:val="left"/>
        <w:rPr>
          <w:rFonts w:ascii="宋体" w:hAnsi="宋体" w:cs="宋体" w:eastAsia="宋体" w:hint="default"/>
          <w:sz w:val="20"/>
          <w:szCs w:val="20"/>
        </w:rPr>
      </w:pPr>
      <w:r>
        <w:rPr>
          <w:rFonts w:ascii="宋体" w:hAnsi="宋体" w:cs="宋体" w:eastAsia="宋体" w:hint="default"/>
          <w:w w:val="105"/>
          <w:sz w:val="20"/>
          <w:szCs w:val="20"/>
        </w:rPr>
        <w:t>持股比例不变。</w:t>
      </w:r>
      <w:r>
        <w:rPr>
          <w:rFonts w:ascii="宋体" w:hAnsi="宋体" w:cs="宋体" w:eastAsia="宋体" w:hint="default"/>
          <w:sz w:val="20"/>
          <w:szCs w:val="20"/>
        </w:rPr>
      </w:r>
    </w:p>
    <w:p>
      <w:pPr>
        <w:spacing w:line="259" w:lineRule="auto" w:before="52"/>
        <w:ind w:left="154" w:right="0" w:firstLine="423"/>
        <w:jc w:val="left"/>
        <w:rPr>
          <w:rFonts w:ascii="宋体" w:hAnsi="宋体" w:cs="宋体" w:eastAsia="宋体" w:hint="default"/>
          <w:sz w:val="20"/>
          <w:szCs w:val="20"/>
        </w:rPr>
      </w:pPr>
      <w:r>
        <w:rPr>
          <w:rFonts w:ascii="宋体" w:hAnsi="宋体" w:cs="宋体" w:eastAsia="宋体" w:hint="default"/>
          <w:sz w:val="20"/>
          <w:szCs w:val="20"/>
        </w:rPr>
        <w:t>②</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3</w:t>
      </w:r>
      <w:r>
        <w:rPr>
          <w:rFonts w:ascii="宋体" w:hAnsi="宋体" w:cs="宋体" w:eastAsia="宋体" w:hint="default"/>
          <w:sz w:val="20"/>
          <w:szCs w:val="20"/>
        </w:rPr>
        <w:t>月</w:t>
      </w:r>
      <w:r>
        <w:rPr>
          <w:rFonts w:ascii="Times New Roman" w:hAnsi="Times New Roman" w:cs="Times New Roman" w:eastAsia="Times New Roman" w:hint="default"/>
          <w:sz w:val="21"/>
          <w:szCs w:val="21"/>
        </w:rPr>
        <w:t>13</w:t>
      </w:r>
      <w:r>
        <w:rPr>
          <w:rFonts w:ascii="宋体" w:hAnsi="宋体" w:cs="宋体" w:eastAsia="宋体" w:hint="default"/>
          <w:sz w:val="20"/>
          <w:szCs w:val="20"/>
        </w:rPr>
        <w:t>日，时报传媒和静水投资签署《投资协议》，共同投资设立深圳市点石创新投资有限</w:t>
      </w:r>
      <w:r>
        <w:rPr>
          <w:rFonts w:ascii="宋体" w:hAnsi="宋体" w:cs="宋体" w:eastAsia="宋体" w:hint="default"/>
          <w:spacing w:val="2"/>
          <w:w w:val="103"/>
          <w:sz w:val="20"/>
          <w:szCs w:val="20"/>
        </w:rPr>
        <w:t> </w:t>
      </w:r>
      <w:r>
        <w:rPr>
          <w:rFonts w:ascii="宋体" w:hAnsi="宋体" w:cs="宋体" w:eastAsia="宋体" w:hint="default"/>
          <w:w w:val="105"/>
          <w:sz w:val="20"/>
          <w:szCs w:val="20"/>
        </w:rPr>
        <w:t>公司，时报传媒出资</w:t>
      </w:r>
      <w:r>
        <w:rPr>
          <w:rFonts w:ascii="Times New Roman" w:hAnsi="Times New Roman" w:cs="Times New Roman" w:eastAsia="Times New Roman" w:hint="default"/>
          <w:w w:val="105"/>
          <w:sz w:val="21"/>
          <w:szCs w:val="21"/>
        </w:rPr>
        <w:t>1500</w:t>
      </w:r>
      <w:r>
        <w:rPr>
          <w:rFonts w:ascii="宋体" w:hAnsi="宋体" w:cs="宋体" w:eastAsia="宋体" w:hint="default"/>
          <w:w w:val="105"/>
          <w:sz w:val="20"/>
          <w:szCs w:val="20"/>
        </w:rPr>
        <w:t>万元，占注册资</w:t>
      </w:r>
      <w:r>
        <w:rPr>
          <w:rFonts w:ascii="宋体" w:hAnsi="宋体" w:cs="宋体" w:eastAsia="宋体" w:hint="default"/>
          <w:w w:val="105"/>
          <w:sz w:val="21"/>
          <w:szCs w:val="21"/>
        </w:rPr>
        <w:t>本</w:t>
      </w:r>
      <w:r>
        <w:rPr>
          <w:rFonts w:ascii="宋体" w:hAnsi="宋体" w:cs="宋体" w:eastAsia="宋体" w:hint="default"/>
          <w:w w:val="105"/>
          <w:sz w:val="20"/>
          <w:szCs w:val="20"/>
        </w:rPr>
        <w:t>的</w:t>
      </w:r>
      <w:r>
        <w:rPr>
          <w:rFonts w:ascii="Times New Roman" w:hAnsi="Times New Roman" w:cs="Times New Roman" w:eastAsia="Times New Roman" w:hint="default"/>
          <w:w w:val="105"/>
          <w:sz w:val="21"/>
          <w:szCs w:val="21"/>
        </w:rPr>
        <w:t>30%</w:t>
      </w:r>
      <w:r>
        <w:rPr>
          <w:rFonts w:ascii="宋体" w:hAnsi="宋体" w:cs="宋体" w:eastAsia="宋体" w:hint="default"/>
          <w:w w:val="105"/>
          <w:sz w:val="20"/>
          <w:szCs w:val="20"/>
        </w:rPr>
        <w:t>。</w:t>
      </w:r>
      <w:r>
        <w:rPr>
          <w:rFonts w:ascii="宋体" w:hAnsi="宋体" w:cs="宋体" w:eastAsia="宋体" w:hint="default"/>
          <w:sz w:val="20"/>
          <w:szCs w:val="20"/>
        </w:rPr>
      </w:r>
    </w:p>
    <w:p>
      <w:pPr>
        <w:spacing w:line="268" w:lineRule="auto" w:before="14"/>
        <w:ind w:left="154" w:right="0" w:firstLine="423"/>
        <w:jc w:val="left"/>
        <w:rPr>
          <w:rFonts w:ascii="宋体" w:hAnsi="宋体" w:cs="宋体" w:eastAsia="宋体" w:hint="default"/>
          <w:sz w:val="20"/>
          <w:szCs w:val="20"/>
        </w:rPr>
      </w:pPr>
      <w:r>
        <w:rPr>
          <w:rFonts w:ascii="宋体" w:hAnsi="宋体" w:cs="宋体" w:eastAsia="宋体" w:hint="default"/>
          <w:w w:val="105"/>
          <w:sz w:val="20"/>
          <w:szCs w:val="20"/>
        </w:rPr>
        <w:t>③</w:t>
      </w:r>
      <w:r>
        <w:rPr>
          <w:rFonts w:ascii="Times New Roman" w:hAnsi="Times New Roman" w:cs="Times New Roman" w:eastAsia="Times New Roman" w:hint="default"/>
          <w:w w:val="105"/>
          <w:sz w:val="21"/>
          <w:szCs w:val="21"/>
        </w:rPr>
        <w:t>2014</w:t>
      </w:r>
      <w:r>
        <w:rPr>
          <w:rFonts w:ascii="宋体" w:hAnsi="宋体" w:cs="宋体" w:eastAsia="宋体" w:hint="default"/>
          <w:w w:val="105"/>
          <w:sz w:val="20"/>
          <w:szCs w:val="20"/>
        </w:rPr>
        <w:t>年</w:t>
      </w:r>
      <w:r>
        <w:rPr>
          <w:rFonts w:ascii="Times New Roman" w:hAnsi="Times New Roman" w:cs="Times New Roman" w:eastAsia="Times New Roman" w:hint="default"/>
          <w:w w:val="105"/>
          <w:sz w:val="21"/>
          <w:szCs w:val="21"/>
        </w:rPr>
        <w:t>4</w:t>
      </w:r>
      <w:r>
        <w:rPr>
          <w:rFonts w:ascii="宋体" w:hAnsi="宋体" w:cs="宋体" w:eastAsia="宋体" w:hint="default"/>
          <w:w w:val="105"/>
          <w:sz w:val="20"/>
          <w:szCs w:val="20"/>
        </w:rPr>
        <w:t>月</w:t>
      </w:r>
      <w:r>
        <w:rPr>
          <w:rFonts w:ascii="Times New Roman" w:hAnsi="Times New Roman" w:cs="Times New Roman" w:eastAsia="Times New Roman" w:hint="default"/>
          <w:w w:val="105"/>
          <w:sz w:val="21"/>
          <w:szCs w:val="21"/>
        </w:rPr>
        <w:t>29</w:t>
      </w:r>
      <w:r>
        <w:rPr>
          <w:rFonts w:ascii="宋体" w:hAnsi="宋体" w:cs="宋体" w:eastAsia="宋体" w:hint="default"/>
          <w:w w:val="105"/>
          <w:sz w:val="20"/>
          <w:szCs w:val="20"/>
        </w:rPr>
        <w:t>日，本公司和国视北京签署《购买资产协议》，公司以现金方式购买国视北京持有的</w:t>
      </w:r>
      <w:r>
        <w:rPr>
          <w:rFonts w:ascii="宋体" w:hAnsi="宋体" w:cs="宋体" w:eastAsia="宋体" w:hint="default"/>
          <w:spacing w:val="2"/>
          <w:w w:val="103"/>
          <w:sz w:val="20"/>
          <w:szCs w:val="20"/>
        </w:rPr>
        <w:t> </w:t>
      </w:r>
      <w:r>
        <w:rPr>
          <w:rFonts w:ascii="宋体" w:hAnsi="宋体" w:cs="宋体" w:eastAsia="宋体" w:hint="default"/>
          <w:sz w:val="20"/>
          <w:szCs w:val="20"/>
        </w:rPr>
        <w:t>国视上海</w:t>
      </w:r>
      <w:r>
        <w:rPr>
          <w:rFonts w:ascii="Times New Roman" w:hAnsi="Times New Roman" w:cs="Times New Roman" w:eastAsia="Times New Roman" w:hint="default"/>
          <w:sz w:val="21"/>
          <w:szCs w:val="21"/>
        </w:rPr>
        <w:t>100.00%</w:t>
      </w:r>
      <w:r>
        <w:rPr>
          <w:rFonts w:ascii="宋体" w:hAnsi="宋体" w:cs="宋体" w:eastAsia="宋体" w:hint="default"/>
          <w:sz w:val="20"/>
          <w:szCs w:val="20"/>
        </w:rPr>
        <w:t>股权，股权转让价格为</w:t>
      </w:r>
      <w:r>
        <w:rPr>
          <w:rFonts w:ascii="Times New Roman" w:hAnsi="Times New Roman" w:cs="Times New Roman" w:eastAsia="Times New Roman" w:hint="default"/>
          <w:sz w:val="21"/>
          <w:szCs w:val="21"/>
        </w:rPr>
        <w:t>28,000.00</w:t>
      </w:r>
      <w:r>
        <w:rPr>
          <w:rFonts w:ascii="宋体" w:hAnsi="宋体" w:cs="宋体" w:eastAsia="宋体" w:hint="default"/>
          <w:sz w:val="20"/>
          <w:szCs w:val="20"/>
        </w:rPr>
        <w:t>万元。</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7</w:t>
      </w:r>
      <w:r>
        <w:rPr>
          <w:rFonts w:ascii="宋体" w:hAnsi="宋体" w:cs="宋体" w:eastAsia="宋体" w:hint="default"/>
          <w:sz w:val="20"/>
          <w:szCs w:val="20"/>
        </w:rPr>
        <w:t>月，国视北京出资</w:t>
      </w:r>
      <w:r>
        <w:rPr>
          <w:rFonts w:ascii="Times New Roman" w:hAnsi="Times New Roman" w:cs="Times New Roman" w:eastAsia="Times New Roman" w:hint="default"/>
          <w:sz w:val="21"/>
          <w:szCs w:val="21"/>
        </w:rPr>
        <w:t>100.00</w:t>
      </w:r>
      <w:r>
        <w:rPr>
          <w:rFonts w:ascii="宋体" w:hAnsi="宋体" w:cs="宋体" w:eastAsia="宋体" w:hint="default"/>
          <w:sz w:val="20"/>
          <w:szCs w:val="20"/>
        </w:rPr>
        <w:t>万元成立国广视</w:t>
      </w:r>
      <w:r>
        <w:rPr>
          <w:rFonts w:ascii="宋体" w:hAnsi="宋体" w:cs="宋体" w:eastAsia="宋体" w:hint="default"/>
          <w:spacing w:val="3"/>
          <w:sz w:val="20"/>
          <w:szCs w:val="20"/>
        </w:rPr>
        <w:t> </w:t>
      </w:r>
      <w:r>
        <w:rPr>
          <w:rFonts w:ascii="宋体" w:hAnsi="宋体" w:cs="宋体" w:eastAsia="宋体" w:hint="default"/>
          <w:w w:val="105"/>
          <w:sz w:val="20"/>
          <w:szCs w:val="20"/>
        </w:rPr>
        <w:t>讯，</w:t>
      </w:r>
      <w:r>
        <w:rPr>
          <w:rFonts w:ascii="Times New Roman" w:hAnsi="Times New Roman" w:cs="Times New Roman" w:eastAsia="Times New Roman" w:hint="default"/>
          <w:w w:val="105"/>
          <w:sz w:val="21"/>
          <w:szCs w:val="21"/>
        </w:rPr>
        <w:t>2014</w:t>
      </w:r>
      <w:r>
        <w:rPr>
          <w:rFonts w:ascii="宋体" w:hAnsi="宋体" w:cs="宋体" w:eastAsia="宋体" w:hint="default"/>
          <w:w w:val="105"/>
          <w:sz w:val="20"/>
          <w:szCs w:val="20"/>
        </w:rPr>
        <w:t>年</w:t>
      </w:r>
      <w:r>
        <w:rPr>
          <w:rFonts w:ascii="Times New Roman" w:hAnsi="Times New Roman" w:cs="Times New Roman" w:eastAsia="Times New Roman" w:hint="default"/>
          <w:w w:val="105"/>
          <w:sz w:val="21"/>
          <w:szCs w:val="21"/>
        </w:rPr>
        <w:t>8</w:t>
      </w:r>
      <w:r>
        <w:rPr>
          <w:rFonts w:ascii="宋体" w:hAnsi="宋体" w:cs="宋体" w:eastAsia="宋体" w:hint="default"/>
          <w:w w:val="105"/>
          <w:sz w:val="20"/>
          <w:szCs w:val="20"/>
        </w:rPr>
        <w:t>月，国视北京以其持有国视上海</w:t>
      </w:r>
      <w:r>
        <w:rPr>
          <w:rFonts w:ascii="Times New Roman" w:hAnsi="Times New Roman" w:cs="Times New Roman" w:eastAsia="Times New Roman" w:hint="default"/>
          <w:w w:val="105"/>
          <w:sz w:val="21"/>
          <w:szCs w:val="21"/>
        </w:rPr>
        <w:t>100.00%</w:t>
      </w:r>
      <w:r>
        <w:rPr>
          <w:rFonts w:ascii="宋体" w:hAnsi="宋体" w:cs="宋体" w:eastAsia="宋体" w:hint="default"/>
          <w:w w:val="105"/>
          <w:sz w:val="20"/>
          <w:szCs w:val="20"/>
        </w:rPr>
        <w:t>股权增资国广视讯，增资后国广视讯注册资本变更</w:t>
      </w:r>
      <w:r>
        <w:rPr>
          <w:rFonts w:ascii="宋体" w:hAnsi="宋体" w:cs="宋体" w:eastAsia="宋体" w:hint="default"/>
          <w:spacing w:val="2"/>
          <w:w w:val="103"/>
          <w:sz w:val="20"/>
          <w:szCs w:val="20"/>
        </w:rPr>
        <w:t> </w:t>
      </w:r>
      <w:r>
        <w:rPr>
          <w:rFonts w:ascii="宋体" w:hAnsi="宋体" w:cs="宋体" w:eastAsia="宋体" w:hint="default"/>
          <w:sz w:val="20"/>
          <w:szCs w:val="20"/>
        </w:rPr>
        <w:t>为</w:t>
      </w:r>
      <w:r>
        <w:rPr>
          <w:rFonts w:ascii="Times New Roman" w:hAnsi="Times New Roman" w:cs="Times New Roman" w:eastAsia="Times New Roman" w:hint="default"/>
          <w:sz w:val="21"/>
          <w:szCs w:val="21"/>
        </w:rPr>
        <w:t>3,100.00</w:t>
      </w:r>
      <w:r>
        <w:rPr>
          <w:rFonts w:ascii="宋体" w:hAnsi="宋体" w:cs="宋体" w:eastAsia="宋体" w:hint="default"/>
          <w:sz w:val="20"/>
          <w:szCs w:val="20"/>
        </w:rPr>
        <w:t>万元。国视上海于</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8</w:t>
      </w:r>
      <w:r>
        <w:rPr>
          <w:rFonts w:ascii="宋体" w:hAnsi="宋体" w:cs="宋体" w:eastAsia="宋体" w:hint="default"/>
          <w:sz w:val="20"/>
          <w:szCs w:val="20"/>
        </w:rPr>
        <w:t>月</w:t>
      </w:r>
      <w:r>
        <w:rPr>
          <w:rFonts w:ascii="Times New Roman" w:hAnsi="Times New Roman" w:cs="Times New Roman" w:eastAsia="Times New Roman" w:hint="default"/>
          <w:sz w:val="21"/>
          <w:szCs w:val="21"/>
        </w:rPr>
        <w:t>12</w:t>
      </w:r>
      <w:r>
        <w:rPr>
          <w:rFonts w:ascii="宋体" w:hAnsi="宋体" w:cs="宋体" w:eastAsia="宋体" w:hint="default"/>
          <w:sz w:val="20"/>
          <w:szCs w:val="20"/>
        </w:rPr>
        <w:t>日完成工商变更登记。</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8</w:t>
      </w:r>
      <w:r>
        <w:rPr>
          <w:rFonts w:ascii="宋体" w:hAnsi="宋体" w:cs="宋体" w:eastAsia="宋体" w:hint="default"/>
          <w:sz w:val="20"/>
          <w:szCs w:val="20"/>
        </w:rPr>
        <w:t>月，本公司和国视北京签署协议</w:t>
      </w:r>
    </w:p>
    <w:p>
      <w:pPr>
        <w:spacing w:line="266" w:lineRule="auto" w:before="5"/>
        <w:ind w:left="154" w:right="0" w:firstLine="0"/>
        <w:jc w:val="left"/>
        <w:rPr>
          <w:rFonts w:ascii="宋体" w:hAnsi="宋体" w:cs="宋体" w:eastAsia="宋体" w:hint="default"/>
          <w:sz w:val="20"/>
          <w:szCs w:val="20"/>
        </w:rPr>
      </w:pPr>
      <w:r>
        <w:rPr>
          <w:rFonts w:ascii="宋体" w:hAnsi="宋体" w:cs="宋体" w:eastAsia="宋体" w:hint="default"/>
          <w:sz w:val="20"/>
          <w:szCs w:val="20"/>
        </w:rPr>
        <w:t>，受让其持有的国广视讯</w:t>
      </w:r>
      <w:r>
        <w:rPr>
          <w:rFonts w:ascii="Times New Roman" w:hAnsi="Times New Roman" w:cs="Times New Roman" w:eastAsia="Times New Roman" w:hint="default"/>
          <w:sz w:val="21"/>
          <w:szCs w:val="21"/>
        </w:rPr>
        <w:t>100.00%</w:t>
      </w:r>
      <w:r>
        <w:rPr>
          <w:rFonts w:ascii="宋体" w:hAnsi="宋体" w:cs="宋体" w:eastAsia="宋体" w:hint="default"/>
          <w:sz w:val="20"/>
          <w:szCs w:val="20"/>
        </w:rPr>
        <w:t>的股权，受让价款为</w:t>
      </w:r>
      <w:r>
        <w:rPr>
          <w:rFonts w:ascii="Times New Roman" w:hAnsi="Times New Roman" w:cs="Times New Roman" w:eastAsia="Times New Roman" w:hint="default"/>
          <w:sz w:val="21"/>
          <w:szCs w:val="21"/>
        </w:rPr>
        <w:t>100.00</w:t>
      </w:r>
      <w:r>
        <w:rPr>
          <w:rFonts w:ascii="宋体" w:hAnsi="宋体" w:cs="宋体" w:eastAsia="宋体" w:hint="default"/>
          <w:sz w:val="20"/>
          <w:szCs w:val="20"/>
        </w:rPr>
        <w:t>万元。国广视讯于</w:t>
      </w:r>
      <w:r>
        <w:rPr>
          <w:rFonts w:ascii="Times New Roman" w:hAnsi="Times New Roman" w:cs="Times New Roman" w:eastAsia="Times New Roman" w:hint="default"/>
          <w:sz w:val="21"/>
          <w:szCs w:val="21"/>
        </w:rPr>
        <w:t>2014</w:t>
      </w:r>
      <w:r>
        <w:rPr>
          <w:rFonts w:ascii="宋体" w:hAnsi="宋体" w:cs="宋体" w:eastAsia="宋体" w:hint="default"/>
          <w:sz w:val="20"/>
          <w:szCs w:val="20"/>
        </w:rPr>
        <w:t>年</w:t>
      </w:r>
      <w:r>
        <w:rPr>
          <w:rFonts w:ascii="Times New Roman" w:hAnsi="Times New Roman" w:cs="Times New Roman" w:eastAsia="Times New Roman" w:hint="default"/>
          <w:sz w:val="21"/>
          <w:szCs w:val="21"/>
        </w:rPr>
        <w:t>8</w:t>
      </w:r>
      <w:r>
        <w:rPr>
          <w:rFonts w:ascii="宋体" w:hAnsi="宋体" w:cs="宋体" w:eastAsia="宋体" w:hint="default"/>
          <w:sz w:val="20"/>
          <w:szCs w:val="20"/>
        </w:rPr>
        <w:t>月</w:t>
      </w:r>
      <w:r>
        <w:rPr>
          <w:rFonts w:ascii="Times New Roman" w:hAnsi="Times New Roman" w:cs="Times New Roman" w:eastAsia="Times New Roman" w:hint="default"/>
          <w:sz w:val="21"/>
          <w:szCs w:val="21"/>
        </w:rPr>
        <w:t>14</w:t>
      </w:r>
      <w:r>
        <w:rPr>
          <w:rFonts w:ascii="宋体" w:hAnsi="宋体" w:cs="宋体" w:eastAsia="宋体" w:hint="default"/>
          <w:sz w:val="20"/>
          <w:szCs w:val="20"/>
        </w:rPr>
        <w:t>日完成工商变</w:t>
      </w:r>
      <w:r>
        <w:rPr>
          <w:rFonts w:ascii="宋体" w:hAnsi="宋体" w:cs="宋体" w:eastAsia="宋体" w:hint="default"/>
          <w:spacing w:val="35"/>
          <w:sz w:val="20"/>
          <w:szCs w:val="20"/>
        </w:rPr>
        <w:t> </w:t>
      </w:r>
      <w:r>
        <w:rPr>
          <w:rFonts w:ascii="宋体" w:hAnsi="宋体" w:cs="宋体" w:eastAsia="宋体" w:hint="default"/>
          <w:w w:val="105"/>
          <w:sz w:val="20"/>
          <w:szCs w:val="20"/>
        </w:rPr>
        <w:t>更登记。</w:t>
      </w:r>
      <w:r>
        <w:rPr>
          <w:rFonts w:ascii="宋体" w:hAnsi="宋体" w:cs="宋体" w:eastAsia="宋体" w:hint="default"/>
          <w:sz w:val="20"/>
          <w:szCs w:val="20"/>
        </w:rPr>
      </w:r>
    </w:p>
    <w:p>
      <w:pPr>
        <w:spacing w:line="240" w:lineRule="auto" w:before="6"/>
        <w:rPr>
          <w:rFonts w:ascii="宋体" w:hAnsi="宋体" w:cs="宋体" w:eastAsia="宋体" w:hint="default"/>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CCCCCC"/>
          </w:tcPr>
          <w:p>
            <w:pPr/>
          </w:p>
        </w:tc>
        <w:tc>
          <w:tcPr>
            <w:tcW w:w="1595" w:type="dxa"/>
            <w:vMerge/>
            <w:tcBorders>
              <w:left w:val="single" w:sz="4" w:space="0" w:color="000000"/>
              <w:bottom w:val="single" w:sz="4" w:space="0" w:color="000000"/>
              <w:right w:val="single" w:sz="4" w:space="0" w:color="000000"/>
            </w:tcBorders>
            <w:shd w:val="clear" w:color="auto" w:fill="CCCCCC"/>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1,898,924.50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陕西华商豪盛</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262,095,032.89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256,844,000.00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振江钢结构</w:t>
            </w:r>
            <w:r>
              <w:rPr>
                <w:rFonts w:ascii="Times New Roman" w:hAnsi="Times New Roman" w:cs="Times New Roman" w:eastAsia="Times New Roman" w:hint="default"/>
                <w:sz w:val="18"/>
                <w:szCs w:val="18"/>
              </w:rPr>
              <w:t>*6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6,397,260.28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575,989.36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352,616.54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894,989.66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27,405,919.21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20,816,142.62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1,994,812.73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140,123,274.00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125,074.00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137,999.48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369,882.00</w:t>
            </w:r>
          </w:p>
        </w:tc>
      </w:tr>
    </w:tbl>
    <w:p>
      <w:pPr>
        <w:pStyle w:val="BodyText"/>
        <w:spacing w:line="276" w:lineRule="exact" w:before="0"/>
        <w:ind w:right="0" w:firstLine="423"/>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日本公司之子公司华商数码与陕西华商豪盛签订财务资助协议，由本公司之子公司华</w:t>
      </w:r>
    </w:p>
    <w:p>
      <w:pPr>
        <w:pStyle w:val="BodyText"/>
        <w:spacing w:line="261" w:lineRule="auto" w:before="21"/>
        <w:ind w:right="149" w:hanging="1"/>
        <w:jc w:val="both"/>
      </w:pPr>
      <w:r>
        <w:rPr>
          <w:spacing w:val="-2"/>
        </w:rPr>
        <w:t>商数码为其提供总额为</w:t>
      </w:r>
      <w:r>
        <w:rPr>
          <w:rFonts w:ascii="Times New Roman" w:hAnsi="Times New Roman" w:cs="Times New Roman" w:eastAsia="Times New Roman" w:hint="default"/>
          <w:spacing w:val="-2"/>
        </w:rPr>
        <w:t>7.08</w:t>
      </w:r>
      <w:r>
        <w:rPr>
          <w:spacing w:val="-2"/>
        </w:rPr>
        <w:t>亿元人民币的财务资助，期限从</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日本公</w:t>
      </w:r>
      <w:r>
        <w:rPr>
          <w:spacing w:val="-80"/>
        </w:rPr>
        <w:t> </w:t>
      </w:r>
      <w:r>
        <w:rPr>
          <w:spacing w:val="-1"/>
        </w:rPr>
        <w:t>司之子公司华商数码与陕西华商豪盛签订财务资助协议之补充协议，陕西华商豪盛按股权转让后的股权比</w:t>
      </w:r>
      <w:r>
        <w:rPr>
          <w:spacing w:val="-82"/>
        </w:rPr>
        <w:t> </w:t>
      </w:r>
      <w:r>
        <w:rPr>
          <w:spacing w:val="-82"/>
        </w:rPr>
      </w:r>
      <w:r>
        <w:rPr>
          <w:spacing w:val="-1"/>
        </w:rPr>
        <w:t>例退回资助款项</w:t>
      </w:r>
      <w:r>
        <w:rPr>
          <w:rFonts w:ascii="Times New Roman" w:hAnsi="Times New Roman" w:cs="Times New Roman" w:eastAsia="Times New Roman" w:hint="default"/>
          <w:spacing w:val="-1"/>
        </w:rPr>
        <w:t>41,029.60</w:t>
      </w:r>
      <w:r>
        <w:rPr>
          <w:spacing w:val="-1"/>
        </w:rPr>
        <w:t>万元。截至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日止，本公司之子公司华商数码为陕西华商豪盛提供的</w:t>
      </w:r>
      <w:r>
        <w:rPr>
          <w:spacing w:val="-86"/>
        </w:rPr>
        <w:t> </w:t>
      </w:r>
      <w:r>
        <w:rPr>
          <w:spacing w:val="-86"/>
        </w:rPr>
      </w:r>
      <w:r>
        <w:rPr/>
        <w:t>财务资助本金余额为</w:t>
      </w:r>
      <w:r>
        <w:rPr>
          <w:rFonts w:ascii="Times New Roman" w:hAnsi="Times New Roman" w:cs="Times New Roman" w:eastAsia="Times New Roman" w:hint="default"/>
        </w:rPr>
        <w:t>25,684.40</w:t>
      </w:r>
      <w:r>
        <w:rPr/>
        <w:t>万元，应收资金使用费金额为</w:t>
      </w:r>
      <w:r>
        <w:rPr>
          <w:rFonts w:ascii="Times New Roman" w:hAnsi="Times New Roman" w:cs="Times New Roman" w:eastAsia="Times New Roman" w:hint="default"/>
        </w:rPr>
        <w:t>525.10</w:t>
      </w:r>
      <w:r>
        <w:rPr/>
        <w:t>万元。</w:t>
      </w:r>
    </w:p>
    <w:p>
      <w:pPr>
        <w:pStyle w:val="BodyText"/>
        <w:spacing w:line="264" w:lineRule="auto" w:before="0"/>
        <w:ind w:right="147" w:firstLine="423"/>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根据上海鸿立与振江钢结构及振江钢结构其他股东方签订的《可转股债权投资协议》，上海鸿立</w:t>
      </w:r>
      <w:r>
        <w:rPr>
          <w:spacing w:val="2"/>
        </w:rPr>
        <w:t> </w:t>
      </w:r>
      <w:r>
        <w:rPr>
          <w:spacing w:val="-1"/>
        </w:rPr>
        <w:t>及振江钢结构其他股东方以可转股债权增资的方式对振江钢结构进行投资。由于各方对转股价格最终未达</w:t>
      </w:r>
      <w:r>
        <w:rPr>
          <w:spacing w:val="-81"/>
        </w:rPr>
        <w:t> </w:t>
      </w:r>
      <w:r>
        <w:rPr>
          <w:spacing w:val="-81"/>
        </w:rPr>
      </w:r>
      <w:r>
        <w:rPr/>
        <w:t>成一致，故未转为股权。截至报告日止，本金已全额收回。</w:t>
      </w:r>
    </w:p>
    <w:p>
      <w:pPr>
        <w:spacing w:after="0" w:line="264" w:lineRule="auto"/>
        <w:jc w:val="both"/>
        <w:sectPr>
          <w:pgSz w:w="11910" w:h="16840"/>
          <w:pgMar w:header="0" w:footer="982" w:top="1100" w:bottom="1180" w:left="980" w:right="980"/>
        </w:sectPr>
      </w:pPr>
    </w:p>
    <w:p>
      <w:pPr>
        <w:spacing w:line="240" w:lineRule="auto" w:before="9"/>
        <w:rPr>
          <w:rFonts w:ascii="宋体" w:hAnsi="宋体" w:cs="宋体" w:eastAsia="宋体" w:hint="default"/>
          <w:sz w:val="19"/>
          <w:szCs w:val="19"/>
        </w:rPr>
      </w:pPr>
    </w:p>
    <w:p>
      <w:pPr>
        <w:pStyle w:val="Heading4"/>
        <w:spacing w:line="240" w:lineRule="auto"/>
        <w:ind w:right="1097"/>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395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日止，公司不存在需要披露的重要承诺事项。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511" w:lineRule="auto" w:before="64"/>
        <w:ind w:left="154" w:right="4665"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 </w:t>
      </w:r>
      <w:r>
        <w:rPr>
          <w:rFonts w:ascii="宋体" w:hAnsi="宋体" w:cs="宋体" w:eastAsia="宋体" w:hint="default"/>
          <w:b/>
          <w:bCs/>
          <w:sz w:val="24"/>
          <w:szCs w:val="24"/>
        </w:rPr>
        <w:t>十四、资产负债表日后事项</w:t>
      </w:r>
      <w:r>
        <w:rPr>
          <w:rFonts w:ascii="宋体" w:hAnsi="宋体" w:cs="宋体" w:eastAsia="宋体" w:hint="default"/>
          <w:sz w:val="24"/>
          <w:szCs w:val="24"/>
        </w:rPr>
      </w:r>
    </w:p>
    <w:p>
      <w:pPr>
        <w:pStyle w:val="Heading6"/>
        <w:spacing w:line="240" w:lineRule="auto" w:before="51"/>
        <w:ind w:right="1097"/>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4820"/>
        <w:gridCol w:w="1559"/>
        <w:gridCol w:w="1345"/>
      </w:tblGrid>
      <w:tr>
        <w:trPr>
          <w:trHeight w:val="161"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c>
          <w:tcPr>
            <w:tcW w:w="134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392" w:hRule="exact"/>
        </w:trPr>
        <w:tc>
          <w:tcPr>
            <w:tcW w:w="1843" w:type="dxa"/>
            <w:vMerge/>
            <w:tcBorders>
              <w:left w:val="single" w:sz="4" w:space="0" w:color="000000"/>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559" w:type="dxa"/>
            <w:vMerge/>
            <w:tcBorders>
              <w:left w:val="single" w:sz="4" w:space="0" w:color="000000"/>
              <w:right w:val="single" w:sz="4" w:space="0" w:color="000000"/>
            </w:tcBorders>
            <w:shd w:val="clear" w:color="auto" w:fill="D3D3D3"/>
          </w:tcPr>
          <w:p>
            <w:pPr/>
          </w:p>
        </w:tc>
        <w:tc>
          <w:tcPr>
            <w:tcW w:w="1345" w:type="dxa"/>
            <w:vMerge/>
            <w:tcBorders>
              <w:left w:val="single" w:sz="4" w:space="0" w:color="000000"/>
              <w:right w:val="single" w:sz="4" w:space="0" w:color="000000"/>
            </w:tcBorders>
            <w:shd w:val="clear" w:color="auto" w:fill="D3D3D3"/>
          </w:tcPr>
          <w:p>
            <w:pPr/>
          </w:p>
        </w:tc>
      </w:tr>
      <w:tr>
        <w:trPr>
          <w:trHeight w:val="161"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48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345"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经中国证监会《关于核准华闻传媒投资集团股份有限公司向</w:t>
            </w:r>
          </w:p>
        </w:tc>
        <w:tc>
          <w:tcPr>
            <w:tcW w:w="1559" w:type="dxa"/>
            <w:vMerge w:val="restart"/>
            <w:tcBorders>
              <w:top w:val="single" w:sz="4" w:space="0" w:color="000000"/>
              <w:left w:val="single" w:sz="4" w:space="0" w:color="000000"/>
              <w:right w:val="single" w:sz="4" w:space="0" w:color="000000"/>
            </w:tcBorders>
          </w:tcPr>
          <w:p>
            <w:pPr>
              <w:pStyle w:val="TableParagraph"/>
              <w:spacing w:line="3200" w:lineRule="exact"/>
              <w:ind w:right="-49"/>
              <w:jc w:val="left"/>
              <w:rPr>
                <w:rFonts w:ascii="宋体" w:hAnsi="宋体" w:cs="宋体" w:eastAsia="宋体" w:hint="default"/>
                <w:sz w:val="20"/>
                <w:szCs w:val="20"/>
              </w:rPr>
            </w:pPr>
            <w:r>
              <w:rPr>
                <w:rFonts w:ascii="宋体" w:hAnsi="宋体" w:cs="宋体" w:eastAsia="宋体" w:hint="default"/>
                <w:position w:val="-63"/>
                <w:sz w:val="20"/>
                <w:szCs w:val="20"/>
              </w:rPr>
              <w:pict>
                <v:group style="width:77.4pt;height:160.050pt;mso-position-horizontal-relative:char;mso-position-vertical-relative:line" coordorigin="0,0" coordsize="1548,3201">
                  <v:group style="position:absolute;left:0;top:0;width:1548;height:3201" coordorigin="0,0" coordsize="1548,3201">
                    <v:shape style="position:absolute;left:0;top:0;width:1548;height:3201" coordorigin="0,0" coordsize="1548,3201" path="m0,3200l1548,3200,1548,0,0,0,0,3200xe" filled="true" fillcolor="#ffffff" stroked="false">
                      <v:path arrowok="t"/>
                      <v:fill type="solid"/>
                    </v:shape>
                  </v:group>
                  <v:group style="position:absolute;left:23;top:1404;width:1503;height:393" coordorigin="23,1404" coordsize="1503,393">
                    <v:shape style="position:absolute;left:23;top:1404;width:1503;height:393" coordorigin="23,1404" coordsize="1503,393" path="m23,1796l1525,1796,1525,1404,23,1404,23,1796xe" filled="true" fillcolor="#ffffff" stroked="false">
                      <v:path arrowok="t"/>
                      <v:fill type="solid"/>
                    </v:shape>
                  </v:group>
                </v:group>
              </w:pict>
            </w:r>
            <w:r>
              <w:rPr>
                <w:rFonts w:ascii="宋体" w:hAnsi="宋体" w:cs="宋体" w:eastAsia="宋体" w:hint="default"/>
                <w:position w:val="-63"/>
                <w:sz w:val="20"/>
                <w:szCs w:val="20"/>
              </w:rPr>
            </w:r>
          </w:p>
        </w:tc>
        <w:tc>
          <w:tcPr>
            <w:tcW w:w="1345" w:type="dxa"/>
            <w:vMerge w:val="restart"/>
            <w:tcBorders>
              <w:top w:val="single" w:sz="4" w:space="0" w:color="000000"/>
              <w:left w:val="single" w:sz="4" w:space="0" w:color="000000"/>
              <w:right w:val="single" w:sz="4" w:space="0" w:color="000000"/>
            </w:tcBorders>
          </w:tcPr>
          <w:p>
            <w:pPr/>
          </w:p>
        </w:tc>
      </w:tr>
      <w:tr>
        <w:trPr>
          <w:trHeight w:val="31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西藏风网科技有限公司等发行股份购买资产并募集配套资金</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的批复</w:t>
            </w:r>
            <w:r>
              <w:rPr>
                <w:rFonts w:ascii="宋体" w:hAnsi="宋体" w:cs="宋体" w:eastAsia="宋体" w:hint="default"/>
                <w:spacing w:val="-100"/>
                <w:sz w:val="18"/>
                <w:szCs w:val="18"/>
              </w:rPr>
              <w:t>》</w:t>
            </w:r>
            <w:r>
              <w:rPr>
                <w:rFonts w:ascii="宋体" w:hAnsi="宋体" w:cs="宋体" w:eastAsia="宋体" w:hint="default"/>
                <w:sz w:val="18"/>
                <w:szCs w:val="18"/>
              </w:rPr>
              <w:t>（证</w:t>
            </w:r>
            <w:r>
              <w:rPr>
                <w:rFonts w:ascii="宋体" w:hAnsi="宋体" w:cs="宋体" w:eastAsia="宋体" w:hint="default"/>
                <w:spacing w:val="-2"/>
                <w:sz w:val="18"/>
                <w:szCs w:val="18"/>
              </w:rPr>
              <w:t>监</w:t>
            </w:r>
            <w:r>
              <w:rPr>
                <w:rFonts w:ascii="宋体" w:hAnsi="宋体" w:cs="宋体" w:eastAsia="宋体" w:hint="default"/>
                <w:sz w:val="18"/>
                <w:szCs w:val="18"/>
              </w:rPr>
              <w:t>许</w:t>
            </w:r>
            <w:r>
              <w:rPr>
                <w:rFonts w:ascii="宋体" w:hAnsi="宋体" w:cs="宋体" w:eastAsia="宋体" w:hint="default"/>
                <w:spacing w:val="-10"/>
                <w:sz w:val="18"/>
                <w:szCs w:val="18"/>
              </w:rPr>
              <w:t>可</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pacing w:val="-10"/>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0"/>
                <w:sz w:val="18"/>
                <w:szCs w:val="18"/>
              </w:rPr>
              <w:t>）</w:t>
            </w:r>
            <w:r>
              <w:rPr>
                <w:rFonts w:ascii="宋体" w:hAnsi="宋体" w:cs="宋体" w:eastAsia="宋体" w:hint="default"/>
                <w:sz w:val="18"/>
                <w:szCs w:val="18"/>
              </w:rPr>
              <w:t>核准</w:t>
            </w:r>
            <w:r>
              <w:rPr>
                <w:rFonts w:ascii="宋体" w:hAnsi="宋体" w:cs="宋体" w:eastAsia="宋体" w:hint="default"/>
                <w:spacing w:val="-11"/>
                <w:sz w:val="18"/>
                <w:szCs w:val="18"/>
              </w:rPr>
              <w:t>，</w:t>
            </w:r>
            <w:r>
              <w:rPr>
                <w:rFonts w:ascii="宋体" w:hAnsi="宋体" w:cs="宋体" w:eastAsia="宋体" w:hint="default"/>
                <w:sz w:val="18"/>
                <w:szCs w:val="18"/>
              </w:rPr>
              <w:t>公司向符合中国</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证监会相关规定条件的特定投资者发行人民币普通股（</w:t>
            </w:r>
            <w:r>
              <w:rPr>
                <w:rFonts w:ascii="Times New Roman" w:hAnsi="Times New Roman" w:cs="Times New Roman" w:eastAsia="Times New Roman" w:hint="default"/>
                <w:sz w:val="18"/>
                <w:szCs w:val="18"/>
              </w:rPr>
              <w:t>A</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624"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74,735,987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股，每股发行价格为人民币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919,999,999.97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元，扣除与发行有关的费用</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10,529,471.25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元后，公司实际募集资金净额为人民币</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909,470,528.72 </w:t>
            </w:r>
            <w:r>
              <w:rPr>
                <w:rFonts w:ascii="宋体" w:hAnsi="宋体" w:cs="宋体" w:eastAsia="宋体" w:hint="default"/>
                <w:spacing w:val="-4"/>
                <w:sz w:val="18"/>
                <w:szCs w:val="18"/>
              </w:rPr>
              <w:t>元，其中：股本人民币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74,735,987.00 </w:t>
            </w:r>
            <w:r>
              <w:rPr>
                <w:rFonts w:ascii="宋体" w:hAnsi="宋体" w:cs="宋体" w:eastAsia="宋体" w:hint="default"/>
                <w:spacing w:val="-5"/>
                <w:sz w:val="18"/>
                <w:szCs w:val="18"/>
              </w:rPr>
              <w:t>元，资本</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3"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公积人民币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834,734,541.72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元。上述发行募集资金已于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tc>
        <w:tc>
          <w:tcPr>
            <w:tcW w:w="155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2"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日全部到位。</w:t>
            </w:r>
          </w:p>
        </w:tc>
        <w:tc>
          <w:tcPr>
            <w:tcW w:w="155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ind w:right="1097"/>
        <w:jc w:val="left"/>
        <w:rPr>
          <w:b w:val="0"/>
          <w:bCs w:val="0"/>
        </w:rPr>
      </w:pPr>
      <w:r>
        <w:rPr/>
        <w:pict>
          <v:shape style="position:absolute;margin-left:374.880005pt;margin-top:-173.065933pt;width:92.65pt;height:160.050pt;mso-position-horizontal-relative:page;mso-position-vertical-relative:paragraph;z-index:-1216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bl>
    <w:p>
      <w:pPr>
        <w:spacing w:line="240" w:lineRule="auto" w:before="2"/>
        <w:rPr>
          <w:rFonts w:ascii="宋体" w:hAnsi="宋体" w:cs="宋体" w:eastAsia="宋体" w:hint="default"/>
          <w:sz w:val="18"/>
          <w:szCs w:val="18"/>
        </w:rPr>
      </w:pPr>
    </w:p>
    <w:p>
      <w:pPr>
        <w:pStyle w:val="Heading4"/>
        <w:spacing w:line="240" w:lineRule="auto"/>
        <w:ind w:right="1097"/>
        <w:jc w:val="left"/>
        <w:rPr>
          <w:b w:val="0"/>
          <w:bCs w:val="0"/>
        </w:rPr>
      </w:pPr>
      <w:r>
        <w:rPr/>
        <w:t>十五、其他重要事项</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01" w:firstLine="422"/>
        <w:jc w:val="left"/>
      </w:pPr>
      <w:r>
        <w:rPr/>
        <w:t>（</w:t>
      </w:r>
      <w:r>
        <w:rPr>
          <w:rFonts w:ascii="Times New Roman" w:hAnsi="Times New Roman" w:cs="Times New Roman" w:eastAsia="Times New Roman" w:hint="default"/>
        </w:rPr>
        <w:t>1</w:t>
      </w:r>
      <w:r>
        <w:rPr/>
        <w:t>）本公司之子公司民生商贸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日和海口市燃气集团公司（原海口市煤气管理总公司，以 </w:t>
      </w:r>
      <w:r>
        <w:rPr>
          <w:spacing w:val="3"/>
        </w:rPr>
        <w:t>下简称</w:t>
      </w:r>
      <w:r>
        <w:rPr>
          <w:rFonts w:ascii="Times New Roman" w:hAnsi="Times New Roman" w:cs="Times New Roman" w:eastAsia="Times New Roman" w:hint="default"/>
          <w:spacing w:val="3"/>
        </w:rPr>
        <w:t>“</w:t>
      </w:r>
      <w:r>
        <w:rPr>
          <w:spacing w:val="3"/>
        </w:rPr>
        <w:t>海口燃气集团</w:t>
      </w:r>
      <w:r>
        <w:rPr>
          <w:rFonts w:ascii="Times New Roman" w:hAnsi="Times New Roman" w:cs="Times New Roman" w:eastAsia="Times New Roman" w:hint="default"/>
          <w:spacing w:val="3"/>
        </w:rPr>
        <w:t>”</w:t>
      </w:r>
      <w:r>
        <w:rPr>
          <w:spacing w:val="3"/>
        </w:rPr>
        <w:t>）签订股权委托管理协议。海口燃气集团将所持有的本公司控股子公司管网公司</w:t>
      </w:r>
      <w:r>
        <w:rPr>
          <w:spacing w:val="-65"/>
        </w:rPr>
        <w:t> </w:t>
      </w:r>
      <w:r>
        <w:rPr>
          <w:spacing w:val="-65"/>
        </w:rPr>
      </w:r>
      <w:r>
        <w:rPr>
          <w:rFonts w:ascii="Times New Roman" w:hAnsi="Times New Roman" w:cs="Times New Roman" w:eastAsia="Times New Roman" w:hint="default"/>
        </w:rPr>
        <w:t>35.18%</w:t>
      </w:r>
      <w:r>
        <w:rPr/>
        <w:t>的股权全部委托给民生商贸经营管理。海口燃气集团授权民生商贸以股东身份参与管网公司的经营 </w:t>
      </w:r>
      <w:r>
        <w:rPr>
          <w:spacing w:val="-3"/>
        </w:rPr>
        <w:t>管理工作，民生商贸有权在管网公司股东会上以海口燃气集团的名义行使除涉及管网公司重组、股东变更、</w:t>
      </w:r>
      <w:r>
        <w:rPr>
          <w:spacing w:val="-92"/>
        </w:rPr>
        <w:t> </w:t>
      </w:r>
      <w:r>
        <w:rPr>
          <w:spacing w:val="-92"/>
        </w:rPr>
      </w:r>
      <w:r>
        <w:rPr/>
        <w:t>资产变卖和置入事项之外的经营议案的表决权，民生商贸享有托管股权的收益权等股东权益，海口燃气集</w:t>
      </w:r>
    </w:p>
    <w:p>
      <w:pPr>
        <w:spacing w:after="0" w:line="261" w:lineRule="auto"/>
        <w:jc w:val="left"/>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BodyText"/>
        <w:spacing w:line="256" w:lineRule="auto" w:before="35"/>
        <w:ind w:left="153" w:right="0"/>
        <w:jc w:val="left"/>
      </w:pPr>
      <w:r>
        <w:rPr/>
        <w:t>团不再参与管网公司的经营管理工作。海口燃气集团授权民生商贸股权托管期限为</w:t>
      </w:r>
      <w:r>
        <w:rPr>
          <w:rFonts w:ascii="Times New Roman" w:hAnsi="Times New Roman" w:cs="Times New Roman" w:eastAsia="Times New Roman" w:hint="default"/>
        </w:rPr>
        <w:t>2</w:t>
      </w:r>
      <w:r>
        <w:rPr/>
        <w:t>年，自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spacing w:val="-37"/>
        </w:rPr>
        <w:t> </w:t>
      </w:r>
      <w:r>
        <w:rPr/>
        <w:t>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日止，双方约定每年民生商贸需向海口燃气集团支付</w:t>
      </w:r>
      <w:r>
        <w:rPr>
          <w:rFonts w:ascii="Times New Roman" w:hAnsi="Times New Roman" w:cs="Times New Roman" w:eastAsia="Times New Roman" w:hint="default"/>
        </w:rPr>
        <w:t>3,000,000.00</w:t>
      </w:r>
      <w:r>
        <w:rPr/>
        <w:t>元股权托管费用。</w:t>
      </w:r>
    </w:p>
    <w:p>
      <w:pPr>
        <w:pStyle w:val="BodyText"/>
        <w:spacing w:line="256" w:lineRule="auto" w:before="5"/>
        <w:ind w:left="153" w:right="128" w:firstLine="422"/>
        <w:jc w:val="both"/>
      </w:pPr>
      <w:r>
        <w:rPr/>
        <w:t>（</w:t>
      </w: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2013</w:t>
      </w:r>
      <w:r>
        <w:rPr/>
        <w:t>年度完成非公开发行股份购买资产暨关联交易事项，根据《上市公司重大资产重组</w:t>
      </w:r>
      <w:r>
        <w:rPr>
          <w:spacing w:val="2"/>
        </w:rPr>
        <w:t> </w:t>
      </w:r>
      <w:r>
        <w:rPr>
          <w:spacing w:val="-1"/>
        </w:rPr>
        <w:t>管理办法》的要求，本公司编制了《</w:t>
      </w:r>
      <w:r>
        <w:rPr>
          <w:rFonts w:ascii="Times New Roman" w:hAnsi="Times New Roman" w:cs="Times New Roman" w:eastAsia="Times New Roman" w:hint="default"/>
          <w:spacing w:val="-1"/>
        </w:rPr>
        <w:t>2014</w:t>
      </w:r>
      <w:r>
        <w:rPr>
          <w:spacing w:val="-1"/>
        </w:rPr>
        <w:t>年度备考合并盈利预测审核报告》，本公司</w:t>
      </w:r>
      <w:r>
        <w:rPr>
          <w:rFonts w:ascii="Times New Roman" w:hAnsi="Times New Roman" w:cs="Times New Roman" w:eastAsia="Times New Roman" w:hint="default"/>
          <w:spacing w:val="-1"/>
        </w:rPr>
        <w:t>2014</w:t>
      </w:r>
      <w:r>
        <w:rPr>
          <w:spacing w:val="-1"/>
        </w:rPr>
        <w:t>年度备考合并实</w:t>
      </w:r>
      <w:r>
        <w:rPr>
          <w:spacing w:val="-85"/>
        </w:rPr>
        <w:t> </w:t>
      </w:r>
      <w:r>
        <w:rPr>
          <w:spacing w:val="-85"/>
        </w:rPr>
      </w:r>
      <w:r>
        <w:rPr>
          <w:spacing w:val="-1"/>
        </w:rPr>
        <w:t>现的净利润为人民币</w:t>
      </w:r>
      <w:r>
        <w:rPr>
          <w:rFonts w:ascii="Times New Roman" w:hAnsi="Times New Roman" w:cs="Times New Roman" w:eastAsia="Times New Roman" w:hint="default"/>
          <w:spacing w:val="-1"/>
        </w:rPr>
        <w:t>96,635.02</w:t>
      </w:r>
      <w:r>
        <w:rPr>
          <w:spacing w:val="-1"/>
        </w:rPr>
        <w:t>万元，备考合并预测的净利润为人民币</w:t>
      </w:r>
      <w:r>
        <w:rPr>
          <w:rFonts w:ascii="Times New Roman" w:hAnsi="Times New Roman" w:cs="Times New Roman" w:eastAsia="Times New Roman" w:hint="default"/>
          <w:spacing w:val="-1"/>
        </w:rPr>
        <w:t>70,107.54</w:t>
      </w:r>
      <w:r>
        <w:rPr>
          <w:spacing w:val="-1"/>
        </w:rPr>
        <w:t>万元，实现数高于预测数人</w:t>
      </w:r>
      <w:r>
        <w:rPr>
          <w:spacing w:val="-79"/>
        </w:rPr>
        <w:t> </w:t>
      </w:r>
      <w:r>
        <w:rPr>
          <w:spacing w:val="-79"/>
        </w:rPr>
      </w:r>
      <w:r>
        <w:rPr/>
        <w:t>民币</w:t>
      </w:r>
      <w:r>
        <w:rPr>
          <w:rFonts w:ascii="Times New Roman" w:hAnsi="Times New Roman" w:cs="Times New Roman" w:eastAsia="Times New Roman" w:hint="default"/>
        </w:rPr>
        <w:t>26,527.48</w:t>
      </w:r>
      <w:r>
        <w:rPr/>
        <w:t>万元；本公司</w:t>
      </w:r>
      <w:r>
        <w:rPr>
          <w:rFonts w:ascii="Times New Roman" w:hAnsi="Times New Roman" w:cs="Times New Roman" w:eastAsia="Times New Roman" w:hint="default"/>
        </w:rPr>
        <w:t>2014</w:t>
      </w:r>
      <w:r>
        <w:rPr/>
        <w:t>年度备考合并实现的归属于母公司股东的净利润为人民币</w:t>
      </w:r>
      <w:r>
        <w:rPr>
          <w:rFonts w:ascii="Times New Roman" w:hAnsi="Times New Roman" w:cs="Times New Roman" w:eastAsia="Times New Roman" w:hint="default"/>
        </w:rPr>
        <w:t>90,726.92</w:t>
      </w:r>
      <w:r>
        <w:rPr/>
        <w:t>万元， 备考合并预测的归属于母公司的净利润为人民币</w:t>
      </w:r>
      <w:r>
        <w:rPr>
          <w:rFonts w:ascii="Times New Roman" w:hAnsi="Times New Roman" w:cs="Times New Roman" w:eastAsia="Times New Roman" w:hint="default"/>
        </w:rPr>
        <w:t>68,293.23</w:t>
      </w:r>
      <w:r>
        <w:rPr/>
        <w:t>万元，实现数高于预测数人民币</w:t>
      </w:r>
      <w:r>
        <w:rPr>
          <w:rFonts w:ascii="Times New Roman" w:hAnsi="Times New Roman" w:cs="Times New Roman" w:eastAsia="Times New Roman" w:hint="default"/>
        </w:rPr>
        <w:t>22,433.69</w:t>
      </w:r>
      <w:r>
        <w:rPr/>
        <w:t>万元， </w:t>
      </w:r>
      <w:r>
        <w:rPr>
          <w:spacing w:val="-1"/>
        </w:rPr>
        <w:t>综上，本公司非公开发行股份购买资产暨关联交易事项</w:t>
      </w:r>
      <w:r>
        <w:rPr>
          <w:rFonts w:ascii="Times New Roman" w:hAnsi="Times New Roman" w:cs="Times New Roman" w:eastAsia="Times New Roman" w:hint="default"/>
          <w:spacing w:val="-1"/>
        </w:rPr>
        <w:t>2014</w:t>
      </w:r>
      <w:r>
        <w:rPr>
          <w:spacing w:val="-1"/>
        </w:rPr>
        <w:t>年度备考合并盈利预测已经实现。（备考合并</w:t>
      </w:r>
      <w:r>
        <w:rPr>
          <w:spacing w:val="-84"/>
        </w:rPr>
        <w:t> </w:t>
      </w:r>
      <w:r>
        <w:rPr>
          <w:spacing w:val="-84"/>
        </w:rPr>
      </w:r>
      <w:r>
        <w:rPr/>
        <w:t>盈利实现数按照《</w:t>
      </w:r>
      <w:r>
        <w:rPr>
          <w:rFonts w:ascii="Times New Roman" w:hAnsi="Times New Roman" w:cs="Times New Roman" w:eastAsia="Times New Roman" w:hint="default"/>
        </w:rPr>
        <w:t>2014</w:t>
      </w:r>
      <w:r>
        <w:rPr/>
        <w:t>年度备考合并盈利预测审核报告》（信会师报字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310411</w:t>
      </w:r>
      <w:r>
        <w:rPr/>
        <w:t>号）的编制口径进</w:t>
      </w:r>
      <w:r>
        <w:rPr>
          <w:spacing w:val="-73"/>
        </w:rPr>
        <w:t> </w:t>
      </w:r>
      <w:r>
        <w:rPr>
          <w:spacing w:val="-73"/>
        </w:rPr>
      </w:r>
      <w:r>
        <w:rPr>
          <w:spacing w:val="-1"/>
        </w:rPr>
        <w:t>行编制，具体编制基础参见本公司编制的《</w:t>
      </w:r>
      <w:r>
        <w:rPr>
          <w:rFonts w:ascii="Times New Roman" w:hAnsi="Times New Roman" w:cs="Times New Roman" w:eastAsia="Times New Roman" w:hint="default"/>
          <w:spacing w:val="-1"/>
        </w:rPr>
        <w:t>2014</w:t>
      </w:r>
      <w:r>
        <w:rPr>
          <w:spacing w:val="-1"/>
        </w:rPr>
        <w:t>年度备考合并盈利预测审核报告》。有关的差额及实现率</w:t>
      </w:r>
      <w:r>
        <w:rPr>
          <w:spacing w:val="-83"/>
        </w:rPr>
        <w:t> </w:t>
      </w:r>
      <w:r>
        <w:rPr>
          <w:spacing w:val="-83"/>
        </w:rPr>
      </w:r>
      <w:r>
        <w:rPr/>
        <w:t>系根据上述同口径实现数与盈利预测数比较计算而得出。）</w:t>
      </w:r>
    </w:p>
    <w:p>
      <w:pPr>
        <w:pStyle w:val="BodyText"/>
        <w:spacing w:line="256" w:lineRule="auto" w:before="22"/>
        <w:ind w:left="153" w:right="134" w:firstLine="422"/>
        <w:jc w:val="both"/>
      </w:pPr>
      <w:r>
        <w:rPr/>
        <w:t>（3）本公司</w:t>
      </w:r>
      <w:r>
        <w:rPr>
          <w:rFonts w:ascii="Times New Roman" w:hAnsi="Times New Roman" w:cs="Times New Roman" w:eastAsia="Times New Roman" w:hint="default"/>
        </w:rPr>
        <w:t>2014</w:t>
      </w:r>
      <w:r>
        <w:rPr/>
        <w:t>年度完成发行股份及支付现金购买资产并募集配套资金事项，根据《上市公司重大</w:t>
      </w:r>
      <w:r>
        <w:rPr>
          <w:spacing w:val="2"/>
        </w:rPr>
        <w:t> </w:t>
      </w:r>
      <w:r>
        <w:rPr>
          <w:spacing w:val="-1"/>
        </w:rPr>
        <w:t>资产重组管理办法》的要求，本公司编制了《</w:t>
      </w:r>
      <w:r>
        <w:rPr>
          <w:rFonts w:ascii="Times New Roman" w:hAnsi="Times New Roman" w:cs="Times New Roman" w:eastAsia="Times New Roman" w:hint="default"/>
          <w:spacing w:val="-1"/>
        </w:rPr>
        <w:t>2014</w:t>
      </w:r>
      <w:r>
        <w:rPr>
          <w:spacing w:val="-1"/>
        </w:rPr>
        <w:t>年度备考合并盈利预测审核报告》，本公司</w:t>
      </w:r>
      <w:r>
        <w:rPr>
          <w:rFonts w:ascii="Times New Roman" w:hAnsi="Times New Roman" w:cs="Times New Roman" w:eastAsia="Times New Roman" w:hint="default"/>
          <w:spacing w:val="-1"/>
        </w:rPr>
        <w:t>2014</w:t>
      </w:r>
      <w:r>
        <w:rPr>
          <w:spacing w:val="-1"/>
        </w:rPr>
        <w:t>年度备</w:t>
      </w:r>
      <w:r>
        <w:rPr>
          <w:spacing w:val="-83"/>
        </w:rPr>
        <w:t> </w:t>
      </w:r>
      <w:r>
        <w:rPr>
          <w:spacing w:val="-83"/>
        </w:rPr>
      </w:r>
      <w:r>
        <w:rPr>
          <w:spacing w:val="-1"/>
        </w:rPr>
        <w:t>考合并实现的净利润为人民币</w:t>
      </w:r>
      <w:r>
        <w:rPr>
          <w:rFonts w:ascii="Times New Roman" w:hAnsi="Times New Roman" w:cs="Times New Roman" w:eastAsia="Times New Roman" w:hint="default"/>
          <w:spacing w:val="-1"/>
        </w:rPr>
        <w:t>122,644.86</w:t>
      </w:r>
      <w:r>
        <w:rPr>
          <w:spacing w:val="-1"/>
        </w:rPr>
        <w:t>万元，备考合并预测的净利润为人民币</w:t>
      </w:r>
      <w:r>
        <w:rPr>
          <w:rFonts w:ascii="Times New Roman" w:hAnsi="Times New Roman" w:cs="Times New Roman" w:eastAsia="Times New Roman" w:hint="default"/>
          <w:spacing w:val="-1"/>
        </w:rPr>
        <w:t>114,496.99</w:t>
      </w:r>
      <w:r>
        <w:rPr>
          <w:spacing w:val="-1"/>
        </w:rPr>
        <w:t>万元，实现数高</w:t>
      </w:r>
      <w:r>
        <w:rPr>
          <w:spacing w:val="-82"/>
        </w:rPr>
        <w:t> </w:t>
      </w:r>
      <w:r>
        <w:rPr>
          <w:spacing w:val="-82"/>
        </w:rPr>
      </w:r>
      <w:r>
        <w:rPr>
          <w:spacing w:val="10"/>
        </w:rPr>
        <w:t>于预测数人民币</w:t>
      </w:r>
      <w:r>
        <w:rPr>
          <w:rFonts w:ascii="Times New Roman" w:hAnsi="Times New Roman" w:cs="Times New Roman" w:eastAsia="Times New Roman" w:hint="default"/>
          <w:spacing w:val="10"/>
        </w:rPr>
        <w:t>8,147.87</w:t>
      </w:r>
      <w:r>
        <w:rPr>
          <w:spacing w:val="10"/>
        </w:rPr>
        <w:t>万元；本公司</w:t>
      </w:r>
      <w:r>
        <w:rPr>
          <w:rFonts w:ascii="Times New Roman" w:hAnsi="Times New Roman" w:cs="Times New Roman" w:eastAsia="Times New Roman" w:hint="default"/>
          <w:spacing w:val="10"/>
        </w:rPr>
        <w:t>2014</w:t>
      </w:r>
      <w:r>
        <w:rPr>
          <w:spacing w:val="10"/>
        </w:rPr>
        <w:t>年度备考合并实现的归属于母公司股东的净利润为人民币</w:t>
      </w:r>
      <w:r>
        <w:rPr>
          <w:spacing w:val="-99"/>
        </w:rPr>
        <w:t> </w:t>
      </w:r>
      <w:r>
        <w:rPr>
          <w:spacing w:val="-99"/>
        </w:rPr>
      </w:r>
      <w:r>
        <w:rPr>
          <w:rFonts w:ascii="Times New Roman" w:hAnsi="Times New Roman" w:cs="Times New Roman" w:eastAsia="Times New Roman" w:hint="default"/>
          <w:spacing w:val="-1"/>
        </w:rPr>
        <w:t>113,811.54</w:t>
      </w:r>
      <w:r>
        <w:rPr>
          <w:spacing w:val="-1"/>
        </w:rPr>
        <w:t>万元，备考合并预测的归属于母公司的净利润为人民币</w:t>
      </w:r>
      <w:r>
        <w:rPr>
          <w:rFonts w:ascii="Times New Roman" w:hAnsi="Times New Roman" w:cs="Times New Roman" w:eastAsia="Times New Roman" w:hint="default"/>
          <w:spacing w:val="-1"/>
        </w:rPr>
        <w:t>111,356.91</w:t>
      </w:r>
      <w:r>
        <w:rPr>
          <w:spacing w:val="-1"/>
        </w:rPr>
        <w:t>万元，实现数高于预测数人民</w:t>
      </w:r>
      <w:r>
        <w:rPr>
          <w:spacing w:val="-83"/>
        </w:rPr>
        <w:t> </w:t>
      </w:r>
      <w:r>
        <w:rPr>
          <w:spacing w:val="-83"/>
        </w:rPr>
      </w:r>
      <w:r>
        <w:rPr/>
        <w:t>币</w:t>
      </w:r>
      <w:r>
        <w:rPr>
          <w:rFonts w:ascii="Times New Roman" w:hAnsi="Times New Roman" w:cs="Times New Roman" w:eastAsia="Times New Roman" w:hint="default"/>
        </w:rPr>
        <w:t>2,454.63</w:t>
      </w:r>
      <w:r>
        <w:rPr/>
        <w:t>万元，综上，本公司发行股份及支付现金购买资产并募集配套资金事项</w:t>
      </w:r>
      <w:r>
        <w:rPr>
          <w:rFonts w:ascii="Times New Roman" w:hAnsi="Times New Roman" w:cs="Times New Roman" w:eastAsia="Times New Roman" w:hint="default"/>
        </w:rPr>
        <w:t>2014</w:t>
      </w:r>
      <w:r>
        <w:rPr/>
        <w:t>年度备考合并盈利</w:t>
      </w:r>
      <w:r>
        <w:rPr>
          <w:spacing w:val="-41"/>
        </w:rPr>
        <w:t> </w:t>
      </w:r>
      <w:r>
        <w:rPr>
          <w:spacing w:val="-41"/>
        </w:rPr>
      </w:r>
      <w:r>
        <w:rPr/>
        <w:t>预测已经实现。（备考合并盈利实现数按照《</w:t>
      </w:r>
      <w:r>
        <w:rPr>
          <w:rFonts w:ascii="Times New Roman" w:hAnsi="Times New Roman" w:cs="Times New Roman" w:eastAsia="Times New Roman" w:hint="default"/>
        </w:rPr>
        <w:t>2014</w:t>
      </w:r>
      <w:r>
        <w:rPr/>
        <w:t>年度备考合并盈利预测审核报告》（信会师报字</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1"/>
        </w:rPr>
        <w:t>第</w:t>
      </w:r>
      <w:r>
        <w:rPr>
          <w:rFonts w:ascii="Times New Roman" w:hAnsi="Times New Roman" w:cs="Times New Roman" w:eastAsia="Times New Roman" w:hint="default"/>
          <w:spacing w:val="-1"/>
        </w:rPr>
        <w:t>310338</w:t>
      </w:r>
      <w:r>
        <w:rPr>
          <w:spacing w:val="-1"/>
        </w:rPr>
        <w:t>号）的编制口径进行编制，具体编制基础参见本公司编制的《</w:t>
      </w:r>
      <w:r>
        <w:rPr>
          <w:rFonts w:ascii="Times New Roman" w:hAnsi="Times New Roman" w:cs="Times New Roman" w:eastAsia="Times New Roman" w:hint="default"/>
          <w:spacing w:val="-1"/>
        </w:rPr>
        <w:t>2014</w:t>
      </w:r>
      <w:r>
        <w:rPr>
          <w:spacing w:val="-1"/>
        </w:rPr>
        <w:t>年度备考合并盈利预测审核报</w:t>
      </w:r>
      <w:r>
        <w:rPr>
          <w:spacing w:val="-85"/>
        </w:rPr>
        <w:t> </w:t>
      </w:r>
      <w:r>
        <w:rPr>
          <w:spacing w:val="-85"/>
        </w:rPr>
      </w:r>
      <w:r>
        <w:rPr/>
        <w:t>告》。有关的差额及实现率系根据上述同口径实现数与盈利预测数比较计算而得出。）</w:t>
      </w:r>
    </w:p>
    <w:p>
      <w:pPr>
        <w:pStyle w:val="BodyText"/>
        <w:spacing w:line="240" w:lineRule="auto" w:before="22"/>
        <w:ind w:left="537" w:right="0"/>
        <w:jc w:val="left"/>
      </w:pPr>
      <w:r>
        <w:rPr/>
        <w:t>（</w:t>
      </w:r>
      <w:r>
        <w:rPr>
          <w:rFonts w:ascii="Times New Roman" w:hAnsi="Times New Roman" w:cs="Times New Roman" w:eastAsia="Times New Roman" w:hint="default"/>
        </w:rPr>
        <w:t>4</w:t>
      </w:r>
      <w:r>
        <w:rPr/>
        <w:t>）本公司本期购买国广视讯</w:t>
      </w:r>
      <w:r>
        <w:rPr>
          <w:rFonts w:ascii="Times New Roman" w:hAnsi="Times New Roman" w:cs="Times New Roman" w:eastAsia="Times New Roman" w:hint="default"/>
        </w:rPr>
        <w:t>100.00%</w:t>
      </w:r>
      <w:r>
        <w:rPr/>
        <w:t>股权，形成同一控制下企业合并，对财务报表追溯调整如下：</w:t>
      </w:r>
    </w:p>
    <w:p>
      <w:pPr>
        <w:spacing w:line="240" w:lineRule="auto" w:before="2"/>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944"/>
        <w:gridCol w:w="1913"/>
        <w:gridCol w:w="1912"/>
        <w:gridCol w:w="1624"/>
      </w:tblGrid>
      <w:tr>
        <w:trPr>
          <w:trHeight w:val="331" w:hRule="exact"/>
        </w:trPr>
        <w:tc>
          <w:tcPr>
            <w:tcW w:w="8392" w:type="dxa"/>
            <w:gridSpan w:val="4"/>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68" w:hRule="exact"/>
        </w:trPr>
        <w:tc>
          <w:tcPr>
            <w:tcW w:w="2944" w:type="dxa"/>
            <w:tcBorders>
              <w:top w:val="single" w:sz="8" w:space="0" w:color="000000"/>
              <w:left w:val="single" w:sz="8" w:space="0" w:color="000000"/>
              <w:bottom w:val="single" w:sz="8" w:space="0" w:color="000000"/>
              <w:right w:val="single" w:sz="6" w:space="0" w:color="000000"/>
            </w:tcBorders>
            <w:shd w:val="clear" w:color="auto" w:fill="CCCCCC"/>
          </w:tcPr>
          <w:p>
            <w:pPr>
              <w:pStyle w:val="TableParagraph"/>
              <w:spacing w:line="240" w:lineRule="auto" w:before="36"/>
              <w:ind w:left="36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13"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36"/>
              <w:ind w:left="680" w:right="0"/>
              <w:jc w:val="left"/>
              <w:rPr>
                <w:rFonts w:ascii="宋体" w:hAnsi="宋体" w:cs="宋体" w:eastAsia="宋体" w:hint="default"/>
                <w:sz w:val="18"/>
                <w:szCs w:val="18"/>
              </w:rPr>
            </w:pPr>
            <w:r>
              <w:rPr>
                <w:rFonts w:ascii="宋体" w:hAnsi="宋体" w:cs="宋体" w:eastAsia="宋体" w:hint="default"/>
                <w:sz w:val="18"/>
                <w:szCs w:val="18"/>
              </w:rPr>
              <w:t>追溯调整后</w:t>
            </w:r>
          </w:p>
        </w:tc>
        <w:tc>
          <w:tcPr>
            <w:tcW w:w="1912"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36"/>
              <w:ind w:left="679" w:right="0"/>
              <w:jc w:val="left"/>
              <w:rPr>
                <w:rFonts w:ascii="宋体" w:hAnsi="宋体" w:cs="宋体" w:eastAsia="宋体" w:hint="default"/>
                <w:sz w:val="18"/>
                <w:szCs w:val="18"/>
              </w:rPr>
            </w:pPr>
            <w:r>
              <w:rPr>
                <w:rFonts w:ascii="宋体" w:hAnsi="宋体" w:cs="宋体" w:eastAsia="宋体" w:hint="default"/>
                <w:sz w:val="18"/>
                <w:szCs w:val="18"/>
              </w:rPr>
              <w:t>追溯调整前</w:t>
            </w:r>
          </w:p>
        </w:tc>
        <w:tc>
          <w:tcPr>
            <w:tcW w:w="1624"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36"/>
              <w:ind w:left="805"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13" w:type="dxa"/>
            <w:tcBorders>
              <w:top w:val="single" w:sz="12" w:space="0" w:color="000000"/>
              <w:left w:val="single" w:sz="8"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1,846,262,977.00</w:t>
            </w:r>
          </w:p>
        </w:tc>
        <w:tc>
          <w:tcPr>
            <w:tcW w:w="1912"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1,846,262,977.00</w:t>
            </w:r>
          </w:p>
        </w:tc>
        <w:tc>
          <w:tcPr>
            <w:tcW w:w="1624" w:type="dxa"/>
            <w:tcBorders>
              <w:top w:val="single" w:sz="12" w:space="0" w:color="000000"/>
              <w:left w:val="single" w:sz="6" w:space="0" w:color="000000"/>
              <w:bottom w:val="single" w:sz="8" w:space="0" w:color="000000"/>
              <w:right w:val="single" w:sz="8" w:space="0" w:color="000000"/>
            </w:tcBorders>
          </w:tcPr>
          <w:p>
            <w:pP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1,146,083,903.210</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1,136,083,903.21</w:t>
            </w:r>
          </w:p>
        </w:tc>
        <w:tc>
          <w:tcPr>
            <w:tcW w:w="162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53"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5,338,060.99</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5,338,060.99</w:t>
            </w:r>
          </w:p>
        </w:tc>
        <w:tc>
          <w:tcPr>
            <w:tcW w:w="1624" w:type="dxa"/>
            <w:tcBorders>
              <w:top w:val="single" w:sz="8" w:space="0" w:color="000000"/>
              <w:left w:val="single" w:sz="6" w:space="0" w:color="000000"/>
              <w:bottom w:val="single" w:sz="8" w:space="0" w:color="000000"/>
              <w:right w:val="single" w:sz="8" w:space="0" w:color="000000"/>
            </w:tcBorders>
          </w:tcPr>
          <w:p>
            <w:pP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232,711,966.63</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232,711,966.63</w:t>
            </w:r>
          </w:p>
        </w:tc>
        <w:tc>
          <w:tcPr>
            <w:tcW w:w="1624" w:type="dxa"/>
            <w:tcBorders>
              <w:top w:val="single" w:sz="8" w:space="0" w:color="000000"/>
              <w:left w:val="single" w:sz="6" w:space="0" w:color="000000"/>
              <w:bottom w:val="single" w:sz="8" w:space="0" w:color="000000"/>
              <w:right w:val="single" w:sz="8" w:space="0" w:color="000000"/>
            </w:tcBorders>
          </w:tcPr>
          <w:p>
            <w:pP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1,175,751,531.05</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1,176,883,349.55</w:t>
            </w:r>
          </w:p>
        </w:tc>
        <w:tc>
          <w:tcPr>
            <w:tcW w:w="162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-1,131,818.50</w:t>
            </w:r>
          </w:p>
        </w:tc>
      </w:tr>
      <w:tr>
        <w:trPr>
          <w:trHeight w:val="353"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4,406,148,438.88</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4,397,280,257.38</w:t>
            </w:r>
          </w:p>
        </w:tc>
        <w:tc>
          <w:tcPr>
            <w:tcW w:w="162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8,868,181.50</w:t>
            </w: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少数所有者权益</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239,076,633.35</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239,076,633.35</w:t>
            </w:r>
          </w:p>
        </w:tc>
        <w:tc>
          <w:tcPr>
            <w:tcW w:w="1624" w:type="dxa"/>
            <w:tcBorders>
              <w:top w:val="single" w:sz="8" w:space="0" w:color="000000"/>
              <w:left w:val="single" w:sz="6" w:space="0" w:color="000000"/>
              <w:bottom w:val="single" w:sz="8" w:space="0" w:color="000000"/>
              <w:right w:val="single" w:sz="8" w:space="0" w:color="000000"/>
            </w:tcBorders>
          </w:tcPr>
          <w:p>
            <w:pPr/>
          </w:p>
        </w:tc>
      </w:tr>
      <w:tr>
        <w:trPr>
          <w:trHeight w:val="353" w:hRule="exact"/>
        </w:trPr>
        <w:tc>
          <w:tcPr>
            <w:tcW w:w="294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13"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4,645,225,072.23</w:t>
            </w:r>
          </w:p>
        </w:tc>
        <w:tc>
          <w:tcPr>
            <w:tcW w:w="19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4,636,356,890.73</w:t>
            </w:r>
          </w:p>
        </w:tc>
        <w:tc>
          <w:tcPr>
            <w:tcW w:w="1624"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8,868,181.50</w:t>
            </w:r>
          </w:p>
        </w:tc>
      </w:tr>
    </w:tbl>
    <w:p>
      <w:pPr>
        <w:spacing w:line="240" w:lineRule="auto" w:before="3"/>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2452"/>
        <w:gridCol w:w="2131"/>
        <w:gridCol w:w="2131"/>
        <w:gridCol w:w="1690"/>
      </w:tblGrid>
      <w:tr>
        <w:trPr>
          <w:trHeight w:val="329" w:hRule="exact"/>
        </w:trPr>
        <w:tc>
          <w:tcPr>
            <w:tcW w:w="8404" w:type="dxa"/>
            <w:gridSpan w:val="4"/>
            <w:tcBorders>
              <w:top w:val="single" w:sz="6"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3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67"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36"/>
              <w:ind w:left="1126" w:right="0"/>
              <w:jc w:val="left"/>
              <w:rPr>
                <w:rFonts w:ascii="宋体" w:hAnsi="宋体" w:cs="宋体" w:eastAsia="宋体" w:hint="default"/>
                <w:sz w:val="18"/>
                <w:szCs w:val="18"/>
              </w:rPr>
            </w:pPr>
            <w:r>
              <w:rPr>
                <w:rFonts w:ascii="宋体" w:hAnsi="宋体" w:cs="宋体" w:eastAsia="宋体" w:hint="default"/>
                <w:sz w:val="18"/>
                <w:szCs w:val="18"/>
              </w:rPr>
              <w:t>利润表</w:t>
            </w:r>
          </w:p>
        </w:tc>
        <w:tc>
          <w:tcPr>
            <w:tcW w:w="2131" w:type="dxa"/>
            <w:tcBorders>
              <w:top w:val="single" w:sz="8" w:space="0" w:color="000000"/>
              <w:left w:val="single" w:sz="8" w:space="0" w:color="000000"/>
              <w:bottom w:val="single" w:sz="8" w:space="0" w:color="000000"/>
              <w:right w:val="single" w:sz="6" w:space="0" w:color="000000"/>
            </w:tcBorders>
            <w:shd w:val="clear" w:color="auto" w:fill="CCCCCC"/>
          </w:tcPr>
          <w:p>
            <w:pPr>
              <w:pStyle w:val="TableParagraph"/>
              <w:spacing w:line="240" w:lineRule="auto" w:before="36"/>
              <w:ind w:left="787" w:right="0"/>
              <w:jc w:val="left"/>
              <w:rPr>
                <w:rFonts w:ascii="宋体" w:hAnsi="宋体" w:cs="宋体" w:eastAsia="宋体" w:hint="default"/>
                <w:sz w:val="18"/>
                <w:szCs w:val="18"/>
              </w:rPr>
            </w:pPr>
            <w:r>
              <w:rPr>
                <w:rFonts w:ascii="宋体" w:hAnsi="宋体" w:cs="宋体" w:eastAsia="宋体" w:hint="default"/>
                <w:sz w:val="18"/>
                <w:szCs w:val="18"/>
              </w:rPr>
              <w:t>追溯调整后</w:t>
            </w:r>
          </w:p>
        </w:tc>
        <w:tc>
          <w:tcPr>
            <w:tcW w:w="2131" w:type="dxa"/>
            <w:tcBorders>
              <w:top w:val="single" w:sz="8" w:space="0" w:color="000000"/>
              <w:left w:val="single" w:sz="6" w:space="0" w:color="000000"/>
              <w:bottom w:val="single" w:sz="8" w:space="0" w:color="000000"/>
              <w:right w:val="single" w:sz="6" w:space="0" w:color="000000"/>
            </w:tcBorders>
            <w:shd w:val="clear" w:color="auto" w:fill="CCCCCC"/>
          </w:tcPr>
          <w:p>
            <w:pPr>
              <w:pStyle w:val="TableParagraph"/>
              <w:spacing w:line="240" w:lineRule="auto" w:before="36"/>
              <w:ind w:left="788" w:right="0"/>
              <w:jc w:val="left"/>
              <w:rPr>
                <w:rFonts w:ascii="宋体" w:hAnsi="宋体" w:cs="宋体" w:eastAsia="宋体" w:hint="default"/>
                <w:sz w:val="18"/>
                <w:szCs w:val="18"/>
              </w:rPr>
            </w:pPr>
            <w:r>
              <w:rPr>
                <w:rFonts w:ascii="宋体" w:hAnsi="宋体" w:cs="宋体" w:eastAsia="宋体" w:hint="default"/>
                <w:sz w:val="18"/>
                <w:szCs w:val="18"/>
              </w:rPr>
              <w:t>追溯调整前</w:t>
            </w:r>
          </w:p>
        </w:tc>
        <w:tc>
          <w:tcPr>
            <w:tcW w:w="1690" w:type="dxa"/>
            <w:tcBorders>
              <w:top w:val="single" w:sz="8" w:space="0" w:color="000000"/>
              <w:left w:val="single" w:sz="6" w:space="0" w:color="000000"/>
              <w:bottom w:val="single" w:sz="8" w:space="0" w:color="000000"/>
              <w:right w:val="single" w:sz="8" w:space="0" w:color="000000"/>
            </w:tcBorders>
            <w:shd w:val="clear" w:color="auto" w:fill="CCCCCC"/>
          </w:tcPr>
          <w:p>
            <w:pPr>
              <w:pStyle w:val="TableParagraph"/>
              <w:spacing w:line="240" w:lineRule="auto" w:before="36"/>
              <w:ind w:left="838"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353"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31" w:type="dxa"/>
            <w:tcBorders>
              <w:top w:val="single" w:sz="12" w:space="0" w:color="000000"/>
              <w:left w:val="single" w:sz="8"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3,749,558,004.83</w:t>
            </w:r>
          </w:p>
        </w:tc>
        <w:tc>
          <w:tcPr>
            <w:tcW w:w="2131"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3,749,558,004.83</w:t>
            </w:r>
          </w:p>
        </w:tc>
        <w:tc>
          <w:tcPr>
            <w:tcW w:w="1690" w:type="dxa"/>
            <w:tcBorders>
              <w:top w:val="single" w:sz="12" w:space="0" w:color="000000"/>
              <w:left w:val="single" w:sz="6" w:space="0" w:color="000000"/>
              <w:bottom w:val="single" w:sz="8" w:space="0" w:color="000000"/>
              <w:right w:val="single" w:sz="8" w:space="0" w:color="000000"/>
            </w:tcBorders>
          </w:tcPr>
          <w:p>
            <w:pPr/>
          </w:p>
        </w:tc>
      </w:tr>
      <w:tr>
        <w:trPr>
          <w:trHeight w:val="352"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3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2,217,083,952.47</w:t>
            </w:r>
          </w:p>
        </w:tc>
        <w:tc>
          <w:tcPr>
            <w:tcW w:w="21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2,216,129,989.11</w:t>
            </w:r>
          </w:p>
        </w:tc>
        <w:tc>
          <w:tcPr>
            <w:tcW w:w="16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left="862" w:right="-1"/>
              <w:jc w:val="left"/>
              <w:rPr>
                <w:rFonts w:ascii="Times New Roman" w:hAnsi="Times New Roman" w:cs="Times New Roman" w:eastAsia="Times New Roman" w:hint="default"/>
                <w:sz w:val="18"/>
                <w:szCs w:val="18"/>
              </w:rPr>
            </w:pPr>
            <w:r>
              <w:rPr>
                <w:rFonts w:ascii="Times New Roman"/>
                <w:sz w:val="18"/>
              </w:rPr>
              <w:t>953,963.36</w:t>
            </w:r>
          </w:p>
        </w:tc>
      </w:tr>
      <w:tr>
        <w:trPr>
          <w:trHeight w:val="352"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3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91,048,423.09</w:t>
            </w:r>
          </w:p>
        </w:tc>
        <w:tc>
          <w:tcPr>
            <w:tcW w:w="21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91,048,423.09</w:t>
            </w:r>
          </w:p>
        </w:tc>
        <w:tc>
          <w:tcPr>
            <w:tcW w:w="1690" w:type="dxa"/>
            <w:tcBorders>
              <w:top w:val="single" w:sz="8" w:space="0" w:color="000000"/>
              <w:left w:val="single" w:sz="6" w:space="0" w:color="000000"/>
              <w:bottom w:val="single" w:sz="8" w:space="0" w:color="000000"/>
              <w:right w:val="single" w:sz="8" w:space="0" w:color="000000"/>
            </w:tcBorders>
          </w:tcPr>
          <w:p>
            <w:pPr/>
          </w:p>
        </w:tc>
      </w:tr>
      <w:tr>
        <w:trPr>
          <w:trHeight w:val="353"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544,283,238.45</w:t>
            </w:r>
          </w:p>
        </w:tc>
        <w:tc>
          <w:tcPr>
            <w:tcW w:w="21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544,283,238.45</w:t>
            </w:r>
          </w:p>
        </w:tc>
        <w:tc>
          <w:tcPr>
            <w:tcW w:w="1690" w:type="dxa"/>
            <w:tcBorders>
              <w:top w:val="single" w:sz="8" w:space="0" w:color="000000"/>
              <w:left w:val="single" w:sz="6" w:space="0" w:color="000000"/>
              <w:bottom w:val="single" w:sz="8" w:space="0" w:color="000000"/>
              <w:right w:val="single" w:sz="8" w:space="0" w:color="000000"/>
            </w:tcBorders>
          </w:tcPr>
          <w:p>
            <w:pPr/>
          </w:p>
        </w:tc>
      </w:tr>
      <w:tr>
        <w:trPr>
          <w:trHeight w:val="352"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303,241,636.34</w:t>
            </w:r>
          </w:p>
        </w:tc>
        <w:tc>
          <w:tcPr>
            <w:tcW w:w="21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302,668,766.34</w:t>
            </w:r>
          </w:p>
        </w:tc>
        <w:tc>
          <w:tcPr>
            <w:tcW w:w="16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left="862" w:right="-1"/>
              <w:jc w:val="left"/>
              <w:rPr>
                <w:rFonts w:ascii="Times New Roman" w:hAnsi="Times New Roman" w:cs="Times New Roman" w:eastAsia="Times New Roman" w:hint="default"/>
                <w:sz w:val="18"/>
                <w:szCs w:val="18"/>
              </w:rPr>
            </w:pPr>
            <w:r>
              <w:rPr>
                <w:rFonts w:ascii="Times New Roman"/>
                <w:sz w:val="18"/>
              </w:rPr>
              <w:t>572,870.00</w:t>
            </w:r>
          </w:p>
        </w:tc>
      </w:tr>
      <w:tr>
        <w:trPr>
          <w:trHeight w:val="352" w:hRule="exact"/>
        </w:trPr>
        <w:tc>
          <w:tcPr>
            <w:tcW w:w="245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1"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45,945,792.44</w:t>
            </w:r>
          </w:p>
        </w:tc>
        <w:tc>
          <w:tcPr>
            <w:tcW w:w="21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45,963,534.47</w:t>
            </w:r>
          </w:p>
        </w:tc>
        <w:tc>
          <w:tcPr>
            <w:tcW w:w="16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1"/>
              <w:ind w:left="892" w:right="-1"/>
              <w:jc w:val="left"/>
              <w:rPr>
                <w:rFonts w:ascii="Times New Roman" w:hAnsi="Times New Roman" w:cs="Times New Roman" w:eastAsia="Times New Roman" w:hint="default"/>
                <w:sz w:val="18"/>
                <w:szCs w:val="18"/>
              </w:rPr>
            </w:pPr>
            <w:r>
              <w:rPr>
                <w:rFonts w:ascii="Times New Roman"/>
                <w:sz w:val="18"/>
              </w:rPr>
              <w:t>-17,742.03</w:t>
            </w:r>
          </w:p>
        </w:tc>
      </w:tr>
      <w:tr>
        <w:trPr>
          <w:trHeight w:val="350" w:hRule="exact"/>
        </w:trPr>
        <w:tc>
          <w:tcPr>
            <w:tcW w:w="2452" w:type="dxa"/>
            <w:tcBorders>
              <w:top w:val="single" w:sz="8" w:space="0" w:color="000000"/>
              <w:left w:val="single" w:sz="8" w:space="0" w:color="000000"/>
              <w:bottom w:val="single" w:sz="6" w:space="0" w:color="000000"/>
              <w:right w:val="single" w:sz="8"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1"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12,542,682.79</w:t>
            </w:r>
          </w:p>
        </w:tc>
        <w:tc>
          <w:tcPr>
            <w:tcW w:w="213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12,542,682.79</w:t>
            </w:r>
          </w:p>
        </w:tc>
        <w:tc>
          <w:tcPr>
            <w:tcW w:w="1690" w:type="dxa"/>
            <w:tcBorders>
              <w:top w:val="single" w:sz="8" w:space="0" w:color="000000"/>
              <w:left w:val="single" w:sz="6" w:space="0" w:color="000000"/>
              <w:bottom w:val="single" w:sz="6" w:space="0" w:color="000000"/>
              <w:right w:val="single" w:sz="8" w:space="0" w:color="000000"/>
            </w:tcBorders>
          </w:tcPr>
          <w:p>
            <w:pP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-4,444,797.33</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-4,444,797.33</w:t>
            </w:r>
          </w:p>
        </w:tc>
        <w:tc>
          <w:tcPr>
            <w:tcW w:w="16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452"/>
        <w:gridCol w:w="2131"/>
        <w:gridCol w:w="2131"/>
        <w:gridCol w:w="1690"/>
      </w:tblGrid>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416,526,231.23</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416,526,231.23</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947,493,713.15</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949,002,804.48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-1,509,091.33</w:t>
            </w: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90,006,598.87</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90,006,598.87</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5,055,523.93</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5,055,523.93</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1,032,444,788.09</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1,033,953,879.42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-1,509,091.33</w:t>
            </w: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130,638,869.10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131,016,141.93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-377,272.83</w:t>
            </w: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901,805,918.99</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902,937,737.49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-1,131,818.50</w:t>
            </w:r>
          </w:p>
        </w:tc>
      </w:tr>
      <w:tr>
        <w:trPr>
          <w:trHeight w:val="659"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归属于母公司股东的净利</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525,875,568.17</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527,007,386.67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-1,131,818.50</w:t>
            </w: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375,930,350.82</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375,930,350.82</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2131" w:type="dxa"/>
            <w:tcBorders>
              <w:top w:val="single" w:sz="6" w:space="0" w:color="000000"/>
              <w:left w:val="single" w:sz="6" w:space="0" w:color="000000"/>
              <w:bottom w:val="single" w:sz="6" w:space="0" w:color="000000"/>
              <w:right w:val="single" w:sz="6" w:space="0" w:color="000000"/>
            </w:tcBorders>
          </w:tcPr>
          <w:p>
            <w:pPr/>
          </w:p>
        </w:tc>
        <w:tc>
          <w:tcPr>
            <w:tcW w:w="2131"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0.3866</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0.3875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-0.0009</w:t>
            </w:r>
          </w:p>
        </w:tc>
      </w:tr>
      <w:tr>
        <w:trPr>
          <w:trHeight w:val="347" w:hRule="exact"/>
        </w:trPr>
        <w:tc>
          <w:tcPr>
            <w:tcW w:w="2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0.3866</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0.3875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before="17"/>
        <w:ind w:left="10688"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4"/>
        <w:spacing w:line="240" w:lineRule="auto"/>
        <w:ind w:left="959"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959" w:right="0"/>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959"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3970"/>
        <w:gridCol w:w="1277"/>
        <w:gridCol w:w="850"/>
        <w:gridCol w:w="1559"/>
        <w:gridCol w:w="709"/>
        <w:gridCol w:w="1276"/>
        <w:gridCol w:w="1277"/>
        <w:gridCol w:w="850"/>
        <w:gridCol w:w="1276"/>
        <w:gridCol w:w="992"/>
        <w:gridCol w:w="1843"/>
      </w:tblGrid>
      <w:tr>
        <w:trPr>
          <w:trHeight w:val="402" w:hRule="exact"/>
        </w:trPr>
        <w:tc>
          <w:tcPr>
            <w:tcW w:w="3970" w:type="dxa"/>
            <w:vMerge w:val="restart"/>
            <w:tcBorders>
              <w:top w:val="single" w:sz="4" w:space="0" w:color="000000"/>
              <w:left w:val="single" w:sz="4" w:space="0" w:color="000000"/>
              <w:right w:val="single" w:sz="4" w:space="0" w:color="000000"/>
            </w:tcBorders>
            <w:shd w:val="clear" w:color="auto" w:fill="D3D3D3"/>
          </w:tcPr>
          <w:p>
            <w:pP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3970" w:type="dxa"/>
            <w:vMerge/>
            <w:tcBorders>
              <w:left w:val="single" w:sz="4" w:space="0" w:color="000000"/>
              <w:bottom w:val="nil" w:sz="6" w:space="0" w:color="auto"/>
              <w:right w:val="single" w:sz="4" w:space="0" w:color="000000"/>
            </w:tcBorders>
            <w:shd w:val="clear" w:color="auto" w:fill="D3D3D3"/>
          </w:tcPr>
          <w:p>
            <w:pPr/>
          </w:p>
        </w:tc>
        <w:tc>
          <w:tcPr>
            <w:tcW w:w="21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1" w:hRule="exact"/>
        </w:trPr>
        <w:tc>
          <w:tcPr>
            <w:tcW w:w="39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6" w:type="dxa"/>
            <w:gridSpan w:val="2"/>
            <w:vMerge/>
            <w:tcBorders>
              <w:left w:val="single" w:sz="4" w:space="0" w:color="000000"/>
              <w:bottom w:val="single" w:sz="4" w:space="0" w:color="000000"/>
              <w:right w:val="single" w:sz="4" w:space="0" w:color="000000"/>
            </w:tcBorders>
            <w:shd w:val="clear" w:color="auto" w:fill="D3D3D3"/>
          </w:tcPr>
          <w:p>
            <w:pPr/>
          </w:p>
        </w:tc>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2126" w:type="dxa"/>
            <w:gridSpan w:val="2"/>
            <w:vMerge/>
            <w:tcBorders>
              <w:left w:val="single" w:sz="4" w:space="0" w:color="000000"/>
              <w:bottom w:val="single" w:sz="4" w:space="0" w:color="000000"/>
              <w:right w:val="single" w:sz="4" w:space="0" w:color="000000"/>
            </w:tcBorders>
            <w:shd w:val="clear" w:color="auto" w:fill="D3D3D3"/>
          </w:tcPr>
          <w:p>
            <w:pPr/>
          </w:p>
        </w:tc>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right w:val="single" w:sz="4" w:space="0" w:color="000000"/>
            </w:tcBorders>
            <w:shd w:val="clear" w:color="auto" w:fill="D3D3D3"/>
          </w:tcPr>
          <w:p>
            <w:pPr/>
          </w:p>
        </w:tc>
      </w:tr>
      <w:tr>
        <w:trPr>
          <w:trHeight w:val="151" w:hRule="exact"/>
        </w:trPr>
        <w:tc>
          <w:tcPr>
            <w:tcW w:w="3970" w:type="dxa"/>
            <w:vMerge/>
            <w:tcBorders>
              <w:left w:val="single" w:sz="4" w:space="0" w:color="000000"/>
              <w:bottom w:val="nil" w:sz="6" w:space="0" w:color="auto"/>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tcBorders>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3" w:type="dxa"/>
            <w:vMerge/>
            <w:tcBorders>
              <w:left w:val="single" w:sz="4" w:space="0" w:color="000000"/>
              <w:right w:val="single" w:sz="4" w:space="0" w:color="000000"/>
            </w:tcBorders>
            <w:shd w:val="clear" w:color="auto" w:fill="D3D3D3"/>
          </w:tcPr>
          <w:p>
            <w:pPr/>
          </w:p>
        </w:tc>
      </w:tr>
      <w:tr>
        <w:trPr>
          <w:trHeight w:val="563" w:hRule="exact"/>
        </w:trPr>
        <w:tc>
          <w:tcPr>
            <w:tcW w:w="3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292,101,168.36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292,101,168.36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326,719,242.17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296,689,242.17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1,688,987.60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1,567,137.08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121,850.52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8,774,484.66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8,731,905.41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42,579.25</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 款</w:t>
            </w:r>
          </w:p>
        </w:tc>
        <w:tc>
          <w:tcPr>
            <w:tcW w:w="12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9,082,603.54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2,582,603.54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12,736,816.82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11,168,617.62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1,568,199.20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302,872,759.50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8,067,137.08</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294,805,622.42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348,230,543.65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49,930,523.03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298,300,020.62</w:t>
            </w:r>
          </w:p>
        </w:tc>
      </w:tr>
    </w:tbl>
    <w:p>
      <w:pPr>
        <w:spacing w:after="0" w:line="240" w:lineRule="auto"/>
        <w:jc w:val="right"/>
        <w:rPr>
          <w:rFonts w:ascii="Times New Roman" w:hAnsi="Times New Roman" w:cs="Times New Roman" w:eastAsia="Times New Roman" w:hint="default"/>
          <w:sz w:val="18"/>
          <w:szCs w:val="18"/>
        </w:rPr>
        <w:sectPr>
          <w:headerReference w:type="default" r:id="rId59"/>
          <w:footerReference w:type="default" r:id="rId60"/>
          <w:pgSz w:w="16840" w:h="11910" w:orient="landscape"/>
          <w:pgMar w:header="0" w:footer="0" w:top="800" w:bottom="280" w:left="480" w:right="260"/>
        </w:sectPr>
      </w:pPr>
    </w:p>
    <w:p>
      <w:pPr>
        <w:spacing w:before="51"/>
        <w:ind w:left="959"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95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95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480" w:right="260"/>
          <w:cols w:num="2" w:equalWidth="0">
            <w:col w:w="5280" w:space="3360"/>
            <w:col w:w="7460"/>
          </w:cols>
        </w:sectPr>
      </w:pPr>
    </w:p>
    <w:p>
      <w:pPr>
        <w:spacing w:line="240" w:lineRule="auto" w:before="0"/>
        <w:rPr>
          <w:rFonts w:ascii="宋体" w:hAnsi="宋体" w:cs="宋体" w:eastAsia="宋体" w:hint="default"/>
          <w:sz w:val="8"/>
          <w:szCs w:val="8"/>
        </w:rPr>
      </w:pPr>
    </w:p>
    <w:tbl>
      <w:tblPr>
        <w:tblW w:w="0" w:type="auto"/>
        <w:jc w:val="left"/>
        <w:tblInd w:w="955"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4,342,354.36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全资子公司，可收回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37,758,814.00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全资子公司，可收回</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292,101,168.36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10"/>
        <w:ind w:left="0" w:right="1179" w:firstLine="0"/>
        <w:jc w:val="right"/>
        <w:rPr>
          <w:rFonts w:ascii="Times New Roman" w:hAnsi="Times New Roman" w:cs="Times New Roman" w:eastAsia="Times New Roman" w:hint="default"/>
          <w:sz w:val="18"/>
          <w:szCs w:val="18"/>
        </w:rPr>
      </w:pPr>
      <w:r>
        <w:rPr>
          <w:rFonts w:ascii="Times New Roman"/>
          <w:sz w:val="18"/>
        </w:rPr>
        <w:t>207</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480" w:right="26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61"/>
          <w:pgSz w:w="11910" w:h="16840"/>
          <w:pgMar w:footer="982" w:header="0" w:top="1100" w:bottom="1180" w:left="980" w:right="660"/>
          <w:pgNumType w:start="208"/>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660"/>
          <w:cols w:num="2" w:equalWidth="0">
            <w:col w:w="4294" w:space="4534"/>
            <w:col w:w="144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100,799.60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24,677.24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14,806.34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1,545,310.76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1,545,310.76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1,688,987.60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1,567,137.08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92.79%</w:t>
            </w:r>
          </w:p>
        </w:tc>
      </w:tr>
    </w:tbl>
    <w:p>
      <w:pPr>
        <w:spacing w:line="360" w:lineRule="auto" w:before="51"/>
        <w:ind w:left="153" w:right="559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55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before="0"/>
        <w:ind w:right="5591"/>
        <w:jc w:val="left"/>
        <w:rPr>
          <w:b w:val="0"/>
          <w:bCs w:val="0"/>
        </w:rPr>
      </w:pPr>
      <w:r>
        <w:rPr/>
        <w:t>（</w:t>
      </w:r>
      <w:r>
        <w:rPr>
          <w:rFonts w:ascii="Times New Roman" w:hAnsi="Times New Roman" w:cs="Times New Roman" w:eastAsia="Times New Roman" w:hint="default"/>
        </w:rPr>
        <w:t>2</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4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41,951,800.87</w:t>
            </w:r>
          </w:p>
        </w:tc>
      </w:tr>
    </w:tbl>
    <w:p>
      <w:pPr>
        <w:spacing w:before="51"/>
        <w:ind w:left="154" w:right="5591"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47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10"/>
        <w:gridCol w:w="1718"/>
        <w:gridCol w:w="1385"/>
        <w:gridCol w:w="1553"/>
        <w:gridCol w:w="1614"/>
        <w:gridCol w:w="1615"/>
      </w:tblGrid>
      <w:tr>
        <w:trPr>
          <w:trHeight w:val="714" w:hRule="exact"/>
        </w:trPr>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海南海金宁实业有限公司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海发行等债权转让款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3,609,787.42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海南晶宇大酒店</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相关投资款项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1,708,694.60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国投电力公司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股权转让收益款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海南杰海实业有限公司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预付购天然橡胶款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38,288,482.02</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35"/>
        <w:ind w:left="154" w:right="5591" w:firstLine="0"/>
        <w:jc w:val="left"/>
        <w:rPr>
          <w:rFonts w:ascii="宋体" w:hAnsi="宋体" w:cs="宋体" w:eastAsia="宋体" w:hint="default"/>
          <w:sz w:val="20"/>
          <w:szCs w:val="20"/>
        </w:rPr>
      </w:pPr>
      <w:r>
        <w:rPr>
          <w:rFonts w:ascii="宋体" w:hAnsi="宋体" w:cs="宋体" w:eastAsia="宋体" w:hint="default"/>
          <w:sz w:val="20"/>
          <w:szCs w:val="20"/>
        </w:rPr>
        <w:t>其他应收款核销说明：</w:t>
      </w:r>
    </w:p>
    <w:p>
      <w:pPr>
        <w:spacing w:before="72"/>
        <w:ind w:left="507" w:right="0" w:firstLine="0"/>
        <w:jc w:val="left"/>
        <w:rPr>
          <w:rFonts w:ascii="宋体" w:hAnsi="宋体" w:cs="宋体" w:eastAsia="宋体" w:hint="default"/>
          <w:sz w:val="22"/>
          <w:szCs w:val="22"/>
        </w:rPr>
      </w:pPr>
      <w:r>
        <w:rPr>
          <w:rFonts w:ascii="宋体" w:hAnsi="宋体" w:cs="宋体" w:eastAsia="宋体" w:hint="default"/>
          <w:sz w:val="22"/>
          <w:szCs w:val="22"/>
        </w:rPr>
        <w:t>上述坏账核销经本公司第六届董事会第七次、第十次会议审议通过。</w:t>
      </w:r>
    </w:p>
    <w:p>
      <w:pPr>
        <w:spacing w:after="0"/>
        <w:jc w:val="left"/>
        <w:rPr>
          <w:rFonts w:ascii="宋体" w:hAnsi="宋体" w:cs="宋体" w:eastAsia="宋体" w:hint="default"/>
          <w:sz w:val="22"/>
          <w:szCs w:val="22"/>
        </w:rPr>
        <w:sectPr>
          <w:type w:val="continuous"/>
          <w:pgSz w:w="11910" w:h="16840"/>
          <w:pgMar w:top="1060" w:bottom="1180" w:left="980" w:right="66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116,832.51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133,153.19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2,578,733.06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1,449,588.42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286,092,354.36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285,888,761.50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14,084,839.57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60,759,040.54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302,872,759.50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348,230,543.65</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5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15,097,222.23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3,723,129.05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231,179,648.72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37,758,814.00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36,758,814.00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4,342,354.36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广西容县容州宾馆有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广西南方投资有限公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298,601,168.36</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8,276,822,467.34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8,276,822,467.34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5,756,791,575.69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5,756,791,575.69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71,128,182.43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71,128,182.43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44,039,534.61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44,039,534.61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8,347,950,649.77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8,347,950,649.77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5,800,831,110.30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5,800,831,110.30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171,651,766.91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603,386,095.16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604,391,795.16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民生长流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378,886,359.02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378,886,359.02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78,720.00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380,531,962.10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380,531,962.10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103,000,001.76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103,000,001.76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西安华商广告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512,000,002.08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512,000,002.08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31,999,996.08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31,999,996.08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西安华商网络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59,999,998.32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59,999,998.32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171,000,000.72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171,000,000.72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30,000,002.40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30,000,002.40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50,999,997.60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50,999,997.60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40,000,003.20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40,000,003.20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10,116,460.42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10,116,460.42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80,329,250.16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80,329,250.16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668,900,000.00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海南椰德利</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国广视讯</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45,497,766.27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45,497,766.27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719,999,988.48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719,999,988.48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431,999,994.24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431,999,994.24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1,304,999,988.48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1,304,999,988.48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342,439,893.20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342,439,893.20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1,775,034,879.76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1,775,034,879.76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5,756,791,575.69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2,960,167,250.67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440,136,359.02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8,276,822,467.34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before="17"/>
        <w:ind w:left="0" w:right="759"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6"/>
        <w:spacing w:line="240" w:lineRule="auto"/>
        <w:ind w:left="1099"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spacing w:before="44"/>
        <w:ind w:left="0" w:right="7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688"/>
        <w:gridCol w:w="1276"/>
        <w:gridCol w:w="1276"/>
        <w:gridCol w:w="566"/>
        <w:gridCol w:w="1277"/>
        <w:gridCol w:w="850"/>
        <w:gridCol w:w="1134"/>
        <w:gridCol w:w="1276"/>
        <w:gridCol w:w="1560"/>
        <w:gridCol w:w="566"/>
        <w:gridCol w:w="1276"/>
        <w:gridCol w:w="852"/>
      </w:tblGrid>
      <w:tr>
        <w:trPr>
          <w:trHeight w:val="402" w:hRule="exact"/>
        </w:trPr>
        <w:tc>
          <w:tcPr>
            <w:tcW w:w="3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投资单位</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3688"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8"/>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59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559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44,039,534.61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27,245,000.00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-20,737,920.26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16,147,026.28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66,693,640.63</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国广环球在线文化传媒（北京）有限公司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16,541.80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4,434,541.80</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44,039,534.61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31,663,000.00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-20,721,378.46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16,147,026.28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71,128,182.43</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44,039,534.61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31,663,000.00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-20,721,378.46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16,147,026.28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71,128,182.43</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76"/>
        <w:ind w:left="0" w:right="759" w:firstLine="0"/>
        <w:jc w:val="right"/>
        <w:rPr>
          <w:rFonts w:ascii="Times New Roman" w:hAnsi="Times New Roman" w:cs="Times New Roman" w:eastAsia="Times New Roman" w:hint="default"/>
          <w:sz w:val="18"/>
          <w:szCs w:val="18"/>
        </w:rPr>
      </w:pPr>
      <w:r>
        <w:rPr>
          <w:rFonts w:ascii="Times New Roman"/>
          <w:spacing w:val="-3"/>
          <w:sz w:val="18"/>
        </w:rPr>
        <w:t>211</w:t>
      </w:r>
    </w:p>
    <w:p>
      <w:pPr>
        <w:spacing w:after="0"/>
        <w:jc w:val="right"/>
        <w:rPr>
          <w:rFonts w:ascii="Times New Roman" w:hAnsi="Times New Roman" w:cs="Times New Roman" w:eastAsia="Times New Roman" w:hint="default"/>
          <w:sz w:val="18"/>
          <w:szCs w:val="18"/>
        </w:rPr>
        <w:sectPr>
          <w:headerReference w:type="default" r:id="rId62"/>
          <w:footerReference w:type="default" r:id="rId63"/>
          <w:pgSz w:w="16840" w:h="11910" w:orient="landscape"/>
          <w:pgMar w:header="0" w:footer="0" w:top="800" w:bottom="280" w:left="340" w:right="680"/>
        </w:sectPr>
      </w:pPr>
    </w:p>
    <w:p>
      <w:pPr>
        <w:spacing w:line="240" w:lineRule="auto" w:before="7"/>
        <w:rPr>
          <w:rFonts w:ascii="Times New Roman" w:hAnsi="Times New Roman" w:cs="Times New Roman" w:eastAsia="Times New Roman"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199,357,583.97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1" w:right="0"/>
              <w:jc w:val="left"/>
              <w:rPr>
                <w:rFonts w:ascii="Times New Roman" w:hAnsi="Times New Roman" w:cs="Times New Roman" w:eastAsia="Times New Roman" w:hint="default"/>
                <w:sz w:val="18"/>
                <w:szCs w:val="18"/>
              </w:rPr>
            </w:pPr>
            <w:r>
              <w:rPr>
                <w:rFonts w:ascii="Times New Roman"/>
                <w:sz w:val="18"/>
              </w:rPr>
              <w:t>211,227,433.60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6,150,850.23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2,351,433.36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4,879,009.94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6,150,850.23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2,351,433.36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204,236,593.91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1" w:right="0"/>
              <w:jc w:val="left"/>
              <w:rPr>
                <w:rFonts w:ascii="Times New Roman" w:hAnsi="Times New Roman" w:cs="Times New Roman" w:eastAsia="Times New Roman" w:hint="default"/>
                <w:sz w:val="18"/>
                <w:szCs w:val="18"/>
              </w:rPr>
            </w:pPr>
            <w:r>
              <w:rPr>
                <w:rFonts w:ascii="Times New Roman"/>
                <w:sz w:val="18"/>
              </w:rPr>
              <w:t>211,227,433.60</w:t>
            </w:r>
          </w:p>
        </w:tc>
      </w:tr>
    </w:tbl>
    <w:p>
      <w:pPr>
        <w:spacing w:line="240" w:lineRule="auto" w:before="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476,635,800.00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91,171,800.00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-20,721,378.46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-21,086,824.20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275,113,640.98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9"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3,916,131.74</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国债回购业务、银行理财产品取得的投资 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6,663,947.19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19,739,702.53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737,692,009.71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93,740,810.07</w:t>
            </w:r>
          </w:p>
        </w:tc>
      </w:tr>
    </w:tbl>
    <w:p>
      <w:pPr>
        <w:spacing w:after="0" w:line="240" w:lineRule="auto"/>
        <w:jc w:val="right"/>
        <w:rPr>
          <w:rFonts w:ascii="Times New Roman" w:hAnsi="Times New Roman" w:cs="Times New Roman" w:eastAsia="Times New Roman" w:hint="default"/>
          <w:sz w:val="18"/>
          <w:szCs w:val="18"/>
        </w:rPr>
        <w:sectPr>
          <w:footerReference w:type="default" r:id="rId64"/>
          <w:pgSz w:w="11910" w:h="16840"/>
          <w:pgMar w:footer="982" w:header="0" w:top="1100" w:bottom="1180" w:left="980" w:right="980"/>
          <w:pgNumType w:start="212"/>
        </w:sect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0" w:right="0"/>
              <w:jc w:val="left"/>
              <w:rPr>
                <w:rFonts w:ascii="Times New Roman" w:hAnsi="Times New Roman" w:cs="Times New Roman" w:eastAsia="Times New Roman" w:hint="default"/>
                <w:sz w:val="18"/>
                <w:szCs w:val="18"/>
              </w:rPr>
            </w:pPr>
            <w:r>
              <w:rPr>
                <w:rFonts w:ascii="Times New Roman"/>
                <w:sz w:val="18"/>
              </w:rPr>
              <w:t>225,513,617.59</w:t>
            </w:r>
          </w:p>
        </w:tc>
        <w:tc>
          <w:tcPr>
            <w:tcW w:w="318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主要是公司转让长流公司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股权获 得投资收益</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4" w:space="0" w:color="000000"/>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9" w:type="dxa"/>
            <w:vMerge/>
            <w:tcBorders>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16,231,416.68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15,629,584.77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98,801,316.84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3,009,314.94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20,843,207.99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12,669,606.42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325,672,436.41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before="0"/>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0.5300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0.3545</w:t>
            </w:r>
          </w:p>
        </w:tc>
      </w:tr>
    </w:tbl>
    <w:p>
      <w:pPr>
        <w:spacing w:line="240" w:lineRule="auto" w:before="2"/>
        <w:rPr>
          <w:rFonts w:ascii="宋体" w:hAnsi="宋体" w:cs="宋体" w:eastAsia="宋体" w:hint="default"/>
          <w:b/>
          <w:bCs/>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20"/>
        <w:gridCol w:w="1559"/>
        <w:gridCol w:w="1559"/>
        <w:gridCol w:w="163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1,110,583,627.87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1,467,273,104.68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1,790,374,016.66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73,303,468.11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42,404,690.64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72,764,149.18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3,558,796.00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5,288,274.00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14,609,512.07</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245,115,364.70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312,196,981.77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624,030,934.13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119,280,556.85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67,061,608.66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97,350,621.90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309,347,549.48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424,868,469.28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404,235,409.70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372,492,661.66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232,384,018.99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484,574,731.64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120,156,383.89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161,907,054.09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358,600,394.51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2,356,958,408.56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2,715,237,202.11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3,850,909,769.79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1,285,415,115.19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1,185,417,592.92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1,257,795,300.15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323,825,474.35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344,837,142.50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386,456,397.50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41,852,226.51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39,885,012.24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37,916,614.44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1,090,334,103.67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1,134,677,121.07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1,139,300,503.00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256,562,866.76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142,750,790.59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268,731,457.14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10,071,629.98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8,188,260.94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8,018,495.01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214,900,048.51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265,400,123.34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285,028,018.49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3,885,364.06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9,597,457.11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19,729,511.57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582,930,636.71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2,829,287,520.62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21,565,282.19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20,447,960.39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25,404,785.44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21,301,167.28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29,320,822.88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44,107,228.42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684,610,649.00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694,377,808.78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3,876,557,426.01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4,442,351,476.64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6,986,021,586.10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6,233,515,834.57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7,157,588,678.75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10,836,931,355.89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48,385,566.34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180,823,161.80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293,497,718.30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282,303,206.33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20"/>
        <w:gridCol w:w="1559"/>
        <w:gridCol w:w="1559"/>
        <w:gridCol w:w="163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374,496,861.70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384,607,818.51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467,163,978.09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118,246,713.87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142,558,204.46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177,286,464.53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79,540,413.99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145,826,915.65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248,922,943.11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9,908,674.49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25,872,633.32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43,851,050.00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22,913,915.00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16,969,388.48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16,969,388.48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147,555,094.55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322,503,457.80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442,089,195.22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115,352,269.87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125,083,257.13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141,782,565.31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409,099,787.28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2,036,936,892.55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1,686,719,393.65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1,898,754,357.41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68,934,177.25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695,180,600.00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1,391,080,600.00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7,739,807.99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6,957,191.40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10,267,623.89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12,571,038.60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166,390,839.84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60,451,864.69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54,956.40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7,309,565.63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73,680,773.09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110,097,809.88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10,748,696.14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216,334,438.92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825,644,212.87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1,662,486,893.01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2,253,271,331.47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2,512,363,606.52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3,561,241,250.42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1,360,132,576.00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1,846,262,977.00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1,976,492,696.00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62,733,063.07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1,146,083,903.21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2,612,448,612.90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110,962,641.04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-140,372.02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2,920,650.53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5,338,060.99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5,288,405.58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295,921,730.37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232,711,966.63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293,764,257.44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1,221,218,864.80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1,175,751,531.05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2,024,390,039.79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3,053,889,525.81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4,406,148,438.88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6,912,243,639.69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926,354,977.29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239,076,633.35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363,446,465.78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3,980,244,503.10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4,645,225,072.23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7,275,690,105.47</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6,233,515,834.57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7,157,588,678.75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10,836,931,355.89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286" w:right="94"/>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9"/>
        <w:rPr>
          <w:rFonts w:ascii="宋体" w:hAnsi="宋体" w:cs="宋体" w:eastAsia="宋体" w:hint="default"/>
          <w:b/>
          <w:bCs/>
          <w:sz w:val="38"/>
          <w:szCs w:val="38"/>
        </w:rPr>
      </w:pPr>
    </w:p>
    <w:p>
      <w:pPr>
        <w:pStyle w:val="Heading5"/>
        <w:spacing w:line="313" w:lineRule="exact" w:before="0"/>
        <w:ind w:left="634" w:right="94"/>
        <w:jc w:val="left"/>
      </w:pPr>
      <w:r>
        <w:rPr/>
        <w:t>备查文件包括：</w:t>
      </w:r>
    </w:p>
    <w:p>
      <w:pPr>
        <w:pStyle w:val="Heading5"/>
        <w:spacing w:line="312" w:lineRule="exact" w:before="0"/>
        <w:ind w:left="633" w:right="94"/>
        <w:jc w:val="left"/>
      </w:pPr>
      <w:r>
        <w:rPr>
          <w:spacing w:val="-3"/>
        </w:rPr>
        <w:t>（一）载有法定代表人、主管会计工作负责人、会计机构负责人签名并盖章的会计报表。</w:t>
      </w:r>
    </w:p>
    <w:p>
      <w:pPr>
        <w:pStyle w:val="Heading5"/>
        <w:spacing w:line="312" w:lineRule="exact" w:before="0"/>
        <w:ind w:left="633" w:right="94"/>
        <w:jc w:val="left"/>
      </w:pPr>
      <w:r>
        <w:rPr/>
        <w:t>（二）载有会计师事务所盖章、注册会计师签名并盖章的审计报告原件。</w:t>
      </w:r>
    </w:p>
    <w:p>
      <w:pPr>
        <w:pStyle w:val="Heading5"/>
        <w:spacing w:line="312" w:lineRule="exact" w:before="29"/>
        <w:ind w:right="94" w:firstLine="480"/>
        <w:jc w:val="left"/>
      </w:pPr>
      <w:r>
        <w:rPr>
          <w:spacing w:val="-6"/>
        </w:rPr>
        <w:t>（三）报告期内在中国证监会指定网站和指定报纸《证券时报》、《中国证券报》及《上</w:t>
      </w:r>
      <w:r>
        <w:rPr/>
        <w:t> 海证券报》上公开披露过的所有公司文件的正本及公告的原稿。</w:t>
      </w:r>
    </w:p>
    <w:p>
      <w:pPr>
        <w:pStyle w:val="Heading5"/>
        <w:spacing w:line="283" w:lineRule="exact" w:before="0"/>
        <w:ind w:left="633" w:right="94"/>
        <w:jc w:val="left"/>
      </w:pPr>
      <w:r>
        <w:rPr/>
        <w:t>上述文件原件备置地点为海南省海口市海甸四东路民生大厦公司董事会秘书部。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Heading5"/>
        <w:spacing w:line="477" w:lineRule="auto" w:before="0"/>
        <w:ind w:left="5976" w:right="788" w:hanging="840"/>
        <w:jc w:val="left"/>
      </w:pPr>
      <w:r>
        <w:rPr/>
        <w:t>华闻传媒投资集团股份有限公司董事会 董事长：温子健（签字）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5"/>
        <w:spacing w:line="240" w:lineRule="auto" w:before="0"/>
        <w:ind w:left="6036" w:right="94"/>
        <w:jc w:val="left"/>
      </w:pPr>
      <w:r>
        <w:rPr/>
        <w:t>二〇一五年三月二十五日</w:t>
      </w:r>
    </w:p>
    <w:sectPr>
      <w:pgSz w:w="11910" w:h="16840"/>
      <w:pgMar w:header="0" w:footer="982" w:top="110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18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520020pt;margin-top:781.897522pt;width:13pt;height:11pt;mso-position-horizontal-relative:page;mso-position-vertical-relative:page;z-index:-1218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019989pt;margin-top:781.897522pt;width:15.5pt;height:11pt;mso-position-horizontal-relative:page;mso-position-vertical-relative:page;z-index:-1218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9.019989pt;margin-top:781.897522pt;width:17.5pt;height:11pt;mso-position-horizontal-relative:page;mso-position-vertical-relative:page;z-index:-121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21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21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217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1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1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18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18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18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1218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1811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218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218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1796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217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218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1856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218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218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184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218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218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4.95pt;height:.1pt;mso-position-horizontal-relative:page;mso-position-vertical-relative:page;z-index:-12183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12.019989pt;margin-top:42.865326pt;width:213.5pt;height:11.5pt;mso-position-horizontal-relative:page;mso-position-vertical-relative:page;z-index:-1218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218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3"/>
    </w:pPr>
    <w:rPr>
      <w:rFonts w:ascii="宋体" w:hAnsi="宋体" w:eastAsia="宋体"/>
      <w:sz w:val="24"/>
      <w:szCs w:val="24"/>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sz w:val="28"/>
      <w:szCs w:val="28"/>
    </w:rPr>
  </w:style>
  <w:style w:styleId="Heading4" w:type="paragraph">
    <w:name w:val="Heading 4"/>
    <w:basedOn w:val="Normal"/>
    <w:uiPriority w:val="1"/>
    <w:qFormat/>
    <w:pPr>
      <w:spacing w:before="26"/>
      <w:ind w:left="154"/>
      <w:outlineLvl w:val="4"/>
    </w:pPr>
    <w:rPr>
      <w:rFonts w:ascii="宋体" w:hAnsi="宋体" w:eastAsia="宋体"/>
      <w:b/>
      <w:bCs/>
      <w:sz w:val="24"/>
      <w:szCs w:val="24"/>
    </w:rPr>
  </w:style>
  <w:style w:styleId="Heading5" w:type="paragraph">
    <w:name w:val="Heading 5"/>
    <w:basedOn w:val="Normal"/>
    <w:uiPriority w:val="1"/>
    <w:qFormat/>
    <w:pPr>
      <w:spacing w:before="20"/>
      <w:ind w:left="153"/>
      <w:outlineLvl w:val="5"/>
    </w:pPr>
    <w:rPr>
      <w:rFonts w:ascii="宋体" w:hAnsi="宋体" w:eastAsia="宋体"/>
      <w:sz w:val="24"/>
      <w:szCs w:val="24"/>
    </w:rPr>
  </w:style>
  <w:style w:styleId="Heading6" w:type="paragraph">
    <w:name w:val="Heading 6"/>
    <w:basedOn w:val="Normal"/>
    <w:uiPriority w:val="1"/>
    <w:qFormat/>
    <w:pPr>
      <w:spacing w:before="35"/>
      <w:ind w:left="154"/>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youku.com/" TargetMode="External"/><Relationship Id="rId17" Type="http://schemas.openxmlformats.org/officeDocument/2006/relationships/hyperlink" Target="http://www.taisha.org/" TargetMode="Externa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yperlink" Target="http://www.stcn.com/" TargetMode="Externa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image" Target="media/image2.png"/><Relationship Id="rId28" Type="http://schemas.openxmlformats.org/officeDocument/2006/relationships/image" Target="media/image3.jpeg"/><Relationship Id="rId29" Type="http://schemas.openxmlformats.org/officeDocument/2006/relationships/header" Target="header7.xml"/><Relationship Id="rId30" Type="http://schemas.openxmlformats.org/officeDocument/2006/relationships/footer" Target="footer9.xml"/><Relationship Id="rId31" Type="http://schemas.openxmlformats.org/officeDocument/2006/relationships/header" Target="header8.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9.xml"/><Relationship Id="rId38" Type="http://schemas.openxmlformats.org/officeDocument/2006/relationships/footer" Target="footer15.xml"/><Relationship Id="rId39" Type="http://schemas.openxmlformats.org/officeDocument/2006/relationships/header" Target="header10.xml"/><Relationship Id="rId40" Type="http://schemas.openxmlformats.org/officeDocument/2006/relationships/footer" Target="footer16.xml"/><Relationship Id="rId41" Type="http://schemas.openxmlformats.org/officeDocument/2006/relationships/header" Target="header11.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2.xml"/><Relationship Id="rId45" Type="http://schemas.openxmlformats.org/officeDocument/2006/relationships/footer" Target="footer19.xml"/><Relationship Id="rId46" Type="http://schemas.openxmlformats.org/officeDocument/2006/relationships/header" Target="header13.xml"/><Relationship Id="rId47" Type="http://schemas.openxmlformats.org/officeDocument/2006/relationships/footer" Target="footer20.xml"/><Relationship Id="rId48" Type="http://schemas.openxmlformats.org/officeDocument/2006/relationships/header" Target="header14.xml"/><Relationship Id="rId49" Type="http://schemas.openxmlformats.org/officeDocument/2006/relationships/footer" Target="footer21.xml"/><Relationship Id="rId50" Type="http://schemas.openxmlformats.org/officeDocument/2006/relationships/footer" Target="footer22.xml"/><Relationship Id="rId51" Type="http://schemas.openxmlformats.org/officeDocument/2006/relationships/header" Target="header15.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header" Target="header16.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header" Target="header17.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18.xml"/><Relationship Id="rId63" Type="http://schemas.openxmlformats.org/officeDocument/2006/relationships/footer" Target="footer31.xml"/><Relationship Id="rId64"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&lt;4D6963726F736F667420576F7264202D2032303134C4EAC4EAB6C8B1A8B8E6C8ABCEC4A3A8B8FCD5FDBAF3A3A92E646F63&gt;</dc:title>
  <dcterms:created xsi:type="dcterms:W3CDTF">2020-05-06T14:40:53Z</dcterms:created>
  <dcterms:modified xsi:type="dcterms:W3CDTF">2020-05-06T14:40:53Z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PScript5.dll Version 5.2.2</vt:lpwstr>
  </property>
  <property fmtid="{D5CDD505-2E9C-101B-9397-08002B2CF9AE}" pid="4" name="LastSaved">
    <vt:filetime>2020-05-06T00:00:00Z</vt:filetime>
  </property>
</Properties>
</file>