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header16.xml" ContentType="application/vnd.openxmlformats-officedocument.wordprocessingml.header+xml"/>
  <Override PartName="/word/footer24.xml" ContentType="application/vnd.openxmlformats-officedocument.wordprocessingml.footer+xml"/>
  <Override PartName="/word/header17.xml" ContentType="application/vnd.openxmlformats-officedocument.wordprocessingml.header+xml"/>
  <Override PartName="/word/footer25.xml" ContentType="application/vnd.openxmlformats-officedocument.wordprocessingml.footer+xml"/>
  <Override PartName="/word/header18.xml" ContentType="application/vnd.openxmlformats-officedocument.wordprocessingml.header+xml"/>
  <Override PartName="/word/footer26.xml" ContentType="application/vnd.openxmlformats-officedocument.wordprocessingml.footer+xml"/>
  <Override PartName="/word/header19.xml" ContentType="application/vnd.openxmlformats-officedocument.wordprocessingml.header+xml"/>
  <Override PartName="/word/footer27.xml" ContentType="application/vnd.openxmlformats-officedocument.wordprocessingml.footer+xml"/>
  <Override PartName="/word/header20.xml" ContentType="application/vnd.openxmlformats-officedocument.wordprocessingml.header+xml"/>
  <Override PartName="/word/footer28.xml" ContentType="application/vnd.openxmlformats-officedocument.wordprocessingml.footer+xml"/>
  <Override PartName="/word/header21.xml" ContentType="application/vnd.openxmlformats-officedocument.wordprocessingml.header+xml"/>
  <Override PartName="/word/footer29.xml" ContentType="application/vnd.openxmlformats-officedocument.wordprocessingml.footer+xml"/>
  <Override PartName="/word/header22.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695"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drawing>
          <wp:inline distT="0" distB="0" distL="0" distR="0">
            <wp:extent cx="1409503" cy="107632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503" cy="1076325"/>
                    </a:xfrm>
                    <a:prstGeom prst="rect">
                      <a:avLst/>
                    </a:prstGeom>
                  </pic:spPr>
                </pic:pic>
              </a:graphicData>
            </a:graphic>
          </wp:inline>
        </w:drawing>
      </w:r>
      <w:r>
        <w:rPr>
          <w:rFonts w:ascii="Times New Roman" w:hAnsi="Times New Roman" w:cs="Times New Roman" w:eastAsia="Times New Roman" w:hint="default"/>
          <w:position w:val="-33"/>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240" w:right="1217" w:firstLine="0"/>
        <w:jc w:val="center"/>
        <w:rPr>
          <w:rFonts w:ascii="宋体" w:hAnsi="宋体" w:cs="宋体" w:eastAsia="宋体" w:hint="default"/>
          <w:sz w:val="36"/>
          <w:szCs w:val="36"/>
        </w:rPr>
      </w:pPr>
      <w:r>
        <w:rPr>
          <w:rFonts w:ascii="宋体" w:hAnsi="宋体" w:cs="宋体" w:eastAsia="宋体" w:hint="default"/>
          <w:b/>
          <w:bCs/>
          <w:sz w:val="36"/>
          <w:szCs w:val="36"/>
        </w:rPr>
        <w:t>华闻传媒投资集团股份有限公司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38" w:right="1217" w:firstLine="0"/>
        <w:jc w:val="center"/>
        <w:rPr>
          <w:rFonts w:ascii="宋体" w:hAnsi="宋体" w:cs="宋体" w:eastAsia="宋体" w:hint="default"/>
          <w:sz w:val="32"/>
          <w:szCs w:val="32"/>
        </w:rPr>
      </w:pPr>
      <w:r>
        <w:rPr>
          <w:rFonts w:ascii="宋体" w:hAnsi="宋体" w:cs="宋体" w:eastAsia="宋体" w:hint="default"/>
          <w:b/>
          <w:bCs/>
          <w:sz w:val="32"/>
          <w:szCs w:val="32"/>
        </w:rPr>
        <w:t>2018</w:t>
      </w:r>
      <w:r>
        <w:rPr>
          <w:rFonts w:ascii="宋体" w:hAnsi="宋体" w:cs="宋体" w:eastAsia="宋体" w:hint="default"/>
          <w:b/>
          <w:bCs/>
          <w:spacing w:val="-87"/>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2"/>
        <w:rPr>
          <w:rFonts w:ascii="宋体" w:hAnsi="宋体" w:cs="宋体" w:eastAsia="宋体" w:hint="default"/>
          <w:b/>
          <w:bCs/>
          <w:sz w:val="42"/>
          <w:szCs w:val="42"/>
        </w:rPr>
      </w:pPr>
    </w:p>
    <w:p>
      <w:pPr>
        <w:spacing w:before="0"/>
        <w:ind w:left="241" w:right="1217" w:firstLine="0"/>
        <w:jc w:val="center"/>
        <w:rPr>
          <w:rFonts w:ascii="宋体" w:hAnsi="宋体" w:cs="宋体" w:eastAsia="宋体" w:hint="default"/>
          <w:sz w:val="32"/>
          <w:szCs w:val="32"/>
        </w:rPr>
      </w:pPr>
      <w:r>
        <w:rPr>
          <w:rFonts w:ascii="宋体" w:hAnsi="宋体" w:cs="宋体" w:eastAsia="宋体" w:hint="default"/>
          <w:b/>
          <w:bCs/>
          <w:sz w:val="32"/>
          <w:szCs w:val="32"/>
        </w:rPr>
        <w:t>2019</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宋体" w:hAnsi="宋体" w:cs="宋体" w:eastAsia="宋体" w:hint="default"/>
          <w:b/>
          <w:bCs/>
          <w:sz w:val="32"/>
          <w:szCs w:val="32"/>
        </w:rPr>
        <w:t>04</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410"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spacing w:val="-1"/>
          <w:w w:val="95"/>
          <w:sz w:val="28"/>
          <w:szCs w:val="28"/>
        </w:rPr>
        <w:t>公司负责人汪方怀、主管会计工作负责人张小勇及会计机构负责人</w:t>
      </w:r>
      <w:r>
        <w:rPr>
          <w:rFonts w:ascii="宋体" w:hAnsi="宋体" w:cs="宋体" w:eastAsia="宋体" w:hint="default"/>
          <w:b/>
          <w:bCs/>
          <w:spacing w:val="-1"/>
          <w:w w:val="95"/>
          <w:sz w:val="28"/>
          <w:szCs w:val="28"/>
        </w:rPr>
        <w:t>(</w:t>
      </w:r>
      <w:r>
        <w:rPr>
          <w:rFonts w:ascii="宋体" w:hAnsi="宋体" w:cs="宋体" w:eastAsia="宋体" w:hint="default"/>
          <w:b/>
          <w:bCs/>
          <w:spacing w:val="-1"/>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宋体" w:hAnsi="宋体" w:cs="宋体" w:eastAsia="宋体" w:hint="default"/>
          <w:b/>
          <w:bCs/>
          <w:sz w:val="28"/>
          <w:szCs w:val="28"/>
        </w:rPr>
        <w:t>)</w:t>
      </w:r>
      <w:r>
        <w:rPr>
          <w:rFonts w:ascii="宋体" w:hAnsi="宋体" w:cs="宋体" w:eastAsia="宋体" w:hint="default"/>
          <w:b/>
          <w:bCs/>
          <w:sz w:val="28"/>
          <w:szCs w:val="28"/>
        </w:rPr>
        <w:t>刘秀菊声明：保证年度报告中财务报告的真实、准确、完整。</w:t>
      </w:r>
      <w:r>
        <w:rPr>
          <w:rFonts w:ascii="宋体" w:hAnsi="宋体" w:cs="宋体" w:eastAsia="宋体" w:hint="default"/>
          <w:sz w:val="28"/>
          <w:szCs w:val="28"/>
        </w:rPr>
      </w:r>
    </w:p>
    <w:p>
      <w:pPr>
        <w:spacing w:before="158"/>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410"/>
        <w:gridCol w:w="1986"/>
        <w:gridCol w:w="2962"/>
        <w:gridCol w:w="2210"/>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未亲自出席董事姓名</w:t>
            </w: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未亲自出席董事职务</w:t>
            </w:r>
          </w:p>
        </w:tc>
        <w:tc>
          <w:tcPr>
            <w:tcW w:w="2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未亲自出席会议原因</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张陶尧</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因与其他工作安排时间冲突</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汪方怀</w:t>
            </w:r>
          </w:p>
        </w:tc>
      </w:tr>
    </w:tbl>
    <w:p>
      <w:pPr>
        <w:spacing w:line="240" w:lineRule="auto" w:before="2"/>
        <w:rPr>
          <w:rFonts w:ascii="宋体" w:hAnsi="宋体" w:cs="宋体" w:eastAsia="宋体" w:hint="default"/>
          <w:b/>
          <w:bCs/>
          <w:sz w:val="13"/>
          <w:szCs w:val="13"/>
        </w:rPr>
      </w:pPr>
    </w:p>
    <w:p>
      <w:pPr>
        <w:spacing w:line="408" w:lineRule="auto" w:before="13"/>
        <w:ind w:left="154" w:right="1140" w:firstLine="562"/>
        <w:jc w:val="both"/>
        <w:rPr>
          <w:rFonts w:ascii="黑体" w:hAnsi="黑体" w:cs="黑体" w:eastAsia="黑体" w:hint="default"/>
          <w:sz w:val="28"/>
          <w:szCs w:val="28"/>
        </w:rPr>
      </w:pPr>
      <w:r>
        <w:rPr>
          <w:rFonts w:ascii="黑体" w:hAnsi="黑体" w:cs="黑体" w:eastAsia="黑体" w:hint="default"/>
          <w:b/>
          <w:bCs/>
          <w:spacing w:val="3"/>
          <w:w w:val="95"/>
          <w:sz w:val="28"/>
          <w:szCs w:val="28"/>
        </w:rPr>
        <w:t>公司按照《企业内部控制基本规范》和相关规定在所有重大方面保持了有</w:t>
      </w:r>
      <w:r>
        <w:rPr>
          <w:rFonts w:ascii="黑体" w:hAnsi="黑体" w:cs="黑体" w:eastAsia="黑体" w:hint="default"/>
          <w:b/>
          <w:bCs/>
          <w:w w:val="99"/>
          <w:sz w:val="28"/>
          <w:szCs w:val="28"/>
        </w:rPr>
        <w:t> </w:t>
      </w:r>
      <w:r>
        <w:rPr>
          <w:rFonts w:ascii="黑体" w:hAnsi="黑体" w:cs="黑体" w:eastAsia="黑体" w:hint="default"/>
          <w:b/>
          <w:bCs/>
          <w:spacing w:val="3"/>
          <w:w w:val="95"/>
          <w:sz w:val="28"/>
          <w:szCs w:val="28"/>
        </w:rPr>
        <w:t>效的财务报告内部控制，非财务报告内部控制存在重大缺陷，具体详见“第九</w:t>
      </w:r>
      <w:r>
        <w:rPr>
          <w:rFonts w:ascii="黑体" w:hAnsi="黑体" w:cs="黑体" w:eastAsia="黑体" w:hint="default"/>
          <w:b/>
          <w:bCs/>
          <w:spacing w:val="24"/>
          <w:w w:val="95"/>
          <w:sz w:val="28"/>
          <w:szCs w:val="28"/>
        </w:rPr>
        <w:t> </w:t>
      </w:r>
      <w:r>
        <w:rPr>
          <w:rFonts w:ascii="黑体" w:hAnsi="黑体" w:cs="黑体" w:eastAsia="黑体" w:hint="default"/>
          <w:b/>
          <w:bCs/>
          <w:spacing w:val="24"/>
          <w:w w:val="95"/>
          <w:sz w:val="28"/>
          <w:szCs w:val="28"/>
        </w:rPr>
      </w:r>
      <w:r>
        <w:rPr>
          <w:rFonts w:ascii="黑体" w:hAnsi="黑体" w:cs="黑体" w:eastAsia="黑体" w:hint="default"/>
          <w:b/>
          <w:bCs/>
          <w:spacing w:val="-4"/>
          <w:w w:val="99"/>
          <w:sz w:val="28"/>
          <w:szCs w:val="28"/>
        </w:rPr>
        <w:t>节、公司治理”之“九、内部控制情况”及“十、内部控制审计报告”。</w:t>
      </w:r>
      <w:r>
        <w:rPr>
          <w:rFonts w:ascii="黑体" w:hAnsi="黑体" w:cs="黑体" w:eastAsia="黑体" w:hint="default"/>
          <w:spacing w:val="-4"/>
          <w:sz w:val="28"/>
          <w:szCs w:val="28"/>
        </w:rPr>
      </w:r>
    </w:p>
    <w:p>
      <w:pPr>
        <w:spacing w:line="410" w:lineRule="auto" w:before="160"/>
        <w:ind w:left="154" w:right="0" w:firstLine="562"/>
        <w:jc w:val="left"/>
        <w:rPr>
          <w:rFonts w:ascii="宋体" w:hAnsi="宋体" w:cs="宋体" w:eastAsia="宋体" w:hint="default"/>
          <w:sz w:val="28"/>
          <w:szCs w:val="28"/>
        </w:rPr>
      </w:pPr>
      <w:r>
        <w:rPr>
          <w:rFonts w:ascii="宋体" w:hAnsi="宋体" w:cs="宋体" w:eastAsia="宋体" w:hint="default"/>
          <w:b/>
          <w:bCs/>
          <w:spacing w:val="-2"/>
          <w:w w:val="95"/>
          <w:sz w:val="28"/>
          <w:szCs w:val="28"/>
        </w:rPr>
        <w:t>本年度报告涉及未来计划等前瞻性陈述，不构成公司对投资者的实质承诺，</w:t>
      </w:r>
      <w:r>
        <w:rPr>
          <w:rFonts w:ascii="宋体" w:hAnsi="宋体" w:cs="宋体" w:eastAsia="宋体" w:hint="default"/>
          <w:b/>
          <w:bCs/>
          <w:w w:val="99"/>
          <w:sz w:val="28"/>
          <w:szCs w:val="28"/>
        </w:rPr>
        <w:t> </w:t>
      </w:r>
      <w:r>
        <w:rPr>
          <w:rFonts w:ascii="宋体" w:hAnsi="宋体" w:cs="宋体" w:eastAsia="宋体" w:hint="default"/>
          <w:b/>
          <w:bCs/>
          <w:sz w:val="28"/>
          <w:szCs w:val="28"/>
        </w:rPr>
        <w:t>请投资者注意投资风险。</w:t>
      </w:r>
      <w:r>
        <w:rPr>
          <w:rFonts w:ascii="宋体" w:hAnsi="宋体" w:cs="宋体" w:eastAsia="宋体" w:hint="default"/>
          <w:sz w:val="28"/>
          <w:szCs w:val="28"/>
        </w:rPr>
      </w:r>
    </w:p>
    <w:p>
      <w:pPr>
        <w:spacing w:line="410" w:lineRule="auto" w:before="158"/>
        <w:ind w:left="154" w:right="0" w:firstLine="562"/>
        <w:jc w:val="left"/>
        <w:rPr>
          <w:rFonts w:ascii="宋体" w:hAnsi="宋体" w:cs="宋体" w:eastAsia="宋体" w:hint="default"/>
          <w:sz w:val="28"/>
          <w:szCs w:val="28"/>
        </w:rPr>
      </w:pPr>
      <w:r>
        <w:rPr>
          <w:rFonts w:ascii="宋体" w:hAnsi="宋体" w:cs="宋体" w:eastAsia="宋体" w:hint="default"/>
          <w:b/>
          <w:bCs/>
          <w:spacing w:val="3"/>
          <w:sz w:val="28"/>
          <w:szCs w:val="28"/>
        </w:rPr>
        <w:t>请投资者注意公司可能面对的行业风险、政策风险、经营风险、管理风险</w:t>
      </w:r>
      <w:r>
        <w:rPr>
          <w:rFonts w:ascii="宋体" w:hAnsi="宋体" w:cs="宋体" w:eastAsia="宋体" w:hint="default"/>
          <w:b/>
          <w:bCs/>
          <w:w w:val="99"/>
          <w:sz w:val="28"/>
          <w:szCs w:val="28"/>
        </w:rPr>
        <w:t> </w:t>
      </w:r>
      <w:r>
        <w:rPr>
          <w:rFonts w:ascii="宋体" w:hAnsi="宋体" w:cs="宋体" w:eastAsia="宋体" w:hint="default"/>
          <w:b/>
          <w:bCs/>
          <w:spacing w:val="-9"/>
          <w:w w:val="99"/>
          <w:sz w:val="28"/>
          <w:szCs w:val="28"/>
        </w:rPr>
        <w:t>等，具体详见“第四节、经营情况讨论与分析”之“九、公司未来发展的展望”。</w:t>
      </w:r>
      <w:r>
        <w:rPr>
          <w:rFonts w:ascii="宋体" w:hAnsi="宋体" w:cs="宋体" w:eastAsia="宋体" w:hint="default"/>
          <w:spacing w:val="-9"/>
          <w:sz w:val="28"/>
          <w:szCs w:val="28"/>
        </w:rPr>
      </w:r>
    </w:p>
    <w:p>
      <w:pPr>
        <w:spacing w:before="158"/>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1" w:right="121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宋体" w:hAnsi="宋体" w:cs="宋体" w:eastAsia="宋体" w:hint="default"/>
              <w:b w:val="0"/>
              <w:bCs w:val="0"/>
            </w:rPr>
          </w:pPr>
          <w:hyperlink w:history="true" w:anchor="_bookmark0">
            <w:r>
              <w:rPr/>
              <w:t>第一节</w:t>
            </w:r>
            <w:r>
              <w:rPr>
                <w:spacing w:val="-1"/>
              </w:rPr>
              <w:t> </w:t>
            </w:r>
            <w:r>
              <w:rPr/>
              <w:t>重要提示、目录和释义</w:t>
            </w:r>
            <w:r>
              <w:rPr>
                <w:rFonts w:ascii="宋体" w:hAnsi="宋体" w:cs="宋体" w:eastAsia="宋体" w:hint="default"/>
              </w:rPr>
            </w:r>
          </w:hyperlink>
          <w:r>
            <w:rPr>
              <w:rFonts w:ascii="宋体" w:hAnsi="宋体" w:cs="宋体" w:eastAsia="宋体" w:hint="default"/>
            </w:rPr>
            <w:tab/>
            <w:t>2</w:t>
          </w:r>
          <w:r>
            <w:rPr>
              <w:rFonts w:ascii="宋体" w:hAnsi="宋体" w:cs="宋体" w:eastAsia="宋体" w:hint="default"/>
              <w:b w:val="0"/>
              <w:bCs w:val="0"/>
            </w:rPr>
          </w:r>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7</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2">
            <w:r>
              <w:rPr/>
              <w:t>第三节</w:t>
            </w:r>
            <w:r>
              <w:rPr>
                <w:spacing w:val="-1"/>
              </w:rPr>
              <w:t> </w:t>
            </w:r>
            <w:r>
              <w:rPr/>
              <w:t>公司业务概要</w:t>
            </w:r>
            <w:r>
              <w:rPr>
                <w:rFonts w:ascii="宋体" w:hAnsi="宋体" w:cs="宋体" w:eastAsia="宋体" w:hint="default"/>
              </w:rPr>
              <w:tab/>
              <w:t>18</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r>
          </w:hyperlink>
          <w:r>
            <w:rPr>
              <w:rFonts w:ascii="宋体" w:hAnsi="宋体" w:cs="宋体" w:eastAsia="宋体" w:hint="default"/>
            </w:rPr>
            <w:tab/>
            <w:t>18</w:t>
          </w:r>
          <w:r>
            <w:rPr>
              <w:rFonts w:ascii="宋体" w:hAnsi="宋体" w:cs="宋体" w:eastAsia="宋体" w:hint="default"/>
              <w:b w:val="0"/>
              <w:bCs w:val="0"/>
            </w:rPr>
          </w:r>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r>
          </w:hyperlink>
          <w:r>
            <w:rPr>
              <w:rFonts w:ascii="宋体" w:hAnsi="宋体" w:cs="宋体" w:eastAsia="宋体" w:hint="default"/>
            </w:rPr>
            <w:tab/>
            <w:t>58</w:t>
          </w:r>
          <w:r>
            <w:rPr>
              <w:rFonts w:ascii="宋体" w:hAnsi="宋体" w:cs="宋体" w:eastAsia="宋体" w:hint="default"/>
              <w:b w:val="0"/>
              <w:bCs w:val="0"/>
            </w:rPr>
          </w:r>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90</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5">
            <w:r>
              <w:rPr/>
              <w:t>第七节</w:t>
            </w:r>
            <w:r>
              <w:rPr>
                <w:spacing w:val="-1"/>
              </w:rPr>
              <w:t> </w:t>
            </w:r>
            <w:r>
              <w:rPr/>
              <w:t>优先股相关情况</w:t>
            </w:r>
            <w:r>
              <w:rPr>
                <w:rFonts w:ascii="宋体" w:hAnsi="宋体" w:cs="宋体" w:eastAsia="宋体" w:hint="default"/>
              </w:rPr>
              <w:tab/>
              <w:t>100</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6">
            <w:r>
              <w:rPr/>
              <w:t>第八节</w:t>
            </w:r>
            <w:r>
              <w:rPr>
                <w:spacing w:val="-1"/>
              </w:rPr>
              <w:t> </w:t>
            </w:r>
            <w:r>
              <w:rPr/>
              <w:t>董事、监事、高级管理人员和员工情况</w:t>
            </w:r>
            <w:r>
              <w:rPr>
                <w:rFonts w:ascii="宋体" w:hAnsi="宋体" w:cs="宋体" w:eastAsia="宋体" w:hint="default"/>
              </w:rPr>
              <w:tab/>
              <w:t>101</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7">
            <w:r>
              <w:rPr/>
              <w:t>第九节</w:t>
            </w:r>
            <w:r>
              <w:rPr>
                <w:spacing w:val="-1"/>
              </w:rPr>
              <w:t> </w:t>
            </w:r>
            <w:r>
              <w:rPr/>
              <w:t>公司治理</w:t>
            </w:r>
            <w:r>
              <w:rPr>
                <w:rFonts w:ascii="宋体" w:hAnsi="宋体" w:cs="宋体" w:eastAsia="宋体" w:hint="default"/>
              </w:rPr>
              <w:tab/>
              <w:t>108</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8">
            <w:r>
              <w:rPr/>
              <w:t>第十节</w:t>
            </w:r>
            <w:r>
              <w:rPr>
                <w:spacing w:val="-1"/>
              </w:rPr>
              <w:t> </w:t>
            </w:r>
            <w:r>
              <w:rPr/>
              <w:t>公司债券相关情况</w:t>
            </w:r>
            <w:r>
              <w:rPr>
                <w:rFonts w:ascii="宋体" w:hAnsi="宋体" w:cs="宋体" w:eastAsia="宋体" w:hint="default"/>
              </w:rPr>
              <w:tab/>
              <w:t>114</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9">
            <w:r>
              <w:rPr/>
              <w:t>第十一节</w:t>
            </w:r>
            <w:r>
              <w:rPr>
                <w:spacing w:val="-1"/>
              </w:rPr>
              <w:t> </w:t>
            </w:r>
            <w:r>
              <w:rPr/>
              <w:t>财务报告</w:t>
            </w:r>
            <w:r>
              <w:rPr>
                <w:rFonts w:ascii="宋体" w:hAnsi="宋体" w:cs="宋体" w:eastAsia="宋体" w:hint="default"/>
              </w:rPr>
              <w:tab/>
              <w:t>115</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0">
            <w:r>
              <w:rPr/>
              <w:t>第十二节</w:t>
            </w:r>
            <w:r>
              <w:rPr>
                <w:spacing w:val="-2"/>
              </w:rPr>
              <w:t> </w:t>
            </w:r>
            <w:r>
              <w:rPr/>
              <w:t>备查文件目录</w:t>
            </w:r>
            <w:r>
              <w:rPr>
                <w:rFonts w:ascii="宋体" w:hAnsi="宋体" w:cs="宋体" w:eastAsia="宋体" w:hint="default"/>
              </w:rPr>
              <w:tab/>
              <w:t>271</w:t>
            </w:r>
            <w:r>
              <w:rPr>
                <w:rFonts w:ascii="宋体" w:hAnsi="宋体" w:cs="宋体" w:eastAsia="宋体" w:hint="default"/>
                <w:b w:val="0"/>
                <w:bCs w:val="0"/>
              </w:rPr>
            </w:r>
          </w:hyperlink>
        </w:p>
      </w:sdtContent>
    </w:sdt>
    <w:p>
      <w:pPr>
        <w:spacing w:after="0" w:line="240" w:lineRule="auto"/>
        <w:jc w:val="left"/>
        <w:rPr>
          <w:rFonts w:ascii="宋体" w:hAnsi="宋体" w:cs="宋体" w:eastAsia="宋体" w:hint="default"/>
        </w:rPr>
        <w:sectPr>
          <w:pgSz w:w="11910" w:h="16840"/>
          <w:pgMar w:header="747" w:footer="979" w:top="1060" w:bottom="1160" w:left="980" w:right="0"/>
        </w:sectPr>
      </w:pPr>
    </w:p>
    <w:p>
      <w:pPr>
        <w:spacing w:before="946"/>
        <w:ind w:left="241" w:right="121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本公司、公司或华闻传媒</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国广资产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国广环球资产管理有限公司，原名</w:t>
            </w:r>
            <w:r>
              <w:rPr>
                <w:rFonts w:ascii="宋体" w:hAnsi="宋体" w:cs="宋体" w:eastAsia="宋体" w:hint="default"/>
                <w:sz w:val="18"/>
                <w:szCs w:val="18"/>
              </w:rPr>
              <w:t>"</w:t>
            </w:r>
            <w:r>
              <w:rPr>
                <w:rFonts w:ascii="宋体" w:hAnsi="宋体" w:cs="宋体" w:eastAsia="宋体" w:hint="default"/>
                <w:sz w:val="18"/>
                <w:szCs w:val="18"/>
              </w:rPr>
              <w:t>上海渝富资产管理有限公司</w:t>
            </w:r>
            <w:r>
              <w:rPr>
                <w:rFonts w:ascii="宋体" w:hAnsi="宋体" w:cs="宋体" w:eastAsia="宋体" w:hint="default"/>
                <w:sz w:val="18"/>
                <w:szCs w:val="18"/>
              </w:rPr>
              <w:t>"</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国广环球传媒控股有限公司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国广传媒</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国广传媒发展有限公司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国际台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中国国际广播电台</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和融浙联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和融浙联实业有限公司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拉萨融威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拉萨融威企业管理有限公司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和平财富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和平财富控股有限公司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汇垠澳丰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广州汇垠澳丰股权投资基金管理有限公司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深圳证券时报传媒有限公司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陕西华商传媒集团有限责任公司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车音智能科技有限公司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国广光荣</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北京国广光荣广告有限公司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上海鸿立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上海鸿立股权投资有限公司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鸿立华享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上海鸿立华享投资合伙企业（有限合伙）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山南华闻</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山南华闻创业投资有限公司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华商盈通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新疆华商盈通股权投资有限公司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海南文旅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海南省文创旅游产业园集团有限公司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新海岸置业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海南新海岸置业有限公司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华闻视讯</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79"/>
              <w:jc w:val="left"/>
              <w:rPr>
                <w:rFonts w:ascii="宋体" w:hAnsi="宋体" w:cs="宋体" w:eastAsia="宋体" w:hint="default"/>
                <w:sz w:val="18"/>
                <w:szCs w:val="18"/>
              </w:rPr>
            </w:pPr>
            <w:r>
              <w:rPr>
                <w:rFonts w:ascii="宋体" w:hAnsi="宋体" w:cs="宋体" w:eastAsia="宋体" w:hint="default"/>
                <w:sz w:val="18"/>
                <w:szCs w:val="18"/>
              </w:rPr>
              <w:t>北京华闻视讯新媒体科技有限公司，原名</w:t>
            </w:r>
            <w:r>
              <w:rPr>
                <w:rFonts w:ascii="宋体" w:hAnsi="宋体" w:cs="宋体" w:eastAsia="宋体" w:hint="default"/>
                <w:sz w:val="18"/>
                <w:szCs w:val="18"/>
              </w:rPr>
              <w:t>"</w:t>
            </w:r>
            <w:r>
              <w:rPr>
                <w:rFonts w:ascii="宋体" w:hAnsi="宋体" w:cs="宋体" w:eastAsia="宋体" w:hint="default"/>
                <w:sz w:val="18"/>
                <w:szCs w:val="18"/>
              </w:rPr>
              <w:t>北京国广视讯新媒体科技 有限公司</w:t>
            </w:r>
            <w:r>
              <w:rPr>
                <w:rFonts w:ascii="宋体" w:hAnsi="宋体" w:cs="宋体" w:eastAsia="宋体" w:hint="default"/>
                <w:sz w:val="18"/>
                <w:szCs w:val="18"/>
              </w:rPr>
              <w:t>"</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国视上海</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国视通讯（上海）有限公司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天津掌视亿通信息技术有限公司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上海精视文化传播有限公司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79"/>
              <w:jc w:val="left"/>
              <w:rPr>
                <w:rFonts w:ascii="宋体" w:hAnsi="宋体" w:cs="宋体" w:eastAsia="宋体" w:hint="default"/>
                <w:sz w:val="18"/>
                <w:szCs w:val="18"/>
              </w:rPr>
            </w:pPr>
            <w:r>
              <w:rPr>
                <w:rFonts w:ascii="宋体" w:hAnsi="宋体" w:cs="宋体" w:eastAsia="宋体" w:hint="default"/>
                <w:sz w:val="18"/>
                <w:szCs w:val="18"/>
              </w:rPr>
              <w:t>广州漫友文化科技发展有限公司，原名</w:t>
            </w:r>
            <w:r>
              <w:rPr>
                <w:rFonts w:ascii="宋体" w:hAnsi="宋体" w:cs="宋体" w:eastAsia="宋体" w:hint="default"/>
                <w:sz w:val="18"/>
                <w:szCs w:val="18"/>
              </w:rPr>
              <w:t>"</w:t>
            </w:r>
            <w:r>
              <w:rPr>
                <w:rFonts w:ascii="宋体" w:hAnsi="宋体" w:cs="宋体" w:eastAsia="宋体" w:hint="default"/>
                <w:sz w:val="18"/>
                <w:szCs w:val="18"/>
              </w:rPr>
              <w:t>广州漫友文化科技股份有限 公司</w:t>
            </w:r>
            <w:r>
              <w:rPr>
                <w:rFonts w:ascii="宋体" w:hAnsi="宋体" w:cs="宋体" w:eastAsia="宋体" w:hint="default"/>
                <w:sz w:val="18"/>
                <w:szCs w:val="18"/>
              </w:rPr>
              <w:t>"</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国广华屏</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79"/>
              <w:jc w:val="left"/>
              <w:rPr>
                <w:rFonts w:ascii="宋体" w:hAnsi="宋体" w:cs="宋体" w:eastAsia="宋体" w:hint="default"/>
                <w:sz w:val="18"/>
                <w:szCs w:val="18"/>
              </w:rPr>
            </w:pPr>
            <w:r>
              <w:rPr>
                <w:rFonts w:ascii="宋体" w:hAnsi="宋体" w:cs="宋体" w:eastAsia="宋体" w:hint="default"/>
                <w:sz w:val="18"/>
                <w:szCs w:val="18"/>
              </w:rPr>
              <w:t>国广华屏网络传媒（北京）有限公司，原名</w:t>
            </w:r>
            <w:r>
              <w:rPr>
                <w:rFonts w:ascii="宋体" w:hAnsi="宋体" w:cs="宋体" w:eastAsia="宋体" w:hint="default"/>
                <w:sz w:val="18"/>
                <w:szCs w:val="18"/>
              </w:rPr>
              <w:t>"</w:t>
            </w:r>
            <w:r>
              <w:rPr>
                <w:rFonts w:ascii="宋体" w:hAnsi="宋体" w:cs="宋体" w:eastAsia="宋体" w:hint="default"/>
                <w:sz w:val="18"/>
                <w:szCs w:val="18"/>
              </w:rPr>
              <w:t>国广华屏文化传媒（北 京）有限公司</w:t>
            </w:r>
            <w:r>
              <w:rPr>
                <w:rFonts w:ascii="宋体" w:hAnsi="宋体" w:cs="宋体" w:eastAsia="宋体" w:hint="default"/>
                <w:sz w:val="18"/>
                <w:szCs w:val="18"/>
              </w:rPr>
              <w:t>"</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麦游互动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深圳市麦游互动科技有限公司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北京澄怀科技有限公司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华商数码信息股份有限公司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陕西黄马甲</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陕西黄马甲物流配送股份有限公司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华商网络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西安华商网络传媒有限公司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华商卓越文化</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西安华商卓越文化发展有限公司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重庆华博传媒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重庆华博传媒有限公司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吉林华商传媒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吉林华商传媒有限公司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辽宁盈丰传媒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辽宁盈丰传媒有限公司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华商广告</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西安华商广告有限责任公司</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华商传媒八家附属公司的少数股东权益</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6"/>
              <w:jc w:val="both"/>
              <w:rPr>
                <w:rFonts w:ascii="宋体" w:hAnsi="宋体" w:cs="宋体" w:eastAsia="宋体" w:hint="default"/>
                <w:sz w:val="18"/>
                <w:szCs w:val="18"/>
              </w:rPr>
            </w:pPr>
            <w:r>
              <w:rPr>
                <w:rFonts w:ascii="宋体" w:hAnsi="宋体" w:cs="宋体" w:eastAsia="宋体" w:hint="default"/>
                <w:sz w:val="18"/>
                <w:szCs w:val="18"/>
              </w:rPr>
              <w:t>华商数码</w:t>
            </w:r>
            <w:r>
              <w:rPr>
                <w:rFonts w:ascii="宋体" w:hAnsi="宋体" w:cs="宋体" w:eastAsia="宋体" w:hint="default"/>
                <w:spacing w:val="-46"/>
                <w:sz w:val="18"/>
                <w:szCs w:val="18"/>
              </w:rPr>
              <w:t> </w:t>
            </w:r>
            <w:r>
              <w:rPr>
                <w:rFonts w:ascii="宋体" w:hAnsi="宋体" w:cs="宋体" w:eastAsia="宋体" w:hint="default"/>
                <w:sz w:val="18"/>
                <w:szCs w:val="18"/>
              </w:rPr>
              <w:t>20.40%</w:t>
            </w:r>
            <w:r>
              <w:rPr>
                <w:rFonts w:ascii="宋体" w:hAnsi="宋体" w:cs="宋体" w:eastAsia="宋体" w:hint="default"/>
                <w:sz w:val="18"/>
                <w:szCs w:val="18"/>
              </w:rPr>
              <w:t>股份、陕西黄马甲</w:t>
            </w:r>
            <w:r>
              <w:rPr>
                <w:rFonts w:ascii="宋体" w:hAnsi="宋体" w:cs="宋体" w:eastAsia="宋体" w:hint="default"/>
                <w:spacing w:val="-46"/>
                <w:sz w:val="18"/>
                <w:szCs w:val="18"/>
              </w:rPr>
              <w:t> </w:t>
            </w:r>
            <w:r>
              <w:rPr>
                <w:rFonts w:ascii="宋体" w:hAnsi="宋体" w:cs="宋体" w:eastAsia="宋体" w:hint="default"/>
                <w:sz w:val="18"/>
                <w:szCs w:val="18"/>
              </w:rPr>
              <w:t>49.375%</w:t>
            </w:r>
            <w:r>
              <w:rPr>
                <w:rFonts w:ascii="宋体" w:hAnsi="宋体" w:cs="宋体" w:eastAsia="宋体" w:hint="default"/>
                <w:sz w:val="18"/>
                <w:szCs w:val="18"/>
              </w:rPr>
              <w:t>股份、华商网络</w:t>
            </w:r>
            <w:r>
              <w:rPr>
                <w:rFonts w:ascii="宋体" w:hAnsi="宋体" w:cs="宋体" w:eastAsia="宋体" w:hint="default"/>
                <w:spacing w:val="-46"/>
                <w:sz w:val="18"/>
                <w:szCs w:val="18"/>
              </w:rPr>
              <w:t> </w:t>
            </w:r>
            <w:r>
              <w:rPr>
                <w:rFonts w:ascii="宋体" w:hAnsi="宋体" w:cs="宋体" w:eastAsia="宋体" w:hint="default"/>
                <w:sz w:val="18"/>
                <w:szCs w:val="18"/>
              </w:rPr>
              <w:t>22.00% </w:t>
            </w:r>
            <w:r>
              <w:rPr>
                <w:rFonts w:ascii="宋体" w:hAnsi="宋体" w:cs="宋体" w:eastAsia="宋体" w:hint="default"/>
                <w:sz w:val="18"/>
                <w:szCs w:val="18"/>
              </w:rPr>
              <w:t>股权、华商卓越文化</w:t>
            </w:r>
            <w:r>
              <w:rPr>
                <w:rFonts w:ascii="宋体" w:hAnsi="宋体" w:cs="宋体" w:eastAsia="宋体" w:hint="default"/>
                <w:spacing w:val="-46"/>
                <w:sz w:val="18"/>
                <w:szCs w:val="18"/>
              </w:rPr>
              <w:t> </w:t>
            </w:r>
            <w:r>
              <w:rPr>
                <w:rFonts w:ascii="宋体" w:hAnsi="宋体" w:cs="宋体" w:eastAsia="宋体" w:hint="default"/>
                <w:sz w:val="18"/>
                <w:szCs w:val="18"/>
              </w:rPr>
              <w:t>20.00%</w:t>
            </w:r>
            <w:r>
              <w:rPr>
                <w:rFonts w:ascii="宋体" w:hAnsi="宋体" w:cs="宋体" w:eastAsia="宋体" w:hint="default"/>
                <w:sz w:val="18"/>
                <w:szCs w:val="18"/>
              </w:rPr>
              <w:t>股权、重庆华博传媒</w:t>
            </w:r>
            <w:r>
              <w:rPr>
                <w:rFonts w:ascii="宋体" w:hAnsi="宋体" w:cs="宋体" w:eastAsia="宋体" w:hint="default"/>
                <w:spacing w:val="-46"/>
                <w:sz w:val="18"/>
                <w:szCs w:val="18"/>
              </w:rPr>
              <w:t> </w:t>
            </w:r>
            <w:r>
              <w:rPr>
                <w:rFonts w:ascii="宋体" w:hAnsi="宋体" w:cs="宋体" w:eastAsia="宋体" w:hint="default"/>
                <w:sz w:val="18"/>
                <w:szCs w:val="18"/>
              </w:rPr>
              <w:t>15.00%</w:t>
            </w:r>
            <w:r>
              <w:rPr>
                <w:rFonts w:ascii="宋体" w:hAnsi="宋体" w:cs="宋体" w:eastAsia="宋体" w:hint="default"/>
                <w:sz w:val="18"/>
                <w:szCs w:val="18"/>
              </w:rPr>
              <w:t>股权、吉林 华商传媒</w:t>
            </w:r>
            <w:r>
              <w:rPr>
                <w:rFonts w:ascii="宋体" w:hAnsi="宋体" w:cs="宋体" w:eastAsia="宋体" w:hint="default"/>
                <w:spacing w:val="-46"/>
                <w:sz w:val="18"/>
                <w:szCs w:val="18"/>
              </w:rPr>
              <w:t> </w:t>
            </w:r>
            <w:r>
              <w:rPr>
                <w:rFonts w:ascii="宋体" w:hAnsi="宋体" w:cs="宋体" w:eastAsia="宋体" w:hint="default"/>
                <w:sz w:val="18"/>
                <w:szCs w:val="18"/>
              </w:rPr>
              <w:t>15.00%</w:t>
            </w:r>
            <w:r>
              <w:rPr>
                <w:rFonts w:ascii="宋体" w:hAnsi="宋体" w:cs="宋体" w:eastAsia="宋体" w:hint="default"/>
                <w:sz w:val="18"/>
                <w:szCs w:val="18"/>
              </w:rPr>
              <w:t>股权、辽宁盈丰传媒</w:t>
            </w:r>
            <w:r>
              <w:rPr>
                <w:rFonts w:ascii="宋体" w:hAnsi="宋体" w:cs="宋体" w:eastAsia="宋体" w:hint="default"/>
                <w:spacing w:val="-46"/>
                <w:sz w:val="18"/>
                <w:szCs w:val="18"/>
              </w:rPr>
              <w:t> </w:t>
            </w:r>
            <w:r>
              <w:rPr>
                <w:rFonts w:ascii="宋体" w:hAnsi="宋体" w:cs="宋体" w:eastAsia="宋体" w:hint="default"/>
                <w:sz w:val="18"/>
                <w:szCs w:val="18"/>
              </w:rPr>
              <w:t>15.00%</w:t>
            </w:r>
            <w:r>
              <w:rPr>
                <w:rFonts w:ascii="宋体" w:hAnsi="宋体" w:cs="宋体" w:eastAsia="宋体" w:hint="default"/>
                <w:sz w:val="18"/>
                <w:szCs w:val="18"/>
              </w:rPr>
              <w:t>股权和华商广告</w:t>
            </w:r>
            <w:r>
              <w:rPr>
                <w:rFonts w:ascii="宋体" w:hAnsi="宋体" w:cs="宋体" w:eastAsia="宋体" w:hint="default"/>
                <w:spacing w:val="-46"/>
                <w:sz w:val="18"/>
                <w:szCs w:val="18"/>
              </w:rPr>
              <w:t> </w:t>
            </w:r>
            <w:r>
              <w:rPr>
                <w:rFonts w:ascii="宋体" w:hAnsi="宋体" w:cs="宋体" w:eastAsia="宋体" w:hint="default"/>
                <w:sz w:val="18"/>
                <w:szCs w:val="18"/>
              </w:rPr>
              <w:t>20.00% </w:t>
            </w:r>
            <w:r>
              <w:rPr>
                <w:rFonts w:ascii="宋体" w:hAnsi="宋体" w:cs="宋体" w:eastAsia="宋体" w:hint="default"/>
                <w:sz w:val="18"/>
                <w:szCs w:val="18"/>
              </w:rPr>
              <w:t>股权</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丰泽投资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海南丰泽投资开发有限公司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国广东方网络（北京）有限公司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海南民生管道燃气有限公司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广州市邦富软件有限公司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国视通讯（北京）有限公司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华路新材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陕西华路新型塑料建材有限公司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新疆锐盈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新疆锐盈股权投资合伙企业（有限合伙），原名</w:t>
            </w:r>
            <w:r>
              <w:rPr>
                <w:rFonts w:ascii="宋体" w:hAnsi="宋体" w:cs="宋体" w:eastAsia="宋体" w:hint="default"/>
                <w:spacing w:val="-4"/>
                <w:sz w:val="18"/>
                <w:szCs w:val="18"/>
              </w:rPr>
              <w:t>"</w:t>
            </w:r>
            <w:r>
              <w:rPr>
                <w:rFonts w:ascii="宋体" w:hAnsi="宋体" w:cs="宋体" w:eastAsia="宋体" w:hint="default"/>
                <w:spacing w:val="-4"/>
                <w:sz w:val="18"/>
                <w:szCs w:val="18"/>
              </w:rPr>
              <w:t>西安锐盈企业管理咨</w:t>
            </w:r>
            <w:r>
              <w:rPr>
                <w:rFonts w:ascii="宋体" w:hAnsi="宋体" w:cs="宋体" w:eastAsia="宋体" w:hint="default"/>
                <w:sz w:val="18"/>
                <w:szCs w:val="18"/>
              </w:rPr>
              <w:t> 询有限公司</w:t>
            </w:r>
            <w:r>
              <w:rPr>
                <w:rFonts w:ascii="宋体" w:hAnsi="宋体" w:cs="宋体" w:eastAsia="宋体" w:hint="default"/>
                <w:sz w:val="18"/>
                <w:szCs w:val="18"/>
              </w:rPr>
              <w:t>"</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拉萨澄怀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拉萨澄怀管理咨询有限公司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拉萨观道</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拉萨观道管理咨询有限公司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天津大振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天津大振资产管理有限公司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西藏风网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西藏风网科技有限公司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精视投资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德清精视投资发展有限公司，原名</w:t>
            </w:r>
            <w:r>
              <w:rPr>
                <w:rFonts w:ascii="宋体" w:hAnsi="宋体" w:cs="宋体" w:eastAsia="宋体" w:hint="default"/>
                <w:sz w:val="18"/>
                <w:szCs w:val="18"/>
              </w:rPr>
              <w:t>"</w:t>
            </w:r>
            <w:r>
              <w:rPr>
                <w:rFonts w:ascii="宋体" w:hAnsi="宋体" w:cs="宋体" w:eastAsia="宋体" w:hint="default"/>
                <w:sz w:val="18"/>
                <w:szCs w:val="18"/>
              </w:rPr>
              <w:t>上海精视投资发展有限公司</w:t>
            </w:r>
            <w:r>
              <w:rPr>
                <w:rFonts w:ascii="宋体" w:hAnsi="宋体" w:cs="宋体" w:eastAsia="宋体" w:hint="default"/>
                <w:sz w:val="18"/>
                <w:szCs w:val="18"/>
              </w:rPr>
              <w:t>"</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莫昂投资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上海莫昂投资合伙企业（有限合伙）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拉萨鸿新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拉萨鸿新资产管理有限公司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遵义米麦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遵义米麦企业咨询服务中心（有限合伙）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凯普投资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深圳市凯普投资有限公司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子栋科技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拉萨子栋科技有限公司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鼎金投资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拉萨鼎金投资管理咨询有限公司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新意资本</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新意资本基金管理（深圳）有限公司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深圳证券时报社有限公司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中国广电</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中国广播电视网络有限公司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亚太所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海南证监局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中国证监会海南监管局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中登公司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巨潮网、指定网站</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指定报刊</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公司的信息披露指定报刊《证券时报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指定媒体</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
              <w:jc w:val="left"/>
              <w:rPr>
                <w:rFonts w:ascii="宋体" w:hAnsi="宋体" w:cs="宋体" w:eastAsia="宋体" w:hint="default"/>
                <w:sz w:val="18"/>
                <w:szCs w:val="18"/>
              </w:rPr>
            </w:pPr>
            <w:r>
              <w:rPr>
                <w:rFonts w:ascii="宋体" w:hAnsi="宋体" w:cs="宋体" w:eastAsia="宋体" w:hint="default"/>
                <w:spacing w:val="-6"/>
                <w:sz w:val="18"/>
                <w:szCs w:val="18"/>
              </w:rPr>
              <w:t>公司的信息披露指定媒体《证券时报》《中国证券报》《上海证券报》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和巨潮网</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92.879974pt;width:361.5pt;height:19.6pt;mso-position-horizontal-relative:page;mso-position-vertical-relative:page;z-index:-1493056" coordorigin="3447,5858" coordsize="7230,392">
            <v:shape style="position:absolute;left:3447;top:5858;width:7230;height:392" coordorigin="3447,5858" coordsize="7230,392" path="m3447,6249l10676,6249,10676,5858,3447,5858,3447,6249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华闻传媒</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sz w:val="18"/>
              </w:rPr>
              <w:t>000793</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华闻传媒</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Huawen Media Group</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2965"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52"/>
              <w:ind w:left="12" w:right="0"/>
              <w:jc w:val="left"/>
              <w:rPr>
                <w:rFonts w:ascii="宋体" w:hAnsi="宋体" w:cs="宋体" w:eastAsia="宋体" w:hint="default"/>
                <w:sz w:val="18"/>
                <w:szCs w:val="18"/>
              </w:rPr>
            </w:pPr>
            <w:r>
              <w:rPr>
                <w:rFonts w:ascii="宋体"/>
                <w:sz w:val="18"/>
              </w:rPr>
              <w:t>Huawen</w:t>
            </w:r>
          </w:p>
        </w:tc>
        <w:tc>
          <w:tcPr>
            <w:tcW w:w="2145" w:type="dxa"/>
            <w:tcBorders>
              <w:top w:val="single" w:sz="4" w:space="0" w:color="000000"/>
              <w:left w:val="nil" w:sz="6" w:space="0" w:color="auto"/>
              <w:bottom w:val="single" w:sz="4" w:space="0" w:color="000000"/>
              <w:right w:val="nil" w:sz="6" w:space="0" w:color="auto"/>
            </w:tcBorders>
          </w:tcPr>
          <w:p>
            <w:pPr/>
          </w:p>
        </w:tc>
        <w:tc>
          <w:tcPr>
            <w:tcW w:w="2188" w:type="dxa"/>
            <w:tcBorders>
              <w:top w:val="single" w:sz="4" w:space="0" w:color="000000"/>
              <w:left w:val="nil" w:sz="6" w:space="0" w:color="auto"/>
              <w:bottom w:val="single" w:sz="4" w:space="0" w:color="000000"/>
              <w:right w:val="single" w:sz="4" w:space="0" w:color="000000"/>
            </w:tcBorders>
          </w:tcPr>
          <w:p>
            <w:pP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汪方怀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海南省海口市海甸四东路民生大厦</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570208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海南省海口市海甸四东路民生大厦</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570208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hyperlink r:id="rId10">
              <w:r>
                <w:rPr>
                  <w:rFonts w:ascii="宋体"/>
                  <w:sz w:val="18"/>
                </w:rPr>
                <w:t>http://www.000793.com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hyperlink r:id="rId11">
              <w:r>
                <w:rPr>
                  <w:rFonts w:ascii="宋体"/>
                  <w:sz w:val="18"/>
                </w:rPr>
                <w:t>hwm@000793.com</w:t>
              </w:r>
            </w:hyperlink>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邱小妹</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海南省海口市海甸四东路民生大厦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海南省海口市海甸四东路民生大厦</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0898-66254650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0898-66196060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0898-66254650  66255636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0898-66254650  66255636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2">
              <w:r>
                <w:rPr>
                  <w:rFonts w:ascii="宋体"/>
                  <w:sz w:val="18"/>
                </w:rPr>
                <w:t>board@000793.com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2">
              <w:r>
                <w:rPr>
                  <w:rFonts w:ascii="宋体"/>
                  <w:sz w:val="18"/>
                </w:rPr>
                <w:t>board@000793.com</w:t>
              </w:r>
            </w:hyperlink>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9">
              <w:r>
                <w:rPr>
                  <w:rFonts w:ascii="宋体"/>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spacing w:before="44"/>
        <w:ind w:left="0" w:right="1140" w:firstLine="0"/>
        <w:jc w:val="right"/>
        <w:rPr>
          <w:rFonts w:ascii="宋体" w:hAnsi="宋体" w:cs="宋体" w:eastAsia="宋体" w:hint="default"/>
          <w:sz w:val="18"/>
          <w:szCs w:val="18"/>
        </w:rPr>
      </w:pPr>
      <w:r>
        <w:rPr/>
        <w:pict>
          <v:shape style="position:absolute;margin-left:56.459999pt;margin-top:-20.948305pt;width:479.2pt;height:92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4"/>
                    <w:gridCol w:w="6025"/>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914600002012502172</w:t>
                        </w:r>
                      </w:p>
                    </w:tc>
                  </w:tr>
                  <w:tr>
                    <w:trPr>
                      <w:trHeight w:val="1026"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2"/>
                          <w:jc w:val="both"/>
                          <w:rPr>
                            <w:rFonts w:ascii="宋体" w:hAnsi="宋体" w:cs="宋体" w:eastAsia="宋体" w:hint="default"/>
                            <w:sz w:val="18"/>
                            <w:szCs w:val="18"/>
                          </w:rPr>
                        </w:pPr>
                        <w:r>
                          <w:rPr>
                            <w:rFonts w:ascii="宋体" w:hAnsi="宋体" w:cs="宋体" w:eastAsia="宋体" w:hint="default"/>
                            <w:spacing w:val="-3"/>
                            <w:sz w:val="18"/>
                            <w:szCs w:val="18"/>
                          </w:rPr>
                          <w:t>报告期内，公司出售邦富软件</w:t>
                        </w:r>
                        <w:r>
                          <w:rPr>
                            <w:rFonts w:ascii="宋体" w:hAnsi="宋体" w:cs="宋体" w:eastAsia="宋体" w:hint="default"/>
                            <w:spacing w:val="-32"/>
                            <w:sz w:val="18"/>
                            <w:szCs w:val="18"/>
                          </w:rPr>
                          <w:t> </w:t>
                        </w:r>
                        <w:r>
                          <w:rPr>
                            <w:rFonts w:ascii="宋体" w:hAnsi="宋体" w:cs="宋体" w:eastAsia="宋体" w:hint="default"/>
                            <w:spacing w:val="-4"/>
                            <w:sz w:val="18"/>
                            <w:szCs w:val="18"/>
                          </w:rPr>
                          <w:t>100%</w:t>
                        </w:r>
                        <w:r>
                          <w:rPr>
                            <w:rFonts w:ascii="宋体" w:hAnsi="宋体" w:cs="宋体" w:eastAsia="宋体" w:hint="default"/>
                            <w:spacing w:val="-4"/>
                            <w:sz w:val="18"/>
                            <w:szCs w:val="18"/>
                          </w:rPr>
                          <w:t>股权，不再提供舆情监测、舆情管理服务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公司购买麦游互动</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z w:val="18"/>
                            <w:szCs w:val="18"/>
                          </w:rPr>
                          <w:t>股权，从事游戏运营与开发；公司购买车音智能</w:t>
                        </w:r>
                        <w:r>
                          <w:rPr>
                            <w:rFonts w:ascii="宋体" w:hAnsi="宋体" w:cs="宋体" w:eastAsia="宋体" w:hint="default"/>
                            <w:spacing w:val="-46"/>
                            <w:sz w:val="18"/>
                            <w:szCs w:val="18"/>
                          </w:rPr>
                          <w:t> </w:t>
                        </w:r>
                        <w:r>
                          <w:rPr>
                            <w:rFonts w:ascii="宋体" w:hAnsi="宋体" w:cs="宋体" w:eastAsia="宋体" w:hint="default"/>
                            <w:sz w:val="18"/>
                            <w:szCs w:val="18"/>
                          </w:rPr>
                          <w:t>60% </w:t>
                        </w:r>
                        <w:r>
                          <w:rPr>
                            <w:rFonts w:ascii="宋体" w:hAnsi="宋体" w:cs="宋体" w:eastAsia="宋体" w:hint="default"/>
                            <w:sz w:val="18"/>
                            <w:szCs w:val="18"/>
                          </w:rPr>
                          <w:t>股权，提供车联网服务。</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报告期内无变更。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2"/>
        <w:spacing w:line="240" w:lineRule="auto"/>
        <w:ind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0"/>
        <w:ind w:right="0"/>
        <w:jc w:val="left"/>
      </w:pPr>
      <w:r>
        <w:rPr/>
        <w:t>公司聘请的会计师事务所</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33"/>
        <w:gridCol w:w="6036"/>
      </w:tblGrid>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北京市西城区车公庄大街</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号五栋大楼</w:t>
            </w:r>
            <w:r>
              <w:rPr>
                <w:rFonts w:ascii="宋体" w:hAnsi="宋体" w:cs="宋体" w:eastAsia="宋体" w:hint="default"/>
                <w:spacing w:val="-46"/>
                <w:sz w:val="18"/>
                <w:szCs w:val="18"/>
              </w:rPr>
              <w:t> </w:t>
            </w:r>
            <w:r>
              <w:rPr>
                <w:rFonts w:ascii="宋体" w:hAnsi="宋体" w:cs="宋体" w:eastAsia="宋体" w:hint="default"/>
                <w:sz w:val="18"/>
                <w:szCs w:val="18"/>
              </w:rPr>
              <w:t>B2</w:t>
            </w:r>
            <w:r>
              <w:rPr>
                <w:rFonts w:ascii="宋体" w:hAnsi="宋体" w:cs="宋体" w:eastAsia="宋体" w:hint="default"/>
                <w:spacing w:val="-45"/>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宋体" w:hAnsi="宋体" w:cs="宋体" w:eastAsia="宋体" w:hint="default"/>
                <w:sz w:val="18"/>
                <w:szCs w:val="18"/>
              </w:rPr>
              <w:t>301</w:t>
            </w:r>
            <w:r>
              <w:rPr>
                <w:rFonts w:ascii="宋体" w:hAnsi="宋体" w:cs="宋体" w:eastAsia="宋体" w:hint="default"/>
                <w:spacing w:val="-46"/>
                <w:sz w:val="18"/>
                <w:szCs w:val="18"/>
              </w:rPr>
              <w:t> </w:t>
            </w:r>
            <w:r>
              <w:rPr>
                <w:rFonts w:ascii="宋体" w:hAnsi="宋体" w:cs="宋体" w:eastAsia="宋体" w:hint="default"/>
                <w:sz w:val="18"/>
                <w:szCs w:val="18"/>
              </w:rPr>
              <w:t>室</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傅伟兵 、方鹏翔</w:t>
            </w:r>
          </w:p>
        </w:tc>
      </w:tr>
    </w:tbl>
    <w:p>
      <w:pPr>
        <w:spacing w:line="240" w:lineRule="auto" w:before="12"/>
        <w:rPr>
          <w:rFonts w:ascii="宋体" w:hAnsi="宋体" w:cs="宋体" w:eastAsia="宋体" w:hint="default"/>
          <w:sz w:val="10"/>
          <w:szCs w:val="10"/>
        </w:rPr>
      </w:pPr>
    </w:p>
    <w:p>
      <w:pPr>
        <w:pStyle w:val="BodyText"/>
        <w:spacing w:line="240" w:lineRule="auto" w:before="35"/>
        <w:ind w:right="0"/>
        <w:jc w:val="left"/>
      </w:pPr>
      <w:r>
        <w:rPr/>
        <w:t>公司聘请的报告期内履行持续督导职责的保荐机构</w:t>
      </w:r>
    </w:p>
    <w:p>
      <w:pPr>
        <w:spacing w:line="240" w:lineRule="auto" w:before="10"/>
        <w:rPr>
          <w:rFonts w:ascii="宋体" w:hAnsi="宋体" w:cs="宋体" w:eastAsia="宋体" w:hint="default"/>
          <w:sz w:val="18"/>
          <w:szCs w:val="18"/>
        </w:rPr>
      </w:pPr>
    </w:p>
    <w:p>
      <w:pPr>
        <w:pStyle w:val="BodyText"/>
        <w:spacing w:line="453" w:lineRule="auto"/>
        <w:ind w:right="6132"/>
        <w:jc w:val="left"/>
      </w:pPr>
      <w:r>
        <w:rPr/>
        <w:t>□ 适用 √</w:t>
      </w:r>
      <w:r>
        <w:rPr>
          <w:spacing w:val="-1"/>
        </w:rPr>
        <w:t> </w:t>
      </w:r>
      <w:r>
        <w:rPr/>
        <w:t>不适用</w:t>
      </w:r>
      <w:r>
        <w:rPr/>
        <w:t> 公司聘请的报告期内履行持续督导职责的财务顾问</w:t>
      </w:r>
    </w:p>
    <w:p>
      <w:pPr>
        <w:pStyle w:val="BodyText"/>
        <w:spacing w:line="240" w:lineRule="auto" w:before="58"/>
        <w:ind w:right="0"/>
        <w:jc w:val="left"/>
      </w:pPr>
      <w:r>
        <w:rPr/>
        <w:t>□ 适用 √</w:t>
      </w:r>
      <w:r>
        <w:rPr>
          <w:spacing w:val="-1"/>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ind w:left="814" w:right="1121"/>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0"/>
        <w:ind w:left="814" w:right="1121"/>
        <w:jc w:val="left"/>
      </w:pPr>
      <w:r>
        <w:rPr/>
        <w:t>公司是否需追溯调整或重述以前年度会计数据</w:t>
      </w:r>
    </w:p>
    <w:p>
      <w:pPr>
        <w:spacing w:line="240" w:lineRule="auto" w:before="10"/>
        <w:rPr>
          <w:rFonts w:ascii="宋体" w:hAnsi="宋体" w:cs="宋体" w:eastAsia="宋体" w:hint="default"/>
          <w:sz w:val="18"/>
          <w:szCs w:val="18"/>
        </w:rPr>
      </w:pPr>
    </w:p>
    <w:p>
      <w:pPr>
        <w:pStyle w:val="BodyText"/>
        <w:spacing w:line="453" w:lineRule="auto"/>
        <w:ind w:left="814" w:right="8862"/>
        <w:jc w:val="left"/>
      </w:pPr>
      <w:r>
        <w:rPr/>
        <w:t>√ 是 □ 否 追溯调整或重述原因 会计差错更正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0"/>
        <w:ind w:left="2822" w:right="1121" w:firstLine="0"/>
        <w:jc w:val="left"/>
        <w:rPr>
          <w:rFonts w:ascii="宋体" w:hAnsi="宋体" w:cs="宋体" w:eastAsia="宋体" w:hint="default"/>
          <w:sz w:val="18"/>
          <w:szCs w:val="18"/>
        </w:rPr>
      </w:pPr>
      <w:r>
        <w:rPr/>
        <w:pict>
          <v:shape style="position:absolute;margin-left:21.57pt;margin-top:-79.008301pt;width:546pt;height:324.3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26"/>
                    <w:gridCol w:w="65"/>
                    <w:gridCol w:w="1352"/>
                    <w:gridCol w:w="1418"/>
                    <w:gridCol w:w="1418"/>
                    <w:gridCol w:w="992"/>
                    <w:gridCol w:w="1417"/>
                    <w:gridCol w:w="1417"/>
                  </w:tblGrid>
                  <w:tr>
                    <w:trPr>
                      <w:trHeight w:val="162" w:hRule="exact"/>
                    </w:trPr>
                    <w:tc>
                      <w:tcPr>
                        <w:tcW w:w="2826"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
                    </w:tc>
                    <w:tc>
                      <w:tcPr>
                        <w:tcW w:w="283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09" w:right="40"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8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0" w:hRule="exact"/>
                    </w:trPr>
                    <w:tc>
                      <w:tcPr>
                        <w:tcW w:w="2826"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nil" w:sz="6" w:space="0" w:color="auto"/>
                          <w:right w:val="single" w:sz="4" w:space="0" w:color="000000"/>
                        </w:tcBorders>
                        <w:shd w:val="clear" w:color="auto" w:fill="D2D2D2"/>
                      </w:tcPr>
                      <w:p>
                        <w:pPr/>
                      </w:p>
                    </w:tc>
                    <w:tc>
                      <w:tcPr>
                        <w:tcW w:w="283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2" w:type="dxa"/>
                        <w:vMerge/>
                        <w:tcBorders>
                          <w:left w:val="single" w:sz="4" w:space="0" w:color="000000"/>
                          <w:right w:val="single" w:sz="4" w:space="0" w:color="000000"/>
                        </w:tcBorders>
                        <w:shd w:val="clear" w:color="auto" w:fill="D2D2D2"/>
                      </w:tcPr>
                      <w:p>
                        <w:pPr/>
                      </w:p>
                    </w:tc>
                    <w:tc>
                      <w:tcPr>
                        <w:tcW w:w="28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2826" w:type="dxa"/>
                        <w:vMerge w:val="restart"/>
                        <w:tcBorders>
                          <w:top w:val="nil" w:sz="6" w:space="0" w:color="auto"/>
                          <w:left w:val="single" w:sz="4" w:space="0" w:color="000000"/>
                          <w:right w:val="single" w:sz="4" w:space="0" w:color="000000"/>
                        </w:tcBorders>
                        <w:shd w:val="clear" w:color="auto" w:fill="D2D2D2"/>
                      </w:tcPr>
                      <w:p>
                        <w:pPr/>
                      </w:p>
                    </w:tc>
                    <w:tc>
                      <w:tcPr>
                        <w:tcW w:w="141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6" w:type="dxa"/>
                        <w:gridSpan w:val="2"/>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2834" w:type="dxa"/>
                        <w:gridSpan w:val="2"/>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2826"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nil" w:sz="6" w:space="0" w:color="auto"/>
                          <w:right w:val="single" w:sz="4" w:space="0" w:color="000000"/>
                        </w:tcBorders>
                        <w:shd w:val="clear" w:color="auto" w:fill="D2D2D2"/>
                      </w:tcPr>
                      <w:p>
                        <w:pPr/>
                      </w:p>
                    </w:tc>
                    <w:tc>
                      <w:tcPr>
                        <w:tcW w:w="283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28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84" w:hRule="exact"/>
                    </w:trPr>
                    <w:tc>
                      <w:tcPr>
                        <w:tcW w:w="2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4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1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4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1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12" w:right="0"/>
                          <w:jc w:val="left"/>
                          <w:rPr>
                            <w:rFonts w:ascii="Times New Roman" w:hAnsi="Times New Roman" w:cs="Times New Roman" w:eastAsia="Times New Roman" w:hint="default"/>
                            <w:sz w:val="18"/>
                            <w:szCs w:val="18"/>
                          </w:rPr>
                        </w:pPr>
                        <w:r>
                          <w:rPr>
                            <w:rFonts w:ascii="Times New Roman"/>
                            <w:sz w:val="18"/>
                          </w:rPr>
                          <w:t>3,784,764,291.20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3,420,924,616.84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3,420,865,937.60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4,571,426,678.25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4,552,271,128.93</w:t>
                        </w:r>
                      </w:p>
                    </w:tc>
                  </w:tr>
                  <w:tr>
                    <w:trPr>
                      <w:trHeight w:val="402"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65" w:type="dxa"/>
                        <w:tcBorders>
                          <w:top w:val="single" w:sz="4" w:space="0" w:color="000000"/>
                          <w:left w:val="single" w:sz="13" w:space="0" w:color="D2D2D2"/>
                          <w:bottom w:val="single" w:sz="4" w:space="0" w:color="000000"/>
                          <w:right w:val="nil" w:sz="6" w:space="0" w:color="auto"/>
                        </w:tcBorders>
                      </w:tcPr>
                      <w:p>
                        <w:pPr/>
                      </w:p>
                    </w:tc>
                    <w:tc>
                      <w:tcPr>
                        <w:tcW w:w="1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17"/>
                          <w:jc w:val="center"/>
                          <w:rPr>
                            <w:rFonts w:ascii="Times New Roman" w:hAnsi="Times New Roman" w:cs="Times New Roman" w:eastAsia="Times New Roman" w:hint="default"/>
                            <w:sz w:val="18"/>
                            <w:szCs w:val="18"/>
                          </w:rPr>
                        </w:pPr>
                        <w:r>
                          <w:rPr>
                            <w:rFonts w:ascii="Times New Roman"/>
                            <w:sz w:val="18"/>
                          </w:rPr>
                          <w:t>-4,990,610,136.34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277,238,074.73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277,104,888.34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-1,900.98%</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872,806,122.28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858,596,572.73</w:t>
                        </w:r>
                      </w:p>
                    </w:tc>
                  </w:tr>
                  <w:tr>
                    <w:trPr>
                      <w:trHeight w:val="714"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41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-5,176,071,487.51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69,294,665.64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69,161,479.25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-7,584.04%</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750,483,004.02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736,273,454.47</w:t>
                        </w:r>
                      </w:p>
                    </w:tc>
                  </w:tr>
                  <w:tr>
                    <w:trPr>
                      <w:trHeight w:val="402"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65" w:type="dxa"/>
                        <w:tcBorders>
                          <w:top w:val="single" w:sz="4" w:space="0" w:color="000000"/>
                          <w:left w:val="single" w:sz="13" w:space="0" w:color="D2D2D2"/>
                          <w:bottom w:val="single" w:sz="4" w:space="0" w:color="000000"/>
                          <w:right w:val="nil" w:sz="6" w:space="0" w:color="auto"/>
                        </w:tcBorders>
                      </w:tcPr>
                      <w:p>
                        <w:pPr/>
                      </w:p>
                    </w:tc>
                    <w:tc>
                      <w:tcPr>
                        <w:tcW w:w="1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18" w:right="0"/>
                          <w:jc w:val="center"/>
                          <w:rPr>
                            <w:rFonts w:ascii="Times New Roman" w:hAnsi="Times New Roman" w:cs="Times New Roman" w:eastAsia="Times New Roman" w:hint="default"/>
                            <w:sz w:val="18"/>
                            <w:szCs w:val="18"/>
                          </w:rPr>
                        </w:pPr>
                        <w:r>
                          <w:rPr>
                            <w:rFonts w:ascii="Times New Roman"/>
                            <w:sz w:val="18"/>
                          </w:rPr>
                          <w:t>-361,420,751.81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657,864,762.46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657,864,762.46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-154.94%</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680,584,035.59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680,584,035.59</w:t>
                        </w:r>
                      </w:p>
                    </w:tc>
                  </w:tr>
                  <w:tr>
                    <w:trPr>
                      <w:trHeight w:val="402"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1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18" w:right="0"/>
                          <w:jc w:val="left"/>
                          <w:rPr>
                            <w:rFonts w:ascii="Times New Roman" w:hAnsi="Times New Roman" w:cs="Times New Roman" w:eastAsia="Times New Roman" w:hint="default"/>
                            <w:sz w:val="18"/>
                            <w:szCs w:val="18"/>
                          </w:rPr>
                        </w:pPr>
                        <w:r>
                          <w:rPr>
                            <w:rFonts w:ascii="Times New Roman"/>
                            <w:sz w:val="18"/>
                          </w:rPr>
                          <w:t>-2.4950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0.1377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0.1376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-1,913.23%</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0.4290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0.4221</w:t>
                        </w:r>
                      </w:p>
                    </w:tc>
                  </w:tr>
                  <w:tr>
                    <w:trPr>
                      <w:trHeight w:val="402"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1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18" w:right="0"/>
                          <w:jc w:val="left"/>
                          <w:rPr>
                            <w:rFonts w:ascii="Times New Roman" w:hAnsi="Times New Roman" w:cs="Times New Roman" w:eastAsia="Times New Roman" w:hint="default"/>
                            <w:sz w:val="18"/>
                            <w:szCs w:val="18"/>
                          </w:rPr>
                        </w:pPr>
                        <w:r>
                          <w:rPr>
                            <w:rFonts w:ascii="Times New Roman"/>
                            <w:sz w:val="18"/>
                          </w:rPr>
                          <w:t>-2.4950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0.1377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0.1376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-1,913.23%</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0.4290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0.4221</w:t>
                        </w:r>
                      </w:p>
                    </w:tc>
                  </w:tr>
                  <w:tr>
                    <w:trPr>
                      <w:trHeight w:val="162" w:hRule="exact"/>
                    </w:trPr>
                    <w:tc>
                      <w:tcPr>
                        <w:tcW w:w="2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gridSpan w:val="2"/>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3" w:right="0"/>
                          <w:jc w:val="left"/>
                          <w:rPr>
                            <w:rFonts w:ascii="Times New Roman" w:hAnsi="Times New Roman" w:cs="Times New Roman" w:eastAsia="Times New Roman" w:hint="default"/>
                            <w:sz w:val="18"/>
                            <w:szCs w:val="18"/>
                          </w:rPr>
                        </w:pPr>
                        <w:r>
                          <w:rPr>
                            <w:rFonts w:ascii="Times New Roman"/>
                            <w:sz w:val="18"/>
                          </w:rPr>
                          <w:t>-69.13%</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9" w:right="0"/>
                          <w:jc w:val="left"/>
                          <w:rPr>
                            <w:rFonts w:ascii="Times New Roman" w:hAnsi="Times New Roman" w:cs="Times New Roman" w:eastAsia="Times New Roman" w:hint="default"/>
                            <w:sz w:val="18"/>
                            <w:szCs w:val="18"/>
                          </w:rPr>
                        </w:pPr>
                        <w:r>
                          <w:rPr>
                            <w:rFonts w:ascii="Times New Roman"/>
                            <w:sz w:val="18"/>
                          </w:rPr>
                          <w:t>2.88%</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0" w:right="0"/>
                          <w:jc w:val="left"/>
                          <w:rPr>
                            <w:rFonts w:ascii="Times New Roman" w:hAnsi="Times New Roman" w:cs="Times New Roman" w:eastAsia="Times New Roman" w:hint="default"/>
                            <w:sz w:val="18"/>
                            <w:szCs w:val="18"/>
                          </w:rPr>
                        </w:pPr>
                        <w:r>
                          <w:rPr>
                            <w:rFonts w:ascii="Times New Roman"/>
                            <w:sz w:val="18"/>
                          </w:rPr>
                          <w:t>2.88%</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52"/>
                          <w:ind w:left="5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72.01</w:t>
                        </w:r>
                      </w:p>
                      <w:p>
                        <w:pPr>
                          <w:pStyle w:val="TableParagraph"/>
                          <w:spacing w:line="240" w:lineRule="auto" w:before="63"/>
                          <w:ind w:left="147" w:right="0"/>
                          <w:jc w:val="left"/>
                          <w:rPr>
                            <w:rFonts w:ascii="宋体" w:hAnsi="宋体" w:cs="宋体" w:eastAsia="宋体" w:hint="default"/>
                            <w:sz w:val="18"/>
                            <w:szCs w:val="18"/>
                          </w:rPr>
                        </w:pPr>
                        <w:r>
                          <w:rPr>
                            <w:rFonts w:ascii="宋体" w:hAnsi="宋体" w:cs="宋体" w:eastAsia="宋体" w:hint="default"/>
                            <w:sz w:val="18"/>
                            <w:szCs w:val="18"/>
                          </w:rPr>
                          <w:t>个百分点</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0" w:right="0"/>
                          <w:jc w:val="left"/>
                          <w:rPr>
                            <w:rFonts w:ascii="Times New Roman" w:hAnsi="Times New Roman" w:cs="Times New Roman" w:eastAsia="Times New Roman" w:hint="default"/>
                            <w:sz w:val="18"/>
                            <w:szCs w:val="18"/>
                          </w:rPr>
                        </w:pPr>
                        <w:r>
                          <w:rPr>
                            <w:rFonts w:ascii="Times New Roman"/>
                            <w:sz w:val="18"/>
                          </w:rPr>
                          <w:t>9.52%</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9" w:right="0"/>
                          <w:jc w:val="left"/>
                          <w:rPr>
                            <w:rFonts w:ascii="Times New Roman" w:hAnsi="Times New Roman" w:cs="Times New Roman" w:eastAsia="Times New Roman" w:hint="default"/>
                            <w:sz w:val="18"/>
                            <w:szCs w:val="18"/>
                          </w:rPr>
                        </w:pPr>
                        <w:r>
                          <w:rPr>
                            <w:rFonts w:ascii="Times New Roman"/>
                            <w:sz w:val="18"/>
                          </w:rPr>
                          <w:t>9.39%</w:t>
                        </w:r>
                      </w:p>
                    </w:tc>
                  </w:tr>
                  <w:tr>
                    <w:trPr>
                      <w:trHeight w:val="392" w:hRule="exact"/>
                    </w:trPr>
                    <w:tc>
                      <w:tcPr>
                        <w:tcW w:w="28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17" w:type="dxa"/>
                        <w:gridSpan w:val="2"/>
                        <w:vMerge/>
                        <w:tcBorders>
                          <w:left w:val="single" w:sz="9" w:space="0" w:color="D2D2D2"/>
                          <w:right w:val="single" w:sz="4" w:space="0" w:color="000000"/>
                        </w:tcBorders>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r>
                  <w:tr>
                    <w:trPr>
                      <w:trHeight w:val="161" w:hRule="exact"/>
                    </w:trPr>
                    <w:tc>
                      <w:tcPr>
                        <w:tcW w:w="2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gridSpan w:val="2"/>
                        <w:vMerge/>
                        <w:tcBorders>
                          <w:left w:val="single" w:sz="9"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r>
                  <w:tr>
                    <w:trPr>
                      <w:trHeight w:val="162" w:hRule="exact"/>
                    </w:trPr>
                    <w:tc>
                      <w:tcPr>
                        <w:tcW w:w="2826"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
                    </w:tc>
                    <w:tc>
                      <w:tcPr>
                        <w:tcW w:w="283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29" w:right="40" w:hanging="90"/>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8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0" w:hRule="exact"/>
                    </w:trPr>
                    <w:tc>
                      <w:tcPr>
                        <w:tcW w:w="2826"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nil" w:sz="6" w:space="0" w:color="auto"/>
                          <w:right w:val="single" w:sz="4" w:space="0" w:color="000000"/>
                        </w:tcBorders>
                        <w:shd w:val="clear" w:color="auto" w:fill="D2D2D2"/>
                      </w:tcPr>
                      <w:p>
                        <w:pPr/>
                      </w:p>
                    </w:tc>
                    <w:tc>
                      <w:tcPr>
                        <w:tcW w:w="283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92" w:type="dxa"/>
                        <w:vMerge/>
                        <w:tcBorders>
                          <w:left w:val="single" w:sz="4" w:space="0" w:color="000000"/>
                          <w:right w:val="single" w:sz="4" w:space="0" w:color="000000"/>
                        </w:tcBorders>
                        <w:shd w:val="clear" w:color="auto" w:fill="D2D2D2"/>
                      </w:tcPr>
                      <w:p>
                        <w:pPr/>
                      </w:p>
                    </w:tc>
                    <w:tc>
                      <w:tcPr>
                        <w:tcW w:w="28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826" w:type="dxa"/>
                        <w:vMerge w:val="restart"/>
                        <w:tcBorders>
                          <w:top w:val="nil" w:sz="6" w:space="0" w:color="auto"/>
                          <w:left w:val="single" w:sz="4" w:space="0" w:color="000000"/>
                          <w:right w:val="single" w:sz="4" w:space="0" w:color="000000"/>
                        </w:tcBorders>
                        <w:shd w:val="clear" w:color="auto" w:fill="D2D2D2"/>
                      </w:tcPr>
                      <w:p>
                        <w:pPr/>
                      </w:p>
                    </w:tc>
                    <w:tc>
                      <w:tcPr>
                        <w:tcW w:w="141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836" w:type="dxa"/>
                        <w:gridSpan w:val="2"/>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2834" w:type="dxa"/>
                        <w:gridSpan w:val="2"/>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2826"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nil" w:sz="6" w:space="0" w:color="auto"/>
                          <w:right w:val="single" w:sz="4" w:space="0" w:color="000000"/>
                        </w:tcBorders>
                        <w:shd w:val="clear" w:color="auto" w:fill="D2D2D2"/>
                      </w:tcPr>
                      <w:p>
                        <w:pPr/>
                      </w:p>
                    </w:tc>
                    <w:tc>
                      <w:tcPr>
                        <w:tcW w:w="283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28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84" w:hRule="exact"/>
                    </w:trPr>
                    <w:tc>
                      <w:tcPr>
                        <w:tcW w:w="2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4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1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4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1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12,905,595,251.45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15,851,560,825.76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15,831,629,197.12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13,402,689,490.45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13,376,102,088.82</w:t>
                        </w:r>
                      </w:p>
                    </w:tc>
                  </w:tr>
                  <w:tr>
                    <w:trPr>
                      <w:trHeight w:val="403"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65" w:type="dxa"/>
                        <w:tcBorders>
                          <w:top w:val="single" w:sz="4" w:space="0" w:color="000000"/>
                          <w:left w:val="single" w:sz="13" w:space="0" w:color="D2D2D2"/>
                          <w:bottom w:val="single" w:sz="4" w:space="0" w:color="000000"/>
                          <w:right w:val="nil" w:sz="6" w:space="0" w:color="auto"/>
                        </w:tcBorders>
                      </w:tcPr>
                      <w:p>
                        <w:pPr/>
                      </w:p>
                    </w:tc>
                    <w:tc>
                      <w:tcPr>
                        <w:tcW w:w="1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40" w:right="0"/>
                          <w:jc w:val="center"/>
                          <w:rPr>
                            <w:rFonts w:ascii="Times New Roman" w:hAnsi="Times New Roman" w:cs="Times New Roman" w:eastAsia="Times New Roman" w:hint="default"/>
                            <w:sz w:val="18"/>
                            <w:szCs w:val="18"/>
                          </w:rPr>
                        </w:pPr>
                        <w:r>
                          <w:rPr>
                            <w:rFonts w:ascii="Times New Roman"/>
                            <w:sz w:val="18"/>
                          </w:rPr>
                          <w:t>4,703,421,780.25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9,762,332,284.63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9,729,794,033.91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9,492,873,050.44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9,460,467,986.11</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2822" w:right="1121"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44"/>
        <w:ind w:left="2822" w:right="1121"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10"/>
        <w:rPr>
          <w:rFonts w:ascii="宋体" w:hAnsi="宋体" w:cs="宋体" w:eastAsia="宋体" w:hint="default"/>
          <w:sz w:val="19"/>
          <w:szCs w:val="19"/>
        </w:rPr>
      </w:pPr>
    </w:p>
    <w:p>
      <w:pPr>
        <w:pStyle w:val="BodyText"/>
        <w:spacing w:line="453" w:lineRule="auto" w:before="35"/>
        <w:ind w:left="1234" w:right="1121" w:hanging="420"/>
        <w:jc w:val="left"/>
      </w:pPr>
      <w:r>
        <w:rPr/>
        <w:t>会计政策变更的原因及会计差错更正的情况 </w:t>
      </w:r>
      <w:r>
        <w:rPr>
          <w:spacing w:val="-3"/>
        </w:rPr>
        <w:t>根据海南证监局对公司有关子公司开展现场检查工作的检查结果，公司对</w:t>
      </w:r>
      <w:r>
        <w:rPr>
          <w:spacing w:val="-47"/>
        </w:rPr>
        <w:t> </w:t>
      </w:r>
      <w:r>
        <w:rPr>
          <w:rFonts w:ascii="宋体" w:hAnsi="宋体" w:cs="宋体" w:eastAsia="宋体" w:hint="default"/>
        </w:rPr>
        <w:t>2014</w:t>
      </w:r>
      <w:r>
        <w:rPr>
          <w:rFonts w:ascii="宋体" w:hAnsi="宋体" w:cs="宋体" w:eastAsia="宋体" w:hint="default"/>
          <w:spacing w:val="-48"/>
        </w:rPr>
        <w:t> </w:t>
      </w:r>
      <w:r>
        <w:rPr/>
        <w:t>年度</w:t>
      </w:r>
      <w:r>
        <w:rPr>
          <w:rFonts w:ascii="宋体" w:hAnsi="宋体" w:cs="宋体" w:eastAsia="宋体" w:hint="default"/>
        </w:rPr>
        <w:t>-2017</w:t>
      </w:r>
      <w:r>
        <w:rPr>
          <w:rFonts w:ascii="宋体" w:hAnsi="宋体" w:cs="宋体" w:eastAsia="宋体" w:hint="default"/>
          <w:spacing w:val="-48"/>
        </w:rPr>
        <w:t> </w:t>
      </w:r>
      <w:r>
        <w:rPr/>
        <w:t>年度合并及</w:t>
      </w:r>
    </w:p>
    <w:p>
      <w:pPr>
        <w:pStyle w:val="BodyText"/>
        <w:spacing w:line="420" w:lineRule="auto" w:before="18"/>
        <w:ind w:left="814" w:right="1010"/>
        <w:jc w:val="left"/>
      </w:pPr>
      <w:r>
        <w:rPr/>
        <w:t>有关子公司精视文化、邦富软件、漫友文化财务报表进行了追溯调整，具体情况详见“第五节</w:t>
      </w:r>
      <w:r>
        <w:rPr>
          <w:spacing w:val="-23"/>
        </w:rPr>
        <w:t> </w:t>
      </w:r>
      <w:r>
        <w:rPr/>
        <w:t>重要事项”</w:t>
      </w:r>
      <w:r>
        <w:rPr/>
        <w:t> </w:t>
      </w:r>
      <w:r>
        <w:rPr>
          <w:spacing w:val="-4"/>
        </w:rPr>
        <w:t>之“七、报告期内发生重大会计差错更正需追溯重述的情况说明”。</w:t>
      </w:r>
    </w:p>
    <w:p>
      <w:pPr>
        <w:pStyle w:val="Heading2"/>
        <w:spacing w:line="240" w:lineRule="auto" w:before="172"/>
        <w:ind w:left="814" w:right="1121"/>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814" w:right="1121"/>
        <w:jc w:val="left"/>
        <w:rPr>
          <w:b w:val="0"/>
          <w:bCs w:val="0"/>
        </w:rPr>
      </w:pPr>
      <w:bookmarkStart w:name="1、同时按照国际会计准则与按照中国会计准则披露的财务报告中净利润和净资产差异情况" w:id="11"/>
      <w:bookmarkEnd w:id="11"/>
      <w:r>
        <w:rPr>
          <w:b w:val="0"/>
          <w:bCs w:val="0"/>
        </w:rPr>
      </w: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453" w:lineRule="auto"/>
        <w:ind w:left="814" w:right="1302"/>
        <w:jc w:val="left"/>
      </w:pPr>
      <w:r>
        <w:rPr/>
        <w:t>□ 适用 √</w:t>
      </w:r>
      <w:r>
        <w:rPr>
          <w:spacing w:val="-1"/>
        </w:rPr>
        <w:t> </w:t>
      </w:r>
      <w:r>
        <w:rPr/>
        <w:t>不适用</w:t>
      </w:r>
      <w:r>
        <w:rPr/>
        <w:t> 公司报告期不存在按照国际会计准则与按照中国会计准则披露的财务报告中净利润和净资产差异情况。</w:t>
      </w:r>
    </w:p>
    <w:p>
      <w:pPr>
        <w:spacing w:after="0" w:line="453" w:lineRule="auto"/>
        <w:jc w:val="left"/>
        <w:sectPr>
          <w:pgSz w:w="11910" w:h="16840"/>
          <w:pgMar w:header="747" w:footer="979" w:top="1060" w:bottom="1160" w:left="32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453" w:lineRule="auto"/>
        <w:ind w:right="1302"/>
        <w:jc w:val="left"/>
      </w:pPr>
      <w:r>
        <w:rPr/>
        <w:t>□ 适用 √</w:t>
      </w:r>
      <w:r>
        <w:rPr>
          <w:spacing w:val="-1"/>
        </w:rPr>
        <w:t> </w:t>
      </w:r>
      <w:r>
        <w:rPr/>
        <w:t>不适用</w:t>
      </w:r>
      <w:r>
        <w:rPr/>
        <w:t> 公司报告期不存在按照境外会计准则与按照中国会计准则披露的财务报告中净利润和净资产差异情况。</w:t>
      </w:r>
    </w:p>
    <w:p>
      <w:pPr>
        <w:pStyle w:val="Heading2"/>
        <w:spacing w:line="240" w:lineRule="auto" w:before="143"/>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7"/>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731,657,064.28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705,482,174.97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998,125,514.06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1,349,499,537.89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21,162,611.85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60,690,649.76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-58,907,215.36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-5,013,556,182.59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-5,340,645.03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-96,985,311.21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-64,771,872.89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-5,008,973,658.38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-302,252,488.20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-57,218,303.34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-622,018,515.13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620,068,554.86</w:t>
            </w:r>
          </w:p>
        </w:tc>
      </w:tr>
    </w:tbl>
    <w:p>
      <w:pPr>
        <w:spacing w:line="240" w:lineRule="auto" w:before="12"/>
        <w:rPr>
          <w:rFonts w:ascii="宋体" w:hAnsi="宋体" w:cs="宋体" w:eastAsia="宋体" w:hint="default"/>
          <w:sz w:val="10"/>
          <w:szCs w:val="10"/>
        </w:rPr>
      </w:pPr>
    </w:p>
    <w:p>
      <w:pPr>
        <w:pStyle w:val="BodyText"/>
        <w:spacing w:line="240" w:lineRule="auto" w:before="35"/>
        <w:ind w:right="0"/>
        <w:jc w:val="left"/>
      </w:pPr>
      <w:r>
        <w:rPr/>
        <w:t>上述财务指标或其加总数是否与公司已披露季度报告、半年度报告相关财务指标存在重大差异</w:t>
      </w:r>
    </w:p>
    <w:p>
      <w:pPr>
        <w:spacing w:line="240" w:lineRule="auto" w:before="10"/>
        <w:rPr>
          <w:rFonts w:ascii="宋体" w:hAnsi="宋体" w:cs="宋体" w:eastAsia="宋体" w:hint="default"/>
          <w:sz w:val="18"/>
          <w:szCs w:val="18"/>
        </w:rPr>
      </w:pPr>
    </w:p>
    <w:p>
      <w:pPr>
        <w:pStyle w:val="BodyText"/>
        <w:spacing w:line="240" w:lineRule="auto"/>
        <w:ind w:right="0"/>
        <w:jc w:val="left"/>
      </w:pPr>
      <w:r>
        <w:rPr/>
        <w:t>□ 是 √ 否</w:t>
      </w:r>
    </w:p>
    <w:p>
      <w:pPr>
        <w:spacing w:line="240" w:lineRule="auto" w:before="1"/>
        <w:rPr>
          <w:rFonts w:ascii="宋体" w:hAnsi="宋体" w:cs="宋体" w:eastAsia="宋体" w:hint="default"/>
          <w:sz w:val="25"/>
          <w:szCs w:val="25"/>
        </w:rPr>
      </w:pPr>
    </w:p>
    <w:p>
      <w:pPr>
        <w:pStyle w:val="Heading2"/>
        <w:spacing w:line="240" w:lineRule="auto" w:before="0"/>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spacing w:line="240" w:lineRule="auto" w:before="5"/>
        <w:rPr>
          <w:rFonts w:ascii="宋体" w:hAnsi="宋体" w:cs="宋体" w:eastAsia="宋体" w:hint="default"/>
          <w:b/>
          <w:bCs/>
          <w:sz w:val="16"/>
          <w:szCs w:val="16"/>
        </w:rPr>
      </w:pPr>
    </w:p>
    <w:p>
      <w:pPr>
        <w:pStyle w:val="BodyText"/>
        <w:spacing w:line="240" w:lineRule="auto"/>
        <w:ind w:right="-20"/>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36"/>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39" w:space="6980"/>
            <w:col w:w="201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06"/>
        <w:gridCol w:w="1532"/>
        <w:gridCol w:w="1519"/>
        <w:gridCol w:w="1523"/>
        <w:gridCol w:w="1249"/>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17" w:hRule="exact"/>
        </w:trPr>
        <w:tc>
          <w:tcPr>
            <w:tcW w:w="38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1" w:right="0"/>
              <w:jc w:val="left"/>
              <w:rPr>
                <w:rFonts w:ascii="宋体" w:hAnsi="宋体" w:cs="宋体" w:eastAsia="宋体" w:hint="default"/>
                <w:sz w:val="18"/>
                <w:szCs w:val="18"/>
              </w:rPr>
            </w:pPr>
            <w:r>
              <w:rPr>
                <w:rFonts w:ascii="宋体"/>
                <w:sz w:val="18"/>
              </w:rPr>
              <w:t>184,540,087.65</w:t>
            </w: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6" w:right="0"/>
              <w:jc w:val="left"/>
              <w:rPr>
                <w:rFonts w:ascii="宋体" w:hAnsi="宋体" w:cs="宋体" w:eastAsia="宋体" w:hint="default"/>
                <w:sz w:val="18"/>
                <w:szCs w:val="18"/>
              </w:rPr>
            </w:pPr>
            <w:r>
              <w:rPr>
                <w:rFonts w:ascii="宋体"/>
                <w:sz w:val="18"/>
              </w:rPr>
              <w:t>213,694,056.20</w:t>
            </w:r>
          </w:p>
        </w:tc>
        <w:tc>
          <w:tcPr>
            <w:tcW w:w="15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0" w:right="0"/>
              <w:jc w:val="left"/>
              <w:rPr>
                <w:rFonts w:ascii="宋体" w:hAnsi="宋体" w:cs="宋体" w:eastAsia="宋体" w:hint="default"/>
                <w:sz w:val="18"/>
                <w:szCs w:val="18"/>
              </w:rPr>
            </w:pPr>
            <w:r>
              <w:rPr>
                <w:rFonts w:ascii="宋体"/>
                <w:sz w:val="18"/>
              </w:rPr>
              <w:t>110,437,787.48</w:t>
            </w:r>
          </w:p>
        </w:tc>
        <w:tc>
          <w:tcPr>
            <w:tcW w:w="1249"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主要是本期转 让国广东方</w:t>
            </w:r>
            <w:r>
              <w:rPr>
                <w:rFonts w:ascii="宋体" w:hAnsi="宋体" w:cs="宋体" w:eastAsia="宋体" w:hint="default"/>
                <w:spacing w:val="-68"/>
                <w:sz w:val="18"/>
                <w:szCs w:val="18"/>
              </w:rPr>
              <w:t> </w:t>
            </w:r>
            <w:r>
              <w:rPr>
                <w:rFonts w:ascii="宋体" w:hAnsi="宋体" w:cs="宋体" w:eastAsia="宋体" w:hint="default"/>
                <w:sz w:val="18"/>
                <w:szCs w:val="18"/>
              </w:rPr>
              <w:t>19% </w:t>
            </w:r>
            <w:r>
              <w:rPr>
                <w:rFonts w:ascii="宋体" w:hAnsi="宋体" w:cs="宋体" w:eastAsia="宋体" w:hint="default"/>
                <w:sz w:val="18"/>
                <w:szCs w:val="18"/>
              </w:rPr>
              <w:t>股权获得的投 资收益所致</w:t>
            </w:r>
          </w:p>
        </w:tc>
      </w:tr>
      <w:tr>
        <w:trPr>
          <w:trHeight w:val="704" w:hRule="exact"/>
        </w:trPr>
        <w:tc>
          <w:tcPr>
            <w:tcW w:w="38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pacing w:val="-1"/>
                <w:sz w:val="18"/>
                <w:szCs w:val="18"/>
              </w:rPr>
              <w:t>非流动资产处置损益（包括已计提资产减值准备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的冲销部分）</w:t>
            </w:r>
          </w:p>
        </w:tc>
        <w:tc>
          <w:tcPr>
            <w:tcW w:w="1532" w:type="dxa"/>
            <w:vMerge/>
            <w:tcBorders>
              <w:left w:val="single" w:sz="9" w:space="0" w:color="D2D2D2"/>
              <w:right w:val="single" w:sz="4" w:space="0" w:color="000000"/>
            </w:tcBorders>
          </w:tcPr>
          <w:p>
            <w:pPr/>
          </w:p>
        </w:tc>
        <w:tc>
          <w:tcPr>
            <w:tcW w:w="1519" w:type="dxa"/>
            <w:vMerge/>
            <w:tcBorders>
              <w:left w:val="single" w:sz="4" w:space="0" w:color="000000"/>
              <w:right w:val="single" w:sz="4" w:space="0" w:color="000000"/>
            </w:tcBorders>
          </w:tcPr>
          <w:p>
            <w:pPr/>
          </w:p>
        </w:tc>
        <w:tc>
          <w:tcPr>
            <w:tcW w:w="1523"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r>
      <w:tr>
        <w:trPr>
          <w:trHeight w:val="317" w:hRule="exact"/>
        </w:trPr>
        <w:tc>
          <w:tcPr>
            <w:tcW w:w="38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9" w:space="0" w:color="D2D2D2"/>
              <w:bottom w:val="single" w:sz="4" w:space="0" w:color="000000"/>
              <w:right w:val="single" w:sz="4" w:space="0" w:color="000000"/>
            </w:tcBorders>
          </w:tcPr>
          <w:p>
            <w:pPr/>
          </w:p>
        </w:tc>
        <w:tc>
          <w:tcPr>
            <w:tcW w:w="1519" w:type="dxa"/>
            <w:vMerge/>
            <w:tcBorders>
              <w:left w:val="single" w:sz="4" w:space="0" w:color="000000"/>
              <w:bottom w:val="single" w:sz="4" w:space="0" w:color="000000"/>
              <w:right w:val="single" w:sz="4" w:space="0" w:color="000000"/>
            </w:tcBorders>
          </w:tcPr>
          <w:p>
            <w:pPr/>
          </w:p>
        </w:tc>
        <w:tc>
          <w:tcPr>
            <w:tcW w:w="1523"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960.33</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 </w:t>
            </w:r>
            <w:r>
              <w:rPr>
                <w:rFonts w:ascii="宋体" w:hAnsi="宋体" w:cs="宋体" w:eastAsia="宋体" w:hint="default"/>
                <w:spacing w:val="-1"/>
                <w:sz w:val="18"/>
                <w:szCs w:val="18"/>
              </w:rPr>
              <w:t>关，按照国家统一标准定额或定量享受的政府补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18,913,056.47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15,263,226.15</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24,687,152.09</w:t>
            </w:r>
          </w:p>
        </w:tc>
        <w:tc>
          <w:tcPr>
            <w:tcW w:w="12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-10,715,777.31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-11,283,651.30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-23,940,644.65</w:t>
            </w:r>
          </w:p>
        </w:tc>
        <w:tc>
          <w:tcPr>
            <w:tcW w:w="124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 务外，持有交易性金融资产、交易性金融负债产 生的公允价值变动损益，以及处置交易性金融资 产、交易性金融负债和可供出售金融资产取得的 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4,619,768.13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23,766,600.95</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17,215,608.30</w:t>
            </w:r>
          </w:p>
        </w:tc>
        <w:tc>
          <w:tcPr>
            <w:tcW w:w="12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-1,901,561.51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1,469,783.67</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769,611.99</w:t>
            </w:r>
          </w:p>
        </w:tc>
        <w:tc>
          <w:tcPr>
            <w:tcW w:w="124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29"/>
        <w:gridCol w:w="1520"/>
        <w:gridCol w:w="1519"/>
        <w:gridCol w:w="1523"/>
        <w:gridCol w:w="1249"/>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5,638,237.20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34,821,884.63</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3,034,802.08</w:t>
            </w:r>
          </w:p>
        </w:tc>
        <w:tc>
          <w:tcPr>
            <w:tcW w:w="12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4,356,945.39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144,721.95</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3,811,594.87</w:t>
            </w:r>
          </w:p>
        </w:tc>
        <w:tc>
          <w:tcPr>
            <w:tcW w:w="12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185,461,351.17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207,943,409.09</w:t>
            </w:r>
          </w:p>
        </w:tc>
        <w:tc>
          <w:tcPr>
            <w:tcW w:w="152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122,323,118.26</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line="240" w:lineRule="auto" w:before="13"/>
        <w:rPr>
          <w:rFonts w:ascii="宋体" w:hAnsi="宋体" w:cs="宋体" w:eastAsia="宋体" w:hint="default"/>
          <w:sz w:val="10"/>
          <w:szCs w:val="10"/>
        </w:rPr>
      </w:pPr>
    </w:p>
    <w:p>
      <w:pPr>
        <w:pStyle w:val="BodyText"/>
        <w:spacing w:line="240" w:lineRule="auto" w:before="35"/>
        <w:ind w:right="0"/>
        <w:jc w:val="left"/>
      </w:pPr>
      <w:r>
        <w:rPr/>
        <w:t>对公司根据《公开发行证券的公司信息披露解释性公告第</w:t>
      </w:r>
      <w:r>
        <w:rPr>
          <w:spacing w:val="-64"/>
        </w:rPr>
        <w:t> </w:t>
      </w:r>
      <w:r>
        <w:rPr>
          <w:rFonts w:ascii="宋体" w:hAnsi="宋体" w:cs="宋体" w:eastAsia="宋体" w:hint="default"/>
        </w:rPr>
        <w:t>1</w:t>
      </w:r>
      <w:r>
        <w:rPr>
          <w:rFonts w:ascii="宋体" w:hAnsi="宋体" w:cs="宋体" w:eastAsia="宋体" w:hint="default"/>
          <w:spacing w:val="-64"/>
        </w:rPr>
        <w:t> </w:t>
      </w:r>
      <w:r>
        <w:rPr/>
        <w:t>号——非经常性损益》定义界定的非经常性损</w:t>
      </w:r>
    </w:p>
    <w:p>
      <w:pPr>
        <w:spacing w:line="240" w:lineRule="auto" w:before="10"/>
        <w:rPr>
          <w:rFonts w:ascii="宋体" w:hAnsi="宋体" w:cs="宋体" w:eastAsia="宋体" w:hint="default"/>
          <w:sz w:val="15"/>
          <w:szCs w:val="15"/>
        </w:rPr>
      </w:pPr>
    </w:p>
    <w:p>
      <w:pPr>
        <w:pStyle w:val="BodyText"/>
        <w:spacing w:line="420" w:lineRule="auto"/>
        <w:ind w:right="1116"/>
        <w:jc w:val="left"/>
      </w:pPr>
      <w:r>
        <w:rPr/>
        <w:t>益项目，以及把《公开发行证券的公司信息披露解释性公告第</w:t>
      </w:r>
      <w:r>
        <w:rPr>
          <w:spacing w:val="-65"/>
        </w:rPr>
        <w:t> </w:t>
      </w:r>
      <w:r>
        <w:rPr>
          <w:rFonts w:ascii="宋体" w:hAnsi="宋体" w:cs="宋体" w:eastAsia="宋体" w:hint="default"/>
        </w:rPr>
        <w:t>1</w:t>
      </w:r>
      <w:r>
        <w:rPr>
          <w:rFonts w:ascii="宋体" w:hAnsi="宋体" w:cs="宋体" w:eastAsia="宋体" w:hint="default"/>
          <w:spacing w:val="-64"/>
        </w:rPr>
        <w:t> </w:t>
      </w:r>
      <w:r>
        <w:rPr/>
        <w:t>号——非经常性损益》中列举的非经常性 损益项目界定为经常性损益的项目，应说明原因</w:t>
      </w:r>
    </w:p>
    <w:p>
      <w:pPr>
        <w:pStyle w:val="BodyText"/>
        <w:spacing w:line="240" w:lineRule="auto" w:before="87"/>
        <w:ind w:right="0"/>
        <w:jc w:val="left"/>
      </w:pPr>
      <w:r>
        <w:rPr/>
        <w:t>√ 适用 □</w:t>
      </w:r>
      <w:r>
        <w:rPr>
          <w:spacing w:val="-1"/>
        </w:rPr>
        <w:t> </w:t>
      </w:r>
      <w:r>
        <w:rPr/>
        <w:t>不适用</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8"/>
        <w:gridCol w:w="1276"/>
        <w:gridCol w:w="5315"/>
      </w:tblGrid>
      <w:tr>
        <w:trPr>
          <w:trHeight w:val="401"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7"/>
              <w:jc w:val="right"/>
              <w:rPr>
                <w:rFonts w:ascii="宋体" w:hAnsi="宋体" w:cs="宋体" w:eastAsia="宋体" w:hint="default"/>
                <w:sz w:val="18"/>
                <w:szCs w:val="18"/>
              </w:rPr>
            </w:pPr>
            <w:r>
              <w:rPr>
                <w:rFonts w:ascii="宋体" w:hAnsi="宋体" w:cs="宋体" w:eastAsia="宋体" w:hint="default"/>
                <w:sz w:val="18"/>
                <w:szCs w:val="18"/>
              </w:rPr>
              <w:t>涉及金额（元）</w:t>
            </w:r>
          </w:p>
        </w:tc>
        <w:tc>
          <w:tcPr>
            <w:tcW w:w="5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2587"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专业投资公司产生的股权转让收益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7,643,410.66</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根据公司战略发展规划，公司较早就设立了华商盈通、上海鸿立及 鸿立华享等从事创业投资、项目投资等投资业务的专业投资公司。 本公司及上述投资公司经营范围包含投资业务，投资业务属于公司 的主要业务之一，上述投资公司已办理私募基金管理人登记和备案 手续，投资业务合法合规。上述投资公司投资收益具有持续性、稳 </w:t>
            </w:r>
            <w:r>
              <w:rPr>
                <w:rFonts w:ascii="宋体" w:hAnsi="宋体" w:cs="宋体" w:eastAsia="宋体" w:hint="default"/>
                <w:spacing w:val="-6"/>
                <w:sz w:val="18"/>
                <w:szCs w:val="18"/>
              </w:rPr>
              <w:t>定性。因此，本公司自</w:t>
            </w:r>
            <w:r>
              <w:rPr>
                <w:rFonts w:ascii="宋体" w:hAnsi="宋体" w:cs="宋体" w:eastAsia="宋体" w:hint="default"/>
                <w:spacing w:val="-43"/>
                <w:sz w:val="18"/>
                <w:szCs w:val="18"/>
              </w:rPr>
              <w:t> </w:t>
            </w: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年起将上述投资公司的股权处置等投资 </w:t>
            </w:r>
            <w:r>
              <w:rPr>
                <w:rFonts w:ascii="宋体" w:hAnsi="宋体" w:cs="宋体" w:eastAsia="宋体" w:hint="default"/>
                <w:spacing w:val="-6"/>
                <w:sz w:val="18"/>
                <w:szCs w:val="18"/>
              </w:rPr>
              <w:t>损益认定为经常性损益。</w:t>
            </w:r>
            <w:r>
              <w:rPr>
                <w:rFonts w:ascii="宋体" w:hAnsi="宋体" w:cs="宋体" w:eastAsia="宋体" w:hint="default"/>
                <w:spacing w:val="-6"/>
                <w:sz w:val="18"/>
                <w:szCs w:val="18"/>
              </w:rPr>
              <w:t>2018</w:t>
            </w:r>
            <w:r>
              <w:rPr>
                <w:rFonts w:ascii="宋体" w:hAnsi="宋体" w:cs="宋体" w:eastAsia="宋体" w:hint="default"/>
                <w:spacing w:val="-52"/>
                <w:sz w:val="18"/>
                <w:szCs w:val="18"/>
              </w:rPr>
              <w:t> </w:t>
            </w:r>
            <w:r>
              <w:rPr>
                <w:rFonts w:ascii="宋体" w:hAnsi="宋体" w:cs="宋体" w:eastAsia="宋体" w:hint="default"/>
                <w:sz w:val="18"/>
                <w:szCs w:val="18"/>
              </w:rPr>
              <w:t>年涉及金额为华商盈通</w:t>
            </w:r>
            <w:r>
              <w:rPr>
                <w:rFonts w:ascii="宋体" w:hAnsi="宋体" w:cs="宋体" w:eastAsia="宋体" w:hint="default"/>
                <w:sz w:val="18"/>
                <w:szCs w:val="18"/>
              </w:rPr>
              <w:t>-5,134,001.27 </w:t>
            </w:r>
            <w:r>
              <w:rPr>
                <w:rFonts w:ascii="宋体" w:hAnsi="宋体" w:cs="宋体" w:eastAsia="宋体" w:hint="default"/>
                <w:sz w:val="18"/>
                <w:szCs w:val="18"/>
              </w:rPr>
              <w:t>元，上海鸿立</w:t>
            </w:r>
            <w:r>
              <w:rPr>
                <w:rFonts w:ascii="宋体" w:hAnsi="宋体" w:cs="宋体" w:eastAsia="宋体" w:hint="default"/>
                <w:spacing w:val="-46"/>
                <w:sz w:val="18"/>
                <w:szCs w:val="18"/>
              </w:rPr>
              <w:t> </w:t>
            </w:r>
            <w:r>
              <w:rPr>
                <w:rFonts w:ascii="宋体" w:hAnsi="宋体" w:cs="宋体" w:eastAsia="宋体" w:hint="default"/>
                <w:sz w:val="18"/>
                <w:szCs w:val="18"/>
              </w:rPr>
              <w:t>12,777,411.93</w:t>
            </w:r>
            <w:r>
              <w:rPr>
                <w:rFonts w:ascii="宋体" w:hAnsi="宋体" w:cs="宋体" w:eastAsia="宋体" w:hint="default"/>
                <w:spacing w:val="-46"/>
                <w:sz w:val="18"/>
                <w:szCs w:val="18"/>
              </w:rPr>
              <w:t> </w:t>
            </w:r>
            <w:r>
              <w:rPr>
                <w:rFonts w:ascii="宋体" w:hAnsi="宋体" w:cs="宋体" w:eastAsia="宋体" w:hint="default"/>
                <w:sz w:val="18"/>
                <w:szCs w:val="18"/>
              </w:rPr>
              <w:t>元，鸿立华享</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before="0"/>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0"/>
        <w:rPr>
          <w:rFonts w:ascii="宋体" w:hAnsi="宋体" w:cs="宋体" w:eastAsia="宋体" w:hint="default"/>
          <w:b/>
          <w:bCs/>
          <w:sz w:val="24"/>
          <w:szCs w:val="24"/>
        </w:rPr>
      </w:pPr>
    </w:p>
    <w:p>
      <w:pPr>
        <w:pStyle w:val="BodyText"/>
        <w:spacing w:line="456" w:lineRule="auto" w:before="160"/>
        <w:ind w:right="7182"/>
        <w:jc w:val="left"/>
      </w:pPr>
      <w:r>
        <w:rPr/>
        <w:t>公司是否需要遵守特殊行业的披露要求 否</w:t>
      </w:r>
    </w:p>
    <w:p>
      <w:pPr>
        <w:pStyle w:val="BodyText"/>
        <w:spacing w:line="420" w:lineRule="auto" w:before="55"/>
        <w:ind w:right="0" w:firstLine="420"/>
        <w:jc w:val="left"/>
      </w:pPr>
      <w:r>
        <w:rPr>
          <w:spacing w:val="-1"/>
        </w:rPr>
        <w:t>公司主要从事传媒业务的经营，独家承担《证券时报》《华商报》《新文化报》《华商晨报》《重庆</w:t>
      </w:r>
      <w:r>
        <w:rPr/>
        <w:t> 时报》等经营业务的经营管理，独家承担国际台国内广播频率广告经营业务，提供手机音</w:t>
      </w:r>
      <w:r>
        <w:rPr>
          <w:rFonts w:ascii="宋体" w:hAnsi="宋体" w:cs="宋体" w:eastAsia="宋体" w:hint="default"/>
        </w:rPr>
        <w:t>/</w:t>
      </w:r>
      <w:r>
        <w:rPr/>
        <w:t>视频业务的内 </w:t>
      </w:r>
      <w:r>
        <w:rPr>
          <w:spacing w:val="-1"/>
        </w:rPr>
        <w:t>容集成、产品维护、业务营销管理及内容技术性筛选服务，提供运营商视频内容的分销和推广等服务，提</w:t>
      </w:r>
      <w:r>
        <w:rPr>
          <w:spacing w:val="-85"/>
        </w:rPr>
        <w:t> </w:t>
      </w:r>
      <w:r>
        <w:rPr>
          <w:spacing w:val="-85"/>
        </w:rPr>
      </w:r>
      <w:r>
        <w:rPr>
          <w:spacing w:val="-1"/>
        </w:rPr>
        <w:t>供楼宇电梯广告服务，销售动漫产品及提供动漫服务，车联网服务，游戏运营与开发。各子公司的业务内</w:t>
      </w:r>
      <w:r>
        <w:rPr>
          <w:spacing w:val="-86"/>
        </w:rPr>
        <w:t> </w:t>
      </w:r>
      <w:r>
        <w:rPr>
          <w:spacing w:val="-86"/>
        </w:rPr>
      </w:r>
      <w:r>
        <w:rPr/>
        <w:t>容和行业地位如下：</w:t>
      </w:r>
    </w:p>
    <w:p>
      <w:pPr>
        <w:pStyle w:val="BodyText"/>
        <w:spacing w:line="420" w:lineRule="auto" w:before="87"/>
        <w:ind w:right="0" w:firstLine="420"/>
        <w:jc w:val="left"/>
      </w:pPr>
      <w:r>
        <w:rPr/>
        <w:t>（一）时报传媒于</w:t>
      </w:r>
      <w:r>
        <w:rPr>
          <w:rFonts w:ascii="宋体" w:hAnsi="宋体" w:cs="宋体" w:eastAsia="宋体" w:hint="default"/>
        </w:rPr>
        <w:t>2006</w:t>
      </w:r>
      <w:r>
        <w:rPr/>
        <w:t>年</w:t>
      </w:r>
      <w:r>
        <w:rPr>
          <w:rFonts w:ascii="宋体" w:hAnsi="宋体" w:cs="宋体" w:eastAsia="宋体" w:hint="default"/>
        </w:rPr>
        <w:t>7</w:t>
      </w:r>
      <w:r>
        <w:rPr/>
        <w:t>月</w:t>
      </w:r>
      <w:r>
        <w:rPr>
          <w:rFonts w:ascii="宋体" w:hAnsi="宋体" w:cs="宋体" w:eastAsia="宋体" w:hint="default"/>
        </w:rPr>
        <w:t>31</w:t>
      </w:r>
      <w:r>
        <w:rPr/>
        <w:t>日与证券时报社签订了《经营业务授权协议》。根据该协议，证券时 </w:t>
      </w:r>
      <w:r>
        <w:rPr>
          <w:spacing w:val="-1"/>
        </w:rPr>
        <w:t>报社授予时报传媒有关《证券时报》的商业广告、财经信息的咨询策划、设计制作与代理发布等相关业务</w:t>
      </w:r>
    </w:p>
    <w:p>
      <w:pPr>
        <w:pStyle w:val="BodyText"/>
        <w:spacing w:line="420" w:lineRule="auto" w:before="47"/>
        <w:ind w:right="1092"/>
        <w:jc w:val="left"/>
      </w:pPr>
      <w:r>
        <w:rPr>
          <w:spacing w:val="-1"/>
        </w:rPr>
        <w:t>（统称为“《证券时报》经营业务”）的独家经营权。独家经营权期限为期三十年，自</w:t>
      </w:r>
      <w:r>
        <w:rPr>
          <w:rFonts w:ascii="宋体" w:hAnsi="宋体" w:cs="宋体" w:eastAsia="宋体" w:hint="default"/>
          <w:spacing w:val="-1"/>
        </w:rPr>
        <w:t>2006</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w:t>
      </w:r>
      <w:r>
        <w:rPr>
          <w:spacing w:val="-1"/>
        </w:rPr>
        <w:t>日起至</w:t>
      </w:r>
      <w:r>
        <w:rPr>
          <w:spacing w:val="-82"/>
        </w:rPr>
        <w:t> </w:t>
      </w:r>
      <w:r>
        <w:rPr>
          <w:rFonts w:ascii="宋体" w:hAnsi="宋体" w:cs="宋体" w:eastAsia="宋体" w:hint="default"/>
        </w:rPr>
        <w:t>2036</w:t>
      </w:r>
      <w:r>
        <w:rPr/>
        <w:t>年</w:t>
      </w:r>
      <w:r>
        <w:rPr>
          <w:rFonts w:ascii="宋体" w:hAnsi="宋体" w:cs="宋体" w:eastAsia="宋体" w:hint="default"/>
        </w:rPr>
        <w:t>7</w:t>
      </w:r>
      <w:r>
        <w:rPr/>
        <w:t>月</w:t>
      </w:r>
      <w:r>
        <w:rPr>
          <w:rFonts w:ascii="宋体" w:hAnsi="宋体" w:cs="宋体" w:eastAsia="宋体" w:hint="default"/>
        </w:rPr>
        <w:t>31</w:t>
      </w:r>
      <w:r>
        <w:rPr/>
        <w:t>日止，时报传媒于期限届满前</w:t>
      </w:r>
      <w:r>
        <w:rPr>
          <w:rFonts w:ascii="宋体" w:hAnsi="宋体" w:cs="宋体" w:eastAsia="宋体" w:hint="default"/>
        </w:rPr>
        <w:t>36</w:t>
      </w:r>
      <w:r>
        <w:rPr/>
        <w:t>个月向证券时报社提出续约请求的，证券时报社应予同意， 该协议可自动续期。《证券时报》是由人民日报社主管主办，以报道证券市场为主，兼顾经济金融信息， </w:t>
      </w:r>
      <w:r>
        <w:rPr>
          <w:spacing w:val="-1"/>
        </w:rPr>
        <w:t>面向国内外公开发行的财经类专业报刊，是中国证监会指定信息披露的报刊之一，经营业务存在一定的市</w:t>
      </w:r>
      <w:r>
        <w:rPr>
          <w:spacing w:val="-81"/>
        </w:rPr>
        <w:t> </w:t>
      </w:r>
      <w:r>
        <w:rPr>
          <w:spacing w:val="-81"/>
        </w:rPr>
      </w:r>
      <w:r>
        <w:rPr/>
        <w:t>场竞争。</w:t>
      </w:r>
    </w:p>
    <w:p>
      <w:pPr>
        <w:pStyle w:val="BodyText"/>
        <w:spacing w:line="420" w:lineRule="auto" w:before="88"/>
        <w:ind w:right="1017" w:firstLine="420"/>
        <w:jc w:val="left"/>
      </w:pPr>
      <w:r>
        <w:rPr>
          <w:spacing w:val="-3"/>
        </w:rPr>
        <w:t>（二）华商传媒取得独家代理经营《华商报》《新文化报》《华商晨报》《重庆时报》的广告、发行、</w:t>
      </w:r>
      <w:r>
        <w:rPr/>
        <w:t> 印刷等业务的权利。华商传媒目前经营的媒体主要为都市报，具有较强的竞争力。</w:t>
      </w:r>
    </w:p>
    <w:p>
      <w:pPr>
        <w:pStyle w:val="BodyText"/>
        <w:spacing w:line="240" w:lineRule="auto" w:before="87"/>
        <w:ind w:left="574" w:right="0"/>
        <w:jc w:val="left"/>
      </w:pPr>
      <w:r>
        <w:rPr>
          <w:rFonts w:ascii="宋体" w:hAnsi="宋体" w:cs="宋体" w:eastAsia="宋体" w:hint="default"/>
          <w:spacing w:val="1"/>
        </w:rPr>
        <w:t>1</w:t>
      </w:r>
      <w:r>
        <w:rPr>
          <w:spacing w:val="-84"/>
        </w:rPr>
        <w:t>．</w:t>
      </w:r>
      <w:r>
        <w:rPr/>
        <w:t>华商传</w:t>
      </w:r>
      <w:r>
        <w:rPr>
          <w:spacing w:val="-2"/>
        </w:rPr>
        <w:t>媒</w:t>
      </w:r>
      <w:r>
        <w:rPr/>
        <w:t>控股子公司华商广告</w:t>
      </w:r>
      <w:r>
        <w:rPr>
          <w:spacing w:val="-84"/>
        </w:rPr>
        <w:t>、</w:t>
      </w:r>
      <w:r>
        <w:rPr/>
        <w:t>华商数码于</w:t>
      </w:r>
      <w:r>
        <w:rPr>
          <w:rFonts w:ascii="宋体" w:hAnsi="宋体" w:cs="宋体" w:eastAsia="宋体" w:hint="default"/>
        </w:rPr>
        <w:t>2007</w:t>
      </w:r>
      <w:r>
        <w:rPr/>
        <w:t>年</w:t>
      </w:r>
      <w:r>
        <w:rPr>
          <w:rFonts w:ascii="宋体" w:hAnsi="宋体" w:cs="宋体" w:eastAsia="宋体" w:hint="default"/>
        </w:rPr>
        <w:t>1</w:t>
      </w:r>
      <w:r>
        <w:rPr>
          <w:spacing w:val="-2"/>
        </w:rPr>
        <w:t>月</w:t>
      </w:r>
      <w:r>
        <w:rPr>
          <w:rFonts w:ascii="宋体" w:hAnsi="宋体" w:cs="宋体" w:eastAsia="宋体" w:hint="default"/>
        </w:rPr>
        <w:t>15</w:t>
      </w:r>
      <w:r>
        <w:rPr>
          <w:spacing w:val="-2"/>
        </w:rPr>
        <w:t>日</w:t>
      </w:r>
      <w:r>
        <w:rPr/>
        <w:t>分别与华商报社签订</w:t>
      </w:r>
      <w:r>
        <w:rPr>
          <w:spacing w:val="-84"/>
        </w:rPr>
        <w:t>了</w:t>
      </w:r>
      <w:r>
        <w:rPr/>
        <w:t>《广告业务协议</w:t>
      </w:r>
      <w:r>
        <w:rPr>
          <w:spacing w:val="-84"/>
        </w:rPr>
        <w:t>》</w:t>
      </w:r>
      <w:r>
        <w:rPr/>
        <w:t>、</w:t>
      </w:r>
    </w:p>
    <w:p>
      <w:pPr>
        <w:spacing w:line="240" w:lineRule="auto" w:before="9"/>
        <w:rPr>
          <w:rFonts w:ascii="宋体" w:hAnsi="宋体" w:cs="宋体" w:eastAsia="宋体" w:hint="default"/>
          <w:sz w:val="15"/>
          <w:szCs w:val="15"/>
        </w:rPr>
      </w:pPr>
    </w:p>
    <w:p>
      <w:pPr>
        <w:pStyle w:val="BodyText"/>
        <w:spacing w:line="420" w:lineRule="auto"/>
        <w:ind w:right="1116"/>
        <w:jc w:val="left"/>
      </w:pPr>
      <w:r>
        <w:rPr>
          <w:spacing w:val="-1"/>
        </w:rPr>
        <w:t>《发行业务协议》《印刷业务协议》，华商报社授予华商传媒控股子公司有关《华商报》的广告设计制作</w:t>
      </w:r>
      <w:r>
        <w:rPr>
          <w:spacing w:val="-83"/>
        </w:rPr>
        <w:t> </w:t>
      </w:r>
      <w:r>
        <w:rPr>
          <w:spacing w:val="-83"/>
        </w:rPr>
      </w:r>
      <w:r>
        <w:rPr>
          <w:spacing w:val="-1"/>
        </w:rPr>
        <w:t>与代理发布、报纸印刷、纸张采购及报纸发行等相关业务的独家经营权，独家经营权期限为期三十年，自</w:t>
      </w:r>
      <w:r>
        <w:rPr>
          <w:spacing w:val="-85"/>
        </w:rPr>
        <w:t> </w:t>
      </w:r>
      <w:r>
        <w:rPr>
          <w:spacing w:val="-85"/>
        </w:rPr>
      </w:r>
      <w:r>
        <w:rPr>
          <w:rFonts w:ascii="宋体" w:hAnsi="宋体" w:cs="宋体" w:eastAsia="宋体" w:hint="default"/>
        </w:rPr>
        <w:t>2007</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2036</w:t>
      </w:r>
      <w:r>
        <w:rPr/>
        <w:t>年</w:t>
      </w:r>
      <w:r>
        <w:rPr>
          <w:rFonts w:ascii="宋体" w:hAnsi="宋体" w:cs="宋体" w:eastAsia="宋体" w:hint="default"/>
        </w:rPr>
        <w:t>12</w:t>
      </w:r>
      <w:r>
        <w:rPr/>
        <w:t>月</w:t>
      </w:r>
      <w:r>
        <w:rPr>
          <w:rFonts w:ascii="宋体" w:hAnsi="宋体" w:cs="宋体" w:eastAsia="宋体" w:hint="default"/>
        </w:rPr>
        <w:t>31</w:t>
      </w:r>
      <w:r>
        <w:rPr/>
        <w:t>日止。华商广告、华商数码于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28</w:t>
      </w:r>
      <w:r>
        <w:rPr/>
        <w:t>日分别与华商报社签订了《</w:t>
      </w:r>
      <w:r>
        <w:rPr>
          <w:rFonts w:ascii="宋体" w:hAnsi="宋体" w:cs="宋体" w:eastAsia="宋体" w:hint="default"/>
        </w:rPr>
        <w:t>&lt; </w:t>
      </w:r>
      <w:r>
        <w:rPr>
          <w:spacing w:val="-3"/>
        </w:rPr>
        <w:t>广告业务协议</w:t>
      </w:r>
      <w:r>
        <w:rPr>
          <w:rFonts w:ascii="宋体" w:hAnsi="宋体" w:cs="宋体" w:eastAsia="宋体" w:hint="default"/>
          <w:spacing w:val="-3"/>
        </w:rPr>
        <w:t>&gt;</w:t>
      </w:r>
      <w:r>
        <w:rPr>
          <w:spacing w:val="-3"/>
        </w:rPr>
        <w:t>终止协议》、《</w:t>
      </w:r>
      <w:r>
        <w:rPr>
          <w:rFonts w:ascii="宋体" w:hAnsi="宋体" w:cs="宋体" w:eastAsia="宋体" w:hint="default"/>
          <w:spacing w:val="-3"/>
        </w:rPr>
        <w:t>&lt;</w:t>
      </w:r>
      <w:r>
        <w:rPr>
          <w:spacing w:val="-3"/>
        </w:rPr>
        <w:t>发行业务协议</w:t>
      </w:r>
      <w:r>
        <w:rPr>
          <w:rFonts w:ascii="宋体" w:hAnsi="宋体" w:cs="宋体" w:eastAsia="宋体" w:hint="default"/>
          <w:spacing w:val="-3"/>
        </w:rPr>
        <w:t>&gt;</w:t>
      </w:r>
      <w:r>
        <w:rPr>
          <w:spacing w:val="-3"/>
        </w:rPr>
        <w:t>终止协议》《</w:t>
      </w:r>
      <w:r>
        <w:rPr>
          <w:rFonts w:ascii="宋体" w:hAnsi="宋体" w:cs="宋体" w:eastAsia="宋体" w:hint="default"/>
          <w:spacing w:val="-3"/>
        </w:rPr>
        <w:t>&lt;</w:t>
      </w:r>
      <w:r>
        <w:rPr>
          <w:spacing w:val="-3"/>
        </w:rPr>
        <w:t>印刷业务协议</w:t>
      </w:r>
      <w:r>
        <w:rPr>
          <w:rFonts w:ascii="宋体" w:hAnsi="宋体" w:cs="宋体" w:eastAsia="宋体" w:hint="default"/>
          <w:spacing w:val="-3"/>
        </w:rPr>
        <w:t>&gt;</w:t>
      </w:r>
      <w:r>
        <w:rPr>
          <w:spacing w:val="-3"/>
        </w:rPr>
        <w:t>终止协议》。华商广告于</w:t>
      </w:r>
      <w:r>
        <w:rPr>
          <w:rFonts w:ascii="宋体" w:hAnsi="宋体" w:cs="宋体" w:eastAsia="宋体" w:hint="default"/>
          <w:spacing w:val="-3"/>
        </w:rPr>
        <w:t>2018</w:t>
      </w:r>
      <w:r>
        <w:rPr>
          <w:rFonts w:ascii="宋体" w:hAnsi="宋体" w:cs="宋体" w:eastAsia="宋体" w:hint="default"/>
          <w:spacing w:val="-90"/>
        </w:rPr>
        <w:t> </w:t>
      </w:r>
      <w:r>
        <w:rPr>
          <w:rFonts w:ascii="宋体" w:hAnsi="宋体" w:cs="宋体" w:eastAsia="宋体" w:hint="default"/>
          <w:spacing w:val="-90"/>
        </w:rPr>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28</w:t>
      </w:r>
      <w:r>
        <w:rPr>
          <w:spacing w:val="-1"/>
        </w:rPr>
        <w:t>日与华商报社签订了《经营性业务授权协议》，华商广告取得包括《华商报》的广告、发行、印</w:t>
      </w:r>
      <w:r>
        <w:rPr>
          <w:spacing w:val="-86"/>
        </w:rPr>
        <w:t> </w:t>
      </w:r>
      <w:r>
        <w:rPr>
          <w:spacing w:val="-86"/>
        </w:rPr>
      </w:r>
      <w:r>
        <w:rPr>
          <w:spacing w:val="-1"/>
        </w:rPr>
        <w:t>刷与纸张采购等业务在内的全部经营性业务的独家经营权，经营权期限自</w:t>
      </w:r>
      <w:r>
        <w:rPr>
          <w:rFonts w:ascii="宋体" w:hAnsi="宋体" w:cs="宋体" w:eastAsia="宋体" w:hint="default"/>
          <w:spacing w:val="-1"/>
        </w:rPr>
        <w:t>2019</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日起至</w:t>
      </w:r>
      <w:r>
        <w:rPr>
          <w:rFonts w:ascii="宋体" w:hAnsi="宋体" w:cs="宋体" w:eastAsia="宋体" w:hint="default"/>
          <w:spacing w:val="-1"/>
        </w:rPr>
        <w:t>2036</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rFonts w:ascii="宋体" w:hAnsi="宋体" w:cs="宋体" w:eastAsia="宋体" w:hint="default"/>
          <w:spacing w:val="-81"/>
        </w:rPr>
        <w:t> </w:t>
      </w:r>
      <w:r>
        <w:rPr/>
        <w:t>日止。</w:t>
      </w:r>
    </w:p>
    <w:p>
      <w:pPr>
        <w:spacing w:after="0" w:line="42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420" w:lineRule="auto" w:before="35"/>
        <w:ind w:right="0" w:firstLine="420"/>
        <w:jc w:val="left"/>
      </w:pPr>
      <w:r>
        <w:rPr>
          <w:rFonts w:ascii="宋体" w:hAnsi="宋体" w:cs="宋体" w:eastAsia="宋体" w:hint="default"/>
          <w:spacing w:val="-3"/>
        </w:rPr>
        <w:t>2</w:t>
      </w:r>
      <w:r>
        <w:rPr>
          <w:spacing w:val="-3"/>
        </w:rPr>
        <w:t>．华商传媒控股子公司吉林华商传媒于</w:t>
      </w:r>
      <w:r>
        <w:rPr>
          <w:rFonts w:ascii="宋体" w:hAnsi="宋体" w:cs="宋体" w:eastAsia="宋体" w:hint="default"/>
          <w:spacing w:val="-3"/>
        </w:rPr>
        <w:t>2007</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20</w:t>
      </w:r>
      <w:r>
        <w:rPr>
          <w:spacing w:val="-3"/>
        </w:rPr>
        <w:t>日与新文化报社签订了《经营性业务授权协议》，</w:t>
      </w:r>
      <w:r>
        <w:rPr/>
        <w:t> 新文化报社将《新文化报》的广告、发行、印刷与纸张采购在内的全部经营性业务授权给吉林华商传媒独 家经营，独家经营权包括在协议有效期内独家经营及获取相应收益的权利，独家经营权期限为期三十年， 自</w:t>
      </w:r>
      <w:r>
        <w:rPr>
          <w:rFonts w:ascii="宋体" w:hAnsi="宋体" w:cs="宋体" w:eastAsia="宋体" w:hint="default"/>
        </w:rPr>
        <w:t>2007</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2036</w:t>
      </w:r>
      <w:r>
        <w:rPr/>
        <w:t>年</w:t>
      </w:r>
      <w:r>
        <w:rPr>
          <w:rFonts w:ascii="宋体" w:hAnsi="宋体" w:cs="宋体" w:eastAsia="宋体" w:hint="default"/>
        </w:rPr>
        <w:t>12</w:t>
      </w:r>
      <w:r>
        <w:rPr/>
        <w:t>月</w:t>
      </w:r>
      <w:r>
        <w:rPr>
          <w:rFonts w:ascii="宋体" w:hAnsi="宋体" w:cs="宋体" w:eastAsia="宋体" w:hint="default"/>
        </w:rPr>
        <w:t>31</w:t>
      </w:r>
      <w:r>
        <w:rPr/>
        <w:t>日止。</w:t>
      </w:r>
    </w:p>
    <w:p>
      <w:pPr>
        <w:pStyle w:val="BodyText"/>
        <w:spacing w:line="420" w:lineRule="auto" w:before="87"/>
        <w:ind w:right="0" w:firstLine="420"/>
        <w:jc w:val="left"/>
      </w:pPr>
      <w:r>
        <w:rPr>
          <w:rFonts w:ascii="宋体" w:hAnsi="宋体" w:cs="宋体" w:eastAsia="宋体" w:hint="default"/>
          <w:spacing w:val="-5"/>
        </w:rPr>
        <w:t>3</w:t>
      </w:r>
      <w:r>
        <w:rPr>
          <w:spacing w:val="-5"/>
        </w:rPr>
        <w:t>．华商传媒控股子公司辽宁盈丰传媒于</w:t>
      </w:r>
      <w:r>
        <w:rPr>
          <w:rFonts w:ascii="宋体" w:hAnsi="宋体" w:cs="宋体" w:eastAsia="宋体" w:hint="default"/>
          <w:spacing w:val="-5"/>
        </w:rPr>
        <w:t>2007</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25</w:t>
      </w:r>
      <w:r>
        <w:rPr>
          <w:spacing w:val="-5"/>
        </w:rPr>
        <w:t>日与华商晨报社签订了《经营性业务授权协议》，</w:t>
      </w:r>
      <w:r>
        <w:rPr/>
        <w:t> 华商晨报社将《华商晨报》的广告、发行、印刷与纸张采购在内的全部经营性业务授权给辽宁盈丰独家经 </w:t>
      </w:r>
      <w:r>
        <w:rPr>
          <w:spacing w:val="-5"/>
        </w:rPr>
        <w:t>营，独家经营权包括在协议有效期内独家经营及获取相应收益的权利。独家经营权期限为期三十年，自</w:t>
      </w:r>
      <w:r>
        <w:rPr>
          <w:rFonts w:ascii="宋体" w:hAnsi="宋体" w:cs="宋体" w:eastAsia="宋体" w:hint="default"/>
          <w:spacing w:val="-5"/>
        </w:rPr>
        <w:t>2008</w:t>
      </w:r>
      <w:r>
        <w:rPr>
          <w:rFonts w:ascii="宋体" w:hAnsi="宋体" w:cs="宋体" w:eastAsia="宋体" w:hint="default"/>
          <w:spacing w:val="-90"/>
        </w:rPr>
        <w:t> </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2037</w:t>
      </w:r>
      <w:r>
        <w:rPr/>
        <w:t>年</w:t>
      </w:r>
      <w:r>
        <w:rPr>
          <w:rFonts w:ascii="宋体" w:hAnsi="宋体" w:cs="宋体" w:eastAsia="宋体" w:hint="default"/>
        </w:rPr>
        <w:t>12</w:t>
      </w:r>
      <w:r>
        <w:rPr/>
        <w:t>月</w:t>
      </w:r>
      <w:r>
        <w:rPr>
          <w:rFonts w:ascii="宋体" w:hAnsi="宋体" w:cs="宋体" w:eastAsia="宋体" w:hint="default"/>
        </w:rPr>
        <w:t>31</w:t>
      </w:r>
      <w:r>
        <w:rPr/>
        <w:t>日止。由于华商晨报社已经决定自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日起《华商晨报》休刊，辽宁盈 丰传媒于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29</w:t>
      </w:r>
      <w:r>
        <w:rPr/>
        <w:t>日与华商晨报社签署《</w:t>
      </w:r>
      <w:r>
        <w:rPr>
          <w:rFonts w:ascii="宋体" w:hAnsi="宋体" w:cs="宋体" w:eastAsia="宋体" w:hint="default"/>
        </w:rPr>
        <w:t>&lt;</w:t>
      </w:r>
      <w:r>
        <w:rPr/>
        <w:t>经营性业务授权协议</w:t>
      </w:r>
      <w:r>
        <w:rPr>
          <w:rFonts w:ascii="宋体" w:hAnsi="宋体" w:cs="宋体" w:eastAsia="宋体" w:hint="default"/>
        </w:rPr>
        <w:t>&gt;</w:t>
      </w:r>
      <w:r>
        <w:rPr/>
        <w:t>终止协议》，于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日终止</w:t>
      </w:r>
    </w:p>
    <w:p>
      <w:pPr>
        <w:pStyle w:val="BodyText"/>
        <w:spacing w:line="456" w:lineRule="auto" w:before="47"/>
        <w:ind w:left="574" w:right="0" w:hanging="420"/>
        <w:jc w:val="left"/>
      </w:pPr>
      <w:r>
        <w:rPr/>
        <w:t>《经营性业务授权协议》。 </w:t>
      </w:r>
      <w:r>
        <w:rPr>
          <w:rFonts w:ascii="宋体" w:hAnsi="宋体" w:cs="宋体" w:eastAsia="宋体" w:hint="default"/>
          <w:spacing w:val="-5"/>
        </w:rPr>
        <w:t>4</w:t>
      </w:r>
      <w:r>
        <w:rPr>
          <w:spacing w:val="-5"/>
        </w:rPr>
        <w:t>．华商传媒控股子公司重庆华博传媒于</w:t>
      </w:r>
      <w:r>
        <w:rPr>
          <w:rFonts w:ascii="宋体" w:hAnsi="宋体" w:cs="宋体" w:eastAsia="宋体" w:hint="default"/>
          <w:spacing w:val="-5"/>
        </w:rPr>
        <w:t>2007</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25</w:t>
      </w:r>
      <w:r>
        <w:rPr>
          <w:spacing w:val="-5"/>
        </w:rPr>
        <w:t>日与重庆时报社签订了《经营性业务授权协议》，</w:t>
      </w:r>
    </w:p>
    <w:p>
      <w:pPr>
        <w:pStyle w:val="BodyText"/>
        <w:spacing w:line="420" w:lineRule="auto" w:before="16"/>
        <w:ind w:right="1110"/>
        <w:jc w:val="both"/>
      </w:pPr>
      <w:r>
        <w:rPr>
          <w:spacing w:val="-1"/>
        </w:rPr>
        <w:t>重庆时报社将《重庆时报》的广告、发行、印刷与纸张采购在内的全部经营性业务授权给重庆华博传媒独</w:t>
      </w:r>
      <w:r>
        <w:rPr>
          <w:spacing w:val="-86"/>
        </w:rPr>
        <w:t> </w:t>
      </w:r>
      <w:r>
        <w:rPr>
          <w:spacing w:val="-86"/>
        </w:rPr>
      </w:r>
      <w:r>
        <w:rPr/>
        <w:t>家经营，独家经营权包括在协议有效期内独家经营及获取相应收益的权利。独家经营权期限为期三十年， 自</w:t>
      </w:r>
      <w:r>
        <w:rPr>
          <w:rFonts w:ascii="宋体" w:hAnsi="宋体" w:cs="宋体" w:eastAsia="宋体" w:hint="default"/>
        </w:rPr>
        <w:t>2008</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2037</w:t>
      </w:r>
      <w:r>
        <w:rPr/>
        <w:t>年</w:t>
      </w:r>
      <w:r>
        <w:rPr>
          <w:rFonts w:ascii="宋体" w:hAnsi="宋体" w:cs="宋体" w:eastAsia="宋体" w:hint="default"/>
        </w:rPr>
        <w:t>12</w:t>
      </w:r>
      <w:r>
        <w:rPr/>
        <w:t>月</w:t>
      </w:r>
      <w:r>
        <w:rPr>
          <w:rFonts w:ascii="宋体" w:hAnsi="宋体" w:cs="宋体" w:eastAsia="宋体" w:hint="default"/>
        </w:rPr>
        <w:t>31</w:t>
      </w:r>
      <w:r>
        <w:rPr/>
        <w:t>日止。由于重庆时报社已经决定自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日起《重庆时报》休刊， </w:t>
      </w:r>
      <w:r>
        <w:rPr>
          <w:spacing w:val="-1"/>
        </w:rPr>
        <w:t>重庆华博传媒于</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29</w:t>
      </w:r>
      <w:r>
        <w:rPr>
          <w:spacing w:val="-1"/>
        </w:rPr>
        <w:t>日与重庆时报社签署《</w:t>
      </w:r>
      <w:r>
        <w:rPr>
          <w:rFonts w:ascii="宋体" w:hAnsi="宋体" w:cs="宋体" w:eastAsia="宋体" w:hint="default"/>
          <w:spacing w:val="-1"/>
        </w:rPr>
        <w:t>&lt;</w:t>
      </w:r>
      <w:r>
        <w:rPr>
          <w:spacing w:val="-1"/>
        </w:rPr>
        <w:t>经营性业务授权协议</w:t>
      </w:r>
      <w:r>
        <w:rPr>
          <w:rFonts w:ascii="宋体" w:hAnsi="宋体" w:cs="宋体" w:eastAsia="宋体" w:hint="default"/>
          <w:spacing w:val="-1"/>
        </w:rPr>
        <w:t>&gt;</w:t>
      </w:r>
      <w:r>
        <w:rPr>
          <w:spacing w:val="-1"/>
        </w:rPr>
        <w:t>终止协议》，于</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rFonts w:ascii="宋体" w:hAnsi="宋体" w:cs="宋体" w:eastAsia="宋体" w:hint="default"/>
          <w:spacing w:val="-83"/>
        </w:rPr>
        <w:t> </w:t>
      </w:r>
      <w:r>
        <w:rPr/>
        <w:t>日终止《经营性业务授权协议》。</w:t>
      </w:r>
    </w:p>
    <w:p>
      <w:pPr>
        <w:pStyle w:val="BodyText"/>
        <w:spacing w:line="420" w:lineRule="auto" w:before="87"/>
        <w:ind w:right="1018" w:firstLine="420"/>
        <w:jc w:val="left"/>
      </w:pPr>
      <w:r>
        <w:rPr/>
        <w:t>（三）国广光荣于</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日与国广控股签订《经营业务授权协议》，国广控股授予国广光荣有关 国际台在中国境内所有广播频率商业广告的咨询策划、设计制作与代理发布等业务（以下统称为“国际台 对内广播频率广告经营业务”）的独家经营权，授权期限为</w:t>
      </w:r>
      <w:r>
        <w:rPr>
          <w:rFonts w:ascii="宋体" w:hAnsi="宋体" w:cs="宋体" w:eastAsia="宋体" w:hint="default"/>
        </w:rPr>
        <w:t>30</w:t>
      </w:r>
      <w:r>
        <w:rPr/>
        <w:t>年（即自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2040</w:t>
      </w:r>
      <w:r>
        <w:rPr/>
        <w:t>年</w:t>
      </w:r>
      <w:r>
        <w:rPr>
          <w:rFonts w:ascii="宋体" w:hAnsi="宋体" w:cs="宋体" w:eastAsia="宋体" w:hint="default"/>
        </w:rPr>
        <w:t>12</w:t>
      </w:r>
      <w:r>
        <w:rPr/>
        <w:t>月</w:t>
      </w:r>
      <w:r>
        <w:rPr>
          <w:rFonts w:ascii="宋体" w:hAnsi="宋体" w:cs="宋体" w:eastAsia="宋体" w:hint="default"/>
        </w:rPr>
        <w:t>31</w:t>
      </w:r>
      <w:r>
        <w:rPr/>
        <w:t>日 止）。国广光荣经营的国际台国内广播内容主要有三套（即：劲曲调频、轻松调频、环球资讯等），已经 具备较强的品牌影响力，落地城市主要在直辖市北京、上海、广州、深圳、天津和重庆等一线城市，以及 武汉、成都、南京等省会城市。截至</w:t>
      </w:r>
      <w:r>
        <w:rPr>
          <w:rFonts w:ascii="宋体" w:hAnsi="宋体" w:cs="宋体" w:eastAsia="宋体" w:hint="default"/>
        </w:rPr>
        <w:t>2018</w:t>
      </w:r>
      <w:r>
        <w:rPr/>
        <w:t>年</w:t>
      </w:r>
      <w:r>
        <w:rPr>
          <w:rFonts w:ascii="宋体" w:hAnsi="宋体" w:cs="宋体" w:eastAsia="宋体" w:hint="default"/>
        </w:rPr>
        <w:t>12</w:t>
      </w:r>
      <w:r>
        <w:rPr/>
        <w:t>月底，国广光荣正在经营的广播频率资源包括：环球资讯广 播北京</w:t>
      </w:r>
      <w:r>
        <w:rPr>
          <w:rFonts w:ascii="宋体" w:hAnsi="宋体" w:cs="宋体" w:eastAsia="宋体" w:hint="default"/>
        </w:rPr>
        <w:t>FM90.5</w:t>
      </w:r>
      <w:r>
        <w:rPr/>
        <w:t>、深圳（广州、珠海）</w:t>
      </w:r>
      <w:r>
        <w:rPr>
          <w:rFonts w:ascii="宋体" w:hAnsi="宋体" w:cs="宋体" w:eastAsia="宋体" w:hint="default"/>
        </w:rPr>
        <w:t>FM107.1</w:t>
      </w:r>
      <w:r>
        <w:rPr/>
        <w:t>、天津</w:t>
      </w:r>
      <w:r>
        <w:rPr>
          <w:rFonts w:ascii="宋体" w:hAnsi="宋体" w:cs="宋体" w:eastAsia="宋体" w:hint="default"/>
        </w:rPr>
        <w:t>FM105.4</w:t>
      </w:r>
      <w:r>
        <w:rPr/>
        <w:t>、重庆</w:t>
      </w:r>
      <w:r>
        <w:rPr>
          <w:rFonts w:ascii="宋体" w:hAnsi="宋体" w:cs="宋体" w:eastAsia="宋体" w:hint="default"/>
        </w:rPr>
        <w:t>FM91.7</w:t>
      </w:r>
      <w:r>
        <w:rPr/>
        <w:t>、上海</w:t>
      </w:r>
      <w:r>
        <w:rPr>
          <w:rFonts w:ascii="宋体" w:hAnsi="宋体" w:cs="宋体" w:eastAsia="宋体" w:hint="default"/>
        </w:rPr>
        <w:t>FM102.5</w:t>
      </w:r>
      <w:r>
        <w:rPr/>
        <w:t>、成都</w:t>
      </w:r>
      <w:r>
        <w:rPr>
          <w:rFonts w:ascii="宋体" w:hAnsi="宋体" w:cs="宋体" w:eastAsia="宋体" w:hint="default"/>
        </w:rPr>
        <w:t>FM88.9</w:t>
      </w:r>
      <w:r>
        <w:rPr/>
        <w:t>； 轻松调频（</w:t>
      </w:r>
      <w:r>
        <w:rPr>
          <w:rFonts w:ascii="宋体" w:hAnsi="宋体" w:cs="宋体" w:eastAsia="宋体" w:hint="default"/>
        </w:rPr>
        <w:t>EZ</w:t>
      </w:r>
      <w:r>
        <w:rPr>
          <w:rFonts w:ascii="宋体" w:hAnsi="宋体" w:cs="宋体" w:eastAsia="宋体" w:hint="default"/>
          <w:spacing w:val="-68"/>
        </w:rPr>
        <w:t> </w:t>
      </w:r>
      <w:r>
        <w:rPr>
          <w:rFonts w:ascii="宋体" w:hAnsi="宋体" w:cs="宋体" w:eastAsia="宋体" w:hint="default"/>
        </w:rPr>
        <w:t>FM</w:t>
      </w:r>
      <w:r>
        <w:rPr/>
        <w:t>）北京</w:t>
      </w:r>
      <w:r>
        <w:rPr>
          <w:rFonts w:ascii="宋体" w:hAnsi="宋体" w:cs="宋体" w:eastAsia="宋体" w:hint="default"/>
        </w:rPr>
        <w:t>FM91.5</w:t>
      </w:r>
      <w:r>
        <w:rPr/>
        <w:t>；劲曲调频（</w:t>
      </w:r>
      <w:r>
        <w:rPr>
          <w:rFonts w:ascii="宋体" w:hAnsi="宋体" w:cs="宋体" w:eastAsia="宋体" w:hint="default"/>
        </w:rPr>
        <w:t>HIT</w:t>
      </w:r>
      <w:r>
        <w:rPr>
          <w:rFonts w:ascii="宋体" w:hAnsi="宋体" w:cs="宋体" w:eastAsia="宋体" w:hint="default"/>
          <w:spacing w:val="-68"/>
        </w:rPr>
        <w:t> </w:t>
      </w:r>
      <w:r>
        <w:rPr>
          <w:rFonts w:ascii="宋体" w:hAnsi="宋体" w:cs="宋体" w:eastAsia="宋体" w:hint="default"/>
        </w:rPr>
        <w:t>FM</w:t>
      </w:r>
      <w:r>
        <w:rPr/>
        <w:t>）北京</w:t>
      </w:r>
      <w:r>
        <w:rPr>
          <w:rFonts w:ascii="宋体" w:hAnsi="宋体" w:cs="宋体" w:eastAsia="宋体" w:hint="default"/>
        </w:rPr>
        <w:t>FM88.7</w:t>
      </w:r>
      <w:r>
        <w:rPr/>
        <w:t>、上海</w:t>
      </w:r>
      <w:r>
        <w:rPr>
          <w:rFonts w:ascii="宋体" w:hAnsi="宋体" w:cs="宋体" w:eastAsia="宋体" w:hint="default"/>
        </w:rPr>
        <w:t>FM87.9</w:t>
      </w:r>
      <w:r>
        <w:rPr/>
        <w:t>、广州</w:t>
      </w:r>
      <w:r>
        <w:rPr>
          <w:rFonts w:ascii="宋体" w:hAnsi="宋体" w:cs="宋体" w:eastAsia="宋体" w:hint="default"/>
        </w:rPr>
        <w:t>FM88.5</w:t>
      </w:r>
      <w:r>
        <w:rPr/>
        <w:t>、南京</w:t>
      </w:r>
      <w:r>
        <w:rPr>
          <w:rFonts w:ascii="宋体" w:hAnsi="宋体" w:cs="宋体" w:eastAsia="宋体" w:hint="default"/>
        </w:rPr>
        <w:t>102.0</w:t>
      </w:r>
      <w:r>
        <w:rPr/>
        <w:t>、 成都</w:t>
      </w:r>
      <w:r>
        <w:rPr>
          <w:rFonts w:ascii="宋体" w:hAnsi="宋体" w:cs="宋体" w:eastAsia="宋体" w:hint="default"/>
        </w:rPr>
        <w:t>FM88.7</w:t>
      </w:r>
      <w:r>
        <w:rPr/>
        <w:t>、武汉</w:t>
      </w:r>
      <w:r>
        <w:rPr>
          <w:rFonts w:ascii="宋体" w:hAnsi="宋体" w:cs="宋体" w:eastAsia="宋体" w:hint="default"/>
        </w:rPr>
        <w:t>FM88.8</w:t>
      </w:r>
      <w:r>
        <w:rPr/>
        <w:t>等。</w:t>
      </w:r>
    </w:p>
    <w:p>
      <w:pPr>
        <w:pStyle w:val="BodyText"/>
        <w:spacing w:line="420" w:lineRule="auto" w:before="87"/>
        <w:ind w:right="1131" w:firstLine="420"/>
        <w:jc w:val="both"/>
      </w:pPr>
      <w:r>
        <w:rPr>
          <w:spacing w:val="-1"/>
        </w:rPr>
        <w:t>（四）澄怀科技所处行业为现代服务业，澄怀科技下设北京成功启航教育咨询有限公司、北京澄怀观</w:t>
      </w:r>
      <w:r>
        <w:rPr/>
        <w:t> </w:t>
      </w:r>
      <w:r>
        <w:rPr>
          <w:spacing w:val="-1"/>
        </w:rPr>
        <w:t>道网络科技有限公司、北京瀚祥拓睿国际旅游有限公司等分子公司。澄怀科技业务领域涵盖出国留学申请</w:t>
      </w:r>
      <w:r>
        <w:rPr>
          <w:spacing w:val="-81"/>
        </w:rPr>
        <w:t> </w:t>
      </w:r>
      <w:r>
        <w:rPr>
          <w:spacing w:val="-81"/>
        </w:rPr>
      </w:r>
      <w:r>
        <w:rPr/>
        <w:t>的信息咨询服务、出国英语考试培训服务、留学实习业务、出国游学及短期出国旅游服务等。</w:t>
      </w:r>
    </w:p>
    <w:p>
      <w:pPr>
        <w:spacing w:after="0" w:line="42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420" w:lineRule="auto" w:before="35"/>
        <w:ind w:right="1092" w:firstLine="420"/>
        <w:jc w:val="left"/>
      </w:pPr>
      <w:r>
        <w:rPr/>
        <w:t>（五）华闻视讯致力于移动视频的运营与推广，下属子公司包括国视上海、掌视亿通、国广华屏等。 其中：</w:t>
      </w:r>
    </w:p>
    <w:p>
      <w:pPr>
        <w:pStyle w:val="BodyText"/>
        <w:spacing w:line="420" w:lineRule="auto" w:before="87"/>
        <w:ind w:right="1116" w:firstLine="420"/>
        <w:jc w:val="left"/>
      </w:pPr>
      <w:r>
        <w:rPr>
          <w:rFonts w:ascii="宋体" w:hAnsi="宋体" w:cs="宋体" w:eastAsia="宋体" w:hint="default"/>
        </w:rPr>
        <w:t>1</w:t>
      </w:r>
      <w:r>
        <w:rPr/>
        <w:t>．国视上海作为运营支撑类公司，向牌照方提供内容集成、包装策划、内容技术性筛选、内容二次 制作、平台适配等一系列运营管理服务，协助并确保牌照方与电信运营商之间的手机音</w:t>
      </w:r>
      <w:r>
        <w:rPr>
          <w:rFonts w:ascii="宋体" w:hAnsi="宋体" w:cs="宋体" w:eastAsia="宋体" w:hint="default"/>
        </w:rPr>
        <w:t>/</w:t>
      </w:r>
      <w:r>
        <w:rPr/>
        <w:t>视频业务顺利开 </w:t>
      </w:r>
      <w:r>
        <w:rPr>
          <w:spacing w:val="-1"/>
        </w:rPr>
        <w:t>展。目前，国视北京为国视上海的主要客户。根据</w:t>
      </w:r>
      <w:r>
        <w:rPr>
          <w:rFonts w:ascii="宋体" w:hAnsi="宋体" w:cs="宋体" w:eastAsia="宋体" w:hint="default"/>
          <w:spacing w:val="-1"/>
        </w:rPr>
        <w:t>2014</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日国视上海与国视北京签署的《运营管理服</w:t>
      </w:r>
      <w:r>
        <w:rPr>
          <w:spacing w:val="-84"/>
        </w:rPr>
        <w:t> </w:t>
      </w:r>
      <w:r>
        <w:rPr>
          <w:spacing w:val="-84"/>
        </w:rPr>
      </w:r>
      <w:r>
        <w:rPr>
          <w:spacing w:val="-1"/>
        </w:rPr>
        <w:t>务协议》，除手机音</w:t>
      </w:r>
      <w:r>
        <w:rPr>
          <w:rFonts w:ascii="宋体" w:hAnsi="宋体" w:cs="宋体" w:eastAsia="宋体" w:hint="default"/>
          <w:spacing w:val="-1"/>
        </w:rPr>
        <w:t>/</w:t>
      </w:r>
      <w:r>
        <w:rPr>
          <w:spacing w:val="-1"/>
        </w:rPr>
        <w:t>视频内容审核管理事项外，国视上海向国视北京提供全面的手机音</w:t>
      </w:r>
      <w:r>
        <w:rPr>
          <w:rFonts w:ascii="宋体" w:hAnsi="宋体" w:cs="宋体" w:eastAsia="宋体" w:hint="default"/>
          <w:spacing w:val="-1"/>
        </w:rPr>
        <w:t>/</w:t>
      </w:r>
      <w:r>
        <w:rPr>
          <w:spacing w:val="-1"/>
        </w:rPr>
        <w:t>视频业务的内容</w:t>
      </w:r>
      <w:r>
        <w:rPr>
          <w:spacing w:val="-86"/>
        </w:rPr>
        <w:t> </w:t>
      </w:r>
      <w:r>
        <w:rPr>
          <w:spacing w:val="-86"/>
        </w:rPr>
      </w:r>
      <w:r>
        <w:rPr/>
        <w:t>集成、产品维护、业务营销管理及内容技术性筛选服务。即国视北京保留了手机音</w:t>
      </w:r>
      <w:r>
        <w:rPr>
          <w:rFonts w:ascii="宋体" w:hAnsi="宋体" w:cs="宋体" w:eastAsia="宋体" w:hint="default"/>
        </w:rPr>
        <w:t>/</w:t>
      </w:r>
      <w:r>
        <w:rPr/>
        <w:t>视频内容审核及管理 业务，国视上海通过《运营管理服务协议》承接了国视北京除手机音</w:t>
      </w:r>
      <w:r>
        <w:rPr>
          <w:rFonts w:ascii="宋体" w:hAnsi="宋体" w:cs="宋体" w:eastAsia="宋体" w:hint="default"/>
        </w:rPr>
        <w:t>/</w:t>
      </w:r>
      <w:r>
        <w:rPr/>
        <w:t>视频内容审核及管理以外的所有经 营性业务。</w:t>
      </w:r>
    </w:p>
    <w:p>
      <w:pPr>
        <w:pStyle w:val="BodyText"/>
        <w:spacing w:line="420" w:lineRule="auto" w:before="88"/>
        <w:ind w:right="0" w:firstLine="420"/>
        <w:jc w:val="left"/>
      </w:pPr>
      <w:r>
        <w:rPr>
          <w:rFonts w:ascii="宋体" w:hAnsi="宋体" w:cs="宋体" w:eastAsia="宋体" w:hint="default"/>
        </w:rPr>
        <w:t>2</w:t>
      </w:r>
      <w:r>
        <w:rPr/>
        <w:t>．掌视亿通致力于运营商移动视频业务，拥有先进的移动视频压缩及编码技术、丰富的渠道资源和 </w:t>
      </w:r>
      <w:r>
        <w:rPr>
          <w:spacing w:val="-1"/>
        </w:rPr>
        <w:t>管理经验，通过与手机电视牌照方和众多推广渠道的合作，目前已成为国内资深的运营商视频内容的分销</w:t>
      </w:r>
      <w:r>
        <w:rPr>
          <w:spacing w:val="-81"/>
        </w:rPr>
        <w:t> </w:t>
      </w:r>
      <w:r>
        <w:rPr>
          <w:spacing w:val="-81"/>
        </w:rPr>
      </w:r>
      <w:r>
        <w:rPr/>
        <w:t>及技术服务提供商。自</w:t>
      </w:r>
      <w:r>
        <w:rPr>
          <w:rFonts w:ascii="宋体" w:hAnsi="宋体" w:cs="宋体" w:eastAsia="宋体" w:hint="default"/>
        </w:rPr>
        <w:t>2017</w:t>
      </w:r>
      <w:r>
        <w:rPr/>
        <w:t>年起，掌视亿通开始拓展流量经营业务。</w:t>
      </w:r>
    </w:p>
    <w:p>
      <w:pPr>
        <w:pStyle w:val="BodyText"/>
        <w:spacing w:line="420" w:lineRule="auto" w:before="87"/>
        <w:ind w:right="0" w:firstLine="420"/>
        <w:jc w:val="left"/>
      </w:pPr>
      <w:r>
        <w:rPr>
          <w:rFonts w:ascii="宋体" w:hAnsi="宋体" w:cs="宋体" w:eastAsia="宋体" w:hint="default"/>
        </w:rPr>
        <w:t>3</w:t>
      </w:r>
      <w:r>
        <w:rPr/>
        <w:t>．国广华屏凭借“牌照”优势，锁定“信息孤岛”这一特殊场景（如：船舶、海外中资工地、航空 飞行器等），为场景下刚需人群提供手持终端电视直播、点播及定制内容等服务。并通过资源整合，打造 </w:t>
      </w:r>
      <w:r>
        <w:rPr>
          <w:spacing w:val="-1"/>
        </w:rPr>
        <w:t>全新跨网络融合新媒体。国广华屏通过卫星链路传输和互联网</w:t>
      </w:r>
      <w:r>
        <w:rPr>
          <w:rFonts w:ascii="宋体" w:hAnsi="宋体" w:cs="宋体" w:eastAsia="宋体" w:hint="default"/>
          <w:spacing w:val="-1"/>
        </w:rPr>
        <w:t>CDN</w:t>
      </w:r>
      <w:r>
        <w:rPr>
          <w:spacing w:val="-1"/>
        </w:rPr>
        <w:t>传输两种方式为用户提供手机电视服务，</w:t>
      </w:r>
      <w:r>
        <w:rPr>
          <w:spacing w:val="-81"/>
        </w:rPr>
        <w:t> </w:t>
      </w:r>
      <w:r>
        <w:rPr>
          <w:spacing w:val="-81"/>
        </w:rPr>
      </w:r>
      <w:r>
        <w:rPr/>
        <w:t>并针对不同场景下的用户采取</w:t>
      </w:r>
      <w:r>
        <w:rPr>
          <w:rFonts w:ascii="宋体" w:hAnsi="宋体" w:cs="宋体" w:eastAsia="宋体" w:hint="default"/>
        </w:rPr>
        <w:t>B2B</w:t>
      </w:r>
      <w:r>
        <w:rPr/>
        <w:t>和</w:t>
      </w:r>
      <w:r>
        <w:rPr>
          <w:rFonts w:ascii="宋体" w:hAnsi="宋体" w:cs="宋体" w:eastAsia="宋体" w:hint="default"/>
        </w:rPr>
        <w:t>B2C</w:t>
      </w:r>
      <w:r>
        <w:rPr/>
        <w:t>（</w:t>
      </w:r>
      <w:r>
        <w:rPr>
          <w:rFonts w:ascii="宋体" w:hAnsi="宋体" w:cs="宋体" w:eastAsia="宋体" w:hint="default"/>
        </w:rPr>
        <w:t>B2B2C</w:t>
      </w:r>
      <w:r>
        <w:rPr/>
        <w:t>）两种收费模式。</w:t>
      </w:r>
      <w:r>
        <w:rPr>
          <w:rFonts w:ascii="宋体" w:hAnsi="宋体" w:cs="宋体" w:eastAsia="宋体" w:hint="default"/>
        </w:rPr>
        <w:t>B2C</w:t>
      </w:r>
      <w:r>
        <w:rPr/>
        <w:t>（</w:t>
      </w:r>
      <w:r>
        <w:rPr>
          <w:rFonts w:ascii="宋体" w:hAnsi="宋体" w:cs="宋体" w:eastAsia="宋体" w:hint="default"/>
        </w:rPr>
        <w:t>B2B2C</w:t>
      </w:r>
      <w:r>
        <w:rPr/>
        <w:t>）模式针对个体用户，提供 线上、线下多种收费模式；</w:t>
      </w:r>
      <w:r>
        <w:rPr>
          <w:rFonts w:ascii="宋体" w:hAnsi="宋体" w:cs="宋体" w:eastAsia="宋体" w:hint="default"/>
        </w:rPr>
        <w:t>B2B</w:t>
      </w:r>
      <w:r>
        <w:rPr/>
        <w:t>模式针对集团客户，提供固定时长的有偿服务。</w:t>
      </w:r>
    </w:p>
    <w:p>
      <w:pPr>
        <w:pStyle w:val="BodyText"/>
        <w:spacing w:line="420" w:lineRule="auto" w:before="87"/>
        <w:ind w:right="0" w:firstLine="420"/>
        <w:jc w:val="left"/>
      </w:pPr>
      <w:r>
        <w:rPr>
          <w:spacing w:val="-1"/>
        </w:rPr>
        <w:t>（六）精视文化是专业从事楼宇电梯框架广告的媒体运营商，专注于楼宇电梯框架广告媒体资源的开</w:t>
      </w:r>
      <w:r>
        <w:rPr/>
        <w:t> 发与运营，向广告主提供精准的广告发布服务，此外也向部分广告代理公司提供媒介发布资源。</w:t>
      </w:r>
    </w:p>
    <w:p>
      <w:pPr>
        <w:pStyle w:val="BodyText"/>
        <w:spacing w:line="420" w:lineRule="auto" w:before="88"/>
        <w:ind w:right="1130" w:firstLine="420"/>
        <w:jc w:val="both"/>
      </w:pPr>
      <w:r>
        <w:rPr>
          <w:spacing w:val="-1"/>
        </w:rPr>
        <w:t>（七）漫友文化是动漫内容与服务提供商，系国内第一原创漫画品牌，主要从事动漫图书与期刊的策</w:t>
      </w:r>
      <w:r>
        <w:rPr/>
        <w:t> </w:t>
      </w:r>
      <w:r>
        <w:rPr>
          <w:spacing w:val="-1"/>
        </w:rPr>
        <w:t>划和发行、动漫内容的创作与运营、动漫活动的策划与组织。漫友文化近年来运营动漫节奖、提供动漫定</w:t>
      </w:r>
      <w:r>
        <w:rPr>
          <w:spacing w:val="-86"/>
        </w:rPr>
        <w:t> </w:t>
      </w:r>
      <w:r>
        <w:rPr>
          <w:spacing w:val="-86"/>
        </w:rPr>
      </w:r>
      <w:r>
        <w:rPr>
          <w:spacing w:val="-1"/>
        </w:rPr>
        <w:t>制服务，以多元化业务经营与全方位产业渗透，建立了综合型的动漫运营服务平台。目前，漫友文化旗下</w:t>
      </w:r>
      <w:r>
        <w:rPr>
          <w:spacing w:val="-85"/>
        </w:rPr>
        <w:t> </w:t>
      </w:r>
      <w:r>
        <w:rPr>
          <w:spacing w:val="-85"/>
        </w:rPr>
      </w:r>
      <w:r>
        <w:rPr>
          <w:spacing w:val="-1"/>
        </w:rPr>
        <w:t>拥有知名漫画期刊品牌《漫友》，推出了《爆笑校园》、《长歌行》等畅销国内外的过千种漫画，同时将</w:t>
      </w:r>
      <w:r>
        <w:rPr>
          <w:spacing w:val="-85"/>
        </w:rPr>
        <w:t> </w:t>
      </w:r>
      <w:r>
        <w:rPr>
          <w:spacing w:val="-85"/>
        </w:rPr>
      </w:r>
      <w:r>
        <w:rPr>
          <w:spacing w:val="-1"/>
        </w:rPr>
        <w:t>开拓以传统文化为主题以及以少儿为对象的漫画作品。漫友文化所运营的中国国际漫画节成长为国内规格</w:t>
      </w:r>
      <w:r>
        <w:rPr>
          <w:spacing w:val="-80"/>
        </w:rPr>
        <w:t> </w:t>
      </w:r>
      <w:r>
        <w:rPr>
          <w:spacing w:val="-80"/>
        </w:rPr>
      </w:r>
      <w:r>
        <w:rPr>
          <w:spacing w:val="-1"/>
        </w:rPr>
        <w:t>最高、最具权威、在海内外享有广泛影响力和知名度的国际性动漫盛会，成为了中国文化走出去的重要平</w:t>
      </w:r>
      <w:r>
        <w:rPr>
          <w:spacing w:val="-83"/>
        </w:rPr>
        <w:t> </w:t>
      </w:r>
      <w:r>
        <w:rPr>
          <w:spacing w:val="-83"/>
        </w:rPr>
      </w:r>
      <w:r>
        <w:rPr/>
        <w:t>台和推手。</w:t>
      </w:r>
    </w:p>
    <w:p>
      <w:pPr>
        <w:pStyle w:val="BodyText"/>
        <w:spacing w:line="420" w:lineRule="auto" w:before="87"/>
        <w:ind w:right="0" w:firstLine="420"/>
        <w:jc w:val="left"/>
      </w:pPr>
      <w:r>
        <w:rPr>
          <w:spacing w:val="-1"/>
        </w:rPr>
        <w:t>（八）车音智能是国内少数几家拥有自主知识产权、专注于提供车联网系统整体解决方案的服务供应</w:t>
      </w:r>
      <w:r>
        <w:rPr/>
        <w:t> </w:t>
      </w:r>
      <w:r>
        <w:rPr>
          <w:spacing w:val="-1"/>
        </w:rPr>
        <w:t>商，现有客户覆盖目前国内主流的一线合资汽车品牌，主要业务涵盖：以语音识别技术作为主要方式的车</w:t>
      </w:r>
    </w:p>
    <w:p>
      <w:pPr>
        <w:spacing w:after="0" w:line="42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420" w:lineRule="auto" w:before="35"/>
        <w:ind w:right="1023"/>
        <w:jc w:val="left"/>
      </w:pPr>
      <w:r>
        <w:rPr/>
        <w:t>载交互解决方案以及在此基础上的软硬件一体化产品；标准化的车联网平台开发和以车联网技术为基础的 </w:t>
      </w:r>
      <w:r>
        <w:rPr>
          <w:spacing w:val="-3"/>
        </w:rPr>
        <w:t>各类增值服务；基于用户数据，提供智能化、个性化的车主服务，并提供触达用户的平台运维和运营服务；</w:t>
      </w:r>
      <w:r>
        <w:rPr>
          <w:spacing w:val="-96"/>
        </w:rPr>
        <w:t> </w:t>
      </w:r>
      <w:r>
        <w:rPr>
          <w:spacing w:val="-96"/>
        </w:rPr>
      </w:r>
      <w:r>
        <w:rPr/>
        <w:t>覆盖车主全生命周期的电商运营服务，以及覆盖售前、售后各阶段的互联网营销服务；智能化呼叫中心解</w:t>
      </w:r>
      <w:r>
        <w:rPr/>
        <w:t> 决方案，通过语音技术提供自动外呼系统和自动质检。</w:t>
      </w:r>
    </w:p>
    <w:p>
      <w:pPr>
        <w:pStyle w:val="BodyText"/>
        <w:spacing w:line="420" w:lineRule="auto" w:before="87"/>
        <w:ind w:right="1131" w:firstLine="420"/>
        <w:jc w:val="both"/>
      </w:pPr>
      <w:r>
        <w:rPr>
          <w:spacing w:val="-1"/>
        </w:rPr>
        <w:t>（九）麦游互动主要从事网络棋牌类游戏开发及游戏平台运营。以差异化的游戏产品设计和强娱乐性</w:t>
      </w:r>
      <w:r>
        <w:rPr/>
        <w:t> </w:t>
      </w:r>
      <w:r>
        <w:rPr>
          <w:spacing w:val="-1"/>
        </w:rPr>
        <w:t>为前提，取得了迅速的发展，在国内网络棋牌类游戏行业内取得了一定的市场地位。随着麦游互动对业务</w:t>
      </w:r>
      <w:r>
        <w:rPr>
          <w:spacing w:val="-83"/>
        </w:rPr>
        <w:t> </w:t>
      </w:r>
      <w:r>
        <w:rPr>
          <w:spacing w:val="-83"/>
        </w:rPr>
      </w:r>
      <w:r>
        <w:rPr/>
        <w:t>线的不断拓展以及对产品研发力度的持续加大，麦游互动的行业地位将得到巩固和进一步提升。</w:t>
      </w:r>
    </w:p>
    <w:p>
      <w:pPr>
        <w:pStyle w:val="BodyText"/>
        <w:spacing w:line="420" w:lineRule="auto" w:before="88"/>
        <w:ind w:right="1129" w:firstLine="420"/>
        <w:jc w:val="both"/>
      </w:pPr>
      <w:r>
        <w:rPr>
          <w:spacing w:val="-1"/>
        </w:rPr>
        <w:t>（十）上海鸿立、鸿立华享主要从事股权投资，投资范围涉及</w:t>
      </w:r>
      <w:r>
        <w:rPr>
          <w:rFonts w:ascii="宋体" w:hAnsi="宋体" w:cs="宋体" w:eastAsia="宋体" w:hint="default"/>
          <w:spacing w:val="-1"/>
        </w:rPr>
        <w:t>Pre-IPO</w:t>
      </w:r>
      <w:r>
        <w:rPr>
          <w:spacing w:val="-1"/>
        </w:rPr>
        <w:t>阶段的成熟企业，以及</w:t>
      </w:r>
      <w:r>
        <w:rPr>
          <w:rFonts w:ascii="宋体" w:hAnsi="宋体" w:cs="宋体" w:eastAsia="宋体" w:hint="default"/>
          <w:spacing w:val="-1"/>
        </w:rPr>
        <w:t>TMT</w:t>
      </w:r>
      <w:r>
        <w:rPr>
          <w:spacing w:val="-1"/>
        </w:rPr>
        <w:t>行业</w:t>
      </w:r>
      <w:r>
        <w:rPr>
          <w:spacing w:val="1"/>
        </w:rPr>
        <w:t> </w:t>
      </w:r>
      <w:r>
        <w:rPr>
          <w:spacing w:val="-1"/>
        </w:rPr>
        <w:t>的中早期企业，主要围绕高端制造业、影视动漫、虚拟现实、智能机器人、网络游戏等行业的产业链上下</w:t>
      </w:r>
      <w:r>
        <w:rPr>
          <w:spacing w:val="-83"/>
        </w:rPr>
        <w:t> </w:t>
      </w:r>
      <w:r>
        <w:rPr>
          <w:spacing w:val="-83"/>
        </w:rPr>
      </w:r>
      <w:r>
        <w:rPr>
          <w:spacing w:val="-1"/>
        </w:rPr>
        <w:t>游进行投资、布局。上海鸿立、鸿立华享通过被投资企业上市、被并购、股份转让等方式实现退出，获取</w:t>
      </w:r>
      <w:r>
        <w:rPr>
          <w:spacing w:val="-83"/>
        </w:rPr>
        <w:t> </w:t>
      </w:r>
      <w:r>
        <w:rPr>
          <w:spacing w:val="-83"/>
        </w:rPr>
      </w:r>
      <w:r>
        <w:rPr/>
        <w:t>投资收益。</w:t>
      </w:r>
    </w:p>
    <w:p>
      <w:pPr>
        <w:pStyle w:val="BodyText"/>
        <w:spacing w:line="420" w:lineRule="auto" w:before="87"/>
        <w:ind w:right="1214" w:firstLine="420"/>
        <w:jc w:val="both"/>
      </w:pPr>
      <w:r>
        <w:rPr/>
        <w:t>（十一）海南文旅持有位于海南省海口市国兴大道中段、大英山</w:t>
      </w:r>
      <w:r>
        <w:rPr>
          <w:rFonts w:ascii="宋体" w:hAnsi="宋体" w:cs="宋体" w:eastAsia="宋体" w:hint="default"/>
        </w:rPr>
        <w:t>CBD</w:t>
      </w:r>
      <w:r>
        <w:rPr/>
        <w:t>核心区的</w:t>
      </w:r>
      <w:r>
        <w:rPr>
          <w:rFonts w:ascii="宋体" w:hAnsi="宋体" w:cs="宋体" w:eastAsia="宋体" w:hint="default"/>
        </w:rPr>
        <w:t>5A</w:t>
      </w:r>
      <w:r>
        <w:rPr/>
        <w:t>甲级写字楼——双创 大厦（项目面积</w:t>
      </w:r>
      <w:r>
        <w:rPr>
          <w:rFonts w:ascii="宋体" w:hAnsi="宋体" w:cs="宋体" w:eastAsia="宋体" w:hint="default"/>
        </w:rPr>
        <w:t>51,774.12</w:t>
      </w:r>
      <w:r>
        <w:rPr/>
        <w:t>平方米），拟用作公司和海南文旅总部办公使用及对外招商出租。另外，丰泽 投资持有海南澄迈华侨农场项目土地约</w:t>
      </w:r>
      <w:r>
        <w:rPr>
          <w:rFonts w:ascii="宋体" w:hAnsi="宋体" w:cs="宋体" w:eastAsia="宋体" w:hint="default"/>
        </w:rPr>
        <w:t>2,842</w:t>
      </w:r>
      <w:r>
        <w:rPr/>
        <w:t>亩，目前在进行开发的前期工作。</w:t>
      </w:r>
    </w:p>
    <w:p>
      <w:pPr>
        <w:pStyle w:val="Heading2"/>
        <w:spacing w:line="240" w:lineRule="auto" w:before="171"/>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19"/>
      <w:bookmarkEnd w:id="19"/>
      <w:r>
        <w:rPr>
          <w:b w:val="0"/>
          <w:bCs w:val="0"/>
        </w:rPr>
      </w:r>
      <w:r>
        <w:rPr>
          <w:rFonts w:ascii="宋体" w:hAnsi="宋体" w:cs="宋体" w:eastAsia="宋体" w:hint="default"/>
        </w:rPr>
        <w:t>1</w:t>
      </w:r>
      <w:r>
        <w:rPr/>
        <w:t>、主要资产重大变化情况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长期股权投资比上年同期减少</w:t>
            </w:r>
            <w:r>
              <w:rPr>
                <w:rFonts w:ascii="宋体" w:hAnsi="宋体" w:cs="宋体" w:eastAsia="宋体" w:hint="default"/>
                <w:spacing w:val="-37"/>
                <w:sz w:val="18"/>
                <w:szCs w:val="18"/>
              </w:rPr>
              <w:t> </w:t>
            </w:r>
            <w:r>
              <w:rPr>
                <w:rFonts w:ascii="宋体" w:hAnsi="宋体" w:cs="宋体" w:eastAsia="宋体" w:hint="default"/>
                <w:spacing w:val="-3"/>
                <w:sz w:val="18"/>
                <w:szCs w:val="18"/>
              </w:rPr>
              <w:t>39.88%</w:t>
            </w:r>
            <w:r>
              <w:rPr>
                <w:rFonts w:ascii="宋体" w:hAnsi="宋体" w:cs="宋体" w:eastAsia="宋体" w:hint="default"/>
                <w:spacing w:val="-3"/>
                <w:sz w:val="18"/>
                <w:szCs w:val="18"/>
              </w:rPr>
              <w:t>，主要为本期公司本部确认海南国文文化旅游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产业投资基金（有限合伙）（以下简称“文旅基金”）损益调整亏损和山南华闻计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提东海证券减值准备等所致。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317"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无形资产比上年同期减少</w:t>
            </w:r>
            <w:r>
              <w:rPr>
                <w:rFonts w:ascii="宋体" w:hAnsi="宋体" w:cs="宋体" w:eastAsia="宋体" w:hint="default"/>
                <w:spacing w:val="-46"/>
                <w:sz w:val="18"/>
                <w:szCs w:val="18"/>
              </w:rPr>
              <w:t> </w:t>
            </w:r>
            <w:r>
              <w:rPr>
                <w:rFonts w:ascii="宋体" w:hAnsi="宋体" w:cs="宋体" w:eastAsia="宋体" w:hint="default"/>
                <w:sz w:val="18"/>
                <w:szCs w:val="18"/>
              </w:rPr>
              <w:t>32.90%</w:t>
            </w:r>
            <w:r>
              <w:rPr>
                <w:rFonts w:ascii="宋体" w:hAnsi="宋体" w:cs="宋体" w:eastAsia="宋体" w:hint="default"/>
                <w:sz w:val="18"/>
                <w:szCs w:val="18"/>
              </w:rPr>
              <w:t>，主要为本期处置子公司邦富软件等所致。</w:t>
            </w: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在建工程比上年同期增加</w:t>
            </w:r>
            <w:r>
              <w:rPr>
                <w:rFonts w:ascii="宋体" w:hAnsi="宋体" w:cs="宋体" w:eastAsia="宋体" w:hint="default"/>
                <w:spacing w:val="-33"/>
                <w:sz w:val="18"/>
                <w:szCs w:val="18"/>
              </w:rPr>
              <w:t> </w:t>
            </w:r>
            <w:r>
              <w:rPr>
                <w:rFonts w:ascii="宋体" w:hAnsi="宋体" w:cs="宋体" w:eastAsia="宋体" w:hint="default"/>
                <w:spacing w:val="-3"/>
                <w:sz w:val="18"/>
                <w:szCs w:val="18"/>
              </w:rPr>
              <w:t>30.61%</w:t>
            </w:r>
            <w:r>
              <w:rPr>
                <w:rFonts w:ascii="宋体" w:hAnsi="宋体" w:cs="宋体" w:eastAsia="宋体" w:hint="default"/>
                <w:spacing w:val="-3"/>
                <w:sz w:val="18"/>
                <w:szCs w:val="18"/>
              </w:rPr>
              <w:t>，主要为本期华商传媒支付文化中心土方工程款增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加等所致。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主要境外资产情况" w:id="20"/>
      <w:bookmarkEnd w:id="20"/>
      <w:r>
        <w:rPr>
          <w:b w:val="0"/>
          <w:bCs w:val="0"/>
        </w:rPr>
      </w:r>
      <w:r>
        <w:rPr>
          <w:rFonts w:ascii="宋体" w:hAnsi="宋体" w:cs="宋体" w:eastAsia="宋体" w:hint="default"/>
        </w:rPr>
        <w:t>2</w:t>
      </w:r>
      <w:r>
        <w:rPr/>
        <w:t>、主要境外资产情况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 适用 √</w:t>
      </w:r>
      <w:r>
        <w:rPr>
          <w:spacing w:val="-1"/>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0"/>
        <w:rPr>
          <w:rFonts w:ascii="宋体" w:hAnsi="宋体" w:cs="宋体" w:eastAsia="宋体" w:hint="default"/>
          <w:b/>
          <w:bCs/>
          <w:sz w:val="24"/>
          <w:szCs w:val="24"/>
        </w:rPr>
      </w:pPr>
    </w:p>
    <w:p>
      <w:pPr>
        <w:pStyle w:val="BodyText"/>
        <w:spacing w:line="453" w:lineRule="auto" w:before="161"/>
        <w:ind w:right="7182"/>
        <w:jc w:val="left"/>
      </w:pPr>
      <w:r>
        <w:rPr/>
        <w:t>公司是否需要遵守特殊行业的披露要求 否</w:t>
      </w:r>
    </w:p>
    <w:p>
      <w:pPr>
        <w:pStyle w:val="BodyText"/>
        <w:spacing w:line="420" w:lineRule="auto" w:before="59"/>
        <w:ind w:right="0" w:firstLine="420"/>
        <w:jc w:val="left"/>
      </w:pPr>
      <w:r>
        <w:rPr>
          <w:spacing w:val="-1"/>
        </w:rPr>
        <w:t>报告期内，公司控股子公司时报传媒拥有有关《证券时报》经营业务的独家经营权，通过长期开展法</w:t>
      </w:r>
      <w:r>
        <w:rPr/>
        <w:t> 定信息披露业务，与监管机构、上市公司、机构投资者建立了良好的沟通和合作关系。</w:t>
      </w:r>
    </w:p>
    <w:p>
      <w:pPr>
        <w:pStyle w:val="BodyText"/>
        <w:spacing w:line="420" w:lineRule="auto" w:before="87"/>
        <w:ind w:right="0" w:firstLine="420"/>
        <w:jc w:val="left"/>
      </w:pPr>
      <w:r>
        <w:rPr>
          <w:spacing w:val="-1"/>
        </w:rPr>
        <w:t>华商传媒保持拥有独家代理经营《华商报》《新文化报》等报刊经营性业务的权利，同时依托报纸所</w:t>
      </w:r>
      <w:r>
        <w:rPr/>
        <w:t> 在区域的资源优势开展会展经济、电商快递、生鲜配送等板块。</w:t>
      </w:r>
    </w:p>
    <w:p>
      <w:pPr>
        <w:pStyle w:val="BodyText"/>
        <w:spacing w:line="420" w:lineRule="auto" w:before="87"/>
        <w:ind w:right="1130" w:firstLine="420"/>
        <w:jc w:val="both"/>
      </w:pPr>
      <w:r>
        <w:rPr/>
        <w:t>国广光荣拥有国际台国内广播频率环球资讯广播（</w:t>
      </w:r>
      <w:r>
        <w:rPr>
          <w:rFonts w:ascii="宋体" w:hAnsi="宋体" w:cs="宋体" w:eastAsia="宋体" w:hint="default"/>
        </w:rPr>
        <w:t>News</w:t>
      </w:r>
      <w:r>
        <w:rPr>
          <w:rFonts w:ascii="宋体" w:hAnsi="宋体" w:cs="宋体" w:eastAsia="宋体" w:hint="default"/>
          <w:spacing w:val="-58"/>
        </w:rPr>
        <w:t> </w:t>
      </w:r>
      <w:r>
        <w:rPr>
          <w:rFonts w:ascii="宋体" w:hAnsi="宋体" w:cs="宋体" w:eastAsia="宋体" w:hint="default"/>
          <w:spacing w:val="-5"/>
        </w:rPr>
        <w:t>Radio</w:t>
      </w:r>
      <w:r>
        <w:rPr>
          <w:spacing w:val="-5"/>
        </w:rPr>
        <w:t>）、劲曲调频（</w:t>
      </w:r>
      <w:r>
        <w:rPr>
          <w:rFonts w:ascii="宋体" w:hAnsi="宋体" w:cs="宋体" w:eastAsia="宋体" w:hint="default"/>
          <w:spacing w:val="-5"/>
        </w:rPr>
        <w:t>HIT</w:t>
      </w:r>
      <w:r>
        <w:rPr>
          <w:rFonts w:ascii="宋体" w:hAnsi="宋体" w:cs="宋体" w:eastAsia="宋体" w:hint="default"/>
          <w:spacing w:val="-58"/>
        </w:rPr>
        <w:t> </w:t>
      </w:r>
      <w:r>
        <w:rPr>
          <w:rFonts w:ascii="宋体" w:hAnsi="宋体" w:cs="宋体" w:eastAsia="宋体" w:hint="default"/>
          <w:spacing w:val="-4"/>
        </w:rPr>
        <w:t>FM</w:t>
      </w:r>
      <w:r>
        <w:rPr>
          <w:spacing w:val="-4"/>
        </w:rPr>
        <w:t>）和轻松调频（</w:t>
      </w:r>
      <w:r>
        <w:rPr>
          <w:rFonts w:ascii="宋体" w:hAnsi="宋体" w:cs="宋体" w:eastAsia="宋体" w:hint="default"/>
          <w:spacing w:val="-4"/>
        </w:rPr>
        <w:t>EZ</w:t>
      </w:r>
      <w:r>
        <w:rPr>
          <w:rFonts w:ascii="宋体" w:hAnsi="宋体" w:cs="宋体" w:eastAsia="宋体" w:hint="default"/>
        </w:rPr>
        <w:t> </w:t>
      </w:r>
      <w:r>
        <w:rPr>
          <w:rFonts w:ascii="宋体" w:hAnsi="宋体" w:cs="宋体" w:eastAsia="宋体" w:hint="default"/>
          <w:spacing w:val="-1"/>
        </w:rPr>
        <w:t>FM</w:t>
      </w:r>
      <w:r>
        <w:rPr>
          <w:spacing w:val="-1"/>
        </w:rPr>
        <w:t>）广告经营业务的独家经营权。国际台作为中央级媒体，近年来着力以受众需求为核心，提高精准传播</w:t>
      </w:r>
      <w:r>
        <w:rPr>
          <w:spacing w:val="-87"/>
        </w:rPr>
        <w:t> </w:t>
      </w:r>
      <w:r>
        <w:rPr>
          <w:spacing w:val="-87"/>
        </w:rPr>
      </w:r>
      <w:r>
        <w:rPr/>
        <w:t>力度，媒体传播效果不断得到提升。据专业调查机构对国内广播媒体行业的调查，国际台环球资讯广播</w:t>
      </w:r>
    </w:p>
    <w:p>
      <w:pPr>
        <w:pStyle w:val="BodyText"/>
        <w:spacing w:line="420" w:lineRule="auto" w:before="47"/>
        <w:ind w:right="1201"/>
        <w:jc w:val="left"/>
      </w:pPr>
      <w:r>
        <w:rPr/>
        <w:t>（</w:t>
      </w:r>
      <w:r>
        <w:rPr>
          <w:rFonts w:ascii="宋体" w:hAnsi="宋体" w:cs="宋体" w:eastAsia="宋体" w:hint="default"/>
        </w:rPr>
        <w:t>News Radio</w:t>
      </w:r>
      <w:r>
        <w:rPr/>
        <w:t>）和劲曲调频（</w:t>
      </w:r>
      <w:r>
        <w:rPr>
          <w:rFonts w:ascii="宋体" w:hAnsi="宋体" w:cs="宋体" w:eastAsia="宋体" w:hint="default"/>
        </w:rPr>
        <w:t>EZ</w:t>
      </w:r>
      <w:r>
        <w:rPr>
          <w:rFonts w:ascii="宋体" w:hAnsi="宋体" w:cs="宋体" w:eastAsia="宋体" w:hint="default"/>
          <w:spacing w:val="-4"/>
        </w:rPr>
        <w:t> </w:t>
      </w:r>
      <w:r>
        <w:rPr>
          <w:rFonts w:ascii="宋体" w:hAnsi="宋体" w:cs="宋体" w:eastAsia="宋体" w:hint="default"/>
        </w:rPr>
        <w:t>FM</w:t>
      </w:r>
      <w:r>
        <w:rPr/>
        <w:t>）在全国性新闻、音乐广播频率中的收听率、影响力一直处于领先水 平，稳固了国广光荣拥有的经营资源价值和在媒体市场中的竞争力。</w:t>
      </w:r>
    </w:p>
    <w:p>
      <w:pPr>
        <w:pStyle w:val="BodyText"/>
        <w:spacing w:line="453" w:lineRule="auto" w:before="88"/>
        <w:ind w:left="574" w:right="0"/>
        <w:jc w:val="left"/>
      </w:pPr>
      <w:r>
        <w:rPr/>
        <w:t>国视上海承接了国视北京手机电视（</w:t>
      </w:r>
      <w:r>
        <w:rPr>
          <w:rFonts w:ascii="宋体" w:hAnsi="宋体" w:cs="宋体" w:eastAsia="宋体" w:hint="default"/>
        </w:rPr>
        <w:t>CRI</w:t>
      </w:r>
      <w:r>
        <w:rPr/>
        <w:t>）除手机音</w:t>
      </w:r>
      <w:r>
        <w:rPr>
          <w:rFonts w:ascii="宋体" w:hAnsi="宋体" w:cs="宋体" w:eastAsia="宋体" w:hint="default"/>
        </w:rPr>
        <w:t>/</w:t>
      </w:r>
      <w:r>
        <w:rPr/>
        <w:t>视频内容审核及管理以外的所有经营性业务。 </w:t>
      </w:r>
      <w:r>
        <w:rPr>
          <w:spacing w:val="-1"/>
        </w:rPr>
        <w:t>掌视亿通在手机视频运营领域拥有业界领先的渠道优势，</w:t>
      </w:r>
      <w:r>
        <w:rPr>
          <w:rFonts w:ascii="宋体" w:hAnsi="宋体" w:cs="宋体" w:eastAsia="宋体" w:hint="default"/>
          <w:spacing w:val="-1"/>
        </w:rPr>
        <w:t>2018</w:t>
      </w:r>
      <w:r>
        <w:rPr>
          <w:spacing w:val="-1"/>
        </w:rPr>
        <w:t>年流量经营业务已成为掌视亿通主要业</w:t>
      </w:r>
    </w:p>
    <w:p>
      <w:pPr>
        <w:pStyle w:val="BodyText"/>
        <w:spacing w:line="240" w:lineRule="auto" w:before="18"/>
        <w:ind w:right="0"/>
        <w:jc w:val="left"/>
      </w:pPr>
      <w:r>
        <w:rPr/>
        <w:t>务。</w:t>
      </w:r>
    </w:p>
    <w:p>
      <w:pPr>
        <w:spacing w:line="240" w:lineRule="auto" w:before="9"/>
        <w:rPr>
          <w:rFonts w:ascii="宋体" w:hAnsi="宋体" w:cs="宋体" w:eastAsia="宋体" w:hint="default"/>
          <w:sz w:val="18"/>
          <w:szCs w:val="18"/>
        </w:rPr>
      </w:pPr>
    </w:p>
    <w:p>
      <w:pPr>
        <w:pStyle w:val="BodyText"/>
        <w:spacing w:line="420" w:lineRule="auto"/>
        <w:ind w:right="0" w:firstLine="420"/>
        <w:jc w:val="left"/>
      </w:pPr>
      <w:r>
        <w:rPr>
          <w:spacing w:val="-1"/>
        </w:rPr>
        <w:t>国广华屏面向细分市场、针对“信息孤岛”场景内有刚性需求或准刚性需求的用户提供免流量的视频</w:t>
      </w:r>
      <w:r>
        <w:rPr/>
        <w:t> 服务，目前市场上尚无同类型的业务开展。</w:t>
      </w:r>
    </w:p>
    <w:p>
      <w:pPr>
        <w:pStyle w:val="BodyText"/>
        <w:spacing w:line="420" w:lineRule="auto" w:before="88"/>
        <w:ind w:right="1116" w:firstLine="420"/>
        <w:jc w:val="left"/>
      </w:pPr>
      <w:r>
        <w:rPr>
          <w:spacing w:val="-1"/>
        </w:rPr>
        <w:t>精视文化是目前国内资深和较大的楼宇电梯广告提供商，业务覆盖国内部分大、中城市的强大网络资</w:t>
      </w:r>
      <w:r>
        <w:rPr/>
        <w:t> 源。</w:t>
      </w:r>
    </w:p>
    <w:p>
      <w:pPr>
        <w:pStyle w:val="BodyText"/>
        <w:spacing w:line="420" w:lineRule="auto" w:before="87"/>
        <w:ind w:right="0" w:firstLine="420"/>
        <w:jc w:val="left"/>
      </w:pPr>
      <w:r>
        <w:rPr>
          <w:spacing w:val="-1"/>
        </w:rPr>
        <w:t>漫友文化积累了丰富的漫画人才和作品资源，承办中国唯一的中国国际漫画节和金龙奖，培养了千万</w:t>
      </w:r>
      <w:r>
        <w:rPr/>
        <w:t> 级忠实的“漫迷”，拥有动漫产业链优质</w:t>
      </w:r>
      <w:r>
        <w:rPr>
          <w:rFonts w:ascii="宋体" w:hAnsi="宋体" w:cs="宋体" w:eastAsia="宋体" w:hint="default"/>
        </w:rPr>
        <w:t>IP</w:t>
      </w:r>
      <w:r>
        <w:rPr/>
        <w:t>入口和平台价值。</w:t>
      </w:r>
    </w:p>
    <w:p>
      <w:pPr>
        <w:pStyle w:val="BodyText"/>
        <w:spacing w:line="420" w:lineRule="auto" w:before="87"/>
        <w:ind w:right="0" w:firstLine="420"/>
        <w:jc w:val="left"/>
      </w:pPr>
      <w:r>
        <w:rPr/>
        <w:t>车音智能是国内领先的拥有自主知识产权、专注于提供车联网系统整体解决方案的服务供应商，在行 业内部具有较高的知名度及认可度。车音智能原生的语音技术，聚焦汽车垂直领域，在语义理解、车内抗 噪等方面有独特的优势，并应用于多款车型。车音智能多年来致力于智能网联领域的技术和运营创新，为 </w:t>
      </w:r>
      <w:r>
        <w:rPr>
          <w:spacing w:val="-1"/>
        </w:rPr>
        <w:t>汽车主机厂提供智能汽车及服务解决方案。当前车音智能拥有近千名员工，</w:t>
      </w:r>
      <w:r>
        <w:rPr>
          <w:rFonts w:ascii="宋体" w:hAnsi="宋体" w:cs="宋体" w:eastAsia="宋体" w:hint="default"/>
          <w:spacing w:val="-1"/>
        </w:rPr>
        <w:t>70%</w:t>
      </w:r>
      <w:r>
        <w:rPr>
          <w:spacing w:val="-1"/>
        </w:rPr>
        <w:t>以上为研发团队，在北京、</w:t>
      </w:r>
      <w:r>
        <w:rPr>
          <w:spacing w:val="-81"/>
        </w:rPr>
        <w:t> </w:t>
      </w:r>
      <w:r>
        <w:rPr>
          <w:spacing w:val="-81"/>
        </w:rPr>
      </w:r>
      <w:r>
        <w:rPr/>
        <w:t>上海、深圳、成都、长春、大连、新加坡等地设有办公机构。车音智能在车联网行业未来的发展具备技术</w:t>
      </w:r>
      <w:r>
        <w:rPr/>
        <w:t> 优势、产品竞争力和运营力优势、丰富的商业模式的优势、客户资源优势、数据优势等。</w:t>
      </w:r>
    </w:p>
    <w:p>
      <w:pPr>
        <w:spacing w:after="0" w:line="42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420" w:lineRule="auto" w:before="35"/>
        <w:ind w:right="1023" w:firstLine="420"/>
        <w:jc w:val="left"/>
      </w:pPr>
      <w:r>
        <w:rPr/>
        <w:t>麦游互动的棋牌手游产品均为自主研发，拥有较强的技术开发实力以及产品策划能力，产品底层框架 </w:t>
      </w:r>
      <w:r>
        <w:rPr>
          <w:spacing w:val="-3"/>
        </w:rPr>
        <w:t>设计稳定。麦游互动始终坚持以市场为导向，利用多年累积的棋牌手游运营经验，不断深度挖掘玩家需求，</w:t>
      </w:r>
      <w:r>
        <w:rPr>
          <w:spacing w:val="-90"/>
        </w:rPr>
        <w:t> </w:t>
      </w:r>
      <w:r>
        <w:rPr>
          <w:spacing w:val="-90"/>
        </w:rPr>
      </w:r>
      <w:r>
        <w:rPr/>
        <w:t>平衡游戏产品的商业化和娱乐化特性，可以快速地推动新项目商业化运营，并实现盈利。同时，麦游互动</w:t>
      </w:r>
      <w:r>
        <w:rPr/>
        <w:t> 与</w:t>
      </w:r>
      <w:r>
        <w:rPr>
          <w:spacing w:val="-3"/>
        </w:rPr>
        <w:t> </w:t>
      </w:r>
      <w:r>
        <w:rPr>
          <w:rFonts w:ascii="宋体" w:hAnsi="宋体" w:cs="宋体" w:eastAsia="宋体" w:hint="default"/>
        </w:rPr>
        <w:t>Appstore</w:t>
      </w:r>
      <w:r>
        <w:rPr/>
        <w:t>、硬核联盟、应用宝、多酷游戏、</w:t>
      </w:r>
      <w:r>
        <w:rPr>
          <w:rFonts w:ascii="宋体" w:hAnsi="宋体" w:cs="宋体" w:eastAsia="宋体" w:hint="default"/>
        </w:rPr>
        <w:t>360</w:t>
      </w:r>
      <w:r>
        <w:rPr/>
        <w:t>游戏、小米互娱等渠道建立良好的合作关系。</w:t>
      </w:r>
    </w:p>
    <w:p>
      <w:pPr>
        <w:pStyle w:val="BodyText"/>
        <w:spacing w:line="420" w:lineRule="auto" w:before="87"/>
        <w:ind w:right="1026" w:firstLine="420"/>
        <w:jc w:val="left"/>
      </w:pPr>
      <w:r>
        <w:rPr>
          <w:spacing w:val="-3"/>
        </w:rPr>
        <w:t>上海鸿立、鸿立华享的委托管理团队具有丰富的投资经验，部分在投项目陆续上市，现已进入退出期。</w:t>
      </w:r>
      <w:r>
        <w:rPr/>
        <w:t> 上海鸿立、鸿立华享坚持产业链投资策略，持续的投资建立了良好的基础，在被投资项目之间产生很好的 互动效应，帮助已投资企业做大做强。同时，运用团队丰富的资本运作经验为</w:t>
      </w:r>
      <w:r>
        <w:rPr>
          <w:rFonts w:ascii="宋体" w:hAnsi="宋体" w:cs="宋体" w:eastAsia="宋体" w:hint="default"/>
        </w:rPr>
        <w:t>Pre-IPO</w:t>
      </w:r>
      <w:r>
        <w:rPr/>
        <w:t>的项目提供咨询。 行业内的许多投资标的愿意在同等条件下选择上海鸿立、鸿立华享。</w:t>
      </w:r>
    </w:p>
    <w:p>
      <w:pPr>
        <w:spacing w:after="0" w:line="42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bookmarkStart w:name="一、概述" w:id="24"/>
      <w:bookmarkEnd w:id="24"/>
      <w:r>
        <w:rPr>
          <w:b w:val="0"/>
          <w:bCs w:val="0"/>
        </w:rPr>
      </w:r>
      <w:r>
        <w:rPr/>
        <w:t>一、概述</w:t>
      </w:r>
      <w:r>
        <w:rPr>
          <w:b w:val="0"/>
          <w:bCs w:val="0"/>
        </w:rPr>
      </w:r>
    </w:p>
    <w:p>
      <w:pPr>
        <w:spacing w:line="240" w:lineRule="auto" w:before="0"/>
        <w:rPr>
          <w:rFonts w:ascii="宋体" w:hAnsi="宋体" w:cs="宋体" w:eastAsia="宋体" w:hint="default"/>
          <w:b/>
          <w:bCs/>
          <w:sz w:val="24"/>
          <w:szCs w:val="24"/>
        </w:rPr>
      </w:pPr>
    </w:p>
    <w:p>
      <w:pPr>
        <w:pStyle w:val="BodyText"/>
        <w:spacing w:line="420" w:lineRule="auto" w:before="161"/>
        <w:ind w:right="1111" w:firstLine="420"/>
        <w:jc w:val="both"/>
      </w:pPr>
      <w:r>
        <w:rPr>
          <w:rFonts w:ascii="宋体" w:hAnsi="宋体" w:cs="宋体" w:eastAsia="宋体" w:hint="default"/>
          <w:spacing w:val="-1"/>
        </w:rPr>
        <w:t>2018</w:t>
      </w:r>
      <w:r>
        <w:rPr>
          <w:spacing w:val="-1"/>
        </w:rPr>
        <w:t>年，我国经济下行压力仍旧存在，内外部均面临较大的挑战。传媒行业仍处于结构调整期，传统</w:t>
      </w:r>
      <w:r>
        <w:rPr/>
        <w:t> </w:t>
      </w:r>
      <w:r>
        <w:rPr>
          <w:spacing w:val="-1"/>
        </w:rPr>
        <w:t>媒体受到新兴媒体的冲击，效益、影响力仍在持续下滑。公司按照年初确立的“在公司董事会的正确领导</w:t>
      </w:r>
      <w:r>
        <w:rPr>
          <w:spacing w:val="-82"/>
        </w:rPr>
        <w:t> </w:t>
      </w:r>
      <w:r>
        <w:rPr>
          <w:spacing w:val="-82"/>
        </w:rPr>
      </w:r>
      <w:r>
        <w:rPr/>
        <w:t>和监事会的有效监督下，我们将紧密围绕公司的战略规划和重点任务，聚焦发展，坚定信心，抢抓机遇， </w:t>
      </w:r>
      <w:r>
        <w:rPr>
          <w:spacing w:val="-1"/>
        </w:rPr>
        <w:t>破解发展难题，加大存量业务整合力度，着力培育新的利润增长点。强化管理，防范风险，增创和谐，提</w:t>
      </w:r>
      <w:r>
        <w:rPr>
          <w:spacing w:val="-83"/>
        </w:rPr>
        <w:t> </w:t>
      </w:r>
      <w:r>
        <w:rPr>
          <w:spacing w:val="-83"/>
        </w:rPr>
      </w:r>
      <w:r>
        <w:rPr/>
        <w:t>升公司价值与品牌”的经营管理思路，继续充分发挥上市公司的平台优势，通过整合、并购等有效手段， </w:t>
      </w:r>
      <w:r>
        <w:rPr>
          <w:spacing w:val="-1"/>
        </w:rPr>
        <w:t>加快转型升级，致力创新发展。在具体经营方面，原有的各项业务一定程度上受到经济形势、环境、行业</w:t>
      </w:r>
      <w:r>
        <w:rPr>
          <w:spacing w:val="-83"/>
        </w:rPr>
        <w:t> </w:t>
      </w:r>
      <w:r>
        <w:rPr>
          <w:spacing w:val="-83"/>
        </w:rPr>
      </w:r>
      <w:r>
        <w:rPr/>
        <w:t>趋势、团队自身等影响，面临的压力较大。</w:t>
      </w:r>
    </w:p>
    <w:p>
      <w:pPr>
        <w:pStyle w:val="BodyText"/>
        <w:spacing w:line="420" w:lineRule="auto" w:before="87"/>
        <w:ind w:right="0" w:firstLine="420"/>
        <w:jc w:val="left"/>
      </w:pPr>
      <w:r>
        <w:rPr>
          <w:spacing w:val="-1"/>
        </w:rPr>
        <w:t>（一）</w:t>
      </w:r>
      <w:r>
        <w:rPr>
          <w:rFonts w:ascii="宋体" w:hAnsi="宋体" w:cs="宋体" w:eastAsia="宋体" w:hint="default"/>
          <w:spacing w:val="-1"/>
        </w:rPr>
        <w:t>2018</w:t>
      </w:r>
      <w:r>
        <w:rPr>
          <w:spacing w:val="-1"/>
        </w:rPr>
        <w:t>年，信息披露业务政策改革深化，原有信息披露价格体系受到较大冲击，时报传媒经营成</w:t>
      </w:r>
      <w:r>
        <w:rPr/>
        <w:t> </w:t>
      </w:r>
      <w:r>
        <w:rPr>
          <w:spacing w:val="-1"/>
        </w:rPr>
        <w:t>本持续攀升，加上新股发行减速导致新项目锐减，常年信息披露实施降价政策，时报传媒面临较大的经营</w:t>
      </w:r>
      <w:r>
        <w:rPr>
          <w:spacing w:val="-83"/>
        </w:rPr>
        <w:t> </w:t>
      </w:r>
      <w:r>
        <w:rPr>
          <w:spacing w:val="-83"/>
        </w:rPr>
      </w:r>
      <w:r>
        <w:rPr>
          <w:spacing w:val="-1"/>
        </w:rPr>
        <w:t>压力。但时报传媒通过存量客户挖潜以及服务内容拓展等手段，加上政策反应的滞后性，才保持了营业收</w:t>
      </w:r>
      <w:r>
        <w:rPr>
          <w:spacing w:val="-83"/>
        </w:rPr>
        <w:t> </w:t>
      </w:r>
      <w:r>
        <w:rPr>
          <w:spacing w:val="-83"/>
        </w:rPr>
      </w:r>
      <w:r>
        <w:rPr/>
        <w:t>入的整体稳定。时报传媒全年实现信息披露业务收入</w:t>
      </w:r>
      <w:r>
        <w:rPr>
          <w:rFonts w:ascii="宋体" w:hAnsi="宋体" w:cs="宋体" w:eastAsia="宋体" w:hint="default"/>
        </w:rPr>
        <w:t>76,933.75</w:t>
      </w:r>
      <w:r>
        <w:rPr/>
        <w:t>万元，商业广告收入</w:t>
      </w:r>
      <w:r>
        <w:rPr>
          <w:rFonts w:ascii="宋体" w:hAnsi="宋体" w:cs="宋体" w:eastAsia="宋体" w:hint="default"/>
        </w:rPr>
        <w:t>5,914.05</w:t>
      </w:r>
      <w:r>
        <w:rPr/>
        <w:t>万元，咨询 及服务收入</w:t>
      </w:r>
      <w:r>
        <w:rPr>
          <w:rFonts w:ascii="宋体" w:hAnsi="宋体" w:cs="宋体" w:eastAsia="宋体" w:hint="default"/>
        </w:rPr>
        <w:t>1,990.94</w:t>
      </w:r>
      <w:r>
        <w:rPr/>
        <w:t>万元，其他业务收入</w:t>
      </w:r>
      <w:r>
        <w:rPr>
          <w:rFonts w:ascii="宋体" w:hAnsi="宋体" w:cs="宋体" w:eastAsia="宋体" w:hint="default"/>
        </w:rPr>
        <w:t>833.81</w:t>
      </w:r>
      <w:r>
        <w:rPr/>
        <w:t>万元。</w:t>
      </w:r>
    </w:p>
    <w:p>
      <w:pPr>
        <w:pStyle w:val="BodyText"/>
        <w:spacing w:line="420" w:lineRule="auto" w:before="87"/>
        <w:ind w:right="1130" w:firstLine="420"/>
        <w:jc w:val="both"/>
      </w:pPr>
      <w:r>
        <w:rPr>
          <w:spacing w:val="-1"/>
        </w:rPr>
        <w:t>（二）华商传媒面临严峻的经济形势，及时调整思路，积极应对，坚持“聚焦核心、尊重结果、目标</w:t>
      </w:r>
      <w:r>
        <w:rPr/>
        <w:t> </w:t>
      </w:r>
      <w:r>
        <w:rPr>
          <w:spacing w:val="-1"/>
        </w:rPr>
        <w:t>导向、机制驱动”的工作主线和原则及“分步突围，务实前行”的思路，继续压缩传统业务成本、转化资</w:t>
      </w:r>
      <w:r>
        <w:rPr>
          <w:spacing w:val="-86"/>
        </w:rPr>
        <w:t> </w:t>
      </w:r>
      <w:r>
        <w:rPr>
          <w:spacing w:val="-86"/>
        </w:rPr>
      </w:r>
      <w:r>
        <w:rPr>
          <w:spacing w:val="-1"/>
        </w:rPr>
        <w:t>源、强化影响力，同时加大转型力度，推进可持续发展。华商传媒管理层及全体员工迎难而上，努力克服</w:t>
      </w:r>
      <w:r>
        <w:rPr>
          <w:spacing w:val="-83"/>
        </w:rPr>
        <w:t> </w:t>
      </w:r>
      <w:r>
        <w:rPr>
          <w:spacing w:val="-83"/>
        </w:rPr>
      </w:r>
      <w:r>
        <w:rPr/>
        <w:t>不利因素的影响，整体经营情况优于预期。</w:t>
      </w:r>
    </w:p>
    <w:p>
      <w:pPr>
        <w:pStyle w:val="BodyText"/>
        <w:spacing w:line="453" w:lineRule="auto" w:before="88"/>
        <w:ind w:left="574" w:right="0"/>
        <w:jc w:val="left"/>
      </w:pPr>
      <w:r>
        <w:rPr>
          <w:rFonts w:ascii="宋体" w:hAnsi="宋体" w:cs="宋体" w:eastAsia="宋体" w:hint="default"/>
        </w:rPr>
        <w:t>1</w:t>
      </w:r>
      <w:r>
        <w:rPr/>
        <w:t>．传统业务不断创新经营模式，严控成本，及时应对风险 </w:t>
      </w:r>
      <w:r>
        <w:rPr>
          <w:spacing w:val="-1"/>
        </w:rPr>
        <w:t>根据</w:t>
      </w:r>
      <w:r>
        <w:rPr>
          <w:rFonts w:ascii="宋体" w:hAnsi="宋体" w:cs="宋体" w:eastAsia="宋体" w:hint="default"/>
          <w:spacing w:val="-1"/>
        </w:rPr>
        <w:t>CTR</w:t>
      </w:r>
      <w:r>
        <w:rPr>
          <w:spacing w:val="-1"/>
        </w:rPr>
        <w:t>媒介智讯提供的广告数据，</w:t>
      </w:r>
      <w:r>
        <w:rPr>
          <w:rFonts w:ascii="宋体" w:hAnsi="宋体" w:cs="宋体" w:eastAsia="宋体" w:hint="default"/>
          <w:spacing w:val="-1"/>
        </w:rPr>
        <w:t>2018</w:t>
      </w:r>
      <w:r>
        <w:rPr>
          <w:spacing w:val="-1"/>
        </w:rPr>
        <w:t>年报纸广告降幅为</w:t>
      </w:r>
      <w:r>
        <w:rPr>
          <w:rFonts w:ascii="宋体" w:hAnsi="宋体" w:cs="宋体" w:eastAsia="宋体" w:hint="default"/>
          <w:spacing w:val="-1"/>
        </w:rPr>
        <w:t>30.3%</w:t>
      </w:r>
      <w:r>
        <w:rPr>
          <w:spacing w:val="-1"/>
        </w:rPr>
        <w:t>，经营困境仍未有好转迹象。面对严</w:t>
      </w:r>
    </w:p>
    <w:p>
      <w:pPr>
        <w:pStyle w:val="BodyText"/>
        <w:spacing w:line="420" w:lineRule="auto" w:before="18"/>
        <w:ind w:right="1023"/>
        <w:jc w:val="left"/>
      </w:pPr>
      <w:r>
        <w:rPr>
          <w:spacing w:val="-3"/>
        </w:rPr>
        <w:t>峻的市场环境，华商传媒在报纸经营业务上不断创新经营模式，坚持“活动营销、品牌变现”的经营思路，</w:t>
      </w:r>
      <w:r>
        <w:rPr>
          <w:spacing w:val="-90"/>
        </w:rPr>
        <w:t> </w:t>
      </w:r>
      <w:r>
        <w:rPr>
          <w:spacing w:val="-90"/>
        </w:rPr>
      </w:r>
      <w:r>
        <w:rPr/>
        <w:t>抓住城市发展热点，以品牌活动策划拉动营业收入，促进广告业务转型升级，在广告业务稳定方面取得一</w:t>
      </w:r>
      <w:r>
        <w:rPr/>
        <w:t> 定成效。其中《华商报》策划“唐长安城建城</w:t>
      </w:r>
      <w:r>
        <w:rPr>
          <w:rFonts w:ascii="宋体" w:hAnsi="宋体" w:cs="宋体" w:eastAsia="宋体" w:hint="default"/>
        </w:rPr>
        <w:t>1400</w:t>
      </w:r>
      <w:r>
        <w:rPr/>
        <w:t>年”、“城迹”等活动不仅带来了较大的营业收入，同 时也产生了良好的社会效应和影响力。</w:t>
      </w:r>
    </w:p>
    <w:p>
      <w:pPr>
        <w:pStyle w:val="BodyText"/>
        <w:spacing w:line="240" w:lineRule="auto" w:before="87"/>
        <w:ind w:left="574" w:right="0"/>
        <w:jc w:val="left"/>
      </w:pPr>
      <w:r>
        <w:rPr>
          <w:rFonts w:ascii="宋体" w:hAnsi="宋体" w:cs="宋体" w:eastAsia="宋体" w:hint="default"/>
        </w:rPr>
        <w:t>2</w:t>
      </w:r>
      <w:r>
        <w:rPr/>
        <w:t>．物流业务转型初见成效，通过转型寻求全力突破</w:t>
      </w:r>
    </w:p>
    <w:p>
      <w:pPr>
        <w:spacing w:line="240" w:lineRule="auto" w:before="10"/>
        <w:rPr>
          <w:rFonts w:ascii="宋体" w:hAnsi="宋体" w:cs="宋体" w:eastAsia="宋体" w:hint="default"/>
          <w:sz w:val="18"/>
          <w:szCs w:val="18"/>
        </w:rPr>
      </w:pPr>
    </w:p>
    <w:p>
      <w:pPr>
        <w:pStyle w:val="BodyText"/>
        <w:spacing w:line="240" w:lineRule="auto"/>
        <w:ind w:left="574" w:right="0"/>
        <w:jc w:val="left"/>
      </w:pPr>
      <w:r>
        <w:rPr>
          <w:rFonts w:ascii="宋体" w:hAnsi="宋体" w:cs="宋体" w:eastAsia="宋体" w:hint="default"/>
        </w:rPr>
        <w:t>2018</w:t>
      </w:r>
      <w:r>
        <w:rPr/>
        <w:t>年，华商传媒着力打造以数据媒体和生活资讯为载体的媒体平台，以会展、快递、生鲜等业务为</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420" w:lineRule="auto" w:before="35"/>
        <w:ind w:right="1110"/>
        <w:jc w:val="both"/>
      </w:pPr>
      <w:r>
        <w:rPr>
          <w:spacing w:val="-1"/>
        </w:rPr>
        <w:t>主导的城市生活服务平台，以健康、教育、旅游、文化等产业为支撑的资源整合平台。其中，媒体平台采</w:t>
      </w:r>
      <w:r>
        <w:rPr>
          <w:spacing w:val="-83"/>
        </w:rPr>
        <w:t> </w:t>
      </w:r>
      <w:r>
        <w:rPr>
          <w:spacing w:val="-83"/>
        </w:rPr>
      </w:r>
      <w:r>
        <w:rPr>
          <w:spacing w:val="-1"/>
        </w:rPr>
        <w:t>用多种合作手段，构建数据驱动、移动传播的全国性新媒体业务矩阵；利用大数据技术采集社会民生和城</w:t>
      </w:r>
      <w:r>
        <w:rPr>
          <w:spacing w:val="-83"/>
        </w:rPr>
        <w:t> </w:t>
      </w:r>
      <w:r>
        <w:rPr>
          <w:spacing w:val="-83"/>
        </w:rPr>
      </w:r>
      <w:r>
        <w:rPr/>
        <w:t>市居民生活信息，积累用户数据资产，形成跨媒体生活服务平台；资源整合平台则是将媒体品牌资源化、 资本化，充分利用品牌效应，开放平台打造丰富生态链，以多种模式跨界合作。</w:t>
      </w:r>
    </w:p>
    <w:p>
      <w:pPr>
        <w:pStyle w:val="BodyText"/>
        <w:spacing w:line="420" w:lineRule="auto" w:before="87"/>
        <w:ind w:right="0" w:firstLine="420"/>
        <w:jc w:val="left"/>
      </w:pPr>
      <w:r>
        <w:rPr>
          <w:spacing w:val="-1"/>
        </w:rPr>
        <w:t>在转型当中，陕西黄马甲在打造城市综合服务平台方面，加快快递和生鲜业务布局，摸索出一条可持</w:t>
      </w:r>
      <w:r>
        <w:rPr/>
        <w:t> </w:t>
      </w:r>
      <w:r>
        <w:rPr>
          <w:spacing w:val="-1"/>
        </w:rPr>
        <w:t>续发展之路。陕西黄马甲生鲜全链路升级后，有效提高了运营质量和效率，截至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月底，已累计发</w:t>
      </w:r>
      <w:r>
        <w:rPr>
          <w:spacing w:val="-84"/>
        </w:rPr>
        <w:t> </w:t>
      </w:r>
      <w:r>
        <w:rPr>
          <w:spacing w:val="-84"/>
        </w:rPr>
      </w:r>
      <w:r>
        <w:rPr/>
        <w:t>展配送客户近</w:t>
      </w:r>
      <w:r>
        <w:rPr>
          <w:rFonts w:ascii="宋体" w:hAnsi="宋体" w:cs="宋体" w:eastAsia="宋体" w:hint="default"/>
        </w:rPr>
        <w:t>1,200</w:t>
      </w:r>
      <w:r>
        <w:rPr/>
        <w:t>家，实现销售收入上亿元。同时快递业务保持迅速增长态势，</w:t>
      </w:r>
      <w:r>
        <w:rPr>
          <w:rFonts w:ascii="宋体" w:hAnsi="宋体" w:cs="宋体" w:eastAsia="宋体" w:hint="default"/>
        </w:rPr>
        <w:t>2018</w:t>
      </w:r>
      <w:r>
        <w:rPr/>
        <w:t>年陕西黄马甲日均 </w:t>
      </w:r>
      <w:r>
        <w:rPr>
          <w:spacing w:val="-1"/>
        </w:rPr>
        <w:t>分拣量达到</w:t>
      </w:r>
      <w:r>
        <w:rPr>
          <w:rFonts w:ascii="宋体" w:hAnsi="宋体" w:cs="宋体" w:eastAsia="宋体" w:hint="default"/>
          <w:spacing w:val="-1"/>
        </w:rPr>
        <w:t>20</w:t>
      </w:r>
      <w:r>
        <w:rPr>
          <w:spacing w:val="-1"/>
        </w:rPr>
        <w:t>余万件；“6•18大促”期间，陕西黄马甲配送运营质量全面达标，全国排名位居前列；“双</w:t>
      </w:r>
      <w:r>
        <w:rPr>
          <w:spacing w:val="-83"/>
        </w:rPr>
        <w:t> </w:t>
      </w:r>
      <w:r>
        <w:rPr>
          <w:spacing w:val="-83"/>
        </w:rPr>
      </w:r>
      <w:r>
        <w:rPr>
          <w:rFonts w:ascii="宋体" w:hAnsi="宋体" w:cs="宋体" w:eastAsia="宋体" w:hint="default"/>
        </w:rPr>
        <w:t>11</w:t>
      </w:r>
      <w:r>
        <w:rPr/>
        <w:t>”期间，陕西黄马甲配送单量创历史最高值。</w:t>
      </w:r>
    </w:p>
    <w:p>
      <w:pPr>
        <w:pStyle w:val="BodyText"/>
        <w:spacing w:line="240" w:lineRule="auto" w:before="88"/>
        <w:ind w:left="574" w:right="0"/>
        <w:jc w:val="left"/>
      </w:pPr>
      <w:r>
        <w:rPr>
          <w:rFonts w:ascii="宋体" w:hAnsi="宋体" w:cs="宋体" w:eastAsia="宋体" w:hint="default"/>
        </w:rPr>
        <w:t>3</w:t>
      </w:r>
      <w:r>
        <w:rPr/>
        <w:t>．会展业务保持稳定态势，通过营销策划创新增收</w:t>
      </w:r>
    </w:p>
    <w:p>
      <w:pPr>
        <w:spacing w:line="240" w:lineRule="auto" w:before="9"/>
        <w:rPr>
          <w:rFonts w:ascii="宋体" w:hAnsi="宋体" w:cs="宋体" w:eastAsia="宋体" w:hint="default"/>
          <w:sz w:val="18"/>
          <w:szCs w:val="18"/>
        </w:rPr>
      </w:pPr>
    </w:p>
    <w:p>
      <w:pPr>
        <w:pStyle w:val="BodyText"/>
        <w:spacing w:line="420" w:lineRule="auto"/>
        <w:ind w:right="1110" w:firstLine="420"/>
        <w:jc w:val="both"/>
      </w:pPr>
      <w:r>
        <w:rPr>
          <w:rFonts w:ascii="宋体" w:hAnsi="宋体" w:cs="宋体" w:eastAsia="宋体" w:hint="default"/>
        </w:rPr>
        <w:t>2018</w:t>
      </w:r>
      <w:r>
        <w:rPr/>
        <w:t>年，持续经济下行给各个行业及消费带来严重影响，华商卓越文化会展业务面对汽车行业下滑、 </w:t>
      </w:r>
      <w:r>
        <w:rPr>
          <w:spacing w:val="-1"/>
        </w:rPr>
        <w:t>居民消费不振的局面，通过营销策划创新、让利消费者等方式继续保持稳定发展态势。会展业务继续保持</w:t>
      </w:r>
      <w:r>
        <w:rPr>
          <w:spacing w:val="-83"/>
        </w:rPr>
        <w:t> </w:t>
      </w:r>
      <w:r>
        <w:rPr>
          <w:spacing w:val="-83"/>
        </w:rPr>
      </w:r>
      <w:r>
        <w:rPr>
          <w:spacing w:val="-1"/>
        </w:rPr>
        <w:t>稳定发展态势，“五一”、“十一”车展均超额完成预定目标，在稳固车展业务的同时，教育展、招生咨</w:t>
      </w:r>
      <w:r>
        <w:rPr>
          <w:spacing w:val="-83"/>
        </w:rPr>
        <w:t> </w:t>
      </w:r>
      <w:r>
        <w:rPr>
          <w:spacing w:val="-83"/>
        </w:rPr>
      </w:r>
      <w:r>
        <w:rPr>
          <w:spacing w:val="-1"/>
        </w:rPr>
        <w:t>询会、第二届酷玩娱乐嘉年华等综合展稳保主营项目，挖潜力、扩营业收入，其中酷玩娱乐嘉年华项目获</w:t>
      </w:r>
      <w:r>
        <w:rPr>
          <w:spacing w:val="-86"/>
        </w:rPr>
        <w:t> </w:t>
      </w:r>
      <w:r>
        <w:rPr>
          <w:spacing w:val="-86"/>
        </w:rPr>
      </w:r>
      <w:r>
        <w:rPr>
          <w:spacing w:val="-1"/>
        </w:rPr>
        <w:t>得了较好的行业认可，且在广泛娱乐人群中建立了一定的品牌影响力。</w:t>
      </w:r>
      <w:r>
        <w:rPr>
          <w:rFonts w:ascii="宋体" w:hAnsi="宋体" w:cs="宋体" w:eastAsia="宋体" w:hint="default"/>
          <w:spacing w:val="-1"/>
        </w:rPr>
        <w:t>2018</w:t>
      </w:r>
      <w:r>
        <w:rPr>
          <w:spacing w:val="-1"/>
        </w:rPr>
        <w:t>年，华商卓越文化开发了一项</w:t>
      </w:r>
      <w:r>
        <w:rPr>
          <w:spacing w:val="-80"/>
        </w:rPr>
        <w:t> </w:t>
      </w:r>
      <w:r>
        <w:rPr>
          <w:spacing w:val="-80"/>
        </w:rPr>
      </w:r>
      <w:r>
        <w:rPr>
          <w:spacing w:val="-1"/>
        </w:rPr>
        <w:t>以年轻群体为目标人群的城市娱乐性赛事</w:t>
      </w:r>
      <w:r>
        <w:rPr>
          <w:rFonts w:ascii="宋体" w:hAnsi="宋体" w:cs="宋体" w:eastAsia="宋体" w:hint="default"/>
          <w:spacing w:val="-1"/>
        </w:rPr>
        <w:t>---</w:t>
      </w:r>
      <w:r>
        <w:rPr>
          <w:spacing w:val="-1"/>
        </w:rPr>
        <w:t>“发现新西安•世界城市定向赛”，成功举办了两季，并确定</w:t>
      </w:r>
      <w:r>
        <w:rPr>
          <w:spacing w:val="-82"/>
        </w:rPr>
        <w:t> </w:t>
      </w:r>
      <w:r>
        <w:rPr>
          <w:spacing w:val="-82"/>
        </w:rPr>
      </w:r>
      <w:r>
        <w:rPr>
          <w:spacing w:val="-1"/>
        </w:rPr>
        <w:t>为西安市政府主办的年度文化旅游赛事，在西安获得了一定的社会影响，也发展成为华商传媒一个品牌项</w:t>
      </w:r>
      <w:r>
        <w:rPr>
          <w:spacing w:val="-81"/>
        </w:rPr>
        <w:t> </w:t>
      </w:r>
      <w:r>
        <w:rPr>
          <w:spacing w:val="-81"/>
        </w:rPr>
      </w:r>
      <w:r>
        <w:rPr/>
        <w:t>目。</w:t>
      </w:r>
    </w:p>
    <w:p>
      <w:pPr>
        <w:pStyle w:val="BodyText"/>
        <w:spacing w:line="456" w:lineRule="auto" w:before="87"/>
        <w:ind w:left="574" w:right="0"/>
        <w:jc w:val="left"/>
      </w:pPr>
      <w:r>
        <w:rPr>
          <w:rFonts w:ascii="宋体" w:hAnsi="宋体" w:cs="宋体" w:eastAsia="宋体" w:hint="default"/>
        </w:rPr>
        <w:t>4. </w:t>
      </w:r>
      <w:r>
        <w:rPr/>
        <w:t>辅助业务积极作为，调整优化结构 </w:t>
      </w:r>
      <w:r>
        <w:rPr>
          <w:spacing w:val="-1"/>
        </w:rPr>
        <w:t>华商数码在传统媒体市场持续萎缩、纸张价格不断飙涨的压力之下，开源节流，一方面盘活资产，整</w:t>
      </w:r>
    </w:p>
    <w:p>
      <w:pPr>
        <w:pStyle w:val="BodyText"/>
        <w:spacing w:line="420" w:lineRule="auto" w:before="16"/>
        <w:ind w:right="1027"/>
        <w:jc w:val="both"/>
      </w:pPr>
      <w:r>
        <w:rPr/>
        <w:t>合资源，拓展销售渠道；另一方面进行人员优化，节约成本，降低废品率、损耗率，超额完成年初制定的 绩效目标。</w:t>
      </w:r>
      <w:r>
        <w:rPr>
          <w:rFonts w:ascii="宋体" w:hAnsi="宋体" w:cs="宋体" w:eastAsia="宋体" w:hint="default"/>
        </w:rPr>
        <w:t>2018</w:t>
      </w:r>
      <w:r>
        <w:rPr/>
        <w:t>年，华商数码密切关注原辅材料关键指标，加强生产质量控制，承印的《华商报》被评为 精品级。</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26</w:t>
      </w:r>
      <w:r>
        <w:rPr/>
        <w:t>日，华商数码通过了中国质量认证中心西北评审中心的</w:t>
      </w:r>
      <w:r>
        <w:rPr>
          <w:rFonts w:ascii="宋体" w:hAnsi="宋体" w:cs="宋体" w:eastAsia="宋体" w:hint="default"/>
        </w:rPr>
        <w:t>ISO9001</w:t>
      </w:r>
      <w:r>
        <w:rPr/>
        <w:t>质量管理体系再认证 审核；</w:t>
      </w:r>
      <w:r>
        <w:rPr>
          <w:spacing w:val="-29"/>
        </w:rPr>
        <w:t> </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16</w:t>
      </w:r>
      <w:r>
        <w:rPr/>
        <w:t>日，华商数码又通过中环联合（北京）认证中心有限公司的绿色印刷换证审核工作。</w:t>
      </w:r>
    </w:p>
    <w:p>
      <w:pPr>
        <w:pStyle w:val="BodyText"/>
        <w:spacing w:line="240" w:lineRule="auto" w:before="87"/>
        <w:ind w:left="574" w:right="0"/>
        <w:jc w:val="left"/>
      </w:pPr>
      <w:r>
        <w:rPr>
          <w:rFonts w:ascii="宋体" w:hAnsi="宋体" w:cs="宋体" w:eastAsia="宋体" w:hint="default"/>
        </w:rPr>
        <w:t>5</w:t>
      </w:r>
      <w:r>
        <w:rPr/>
        <w:t>．</w:t>
      </w:r>
      <w:r>
        <w:rPr>
          <w:rFonts w:ascii="宋体" w:hAnsi="宋体" w:cs="宋体" w:eastAsia="宋体" w:hint="default"/>
        </w:rPr>
        <w:t>2018</w:t>
      </w:r>
      <w:r>
        <w:rPr/>
        <w:t>年华商传媒及附属公司的广告收入占比情况：</w:t>
      </w:r>
    </w:p>
    <w:p>
      <w:pPr>
        <w:spacing w:line="240" w:lineRule="auto" w:before="1"/>
        <w:rPr>
          <w:rFonts w:ascii="宋体" w:hAnsi="宋体" w:cs="宋体" w:eastAsia="宋体" w:hint="default"/>
          <w:sz w:val="8"/>
          <w:szCs w:val="8"/>
        </w:rPr>
      </w:pPr>
    </w:p>
    <w:tbl>
      <w:tblPr>
        <w:tblW w:w="0" w:type="auto"/>
        <w:jc w:val="left"/>
        <w:tblInd w:w="570" w:type="dxa"/>
        <w:tblLayout w:type="fixed"/>
        <w:tblCellMar>
          <w:top w:w="0" w:type="dxa"/>
          <w:left w:w="0" w:type="dxa"/>
          <w:bottom w:w="0" w:type="dxa"/>
          <w:right w:w="0" w:type="dxa"/>
        </w:tblCellMar>
        <w:tblLook w:val="01E0"/>
      </w:tblPr>
      <w:tblGrid>
        <w:gridCol w:w="1842"/>
        <w:gridCol w:w="2410"/>
        <w:gridCol w:w="2411"/>
        <w:gridCol w:w="2268"/>
      </w:tblGrid>
      <w:tr>
        <w:trPr>
          <w:trHeight w:val="353" w:hRule="exact"/>
        </w:trPr>
        <w:tc>
          <w:tcPr>
            <w:tcW w:w="1842"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7089" w:type="dxa"/>
            <w:gridSpan w:val="3"/>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3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p>
        </w:tc>
      </w:tr>
      <w:tr>
        <w:trPr>
          <w:trHeight w:val="352" w:hRule="exact"/>
        </w:trPr>
        <w:tc>
          <w:tcPr>
            <w:tcW w:w="1842" w:type="dxa"/>
            <w:vMerge/>
            <w:tcBorders>
              <w:left w:val="single" w:sz="8" w:space="0" w:color="000000"/>
              <w:bottom w:val="single" w:sz="8" w:space="0" w:color="000000"/>
              <w:right w:val="single" w:sz="8" w:space="0" w:color="000000"/>
            </w:tcBorders>
            <w:shd w:val="clear" w:color="auto" w:fill="D9D9D9"/>
          </w:tcPr>
          <w:p>
            <w:pPr/>
          </w:p>
        </w:tc>
        <w:tc>
          <w:tcPr>
            <w:tcW w:w="241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492" w:right="0"/>
              <w:jc w:val="left"/>
              <w:rPr>
                <w:rFonts w:ascii="宋体" w:hAnsi="宋体" w:cs="宋体" w:eastAsia="宋体" w:hint="default"/>
                <w:sz w:val="18"/>
                <w:szCs w:val="18"/>
              </w:rPr>
            </w:pPr>
            <w:r>
              <w:rPr>
                <w:rFonts w:ascii="宋体" w:hAnsi="宋体" w:cs="宋体" w:eastAsia="宋体" w:hint="default"/>
                <w:sz w:val="18"/>
                <w:szCs w:val="18"/>
              </w:rPr>
              <w:t>营业收入（万元）</w:t>
            </w:r>
          </w:p>
        </w:tc>
        <w:tc>
          <w:tcPr>
            <w:tcW w:w="241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493" w:right="0"/>
              <w:jc w:val="left"/>
              <w:rPr>
                <w:rFonts w:ascii="宋体" w:hAnsi="宋体" w:cs="宋体" w:eastAsia="宋体" w:hint="default"/>
                <w:sz w:val="18"/>
                <w:szCs w:val="18"/>
              </w:rPr>
            </w:pPr>
            <w:r>
              <w:rPr>
                <w:rFonts w:ascii="宋体" w:hAnsi="宋体" w:cs="宋体" w:eastAsia="宋体" w:hint="default"/>
                <w:sz w:val="18"/>
                <w:szCs w:val="18"/>
              </w:rPr>
              <w:t>广告收入（万元）</w:t>
            </w:r>
          </w:p>
        </w:tc>
        <w:tc>
          <w:tcPr>
            <w:tcW w:w="22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599" w:right="0"/>
              <w:jc w:val="left"/>
              <w:rPr>
                <w:rFonts w:ascii="宋体" w:hAnsi="宋体" w:cs="宋体" w:eastAsia="宋体" w:hint="default"/>
                <w:sz w:val="18"/>
                <w:szCs w:val="18"/>
              </w:rPr>
            </w:pPr>
            <w:r>
              <w:rPr>
                <w:rFonts w:ascii="宋体" w:hAnsi="宋体" w:cs="宋体" w:eastAsia="宋体" w:hint="default"/>
                <w:sz w:val="18"/>
                <w:szCs w:val="18"/>
              </w:rPr>
              <w:t>广告收入占比</w:t>
            </w:r>
          </w:p>
        </w:tc>
      </w:tr>
      <w:tr>
        <w:trPr>
          <w:trHeight w:val="352" w:hRule="exact"/>
        </w:trPr>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华商传媒合并</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123,399</w:t>
            </w:r>
          </w:p>
        </w:tc>
        <w:tc>
          <w:tcPr>
            <w:tcW w:w="2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20,471</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16.59%</w:t>
            </w:r>
          </w:p>
        </w:tc>
      </w:tr>
      <w:tr>
        <w:trPr>
          <w:trHeight w:val="353" w:hRule="exact"/>
        </w:trPr>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华商广告</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33,095</w:t>
            </w:r>
          </w:p>
        </w:tc>
        <w:tc>
          <w:tcPr>
            <w:tcW w:w="2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14,129</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42.69%</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570" w:type="dxa"/>
        <w:tblLayout w:type="fixed"/>
        <w:tblCellMar>
          <w:top w:w="0" w:type="dxa"/>
          <w:left w:w="0" w:type="dxa"/>
          <w:bottom w:w="0" w:type="dxa"/>
          <w:right w:w="0" w:type="dxa"/>
        </w:tblCellMar>
        <w:tblLook w:val="01E0"/>
      </w:tblPr>
      <w:tblGrid>
        <w:gridCol w:w="1842"/>
        <w:gridCol w:w="2410"/>
        <w:gridCol w:w="2411"/>
        <w:gridCol w:w="2268"/>
      </w:tblGrid>
      <w:tr>
        <w:trPr>
          <w:trHeight w:val="352" w:hRule="exact"/>
        </w:trPr>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吉林华商传媒</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4,365</w:t>
            </w:r>
          </w:p>
        </w:tc>
        <w:tc>
          <w:tcPr>
            <w:tcW w:w="2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2,762</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63.28%</w:t>
            </w:r>
          </w:p>
        </w:tc>
      </w:tr>
      <w:tr>
        <w:trPr>
          <w:trHeight w:val="353" w:hRule="exact"/>
        </w:trPr>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重庆华博传媒</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2,526</w:t>
            </w:r>
          </w:p>
        </w:tc>
        <w:tc>
          <w:tcPr>
            <w:tcW w:w="2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686</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27.16%</w:t>
            </w:r>
          </w:p>
        </w:tc>
      </w:tr>
      <w:tr>
        <w:trPr>
          <w:trHeight w:val="352" w:hRule="exact"/>
        </w:trPr>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辽宁盈丰传媒</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1,780</w:t>
            </w:r>
          </w:p>
        </w:tc>
        <w:tc>
          <w:tcPr>
            <w:tcW w:w="2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751</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42.19%</w:t>
            </w:r>
          </w:p>
        </w:tc>
      </w:tr>
      <w:tr>
        <w:trPr>
          <w:trHeight w:val="352" w:hRule="exact"/>
        </w:trPr>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华商网络</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3,743</w:t>
            </w:r>
          </w:p>
        </w:tc>
        <w:tc>
          <w:tcPr>
            <w:tcW w:w="2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2,183</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58.32%</w:t>
            </w:r>
          </w:p>
        </w:tc>
      </w:tr>
      <w:tr>
        <w:trPr>
          <w:trHeight w:val="353" w:hRule="exact"/>
        </w:trPr>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华商卓越文化</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11,572</w:t>
            </w:r>
          </w:p>
        </w:tc>
        <w:tc>
          <w:tcPr>
            <w:tcW w:w="2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100</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0.86%</w:t>
            </w:r>
          </w:p>
        </w:tc>
      </w:tr>
    </w:tbl>
    <w:p>
      <w:pPr>
        <w:spacing w:line="240" w:lineRule="auto" w:before="12"/>
        <w:rPr>
          <w:rFonts w:ascii="宋体" w:hAnsi="宋体" w:cs="宋体" w:eastAsia="宋体" w:hint="default"/>
          <w:sz w:val="10"/>
          <w:szCs w:val="10"/>
        </w:rPr>
      </w:pPr>
    </w:p>
    <w:p>
      <w:pPr>
        <w:pStyle w:val="BodyText"/>
        <w:spacing w:line="240" w:lineRule="auto" w:before="35"/>
        <w:ind w:left="574" w:right="0"/>
        <w:jc w:val="left"/>
      </w:pPr>
      <w:r>
        <w:rPr>
          <w:rFonts w:ascii="宋体" w:hAnsi="宋体" w:cs="宋体" w:eastAsia="宋体" w:hint="default"/>
        </w:rPr>
        <w:t>6</w:t>
      </w:r>
      <w:r>
        <w:rPr/>
        <w:t>．</w:t>
      </w:r>
      <w:r>
        <w:rPr>
          <w:rFonts w:ascii="宋体" w:hAnsi="宋体" w:cs="宋体" w:eastAsia="宋体" w:hint="default"/>
        </w:rPr>
        <w:t>2018</w:t>
      </w:r>
      <w:r>
        <w:rPr/>
        <w:t>年华商传媒及附属公司的广告和发行收入变化情况：</w:t>
      </w:r>
    </w:p>
    <w:p>
      <w:pPr>
        <w:spacing w:line="240" w:lineRule="auto" w:before="3"/>
        <w:rPr>
          <w:rFonts w:ascii="宋体" w:hAnsi="宋体" w:cs="宋体" w:eastAsia="宋体" w:hint="default"/>
          <w:sz w:val="8"/>
          <w:szCs w:val="8"/>
        </w:rPr>
      </w:pPr>
    </w:p>
    <w:tbl>
      <w:tblPr>
        <w:tblW w:w="0" w:type="auto"/>
        <w:jc w:val="left"/>
        <w:tblInd w:w="572" w:type="dxa"/>
        <w:tblLayout w:type="fixed"/>
        <w:tblCellMar>
          <w:top w:w="0" w:type="dxa"/>
          <w:left w:w="0" w:type="dxa"/>
          <w:bottom w:w="0" w:type="dxa"/>
          <w:right w:w="0" w:type="dxa"/>
        </w:tblCellMar>
        <w:tblLook w:val="01E0"/>
      </w:tblPr>
      <w:tblGrid>
        <w:gridCol w:w="1842"/>
        <w:gridCol w:w="794"/>
        <w:gridCol w:w="794"/>
        <w:gridCol w:w="794"/>
        <w:gridCol w:w="794"/>
        <w:gridCol w:w="793"/>
        <w:gridCol w:w="795"/>
        <w:gridCol w:w="794"/>
        <w:gridCol w:w="793"/>
        <w:gridCol w:w="794"/>
      </w:tblGrid>
      <w:tr>
        <w:trPr>
          <w:trHeight w:val="427" w:hRule="exact"/>
        </w:trPr>
        <w:tc>
          <w:tcPr>
            <w:tcW w:w="184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382"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463" w:right="0"/>
              <w:jc w:val="left"/>
              <w:rPr>
                <w:rFonts w:ascii="宋体" w:hAnsi="宋体" w:cs="宋体" w:eastAsia="宋体" w:hint="default"/>
                <w:sz w:val="18"/>
                <w:szCs w:val="18"/>
              </w:rPr>
            </w:pPr>
            <w:r>
              <w:rPr>
                <w:rFonts w:ascii="宋体" w:hAnsi="宋体" w:cs="宋体" w:eastAsia="宋体" w:hint="default"/>
                <w:sz w:val="18"/>
                <w:szCs w:val="18"/>
              </w:rPr>
              <w:t>广告收入（万元）</w:t>
            </w:r>
          </w:p>
        </w:tc>
        <w:tc>
          <w:tcPr>
            <w:tcW w:w="2382"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463" w:right="0"/>
              <w:jc w:val="left"/>
              <w:rPr>
                <w:rFonts w:ascii="宋体" w:hAnsi="宋体" w:cs="宋体" w:eastAsia="宋体" w:hint="default"/>
                <w:sz w:val="18"/>
                <w:szCs w:val="18"/>
              </w:rPr>
            </w:pPr>
            <w:r>
              <w:rPr>
                <w:rFonts w:ascii="宋体" w:hAnsi="宋体" w:cs="宋体" w:eastAsia="宋体" w:hint="default"/>
                <w:sz w:val="18"/>
                <w:szCs w:val="18"/>
              </w:rPr>
              <w:t>发行收入（万元）</w:t>
            </w:r>
          </w:p>
        </w:tc>
        <w:tc>
          <w:tcPr>
            <w:tcW w:w="2382"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3" w:right="0"/>
              <w:jc w:val="left"/>
              <w:rPr>
                <w:rFonts w:ascii="宋体" w:hAnsi="宋体" w:cs="宋体" w:eastAsia="宋体" w:hint="default"/>
                <w:sz w:val="18"/>
                <w:szCs w:val="18"/>
              </w:rPr>
            </w:pPr>
            <w:r>
              <w:rPr>
                <w:rFonts w:ascii="宋体" w:hAnsi="宋体" w:cs="宋体" w:eastAsia="宋体" w:hint="default"/>
                <w:sz w:val="18"/>
                <w:szCs w:val="18"/>
              </w:rPr>
              <w:t>对应报纸日均发行量（万份）</w:t>
            </w:r>
          </w:p>
        </w:tc>
      </w:tr>
      <w:tr>
        <w:trPr>
          <w:trHeight w:val="427" w:hRule="exact"/>
        </w:trPr>
        <w:tc>
          <w:tcPr>
            <w:tcW w:w="1842" w:type="dxa"/>
            <w:vMerge/>
            <w:tcBorders>
              <w:left w:val="single" w:sz="6" w:space="0" w:color="000000"/>
              <w:bottom w:val="single" w:sz="6" w:space="0" w:color="000000"/>
              <w:right w:val="single" w:sz="6" w:space="0" w:color="000000"/>
            </w:tcBorders>
            <w:shd w:val="clear" w:color="auto" w:fill="D9D9D9"/>
          </w:tcPr>
          <w:p>
            <w:pPr/>
          </w:p>
        </w:tc>
        <w:tc>
          <w:tcPr>
            <w:tcW w:w="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1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p>
        </w:tc>
        <w:tc>
          <w:tcPr>
            <w:tcW w:w="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1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p>
        </w:tc>
        <w:tc>
          <w:tcPr>
            <w:tcW w:w="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2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p>
        </w:tc>
        <w:tc>
          <w:tcPr>
            <w:tcW w:w="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1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p>
        </w:tc>
        <w:tc>
          <w:tcPr>
            <w:tcW w:w="7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1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p>
        </w:tc>
        <w:tc>
          <w:tcPr>
            <w:tcW w:w="7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2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p>
        </w:tc>
        <w:tc>
          <w:tcPr>
            <w:tcW w:w="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1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p>
        </w:tc>
        <w:tc>
          <w:tcPr>
            <w:tcW w:w="7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1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p>
        </w:tc>
        <w:tc>
          <w:tcPr>
            <w:tcW w:w="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2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p>
        </w:tc>
      </w:tr>
      <w:tr>
        <w:trPr>
          <w:trHeight w:val="347" w:hRule="exact"/>
        </w:trPr>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华商传媒合并</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20,471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z w:val="18"/>
              </w:rPr>
              <w:t>29,447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z w:val="18"/>
              </w:rPr>
              <w:t>39,512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1,320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z w:val="18"/>
              </w:rPr>
              <w:t>2,350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z w:val="18"/>
              </w:rPr>
              <w:t>4,070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27</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z w:val="18"/>
              </w:rPr>
              <w:t>44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z w:val="18"/>
              </w:rPr>
              <w:t>65</w:t>
            </w:r>
          </w:p>
        </w:tc>
      </w:tr>
      <w:tr>
        <w:trPr>
          <w:trHeight w:val="347" w:hRule="exact"/>
        </w:trPr>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华商广告</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14,129</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19,601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23,545</w:t>
            </w: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17</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28</w:t>
            </w:r>
          </w:p>
        </w:tc>
      </w:tr>
      <w:tr>
        <w:trPr>
          <w:trHeight w:val="347" w:hRule="exact"/>
        </w:trPr>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吉林华商传媒</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2,762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4,173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5,864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902</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1,016</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1,644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14</w:t>
            </w:r>
          </w:p>
        </w:tc>
      </w:tr>
      <w:tr>
        <w:trPr>
          <w:trHeight w:val="347" w:hRule="exact"/>
        </w:trPr>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重庆华博传媒</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686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2,248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5,013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687</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1,193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11</w:t>
            </w:r>
          </w:p>
        </w:tc>
      </w:tr>
      <w:tr>
        <w:trPr>
          <w:trHeight w:val="348" w:hRule="exact"/>
        </w:trPr>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辽宁盈丰传媒</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751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1,906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3,675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413</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647</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1,233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12</w:t>
            </w:r>
          </w:p>
        </w:tc>
      </w:tr>
      <w:tr>
        <w:trPr>
          <w:trHeight w:val="347" w:hRule="exact"/>
        </w:trPr>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华商网络</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2,183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1,736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1,587</w:t>
            </w: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华商卓越文化</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19</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432</w:t>
            </w: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10"/>
          <w:szCs w:val="10"/>
        </w:rPr>
      </w:pPr>
    </w:p>
    <w:p>
      <w:pPr>
        <w:pStyle w:val="BodyText"/>
        <w:spacing w:line="420" w:lineRule="auto" w:before="35"/>
        <w:ind w:right="1092" w:firstLine="420"/>
        <w:jc w:val="left"/>
      </w:pPr>
      <w:r>
        <w:rPr/>
        <w:t>（三）国广光荣通过不断加强与国际台、国广控股的合作，获取国际台广播频率独家广告经营资源， </w:t>
      </w:r>
      <w:r>
        <w:rPr>
          <w:spacing w:val="-1"/>
        </w:rPr>
        <w:t>有效应对了近年以来互联网等新媒体广告形态所形成的竞争与冲击。截至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月底，国广光荣获得国</w:t>
      </w:r>
      <w:r>
        <w:rPr>
          <w:spacing w:val="-82"/>
        </w:rPr>
        <w:t> </w:t>
      </w:r>
      <w:r>
        <w:rPr>
          <w:spacing w:val="-82"/>
        </w:rPr>
      </w:r>
      <w:r>
        <w:rPr/>
        <w:t>际台经国家广电总局批准在北京、上海、广州、深圳、重庆、天津等直辖市或一线大城市落地的</w:t>
      </w:r>
      <w:r>
        <w:rPr>
          <w:rFonts w:ascii="宋体" w:hAnsi="宋体" w:cs="宋体" w:eastAsia="宋体" w:hint="default"/>
        </w:rPr>
        <w:t>8</w:t>
      </w:r>
      <w:r>
        <w:rPr/>
        <w:t>个规划 频率；国广光荣通过完善与签约代理商的对接服务工作，确保已签合同的顺利履约和应收款项及时到位； </w:t>
      </w:r>
      <w:r>
        <w:rPr>
          <w:spacing w:val="-1"/>
        </w:rPr>
        <w:t>通过强化经营资源销售团队，全力开展代理商招商工作，确保经营资源有效性；通过加强与国际台和当地</w:t>
      </w:r>
      <w:r>
        <w:rPr>
          <w:spacing w:val="-83"/>
        </w:rPr>
        <w:t> </w:t>
      </w:r>
      <w:r>
        <w:rPr>
          <w:spacing w:val="-83"/>
        </w:rPr>
      </w:r>
      <w:r>
        <w:rPr/>
        <w:t>管理部门的沟通配合，积极学习广告行业法律法规，确保了在经营活动中广告内容依法、合规。</w:t>
      </w:r>
    </w:p>
    <w:p>
      <w:pPr>
        <w:pStyle w:val="BodyText"/>
        <w:spacing w:line="420" w:lineRule="auto" w:before="87"/>
        <w:ind w:right="1110" w:firstLine="420"/>
        <w:jc w:val="both"/>
      </w:pPr>
      <w:r>
        <w:rPr/>
        <w:t>（四）澄怀科技因美国政府出台了一系列新政策，限制了部分赴美条件，对美国留学市场冲击较大， </w:t>
      </w:r>
      <w:r>
        <w:rPr>
          <w:spacing w:val="-1"/>
        </w:rPr>
        <w:t>同时国家于</w:t>
      </w:r>
      <w:r>
        <w:rPr>
          <w:rFonts w:ascii="宋体" w:hAnsi="宋体" w:cs="宋体" w:eastAsia="宋体" w:hint="default"/>
          <w:spacing w:val="-1"/>
        </w:rPr>
        <w:t>2017</w:t>
      </w:r>
      <w:r>
        <w:rPr>
          <w:spacing w:val="-1"/>
        </w:rPr>
        <w:t>年底取消了出国留学中介资质认定，小型留学服务公司大量涌现，对留学服务业务特别是</w:t>
      </w:r>
      <w:r>
        <w:rPr>
          <w:spacing w:val="-81"/>
        </w:rPr>
        <w:t> </w:t>
      </w:r>
      <w:r>
        <w:rPr>
          <w:spacing w:val="-81"/>
        </w:rPr>
      </w:r>
      <w:r>
        <w:rPr>
          <w:spacing w:val="-1"/>
        </w:rPr>
        <w:t>留美服务业务造成了一定冲击。此外，澄怀科技管理层发生全面变动，加之现金流的紧缺，导致大量员工</w:t>
      </w:r>
      <w:r>
        <w:rPr>
          <w:spacing w:val="-86"/>
        </w:rPr>
        <w:t> </w:t>
      </w:r>
      <w:r>
        <w:rPr>
          <w:spacing w:val="-86"/>
        </w:rPr>
      </w:r>
      <w:r>
        <w:rPr>
          <w:spacing w:val="-1"/>
        </w:rPr>
        <w:t>离职，以致销售人员更为紧缺，市场宣传未能到位，直接造成销售额的大幅下降，且因开展广告业务的资</w:t>
      </w:r>
      <w:r>
        <w:rPr>
          <w:spacing w:val="-86"/>
        </w:rPr>
        <w:t> </w:t>
      </w:r>
      <w:r>
        <w:rPr>
          <w:spacing w:val="-86"/>
        </w:rPr>
      </w:r>
      <w:r>
        <w:rPr/>
        <w:t>金问题，澄怀科技</w:t>
      </w:r>
      <w:r>
        <w:rPr>
          <w:rFonts w:ascii="宋体" w:hAnsi="宋体" w:cs="宋体" w:eastAsia="宋体" w:hint="default"/>
        </w:rPr>
        <w:t>2018</w:t>
      </w:r>
      <w:r>
        <w:rPr/>
        <w:t>年停止了广告业务。</w:t>
      </w:r>
    </w:p>
    <w:p>
      <w:pPr>
        <w:pStyle w:val="BodyText"/>
        <w:spacing w:line="420" w:lineRule="auto" w:before="87"/>
        <w:ind w:right="1130" w:firstLine="420"/>
        <w:jc w:val="both"/>
      </w:pPr>
      <w:r>
        <w:rPr>
          <w:spacing w:val="-1"/>
        </w:rPr>
        <w:t>（五）国视上海的核心合作伙伴以及主要业务结算方咪咕视讯科技有限公司在</w:t>
      </w:r>
      <w:r>
        <w:rPr>
          <w:rFonts w:ascii="宋体" w:hAnsi="宋体" w:cs="宋体" w:eastAsia="宋体" w:hint="default"/>
          <w:spacing w:val="-1"/>
        </w:rPr>
        <w:t>2018</w:t>
      </w:r>
      <w:r>
        <w:rPr>
          <w:spacing w:val="-1"/>
        </w:rPr>
        <w:t>年继续延续</w:t>
      </w:r>
      <w:r>
        <w:rPr>
          <w:rFonts w:ascii="宋体" w:hAnsi="宋体" w:cs="宋体" w:eastAsia="宋体" w:hint="default"/>
          <w:spacing w:val="-1"/>
        </w:rPr>
        <w:t>2017</w:t>
      </w:r>
      <w:r>
        <w:rPr>
          <w:spacing w:val="-1"/>
        </w:rPr>
        <w:t>年</w:t>
      </w:r>
      <w:r>
        <w:rPr/>
        <w:t> </w:t>
      </w:r>
      <w:r>
        <w:rPr>
          <w:spacing w:val="-1"/>
        </w:rPr>
        <w:t>基本经营策略，其传统的视频计费业务继续专注于自有品牌产品，大幅降低牌照方的推广空间。同时各省</w:t>
      </w:r>
      <w:r>
        <w:rPr>
          <w:spacing w:val="-83"/>
        </w:rPr>
        <w:t> </w:t>
      </w:r>
      <w:r>
        <w:rPr>
          <w:spacing w:val="-83"/>
        </w:rPr>
      </w:r>
      <w:r>
        <w:rPr>
          <w:spacing w:val="-1"/>
        </w:rPr>
        <w:t>对计费业务的限制仍没有改善趋势，国视上海虽然经过调整团队等措施，对分省运营商进行了更加频繁的</w:t>
      </w:r>
      <w:r>
        <w:rPr>
          <w:spacing w:val="-80"/>
        </w:rPr>
        <w:t> </w:t>
      </w:r>
      <w:r>
        <w:rPr>
          <w:spacing w:val="-80"/>
        </w:rPr>
      </w:r>
      <w:r>
        <w:rPr>
          <w:spacing w:val="-1"/>
        </w:rPr>
        <w:t>业务沟通，但无法从根本上扭转基本局面。自营业务总体发展并不理想，从媒介质量到业务流程方面均存</w:t>
      </w:r>
      <w:r>
        <w:rPr>
          <w:spacing w:val="-83"/>
        </w:rPr>
        <w:t> </w:t>
      </w:r>
      <w:r>
        <w:rPr>
          <w:spacing w:val="-83"/>
        </w:rPr>
      </w:r>
      <w:r>
        <w:rPr/>
        <w:t>在较大的待优化空间，预计还需要较多时日才能真正形成规模化销售。</w:t>
      </w:r>
    </w:p>
    <w:p>
      <w:pPr>
        <w:spacing w:after="0" w:line="42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420" w:lineRule="auto" w:before="35"/>
        <w:ind w:right="0" w:firstLine="420"/>
        <w:jc w:val="left"/>
      </w:pPr>
      <w:r>
        <w:rPr/>
        <w:t>截至</w:t>
      </w:r>
      <w:r>
        <w:rPr>
          <w:rFonts w:ascii="宋体" w:hAnsi="宋体" w:cs="宋体" w:eastAsia="宋体" w:hint="default"/>
        </w:rPr>
        <w:t>2018</w:t>
      </w:r>
      <w:r>
        <w:rPr/>
        <w:t>年</w:t>
      </w:r>
      <w:r>
        <w:rPr>
          <w:rFonts w:ascii="宋体" w:hAnsi="宋体" w:cs="宋体" w:eastAsia="宋体" w:hint="default"/>
        </w:rPr>
        <w:t>12</w:t>
      </w:r>
      <w:r>
        <w:rPr/>
        <w:t>月，国视上海实现包月用户数为</w:t>
      </w:r>
      <w:r>
        <w:rPr>
          <w:rFonts w:ascii="宋体" w:hAnsi="宋体" w:cs="宋体" w:eastAsia="宋体" w:hint="default"/>
        </w:rPr>
        <w:t>85.70</w:t>
      </w:r>
      <w:r>
        <w:rPr/>
        <w:t>万人，较</w:t>
      </w:r>
      <w:r>
        <w:rPr>
          <w:rFonts w:ascii="宋体" w:hAnsi="宋体" w:cs="宋体" w:eastAsia="宋体" w:hint="default"/>
        </w:rPr>
        <w:t>2017</w:t>
      </w:r>
      <w:r>
        <w:rPr/>
        <w:t>年底下降</w:t>
      </w:r>
      <w:r>
        <w:rPr>
          <w:rFonts w:ascii="宋体" w:hAnsi="宋体" w:cs="宋体" w:eastAsia="宋体" w:hint="default"/>
        </w:rPr>
        <w:t>50.99%</w:t>
      </w:r>
      <w:r>
        <w:rPr/>
        <w:t>，其中：中国移动 </w:t>
      </w:r>
      <w:r>
        <w:rPr>
          <w:spacing w:val="-1"/>
        </w:rPr>
        <w:t>视频基地的专区包月用户数为</w:t>
      </w:r>
      <w:r>
        <w:rPr>
          <w:rFonts w:ascii="宋体" w:hAnsi="宋体" w:cs="宋体" w:eastAsia="宋体" w:hint="default"/>
          <w:spacing w:val="-1"/>
        </w:rPr>
        <w:t>42.57</w:t>
      </w:r>
      <w:r>
        <w:rPr>
          <w:spacing w:val="-1"/>
        </w:rPr>
        <w:t>万人，较</w:t>
      </w:r>
      <w:r>
        <w:rPr>
          <w:rFonts w:ascii="宋体" w:hAnsi="宋体" w:cs="宋体" w:eastAsia="宋体" w:hint="default"/>
          <w:spacing w:val="-1"/>
        </w:rPr>
        <w:t>2017</w:t>
      </w:r>
      <w:r>
        <w:rPr>
          <w:spacing w:val="-1"/>
        </w:rPr>
        <w:t>年底下降</w:t>
      </w:r>
      <w:r>
        <w:rPr>
          <w:rFonts w:ascii="宋体" w:hAnsi="宋体" w:cs="宋体" w:eastAsia="宋体" w:hint="default"/>
          <w:spacing w:val="-1"/>
        </w:rPr>
        <w:t>57.7%</w:t>
      </w:r>
      <w:r>
        <w:rPr>
          <w:spacing w:val="-1"/>
        </w:rPr>
        <w:t>；中国移动视频基地的影视垂直包月用户</w:t>
      </w:r>
      <w:r>
        <w:rPr>
          <w:spacing w:val="-78"/>
        </w:rPr>
        <w:t> </w:t>
      </w:r>
      <w:r>
        <w:rPr>
          <w:spacing w:val="-78"/>
        </w:rPr>
      </w:r>
      <w:r>
        <w:rPr>
          <w:spacing w:val="-1"/>
        </w:rPr>
        <w:t>数为</w:t>
      </w:r>
      <w:r>
        <w:rPr>
          <w:rFonts w:ascii="宋体" w:hAnsi="宋体" w:cs="宋体" w:eastAsia="宋体" w:hint="default"/>
          <w:spacing w:val="-1"/>
        </w:rPr>
        <w:t>22.13</w:t>
      </w:r>
      <w:r>
        <w:rPr>
          <w:spacing w:val="-1"/>
        </w:rPr>
        <w:t>万人，较</w:t>
      </w:r>
      <w:r>
        <w:rPr>
          <w:rFonts w:ascii="宋体" w:hAnsi="宋体" w:cs="宋体" w:eastAsia="宋体" w:hint="default"/>
          <w:spacing w:val="-1"/>
        </w:rPr>
        <w:t>2017</w:t>
      </w:r>
      <w:r>
        <w:rPr>
          <w:spacing w:val="-1"/>
        </w:rPr>
        <w:t>年底下降</w:t>
      </w:r>
      <w:r>
        <w:rPr>
          <w:rFonts w:ascii="宋体" w:hAnsi="宋体" w:cs="宋体" w:eastAsia="宋体" w:hint="default"/>
          <w:spacing w:val="-1"/>
        </w:rPr>
        <w:t>68.03%</w:t>
      </w:r>
      <w:r>
        <w:rPr>
          <w:spacing w:val="-1"/>
        </w:rPr>
        <w:t>；电信包月用户数为</w:t>
      </w:r>
      <w:r>
        <w:rPr>
          <w:rFonts w:ascii="宋体" w:hAnsi="宋体" w:cs="宋体" w:eastAsia="宋体" w:hint="default"/>
          <w:spacing w:val="-1"/>
        </w:rPr>
        <w:t>10</w:t>
      </w:r>
      <w:r>
        <w:rPr>
          <w:spacing w:val="-1"/>
        </w:rPr>
        <w:t>万人，较</w:t>
      </w:r>
      <w:r>
        <w:rPr>
          <w:rFonts w:ascii="宋体" w:hAnsi="宋体" w:cs="宋体" w:eastAsia="宋体" w:hint="default"/>
          <w:spacing w:val="-1"/>
        </w:rPr>
        <w:t>2017</w:t>
      </w:r>
      <w:r>
        <w:rPr>
          <w:spacing w:val="-1"/>
        </w:rPr>
        <w:t>年底上升</w:t>
      </w:r>
      <w:r>
        <w:rPr>
          <w:rFonts w:ascii="宋体" w:hAnsi="宋体" w:cs="宋体" w:eastAsia="宋体" w:hint="default"/>
          <w:spacing w:val="-1"/>
        </w:rPr>
        <w:t>185.71%</w:t>
      </w:r>
      <w:r>
        <w:rPr>
          <w:spacing w:val="-1"/>
        </w:rPr>
        <w:t>；联通包月</w:t>
      </w:r>
      <w:r>
        <w:rPr>
          <w:spacing w:val="-77"/>
        </w:rPr>
        <w:t> </w:t>
      </w:r>
      <w:r>
        <w:rPr>
          <w:spacing w:val="-77"/>
        </w:rPr>
      </w:r>
      <w:r>
        <w:rPr/>
        <w:t>用户数为</w:t>
      </w:r>
      <w:r>
        <w:rPr>
          <w:rFonts w:ascii="宋体" w:hAnsi="宋体" w:cs="宋体" w:eastAsia="宋体" w:hint="default"/>
        </w:rPr>
        <w:t>11</w:t>
      </w:r>
      <w:r>
        <w:rPr/>
        <w:t>万人，较</w:t>
      </w:r>
      <w:r>
        <w:rPr>
          <w:rFonts w:ascii="宋体" w:hAnsi="宋体" w:cs="宋体" w:eastAsia="宋体" w:hint="default"/>
        </w:rPr>
        <w:t>2017</w:t>
      </w:r>
      <w:r>
        <w:rPr/>
        <w:t>年底上升</w:t>
      </w:r>
      <w:r>
        <w:rPr>
          <w:rFonts w:ascii="宋体" w:hAnsi="宋体" w:cs="宋体" w:eastAsia="宋体" w:hint="default"/>
        </w:rPr>
        <w:t>633.33%</w:t>
      </w:r>
      <w:r>
        <w:rPr/>
        <w:t>。</w:t>
      </w:r>
    </w:p>
    <w:p>
      <w:pPr>
        <w:pStyle w:val="BodyText"/>
        <w:spacing w:line="420" w:lineRule="auto" w:before="87"/>
        <w:ind w:right="0" w:firstLine="420"/>
        <w:jc w:val="left"/>
      </w:pPr>
      <w:r>
        <w:rPr>
          <w:spacing w:val="-1"/>
        </w:rPr>
        <w:t>用户数下降的主要原因：（</w:t>
      </w:r>
      <w:r>
        <w:rPr>
          <w:rFonts w:ascii="宋体" w:hAnsi="宋体" w:cs="宋体" w:eastAsia="宋体" w:hint="default"/>
          <w:spacing w:val="-1"/>
        </w:rPr>
        <w:t>1</w:t>
      </w:r>
      <w:r>
        <w:rPr>
          <w:spacing w:val="-1"/>
        </w:rPr>
        <w:t>）受运营商视频业务新增收入整体规模下降的影响。（</w:t>
      </w:r>
      <w:r>
        <w:rPr>
          <w:rFonts w:ascii="宋体" w:hAnsi="宋体" w:cs="宋体" w:eastAsia="宋体" w:hint="default"/>
          <w:spacing w:val="-1"/>
        </w:rPr>
        <w:t>2</w:t>
      </w:r>
      <w:r>
        <w:rPr>
          <w:spacing w:val="-1"/>
        </w:rPr>
        <w:t>）运营商自有业</w:t>
      </w:r>
      <w:r>
        <w:rPr/>
        <w:t> 务新增占总新增用户数比例大幅提高，牌照方合作业务的新增空间被进一步压缩。（</w:t>
      </w:r>
      <w:r>
        <w:rPr>
          <w:rFonts w:ascii="宋体" w:hAnsi="宋体" w:cs="宋体" w:eastAsia="宋体" w:hint="default"/>
        </w:rPr>
        <w:t>3</w:t>
      </w:r>
      <w:r>
        <w:rPr/>
        <w:t>）运营商从</w:t>
      </w:r>
      <w:r>
        <w:rPr>
          <w:rFonts w:ascii="宋体" w:hAnsi="宋体" w:cs="宋体" w:eastAsia="宋体" w:hint="default"/>
        </w:rPr>
        <w:t>2017</w:t>
      </w:r>
      <w:r>
        <w:rPr/>
        <w:t>年 起，开始按照同一级别合作伙伴新增空间平均分配的原则进行新增用户规划管理，致使国视上海所处的</w:t>
      </w:r>
      <w:r>
        <w:rPr>
          <w:rFonts w:ascii="宋体" w:hAnsi="宋体" w:cs="宋体" w:eastAsia="宋体" w:hint="default"/>
        </w:rPr>
        <w:t>S </w:t>
      </w:r>
      <w:r>
        <w:rPr/>
        <w:t>级（最高级）合作伙伴的新增空间普遍被压缩。</w:t>
      </w:r>
    </w:p>
    <w:p>
      <w:pPr>
        <w:pStyle w:val="BodyText"/>
        <w:spacing w:line="420" w:lineRule="auto" w:before="88"/>
        <w:ind w:right="1130" w:firstLine="420"/>
        <w:jc w:val="both"/>
      </w:pPr>
      <w:r>
        <w:rPr>
          <w:spacing w:val="-1"/>
        </w:rPr>
        <w:t>（六）掌视亿通原有的主要业务是运营商视频业务，</w:t>
      </w:r>
      <w:r>
        <w:rPr>
          <w:rFonts w:ascii="宋体" w:hAnsi="宋体" w:cs="宋体" w:eastAsia="宋体" w:hint="default"/>
          <w:spacing w:val="-1"/>
        </w:rPr>
        <w:t>2018</w:t>
      </w:r>
      <w:r>
        <w:rPr>
          <w:spacing w:val="-1"/>
        </w:rPr>
        <w:t>年受到运营商政策影响较大，整体业务收入</w:t>
      </w:r>
      <w:r>
        <w:rPr/>
        <w:t> </w:t>
      </w:r>
      <w:r>
        <w:rPr>
          <w:spacing w:val="-1"/>
        </w:rPr>
        <w:t>大幅下滑。但掌视亿通在运营商视频业务中所处的领先地位没有变化，在收入规模上依然在前列。鉴于运</w:t>
      </w:r>
      <w:r>
        <w:rPr>
          <w:spacing w:val="-83"/>
        </w:rPr>
        <w:t> </w:t>
      </w:r>
      <w:r>
        <w:rPr>
          <w:spacing w:val="-83"/>
        </w:rPr>
      </w:r>
      <w:r>
        <w:rPr>
          <w:spacing w:val="-1"/>
        </w:rPr>
        <w:t>营商视频业务政策的变化影响，掌视亿通随即进行业务转型，积极开拓互联网广告业务，从</w:t>
      </w:r>
      <w:r>
        <w:rPr>
          <w:rFonts w:ascii="宋体" w:hAnsi="宋体" w:cs="宋体" w:eastAsia="宋体" w:hint="default"/>
          <w:spacing w:val="-1"/>
        </w:rPr>
        <w:t>2017</w:t>
      </w:r>
      <w:r>
        <w:rPr>
          <w:spacing w:val="-1"/>
        </w:rPr>
        <w:t>年开始流</w:t>
      </w:r>
      <w:r>
        <w:rPr>
          <w:spacing w:val="-80"/>
        </w:rPr>
        <w:t> </w:t>
      </w:r>
      <w:r>
        <w:rPr>
          <w:spacing w:val="-1"/>
        </w:rPr>
        <w:t>量经营业务，到</w:t>
      </w:r>
      <w:r>
        <w:rPr>
          <w:rFonts w:ascii="宋体" w:hAnsi="宋体" w:cs="宋体" w:eastAsia="宋体" w:hint="default"/>
          <w:spacing w:val="-1"/>
        </w:rPr>
        <w:t>2018</w:t>
      </w:r>
      <w:r>
        <w:rPr>
          <w:spacing w:val="-1"/>
        </w:rPr>
        <w:t>年该业务的收入规模已经占到掌视亿通收入的大部分，但该业务的毛利较低，对净利</w:t>
      </w:r>
      <w:r>
        <w:rPr>
          <w:spacing w:val="-82"/>
        </w:rPr>
        <w:t> </w:t>
      </w:r>
      <w:r>
        <w:rPr>
          <w:spacing w:val="-82"/>
        </w:rPr>
      </w:r>
      <w:r>
        <w:rPr>
          <w:spacing w:val="-1"/>
        </w:rPr>
        <w:t>润的贡献较小，目前还在转型探索中。但</w:t>
      </w:r>
      <w:r>
        <w:rPr>
          <w:rFonts w:ascii="宋体" w:hAnsi="宋体" w:cs="宋体" w:eastAsia="宋体" w:hint="default"/>
          <w:spacing w:val="-1"/>
        </w:rPr>
        <w:t>2018</w:t>
      </w:r>
      <w:r>
        <w:rPr>
          <w:spacing w:val="-1"/>
        </w:rPr>
        <w:t>年掌视亿通流量经营业务开展得比较艰难，由于流量经营业</w:t>
      </w:r>
      <w:r>
        <w:rPr>
          <w:spacing w:val="-81"/>
        </w:rPr>
        <w:t> </w:t>
      </w:r>
      <w:r>
        <w:rPr>
          <w:spacing w:val="-81"/>
        </w:rPr>
      </w:r>
      <w:r>
        <w:rPr>
          <w:spacing w:val="-1"/>
        </w:rPr>
        <w:t>务准入门槛低，市场环境竞争激烈，一些行业竞争者为取得市场份额，恶性竞争、压缩利润。此外，受返</w:t>
      </w:r>
      <w:r>
        <w:rPr>
          <w:spacing w:val="-83"/>
        </w:rPr>
        <w:t> </w:t>
      </w:r>
      <w:r>
        <w:rPr>
          <w:spacing w:val="-83"/>
        </w:rPr>
      </w:r>
      <w:r>
        <w:rPr/>
        <w:t>点政策过于透明及对服务效率较高的要求等影响，因此造成该类业务成本越来越高。</w:t>
      </w:r>
    </w:p>
    <w:p>
      <w:pPr>
        <w:pStyle w:val="BodyText"/>
        <w:spacing w:line="420" w:lineRule="auto" w:before="87"/>
        <w:ind w:right="0" w:firstLine="420"/>
        <w:jc w:val="left"/>
      </w:pPr>
      <w:r>
        <w:rPr>
          <w:spacing w:val="-1"/>
        </w:rPr>
        <w:t>（七）国广华屏本着锁定“信息孤岛”这一特殊场景，为场景用户提供手机电视服务的宗旨，加速场</w:t>
      </w:r>
      <w:r>
        <w:rPr/>
        <w:t> </w:t>
      </w:r>
      <w:r>
        <w:rPr>
          <w:spacing w:val="-1"/>
        </w:rPr>
        <w:t>景覆盖，并不断优化产品，以满足日益增长的用户需求。同时深入产业合作，通过资源整合打造全新的跨</w:t>
      </w:r>
      <w:r>
        <w:rPr>
          <w:spacing w:val="-86"/>
        </w:rPr>
        <w:t> </w:t>
      </w:r>
      <w:r>
        <w:rPr>
          <w:spacing w:val="-86"/>
        </w:rPr>
      </w:r>
      <w:r>
        <w:rPr>
          <w:spacing w:val="-1"/>
        </w:rPr>
        <w:t>网络融合新媒体平台。截至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日，国广华屏手机电视业务覆盖目标用户近</w:t>
      </w:r>
      <w:r>
        <w:rPr>
          <w:rFonts w:ascii="宋体" w:hAnsi="宋体" w:cs="宋体" w:eastAsia="宋体" w:hint="default"/>
          <w:spacing w:val="-1"/>
        </w:rPr>
        <w:t>2</w:t>
      </w:r>
      <w:r>
        <w:rPr>
          <w:spacing w:val="-1"/>
        </w:rPr>
        <w:t>万人</w:t>
      </w:r>
      <w:r>
        <w:rPr>
          <w:rFonts w:ascii="宋体" w:hAnsi="宋体" w:cs="宋体" w:eastAsia="宋体" w:hint="default"/>
          <w:spacing w:val="-1"/>
        </w:rPr>
        <w:t>/</w:t>
      </w:r>
      <w:r>
        <w:rPr>
          <w:spacing w:val="-1"/>
        </w:rPr>
        <w:t>月，为满足已</w:t>
      </w:r>
      <w:r>
        <w:rPr>
          <w:spacing w:val="-84"/>
        </w:rPr>
        <w:t> </w:t>
      </w:r>
      <w:r>
        <w:rPr>
          <w:spacing w:val="-84"/>
        </w:rPr>
      </w:r>
      <w:r>
        <w:rPr>
          <w:spacing w:val="-1"/>
        </w:rPr>
        <w:t>覆盖场景业务连续运营，</w:t>
      </w:r>
      <w:r>
        <w:rPr>
          <w:rFonts w:ascii="宋体" w:hAnsi="宋体" w:cs="宋体" w:eastAsia="宋体" w:hint="default"/>
          <w:spacing w:val="-1"/>
        </w:rPr>
        <w:t>2018</w:t>
      </w:r>
      <w:r>
        <w:rPr>
          <w:spacing w:val="-1"/>
        </w:rPr>
        <w:t>年初新增加</w:t>
      </w:r>
      <w:r>
        <w:rPr>
          <w:rFonts w:ascii="宋体" w:hAnsi="宋体" w:cs="宋体" w:eastAsia="宋体" w:hint="default"/>
          <w:spacing w:val="-1"/>
        </w:rPr>
        <w:t>2</w:t>
      </w:r>
      <w:r>
        <w:rPr>
          <w:spacing w:val="-1"/>
        </w:rPr>
        <w:t>个卫星波束覆盖（共租用</w:t>
      </w:r>
      <w:r>
        <w:rPr>
          <w:rFonts w:ascii="宋体" w:hAnsi="宋体" w:cs="宋体" w:eastAsia="宋体" w:hint="default"/>
          <w:spacing w:val="-1"/>
        </w:rPr>
        <w:t>3</w:t>
      </w:r>
      <w:r>
        <w:rPr>
          <w:spacing w:val="-1"/>
        </w:rPr>
        <w:t>个卫星波束各</w:t>
      </w:r>
      <w:r>
        <w:rPr>
          <w:rFonts w:ascii="宋体" w:hAnsi="宋体" w:cs="宋体" w:eastAsia="宋体" w:hint="default"/>
          <w:spacing w:val="-1"/>
        </w:rPr>
        <w:t>4M</w:t>
      </w:r>
      <w:r>
        <w:rPr>
          <w:spacing w:val="-1"/>
        </w:rPr>
        <w:t>带宽：中</w:t>
      </w:r>
      <w:r>
        <w:rPr>
          <w:rFonts w:ascii="宋体" w:hAnsi="宋体" w:cs="宋体" w:eastAsia="宋体" w:hint="default"/>
          <w:spacing w:val="-1"/>
        </w:rPr>
        <w:t>11</w:t>
      </w:r>
      <w:r>
        <w:rPr>
          <w:spacing w:val="-1"/>
        </w:rPr>
        <w:t>、亚九西</w:t>
      </w:r>
      <w:r>
        <w:rPr>
          <w:spacing w:val="-85"/>
        </w:rPr>
        <w:t> </w:t>
      </w:r>
      <w:r>
        <w:rPr>
          <w:spacing w:val="-85"/>
        </w:rPr>
      </w:r>
      <w:r>
        <w:rPr/>
        <w:t>波束、中</w:t>
      </w:r>
      <w:r>
        <w:rPr>
          <w:rFonts w:ascii="宋体" w:hAnsi="宋体" w:cs="宋体" w:eastAsia="宋体" w:hint="default"/>
        </w:rPr>
        <w:t>12</w:t>
      </w:r>
      <w:r>
        <w:rPr/>
        <w:t>）。国广华屏在加快现有船舶用户转化的基础上，继续拓展其他场景业务，全年共发货</w:t>
      </w:r>
      <w:r>
        <w:rPr>
          <w:rFonts w:ascii="宋体" w:hAnsi="宋体" w:cs="宋体" w:eastAsia="宋体" w:hint="default"/>
        </w:rPr>
        <w:t>785</w:t>
      </w:r>
      <w:r>
        <w:rPr/>
        <w:t>艘 船只，安装</w:t>
      </w:r>
      <w:r>
        <w:rPr>
          <w:rFonts w:ascii="宋体" w:hAnsi="宋体" w:cs="宋体" w:eastAsia="宋体" w:hint="default"/>
        </w:rPr>
        <w:t>671</w:t>
      </w:r>
      <w:r>
        <w:rPr/>
        <w:t>艘，</w:t>
      </w:r>
      <w:r>
        <w:rPr>
          <w:rFonts w:ascii="宋体" w:hAnsi="宋体" w:cs="宋体" w:eastAsia="宋体" w:hint="default"/>
        </w:rPr>
        <w:t>3</w:t>
      </w:r>
      <w:r>
        <w:rPr/>
        <w:t>个海外工地。</w:t>
      </w:r>
    </w:p>
    <w:p>
      <w:pPr>
        <w:pStyle w:val="BodyText"/>
        <w:spacing w:line="420" w:lineRule="auto" w:before="87"/>
        <w:ind w:right="1023" w:firstLine="420"/>
        <w:jc w:val="left"/>
      </w:pPr>
      <w:r>
        <w:rPr/>
        <w:t>（八）精视文化不断优化内部管理系统，对各城市的广告版位、销售、收款管理等模块的楼宇管理系 统做了进一步的完善，</w:t>
      </w:r>
      <w:r>
        <w:rPr>
          <w:rFonts w:ascii="宋体" w:hAnsi="宋体" w:cs="宋体" w:eastAsia="宋体" w:hint="default"/>
        </w:rPr>
        <w:t>2018</w:t>
      </w:r>
      <w:r>
        <w:rPr/>
        <w:t>年初取得了明显的效果。但自</w:t>
      </w:r>
      <w:r>
        <w:rPr>
          <w:rFonts w:ascii="宋体" w:hAnsi="宋体" w:cs="宋体" w:eastAsia="宋体" w:hint="default"/>
        </w:rPr>
        <w:t>2018</w:t>
      </w:r>
      <w:r>
        <w:rPr/>
        <w:t>年</w:t>
      </w:r>
      <w:r>
        <w:rPr>
          <w:rFonts w:ascii="宋体" w:hAnsi="宋体" w:cs="宋体" w:eastAsia="宋体" w:hint="default"/>
        </w:rPr>
        <w:t>4</w:t>
      </w:r>
      <w:r>
        <w:rPr/>
        <w:t>月起，行业竞争突然加剧，以资本为核 心竞争力的市场竞争，导致了楼盘租赁费用上升，精视文化的运营成本也越来越高，销售成交单价越来越 低，楼盘资源丢失严重，部分地区业务已经关停；原定的城市市场扩张计划自</w:t>
      </w:r>
      <w:r>
        <w:rPr>
          <w:rFonts w:ascii="宋体" w:hAnsi="宋体" w:cs="宋体" w:eastAsia="宋体" w:hint="default"/>
        </w:rPr>
        <w:t>2016</w:t>
      </w:r>
      <w:r>
        <w:rPr/>
        <w:t>年至今一直无法落实， </w:t>
      </w:r>
      <w:r>
        <w:rPr>
          <w:spacing w:val="-3"/>
        </w:rPr>
        <w:t>在大客户的招标上也没有了任何优势；精视文化员工也被同行高薪挖抢，个别地区分公司的团队整体离职，</w:t>
      </w:r>
      <w:r>
        <w:rPr>
          <w:spacing w:val="-92"/>
        </w:rPr>
        <w:t> </w:t>
      </w:r>
      <w:r>
        <w:rPr>
          <w:spacing w:val="-92"/>
        </w:rPr>
      </w:r>
      <w:r>
        <w:rPr/>
        <w:t>在当地市场成立同类公司经营，造成精视文化的资源以及客户两端的受损；特别是，精视文化南京分公司</w:t>
      </w:r>
      <w:r>
        <w:rPr/>
        <w:t> 上半年出现重大人员变动，虽然现今已经重建，但是优质资源基本丢失，原销售客户大量流失。</w:t>
      </w:r>
    </w:p>
    <w:p>
      <w:pPr>
        <w:spacing w:after="0" w:line="42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420" w:lineRule="auto" w:before="35"/>
        <w:ind w:right="1197" w:firstLine="420"/>
        <w:jc w:val="left"/>
      </w:pPr>
      <w:r>
        <w:rPr/>
        <w:t>精视文化用于发布楼宇电梯广告的广告载体主要有两种：一是楼宇电梯内平面媒体</w:t>
      </w:r>
      <w:r>
        <w:rPr>
          <w:rFonts w:ascii="宋体" w:hAnsi="宋体" w:cs="宋体" w:eastAsia="宋体" w:hint="default"/>
        </w:rPr>
        <w:t>1.0</w:t>
      </w:r>
      <w:r>
        <w:rPr/>
        <w:t>版位，二是楼 宇高清数据媒体</w:t>
      </w:r>
      <w:r>
        <w:rPr>
          <w:rFonts w:ascii="宋体" w:hAnsi="宋体" w:cs="宋体" w:eastAsia="宋体" w:hint="default"/>
        </w:rPr>
        <w:t>3.0</w:t>
      </w:r>
      <w:r>
        <w:rPr/>
        <w:t>版位。</w:t>
      </w:r>
    </w:p>
    <w:p>
      <w:pPr>
        <w:pStyle w:val="BodyText"/>
        <w:spacing w:line="420" w:lineRule="auto" w:before="87"/>
        <w:ind w:right="1017" w:firstLine="420"/>
        <w:jc w:val="left"/>
      </w:pPr>
      <w:r>
        <w:rPr>
          <w:spacing w:val="-3"/>
        </w:rPr>
        <w:t>（九）漫友文化在平面出版行业呈现整体下滑的趋势下，积极寻求措施减少行业趋势变化对公司影响，</w:t>
      </w:r>
      <w:r>
        <w:rPr/>
        <w:t> 仍然维持国内行业出版销量靠前的地位。同时开辟平面出版蓝海区域，打造以传统文化为主题的漫画作品 以及以少儿为对象的儿童读物新生态。动漫节奖在行业内口碑盛传，培育出众多优秀漫画家。</w:t>
      </w:r>
      <w:r>
        <w:rPr>
          <w:rFonts w:ascii="宋体" w:hAnsi="宋体" w:cs="宋体" w:eastAsia="宋体" w:hint="default"/>
        </w:rPr>
        <w:t>IP</w:t>
      </w:r>
      <w:r>
        <w:rPr/>
        <w:t>孵化团队 的主创项目继续获得各大漫画阅读平台及粉丝热烈追捧。</w:t>
      </w:r>
    </w:p>
    <w:p>
      <w:pPr>
        <w:pStyle w:val="BodyText"/>
        <w:spacing w:line="420" w:lineRule="auto" w:before="88"/>
        <w:ind w:right="1130" w:firstLine="420"/>
        <w:jc w:val="left"/>
      </w:pPr>
      <w:r>
        <w:rPr/>
        <w:t>（十）车音智能经营情况良好，收入和毛利保持稳定增长，业务增长的主要原因：（</w:t>
      </w:r>
      <w:r>
        <w:rPr>
          <w:rFonts w:ascii="宋体" w:hAnsi="宋体" w:cs="宋体" w:eastAsia="宋体" w:hint="default"/>
        </w:rPr>
        <w:t>1</w:t>
      </w:r>
      <w:r>
        <w:rPr/>
        <w:t>）基于车载电 </w:t>
      </w:r>
      <w:r>
        <w:rPr>
          <w:spacing w:val="-1"/>
        </w:rPr>
        <w:t>子硬件现有客户的衍生需求，不断开发与供应全新的产品，例如为一汽丰田</w:t>
      </w:r>
      <w:r>
        <w:rPr>
          <w:rFonts w:ascii="宋体" w:hAnsi="宋体" w:cs="宋体" w:eastAsia="宋体" w:hint="default"/>
          <w:spacing w:val="-1"/>
        </w:rPr>
        <w:t>4S</w:t>
      </w:r>
      <w:r>
        <w:rPr>
          <w:spacing w:val="-1"/>
        </w:rPr>
        <w:t>店提供店头设备、为车企提</w:t>
      </w:r>
      <w:r>
        <w:rPr>
          <w:spacing w:val="-83"/>
        </w:rPr>
        <w:t> </w:t>
      </w:r>
      <w:r>
        <w:rPr>
          <w:spacing w:val="-83"/>
        </w:rPr>
      </w:r>
      <w:r>
        <w:rPr>
          <w:spacing w:val="-1"/>
        </w:rPr>
        <w:t>供分时租赁</w:t>
      </w:r>
      <w:r>
        <w:rPr>
          <w:rFonts w:ascii="宋体" w:hAnsi="宋体" w:cs="宋体" w:eastAsia="宋体" w:hint="default"/>
          <w:spacing w:val="-1"/>
        </w:rPr>
        <w:t>T-box</w:t>
      </w:r>
      <w:r>
        <w:rPr>
          <w:spacing w:val="-1"/>
        </w:rPr>
        <w:t>车辆终端产品等，相比于</w:t>
      </w:r>
      <w:r>
        <w:rPr>
          <w:rFonts w:ascii="宋体" w:hAnsi="宋体" w:cs="宋体" w:eastAsia="宋体" w:hint="default"/>
          <w:spacing w:val="-1"/>
        </w:rPr>
        <w:t>2017</w:t>
      </w:r>
      <w:r>
        <w:rPr>
          <w:spacing w:val="-1"/>
        </w:rPr>
        <w:t>年，实现收入与毛利的大幅增长。（</w:t>
      </w:r>
      <w:r>
        <w:rPr>
          <w:rFonts w:ascii="宋体" w:hAnsi="宋体" w:cs="宋体" w:eastAsia="宋体" w:hint="default"/>
          <w:spacing w:val="-1"/>
        </w:rPr>
        <w:t>2</w:t>
      </w:r>
      <w:r>
        <w:rPr>
          <w:spacing w:val="-1"/>
        </w:rPr>
        <w:t>）为上汽通用开发的</w:t>
      </w:r>
      <w:r>
        <w:rPr>
          <w:spacing w:val="-81"/>
        </w:rPr>
        <w:t> </w:t>
      </w:r>
      <w:r>
        <w:rPr>
          <w:spacing w:val="-81"/>
        </w:rPr>
      </w:r>
      <w:r>
        <w:rPr/>
        <w:t>车载应用软件已应用到别克新君威、</w:t>
      </w:r>
      <w:r>
        <w:rPr>
          <w:rFonts w:ascii="宋体" w:hAnsi="宋体" w:cs="宋体" w:eastAsia="宋体" w:hint="default"/>
        </w:rPr>
        <w:t>GL6</w:t>
      </w:r>
      <w:r>
        <w:rPr/>
        <w:t>、英朗（互联型）、凯迪拉克</w:t>
      </w:r>
      <w:r>
        <w:rPr>
          <w:rFonts w:ascii="宋体" w:hAnsi="宋体" w:cs="宋体" w:eastAsia="宋体" w:hint="default"/>
        </w:rPr>
        <w:t>XT4</w:t>
      </w:r>
      <w:r>
        <w:rPr/>
        <w:t>、</w:t>
      </w:r>
      <w:r>
        <w:rPr>
          <w:rFonts w:ascii="宋体" w:hAnsi="宋体" w:cs="宋体" w:eastAsia="宋体" w:hint="default"/>
        </w:rPr>
        <w:t>CT6</w:t>
      </w:r>
      <w:r>
        <w:rPr/>
        <w:t>（中期改款）等车型上， 提供源源不断的数据积累与技术信息，在车机</w:t>
      </w:r>
      <w:r>
        <w:rPr>
          <w:rFonts w:ascii="宋体" w:hAnsi="宋体" w:cs="宋体" w:eastAsia="宋体" w:hint="default"/>
        </w:rPr>
        <w:t>HMI</w:t>
      </w:r>
      <w:r>
        <w:rPr/>
        <w:t>（人机界面）开发领域的技术优势将得到强化，相比于 </w:t>
      </w:r>
      <w:r>
        <w:rPr>
          <w:rFonts w:ascii="宋体" w:hAnsi="宋体" w:cs="宋体" w:eastAsia="宋体" w:hint="default"/>
          <w:spacing w:val="-1"/>
        </w:rPr>
        <w:t>2017</w:t>
      </w:r>
      <w:r>
        <w:rPr>
          <w:spacing w:val="-1"/>
        </w:rPr>
        <w:t>年，应用软件收入实现毛利的小幅增长。（</w:t>
      </w:r>
      <w:r>
        <w:rPr>
          <w:rFonts w:ascii="宋体" w:hAnsi="宋体" w:cs="宋体" w:eastAsia="宋体" w:hint="default"/>
          <w:spacing w:val="-1"/>
        </w:rPr>
        <w:t>3</w:t>
      </w:r>
      <w:r>
        <w:rPr>
          <w:spacing w:val="-1"/>
        </w:rPr>
        <w:t>）移动互联网时代，车企纷纷借助</w:t>
      </w:r>
      <w:r>
        <w:rPr>
          <w:rFonts w:ascii="宋体" w:hAnsi="宋体" w:cs="宋体" w:eastAsia="宋体" w:hint="default"/>
          <w:spacing w:val="-1"/>
        </w:rPr>
        <w:t>APP</w:t>
      </w:r>
      <w:r>
        <w:rPr>
          <w:spacing w:val="-1"/>
        </w:rPr>
        <w:t>与车主建立更好的</w:t>
      </w:r>
      <w:r>
        <w:rPr>
          <w:spacing w:val="-82"/>
        </w:rPr>
        <w:t> </w:t>
      </w:r>
      <w:r>
        <w:rPr>
          <w:spacing w:val="-82"/>
        </w:rPr>
      </w:r>
      <w:r>
        <w:rPr>
          <w:spacing w:val="-1"/>
        </w:rPr>
        <w:t>联系，为车音智能带来大量车主服务平台开发与运营的订单；另外，车企也在不断加大数字化转型，借助</w:t>
      </w:r>
      <w:r>
        <w:rPr>
          <w:spacing w:val="-85"/>
        </w:rPr>
        <w:t> </w:t>
      </w:r>
      <w:r>
        <w:rPr>
          <w:spacing w:val="-85"/>
        </w:rPr>
      </w:r>
      <w:r>
        <w:rPr>
          <w:spacing w:val="-1"/>
        </w:rPr>
        <w:t>信息技术平台与互联网技术，提升自身及经销商的运营管理效率，车音智能依托车联网技术能力获得较多</w:t>
      </w:r>
      <w:r>
        <w:rPr>
          <w:spacing w:val="-81"/>
        </w:rPr>
        <w:t> </w:t>
      </w:r>
      <w:r>
        <w:rPr>
          <w:spacing w:val="-81"/>
        </w:rPr>
      </w:r>
      <w:r>
        <w:rPr/>
        <w:t>相关订单。相比</w:t>
      </w:r>
      <w:r>
        <w:rPr>
          <w:rFonts w:ascii="宋体" w:hAnsi="宋体" w:cs="宋体" w:eastAsia="宋体" w:hint="default"/>
        </w:rPr>
        <w:t>2017</w:t>
      </w:r>
      <w:r>
        <w:rPr/>
        <w:t>年，技术开发及服务运营实现收入与毛利的快速增长。（</w:t>
      </w:r>
      <w:r>
        <w:rPr>
          <w:rFonts w:ascii="宋体" w:hAnsi="宋体" w:cs="宋体" w:eastAsia="宋体" w:hint="default"/>
        </w:rPr>
        <w:t>4</w:t>
      </w:r>
      <w:r>
        <w:rPr/>
        <w:t>）向数字营销平台开发及 </w:t>
      </w:r>
      <w:r>
        <w:rPr>
          <w:spacing w:val="-1"/>
        </w:rPr>
        <w:t>运营领域强力转型，</w:t>
      </w:r>
      <w:r>
        <w:rPr>
          <w:rFonts w:ascii="宋体" w:hAnsi="宋体" w:cs="宋体" w:eastAsia="宋体" w:hint="default"/>
          <w:spacing w:val="-1"/>
        </w:rPr>
        <w:t>2018</w:t>
      </w:r>
      <w:r>
        <w:rPr>
          <w:spacing w:val="-1"/>
        </w:rPr>
        <w:t>年低迷的市场导致各车企纷纷加大数字化营销步伐，由此车音智能获得了大额订</w:t>
      </w:r>
      <w:r>
        <w:rPr>
          <w:spacing w:val="-81"/>
        </w:rPr>
        <w:t> </w:t>
      </w:r>
      <w:r>
        <w:rPr>
          <w:spacing w:val="-81"/>
        </w:rPr>
      </w:r>
      <w:r>
        <w:rPr/>
        <w:t>单收入和不少优质客户的服务权限。（</w:t>
      </w:r>
      <w:r>
        <w:rPr>
          <w:rFonts w:ascii="宋体" w:hAnsi="宋体" w:cs="宋体" w:eastAsia="宋体" w:hint="default"/>
        </w:rPr>
        <w:t>5</w:t>
      </w:r>
      <w:r>
        <w:rPr/>
        <w:t>）保险业务的收入与毛利相比</w:t>
      </w:r>
      <w:r>
        <w:rPr>
          <w:rFonts w:ascii="宋体" w:hAnsi="宋体" w:cs="宋体" w:eastAsia="宋体" w:hint="default"/>
        </w:rPr>
        <w:t>2017</w:t>
      </w:r>
      <w:r>
        <w:rPr/>
        <w:t>年均保持良好增长，成为车音 智能业务增长的重要来源。</w:t>
      </w:r>
    </w:p>
    <w:p>
      <w:pPr>
        <w:pStyle w:val="BodyText"/>
        <w:spacing w:line="420" w:lineRule="auto" w:before="87"/>
        <w:ind w:right="0" w:firstLine="420"/>
        <w:jc w:val="left"/>
      </w:pPr>
      <w:r>
        <w:rPr/>
        <w:t>（十一）麦游互动游戏业务在</w:t>
      </w:r>
      <w:r>
        <w:rPr>
          <w:rFonts w:ascii="宋体" w:hAnsi="宋体" w:cs="宋体" w:eastAsia="宋体" w:hint="default"/>
        </w:rPr>
        <w:t>2018</w:t>
      </w:r>
      <w:r>
        <w:rPr/>
        <w:t>年整体行业市场环境竞争激烈的情况下，由</w:t>
      </w:r>
      <w:r>
        <w:rPr>
          <w:rFonts w:ascii="宋体" w:hAnsi="宋体" w:cs="宋体" w:eastAsia="宋体" w:hint="default"/>
        </w:rPr>
        <w:t>2017</w:t>
      </w:r>
      <w:r>
        <w:rPr/>
        <w:t>年的</w:t>
      </w:r>
      <w:r>
        <w:rPr>
          <w:rFonts w:ascii="宋体" w:hAnsi="宋体" w:cs="宋体" w:eastAsia="宋体" w:hint="default"/>
        </w:rPr>
        <w:t>1</w:t>
      </w:r>
      <w:r>
        <w:rPr/>
        <w:t>款重点盈利 </w:t>
      </w:r>
      <w:r>
        <w:rPr>
          <w:spacing w:val="-1"/>
        </w:rPr>
        <w:t>产品扩充为</w:t>
      </w:r>
      <w:r>
        <w:rPr>
          <w:rFonts w:ascii="宋体" w:hAnsi="宋体" w:cs="宋体" w:eastAsia="宋体" w:hint="default"/>
          <w:spacing w:val="-1"/>
        </w:rPr>
        <w:t>3</w:t>
      </w:r>
      <w:r>
        <w:rPr>
          <w:spacing w:val="-1"/>
        </w:rPr>
        <w:t>款重点盈利产品，实现了营业收入和利润的高速增长，并自研了</w:t>
      </w:r>
      <w:r>
        <w:rPr>
          <w:rFonts w:ascii="宋体" w:hAnsi="宋体" w:cs="宋体" w:eastAsia="宋体" w:hint="default"/>
          <w:spacing w:val="-1"/>
        </w:rPr>
        <w:t>3</w:t>
      </w:r>
      <w:r>
        <w:rPr>
          <w:spacing w:val="-1"/>
        </w:rPr>
        <w:t>款全新的手游产品，让麦游</w:t>
      </w:r>
      <w:r>
        <w:rPr>
          <w:spacing w:val="-85"/>
        </w:rPr>
        <w:t> </w:t>
      </w:r>
      <w:r>
        <w:rPr>
          <w:spacing w:val="-85"/>
        </w:rPr>
      </w:r>
      <w:r>
        <w:rPr/>
        <w:t>互动的产品持续竞争力得到了进一步的提升。</w:t>
      </w:r>
    </w:p>
    <w:p>
      <w:pPr>
        <w:pStyle w:val="BodyText"/>
        <w:spacing w:line="420" w:lineRule="auto" w:before="87"/>
        <w:ind w:right="1130" w:firstLine="420"/>
        <w:jc w:val="both"/>
      </w:pPr>
      <w:r>
        <w:rPr>
          <w:spacing w:val="-1"/>
        </w:rPr>
        <w:t>（十二）上海鸿立、鸿立华享一方面继续坚持专业化投资，对重点产业深耕细作，另一方面加强已投</w:t>
      </w:r>
      <w:r>
        <w:rPr/>
        <w:t> </w:t>
      </w:r>
      <w:r>
        <w:rPr>
          <w:spacing w:val="-1"/>
        </w:rPr>
        <w:t>项目管理，做好项目退出回收工作。</w:t>
      </w:r>
      <w:r>
        <w:rPr>
          <w:rFonts w:ascii="宋体" w:hAnsi="宋体" w:cs="宋体" w:eastAsia="宋体" w:hint="default"/>
          <w:spacing w:val="-1"/>
        </w:rPr>
        <w:t>2018</w:t>
      </w:r>
      <w:r>
        <w:rPr>
          <w:spacing w:val="-1"/>
        </w:rPr>
        <w:t>年，上海鸿立投资当涂鸿新智能制造产业基金（有限合伙）、宁</w:t>
      </w:r>
      <w:r>
        <w:rPr>
          <w:spacing w:val="-81"/>
        </w:rPr>
        <w:t> </w:t>
      </w:r>
      <w:r>
        <w:rPr>
          <w:spacing w:val="-81"/>
        </w:rPr>
      </w:r>
      <w:r>
        <w:rPr>
          <w:spacing w:val="-1"/>
        </w:rPr>
        <w:t>波可可磁业股份有限公司，鸿立华享投资广德天运新技术股份有限公司。截至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日，上海鸿立</w:t>
      </w:r>
      <w:r>
        <w:rPr>
          <w:spacing w:val="-82"/>
        </w:rPr>
        <w:t> </w:t>
      </w:r>
      <w:r>
        <w:rPr>
          <w:spacing w:val="-82"/>
        </w:rPr>
      </w:r>
      <w:r>
        <w:rPr/>
        <w:t>已投资且未退出项目</w:t>
      </w:r>
      <w:r>
        <w:rPr>
          <w:rFonts w:ascii="宋体" w:hAnsi="宋体" w:cs="宋体" w:eastAsia="宋体" w:hint="default"/>
        </w:rPr>
        <w:t>22</w:t>
      </w:r>
      <w:r>
        <w:rPr/>
        <w:t>个，鸿立华享已投资且未退出项目</w:t>
      </w:r>
      <w:r>
        <w:rPr>
          <w:rFonts w:ascii="宋体" w:hAnsi="宋体" w:cs="宋体" w:eastAsia="宋体" w:hint="default"/>
        </w:rPr>
        <w:t>12</w:t>
      </w:r>
      <w:r>
        <w:rPr/>
        <w:t>个。</w:t>
      </w:r>
    </w:p>
    <w:p>
      <w:pPr>
        <w:pStyle w:val="BodyText"/>
        <w:spacing w:line="420" w:lineRule="auto" w:before="89"/>
        <w:ind w:right="0" w:firstLine="420"/>
        <w:jc w:val="left"/>
      </w:pPr>
      <w:r>
        <w:rPr>
          <w:spacing w:val="-1"/>
        </w:rPr>
        <w:t>（十三）文旅业务及相关项目的开发。海南文旅做好双创大厦的购买和交接工作，推进装修改造工程</w:t>
      </w:r>
      <w:r>
        <w:rPr/>
        <w:t> 及对外招商工作；新海岸置业做好</w:t>
      </w:r>
      <w:r>
        <w:rPr>
          <w:spacing w:val="-1"/>
        </w:rPr>
        <w:t> </w:t>
      </w:r>
      <w:r>
        <w:rPr/>
        <w:t>“新海岸壹号”项目销售及维护工作，并加大力度通过各种方式积极</w:t>
      </w:r>
      <w:r>
        <w:rPr/>
        <w:t> 盘活该项目资产；丰泽投资积极推进海南澄迈华侨农场项目土地开发的前期工作。</w:t>
      </w:r>
    </w:p>
    <w:p>
      <w:pPr>
        <w:spacing w:after="0" w:line="42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420" w:lineRule="auto" w:before="35"/>
        <w:ind w:right="1198" w:firstLine="420"/>
        <w:jc w:val="left"/>
      </w:pPr>
      <w:r>
        <w:rPr/>
        <w:pict>
          <v:shape style="position:absolute;margin-left:56.34pt;margin-top:44.823643pt;width:472.3pt;height:189.2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21"/>
                    <w:gridCol w:w="1526"/>
                    <w:gridCol w:w="1517"/>
                    <w:gridCol w:w="1559"/>
                  </w:tblGrid>
                  <w:tr>
                    <w:trPr>
                      <w:trHeight w:val="779" w:hRule="exact"/>
                    </w:trPr>
                    <w:tc>
                      <w:tcPr>
                        <w:tcW w:w="48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4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5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6"/>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（调整后）</w:t>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增减幅度</w:t>
                        </w:r>
                      </w:p>
                    </w:tc>
                  </w:tr>
                  <w:tr>
                    <w:trPr>
                      <w:trHeight w:val="42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1"/>
                            <w:szCs w:val="21"/>
                          </w:rPr>
                        </w:pPr>
                        <w:r>
                          <w:rPr>
                            <w:rFonts w:ascii="宋体"/>
                            <w:sz w:val="21"/>
                          </w:rPr>
                          <w:t>378,476.43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1"/>
                            <w:szCs w:val="21"/>
                          </w:rPr>
                        </w:pPr>
                        <w:r>
                          <w:rPr>
                            <w:rFonts w:ascii="宋体"/>
                            <w:sz w:val="21"/>
                          </w:rPr>
                          <w:t>342,086.59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z w:val="21"/>
                          </w:rPr>
                          <w:t>10.64%</w:t>
                        </w:r>
                      </w:p>
                    </w:tc>
                  </w:tr>
                  <w:tr>
                    <w:trPr>
                      <w:trHeight w:val="42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1"/>
                            <w:szCs w:val="21"/>
                          </w:rPr>
                        </w:pPr>
                        <w:r>
                          <w:rPr>
                            <w:rFonts w:ascii="宋体"/>
                            <w:sz w:val="21"/>
                          </w:rPr>
                          <w:t>284,825.26</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sz w:val="21"/>
                          </w:rPr>
                          <w:t>202,551.86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z w:val="21"/>
                          </w:rPr>
                          <w:t>40.62%</w:t>
                        </w:r>
                      </w:p>
                    </w:tc>
                  </w:tr>
                  <w:tr>
                    <w:trPr>
                      <w:trHeight w:val="42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主营业务毛利</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z w:val="21"/>
                          </w:rPr>
                          <w:t>90,547.04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1"/>
                            <w:szCs w:val="21"/>
                          </w:rPr>
                        </w:pPr>
                        <w:r>
                          <w:rPr>
                            <w:rFonts w:ascii="宋体"/>
                            <w:sz w:val="21"/>
                          </w:rPr>
                          <w:t>137,078.72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1"/>
                            <w:szCs w:val="21"/>
                          </w:rPr>
                        </w:pPr>
                        <w:r>
                          <w:rPr>
                            <w:rFonts w:ascii="宋体"/>
                            <w:sz w:val="21"/>
                          </w:rPr>
                          <w:t>-33.95%</w:t>
                        </w:r>
                      </w:p>
                    </w:tc>
                  </w:tr>
                  <w:tr>
                    <w:trPr>
                      <w:trHeight w:val="42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z w:val="21"/>
                          </w:rPr>
                          <w:t>-487,917.80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1"/>
                            <w:szCs w:val="21"/>
                          </w:rPr>
                        </w:pPr>
                        <w:r>
                          <w:rPr>
                            <w:rFonts w:ascii="宋体"/>
                            <w:sz w:val="21"/>
                          </w:rPr>
                          <w:t>56,687.55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
                          <w:jc w:val="right"/>
                          <w:rPr>
                            <w:rFonts w:ascii="宋体" w:hAnsi="宋体" w:cs="宋体" w:eastAsia="宋体" w:hint="default"/>
                            <w:sz w:val="21"/>
                            <w:szCs w:val="21"/>
                          </w:rPr>
                        </w:pPr>
                        <w:r>
                          <w:rPr>
                            <w:rFonts w:ascii="宋体"/>
                            <w:sz w:val="21"/>
                          </w:rPr>
                          <w:t>-960.71%</w:t>
                        </w:r>
                      </w:p>
                    </w:tc>
                  </w:tr>
                  <w:tr>
                    <w:trPr>
                      <w:trHeight w:val="42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z w:val="21"/>
                          </w:rPr>
                          <w:t>-487,681.39</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sz w:val="21"/>
                          </w:rPr>
                          <w:t>57,838.89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
                          <w:jc w:val="right"/>
                          <w:rPr>
                            <w:rFonts w:ascii="宋体" w:hAnsi="宋体" w:cs="宋体" w:eastAsia="宋体" w:hint="default"/>
                            <w:sz w:val="21"/>
                            <w:szCs w:val="21"/>
                          </w:rPr>
                        </w:pPr>
                        <w:r>
                          <w:rPr>
                            <w:rFonts w:ascii="宋体"/>
                            <w:sz w:val="21"/>
                          </w:rPr>
                          <w:t>-943.17%</w:t>
                        </w:r>
                      </w:p>
                    </w:tc>
                  </w:tr>
                  <w:tr>
                    <w:trPr>
                      <w:trHeight w:val="426"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z w:val="21"/>
                          </w:rPr>
                          <w:t>-499,061.01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z w:val="21"/>
                          </w:rPr>
                          <w:t>27,710.49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sz w:val="21"/>
                          </w:rPr>
                          <w:t>-1900.98%</w:t>
                        </w:r>
                      </w:p>
                    </w:tc>
                  </w:tr>
                  <w:tr>
                    <w:trPr>
                      <w:trHeight w:val="428"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归属于母公司所有者的扣除非经常性损益的净利润</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z w:val="21"/>
                          </w:rPr>
                          <w:t>-517,607.15</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1"/>
                            <w:szCs w:val="21"/>
                          </w:rPr>
                        </w:pPr>
                        <w:r>
                          <w:rPr>
                            <w:rFonts w:ascii="宋体"/>
                            <w:sz w:val="21"/>
                          </w:rPr>
                          <w:t>6,916.15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1"/>
                            <w:szCs w:val="21"/>
                          </w:rPr>
                        </w:pPr>
                        <w:r>
                          <w:rPr>
                            <w:rFonts w:ascii="宋体"/>
                            <w:sz w:val="21"/>
                          </w:rPr>
                          <w:t>-7584.04%</w:t>
                        </w:r>
                      </w:p>
                    </w:tc>
                  </w:tr>
                </w:tbl>
                <w:p>
                  <w:pPr/>
                </w:p>
              </w:txbxContent>
            </v:textbox>
            <w10:wrap type="none"/>
          </v:shape>
        </w:pict>
      </w:r>
      <w:r>
        <w:rPr>
          <w:rFonts w:ascii="宋体" w:hAnsi="宋体" w:cs="宋体" w:eastAsia="宋体" w:hint="default"/>
        </w:rPr>
        <w:t>2018</w:t>
      </w:r>
      <w:r>
        <w:rPr>
          <w:rFonts w:ascii="宋体" w:hAnsi="宋体" w:cs="宋体" w:eastAsia="宋体" w:hint="default"/>
          <w:spacing w:val="-1"/>
        </w:rPr>
        <w:t> </w:t>
      </w:r>
      <w:r>
        <w:rPr/>
        <w:t>年，公司的营业收入、营业成本、营业利润、利润总额、归属于母公司所有者的净利润及同比 变动情况如下表：（单位：万元）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420" w:lineRule="auto" w:before="35"/>
        <w:ind w:right="0" w:firstLine="420"/>
        <w:jc w:val="left"/>
      </w:pPr>
      <w:r>
        <w:rPr>
          <w:spacing w:val="-1"/>
        </w:rPr>
        <w:t>本年业绩与上年同期相比减少的主要原因为确认文旅基金投资损失、计提各项减值准备、子公司</w:t>
      </w:r>
      <w:r>
        <w:rPr>
          <w:rFonts w:ascii="宋体" w:hAnsi="宋体" w:cs="宋体" w:eastAsia="宋体" w:hint="default"/>
          <w:spacing w:val="-1"/>
        </w:rPr>
        <w:t>2018</w:t>
      </w:r>
      <w:r>
        <w:rPr>
          <w:rFonts w:ascii="宋体" w:hAnsi="宋体" w:cs="宋体" w:eastAsia="宋体" w:hint="default"/>
        </w:rPr>
        <w:t> </w:t>
      </w:r>
      <w:r>
        <w:rPr/>
        <w:t>年净利润下降和公司财务费用增加等导致。</w:t>
      </w:r>
    </w:p>
    <w:p>
      <w:pPr>
        <w:pStyle w:val="Heading2"/>
        <w:spacing w:line="240" w:lineRule="auto" w:before="171"/>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概述" w:id="26"/>
      <w:bookmarkEnd w:id="26"/>
      <w:r>
        <w:rPr>
          <w:b w:val="0"/>
          <w:bCs w:val="0"/>
        </w:rPr>
      </w:r>
      <w:r>
        <w:rPr>
          <w:rFonts w:ascii="宋体" w:hAnsi="宋体" w:cs="宋体" w:eastAsia="宋体" w:hint="default"/>
        </w:rPr>
        <w:t>1</w:t>
      </w:r>
      <w:r>
        <w:rPr/>
        <w:t>、概述</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spacing w:line="547" w:lineRule="auto" w:before="0"/>
        <w:ind w:left="154" w:right="4872" w:firstLine="420"/>
        <w:jc w:val="left"/>
        <w:rPr>
          <w:rFonts w:ascii="宋体" w:hAnsi="宋体" w:cs="宋体" w:eastAsia="宋体" w:hint="default"/>
          <w:sz w:val="21"/>
          <w:szCs w:val="21"/>
        </w:rPr>
      </w:pPr>
      <w:r>
        <w:rPr>
          <w:rFonts w:ascii="宋体" w:hAnsi="宋体" w:cs="宋体" w:eastAsia="宋体" w:hint="default"/>
          <w:sz w:val="21"/>
          <w:szCs w:val="21"/>
        </w:rPr>
        <w:t>参见“经营情况讨论与分析”中的“一、概述”相关内容。 </w:t>
      </w:r>
      <w:bookmarkStart w:name="2、收入与成本" w:id="27"/>
      <w:bookmarkEnd w:id="27"/>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69"/>
        <w:ind w:right="0"/>
        <w:jc w:val="left"/>
        <w:rPr>
          <w:b w:val="0"/>
          <w:bCs w:val="0"/>
        </w:rPr>
      </w:pPr>
      <w:bookmarkStart w:name="（1）营业收入构成" w:id="28"/>
      <w:bookmarkEnd w:id="28"/>
      <w:r>
        <w:rPr>
          <w:b w:val="0"/>
          <w:bCs w:val="0"/>
        </w:rPr>
      </w:r>
      <w:r>
        <w:rPr/>
        <w:t>（</w:t>
      </w:r>
      <w:r>
        <w:rPr>
          <w:rFonts w:ascii="宋体" w:hAnsi="宋体" w:cs="宋体" w:eastAsia="宋体" w:hint="default"/>
        </w:rPr>
        <w:t>1</w:t>
      </w:r>
      <w:r>
        <w:rPr/>
        <w:t>）营业收入构成</w:t>
      </w:r>
      <w:r>
        <w:rPr>
          <w:b w:val="0"/>
          <w:bCs w:val="0"/>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16"/>
        <w:gridCol w:w="1843"/>
        <w:gridCol w:w="1088"/>
        <w:gridCol w:w="1890"/>
        <w:gridCol w:w="1089"/>
        <w:gridCol w:w="1280"/>
      </w:tblGrid>
      <w:tr>
        <w:trPr>
          <w:trHeight w:val="402" w:hRule="exact"/>
        </w:trPr>
        <w:tc>
          <w:tcPr>
            <w:tcW w:w="2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29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2416" w:type="dxa"/>
            <w:vMerge w:val="restart"/>
            <w:tcBorders>
              <w:top w:val="nil" w:sz="6" w:space="0" w:color="auto"/>
              <w:left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57" w:right="88" w:hanging="270"/>
              <w:jc w:val="left"/>
              <w:rPr>
                <w:rFonts w:ascii="宋体" w:hAnsi="宋体" w:cs="宋体" w:eastAsia="宋体" w:hint="default"/>
                <w:sz w:val="18"/>
                <w:szCs w:val="18"/>
              </w:rPr>
            </w:pPr>
            <w:r>
              <w:rPr>
                <w:rFonts w:ascii="宋体" w:hAnsi="宋体" w:cs="宋体" w:eastAsia="宋体" w:hint="default"/>
                <w:sz w:val="18"/>
                <w:szCs w:val="18"/>
              </w:rPr>
              <w:t>占营业收入 比重</w:t>
            </w:r>
          </w:p>
        </w:tc>
        <w:tc>
          <w:tcPr>
            <w:tcW w:w="18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59" w:right="89" w:hanging="270"/>
              <w:jc w:val="left"/>
              <w:rPr>
                <w:rFonts w:ascii="宋体" w:hAnsi="宋体" w:cs="宋体" w:eastAsia="宋体" w:hint="default"/>
                <w:sz w:val="18"/>
                <w:szCs w:val="18"/>
              </w:rPr>
            </w:pPr>
            <w:r>
              <w:rPr>
                <w:rFonts w:ascii="宋体" w:hAnsi="宋体" w:cs="宋体" w:eastAsia="宋体" w:hint="default"/>
                <w:sz w:val="18"/>
                <w:szCs w:val="18"/>
              </w:rPr>
              <w:t>占营业收入 比重</w:t>
            </w:r>
          </w:p>
        </w:tc>
        <w:tc>
          <w:tcPr>
            <w:tcW w:w="12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1" w:hRule="exact"/>
        </w:trPr>
        <w:tc>
          <w:tcPr>
            <w:tcW w:w="2416" w:type="dxa"/>
            <w:vMerge/>
            <w:tcBorders>
              <w:left w:val="single" w:sz="4" w:space="0" w:color="000000"/>
              <w:bottom w:val="nil" w:sz="6" w:space="0" w:color="auto"/>
              <w:right w:val="single" w:sz="4" w:space="0" w:color="000000"/>
            </w:tcBorders>
            <w:shd w:val="clear" w:color="auto" w:fill="D2D2D2"/>
          </w:tcPr>
          <w:p>
            <w:pPr/>
          </w:p>
        </w:tc>
        <w:tc>
          <w:tcPr>
            <w:tcW w:w="1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8" w:type="dxa"/>
            <w:vMerge/>
            <w:tcBorders>
              <w:left w:val="single" w:sz="4" w:space="0" w:color="000000"/>
              <w:right w:val="single" w:sz="4" w:space="0" w:color="000000"/>
            </w:tcBorders>
            <w:shd w:val="clear" w:color="auto" w:fill="D2D2D2"/>
          </w:tcPr>
          <w:p>
            <w:pPr/>
          </w:p>
        </w:tc>
        <w:tc>
          <w:tcPr>
            <w:tcW w:w="18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89" w:type="dxa"/>
            <w:vMerge/>
            <w:tcBorders>
              <w:left w:val="single" w:sz="4" w:space="0" w:color="000000"/>
              <w:right w:val="single" w:sz="4" w:space="0" w:color="000000"/>
            </w:tcBorders>
            <w:shd w:val="clear" w:color="auto" w:fill="D2D2D2"/>
          </w:tcPr>
          <w:p>
            <w:pPr/>
          </w:p>
        </w:tc>
        <w:tc>
          <w:tcPr>
            <w:tcW w:w="1280"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416" w:type="dxa"/>
            <w:vMerge w:val="restart"/>
            <w:tcBorders>
              <w:top w:val="nil" w:sz="6" w:space="0" w:color="auto"/>
              <w:left w:val="single" w:sz="4" w:space="0" w:color="000000"/>
              <w:right w:val="single" w:sz="4" w:space="0" w:color="000000"/>
            </w:tcBorders>
            <w:shd w:val="clear" w:color="auto" w:fill="D2D2D2"/>
          </w:tcPr>
          <w:p>
            <w:pPr/>
          </w:p>
        </w:tc>
        <w:tc>
          <w:tcPr>
            <w:tcW w:w="1843" w:type="dxa"/>
            <w:vMerge/>
            <w:tcBorders>
              <w:left w:val="single" w:sz="4" w:space="0" w:color="000000"/>
              <w:bottom w:val="nil" w:sz="6" w:space="0" w:color="auto"/>
              <w:right w:val="single" w:sz="4" w:space="0" w:color="000000"/>
            </w:tcBorders>
            <w:shd w:val="clear" w:color="auto" w:fill="D2D2D2"/>
          </w:tcPr>
          <w:p>
            <w:pPr/>
          </w:p>
        </w:tc>
        <w:tc>
          <w:tcPr>
            <w:tcW w:w="1088" w:type="dxa"/>
            <w:vMerge/>
            <w:tcBorders>
              <w:left w:val="single" w:sz="4" w:space="0" w:color="000000"/>
              <w:right w:val="single" w:sz="4" w:space="0" w:color="000000"/>
            </w:tcBorders>
            <w:shd w:val="clear" w:color="auto" w:fill="D2D2D2"/>
          </w:tcPr>
          <w:p>
            <w:pPr/>
          </w:p>
        </w:tc>
        <w:tc>
          <w:tcPr>
            <w:tcW w:w="1890" w:type="dxa"/>
            <w:vMerge/>
            <w:tcBorders>
              <w:left w:val="single" w:sz="4" w:space="0" w:color="000000"/>
              <w:bottom w:val="nil" w:sz="6" w:space="0" w:color="auto"/>
              <w:right w:val="single" w:sz="4" w:space="0" w:color="000000"/>
            </w:tcBorders>
            <w:shd w:val="clear" w:color="auto" w:fill="D2D2D2"/>
          </w:tcPr>
          <w:p>
            <w:pPr/>
          </w:p>
        </w:tc>
        <w:tc>
          <w:tcPr>
            <w:tcW w:w="1089" w:type="dxa"/>
            <w:vMerge/>
            <w:tcBorders>
              <w:left w:val="single" w:sz="4" w:space="0" w:color="000000"/>
              <w:right w:val="single" w:sz="4" w:space="0" w:color="000000"/>
            </w:tcBorders>
            <w:shd w:val="clear" w:color="auto" w:fill="D2D2D2"/>
          </w:tcPr>
          <w:p>
            <w:pPr/>
          </w:p>
        </w:tc>
        <w:tc>
          <w:tcPr>
            <w:tcW w:w="1280"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416" w:type="dxa"/>
            <w:vMerge/>
            <w:tcBorders>
              <w:left w:val="single" w:sz="4" w:space="0" w:color="000000"/>
              <w:bottom w:val="single" w:sz="4" w:space="0" w:color="000000"/>
              <w:right w:val="single" w:sz="4" w:space="0" w:color="000000"/>
            </w:tcBorders>
            <w:shd w:val="clear" w:color="auto" w:fill="D2D2D2"/>
          </w:tcPr>
          <w:p>
            <w:pPr/>
          </w:p>
        </w:tc>
        <w:tc>
          <w:tcPr>
            <w:tcW w:w="1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8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9" w:type="dxa"/>
            <w:vMerge/>
            <w:tcBorders>
              <w:left w:val="single" w:sz="4" w:space="0" w:color="000000"/>
              <w:bottom w:val="single" w:sz="4" w:space="0" w:color="000000"/>
              <w:right w:val="single" w:sz="4" w:space="0" w:color="000000"/>
            </w:tcBorders>
            <w:shd w:val="clear" w:color="auto" w:fill="D2D2D2"/>
          </w:tcPr>
          <w:p>
            <w:pPr/>
          </w:p>
        </w:tc>
        <w:tc>
          <w:tcPr>
            <w:tcW w:w="1280"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2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843"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3,784,764,291.20</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
              <w:jc w:val="right"/>
              <w:rPr>
                <w:rFonts w:ascii="宋体" w:hAnsi="宋体" w:cs="宋体" w:eastAsia="宋体" w:hint="default"/>
                <w:sz w:val="18"/>
                <w:szCs w:val="18"/>
              </w:rPr>
            </w:pPr>
            <w:r>
              <w:rPr>
                <w:rFonts w:ascii="宋体"/>
                <w:sz w:val="18"/>
              </w:rPr>
              <w:t>100%</w:t>
            </w:r>
          </w:p>
        </w:tc>
        <w:tc>
          <w:tcPr>
            <w:tcW w:w="189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3,420,865,937.60</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sz w:val="18"/>
              </w:rPr>
              <w:t>100%</w:t>
            </w:r>
          </w:p>
        </w:tc>
        <w:tc>
          <w:tcPr>
            <w:tcW w:w="1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10.64%</w:t>
            </w:r>
          </w:p>
        </w:tc>
      </w:tr>
      <w:tr>
        <w:trPr>
          <w:trHeight w:val="397" w:hRule="exact"/>
        </w:trPr>
        <w:tc>
          <w:tcPr>
            <w:tcW w:w="960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2,412,407,232.57</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63.74%</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
              <w:jc w:val="right"/>
              <w:rPr>
                <w:rFonts w:ascii="宋体" w:hAnsi="宋体" w:cs="宋体" w:eastAsia="宋体" w:hint="default"/>
                <w:sz w:val="18"/>
                <w:szCs w:val="18"/>
              </w:rPr>
            </w:pPr>
            <w:r>
              <w:rPr>
                <w:rFonts w:ascii="宋体"/>
                <w:sz w:val="18"/>
              </w:rPr>
              <w:t>2,788,392,703.79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81.51%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-13.48%</w:t>
            </w:r>
          </w:p>
        </w:tc>
      </w:tr>
      <w:tr>
        <w:trPr>
          <w:trHeight w:val="40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1843"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
              <w:jc w:val="right"/>
              <w:rPr>
                <w:rFonts w:ascii="宋体" w:hAnsi="宋体" w:cs="宋体" w:eastAsia="宋体" w:hint="default"/>
                <w:sz w:val="18"/>
                <w:szCs w:val="18"/>
              </w:rPr>
            </w:pPr>
            <w:r>
              <w:rPr>
                <w:rFonts w:ascii="宋体"/>
                <w:sz w:val="18"/>
              </w:rPr>
              <w:t>167,836,665.49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4.91%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514,812,051.78</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13.60%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
              <w:jc w:val="right"/>
              <w:rPr>
                <w:rFonts w:ascii="宋体" w:hAnsi="宋体" w:cs="宋体" w:eastAsia="宋体" w:hint="default"/>
                <w:sz w:val="18"/>
                <w:szCs w:val="18"/>
              </w:rPr>
            </w:pPr>
            <w:r>
              <w:rPr>
                <w:rFonts w:ascii="宋体"/>
                <w:sz w:val="18"/>
              </w:rPr>
              <w:t>304,686,266.06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8.91%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68.96%</w:t>
            </w:r>
          </w:p>
        </w:tc>
      </w:tr>
      <w:tr>
        <w:trPr>
          <w:trHeight w:val="40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3,466,463.84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0.09%</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
              <w:jc w:val="right"/>
              <w:rPr>
                <w:rFonts w:ascii="宋体" w:hAnsi="宋体" w:cs="宋体" w:eastAsia="宋体" w:hint="default"/>
                <w:sz w:val="18"/>
                <w:szCs w:val="18"/>
              </w:rPr>
            </w:pPr>
            <w:r>
              <w:rPr>
                <w:rFonts w:ascii="宋体"/>
                <w:sz w:val="18"/>
              </w:rPr>
              <w:t>25,813,316.97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0.75%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-86.57%</w:t>
            </w:r>
          </w:p>
        </w:tc>
      </w:tr>
      <w:tr>
        <w:trPr>
          <w:trHeight w:val="40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57,799,614.22</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1.53%</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
              <w:jc w:val="right"/>
              <w:rPr>
                <w:rFonts w:ascii="宋体" w:hAnsi="宋体" w:cs="宋体" w:eastAsia="宋体" w:hint="default"/>
                <w:sz w:val="18"/>
                <w:szCs w:val="18"/>
              </w:rPr>
            </w:pPr>
            <w:r>
              <w:rPr>
                <w:rFonts w:ascii="宋体"/>
                <w:sz w:val="18"/>
              </w:rPr>
              <w:t>69,863,114.69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2.04%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-17.27%</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10"/>
        <w:gridCol w:w="1844"/>
        <w:gridCol w:w="1099"/>
        <w:gridCol w:w="1878"/>
        <w:gridCol w:w="1100"/>
        <w:gridCol w:w="1274"/>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8,444,285.28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24,811,498.51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0.73%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-65.97%</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734,225,341.95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19.40%</w:t>
            </w:r>
          </w:p>
        </w:tc>
        <w:tc>
          <w:tcPr>
            <w:tcW w:w="187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53,609,301.56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39,462,372.09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35.85%</w:t>
            </w:r>
          </w:p>
        </w:tc>
      </w:tr>
      <w:tr>
        <w:trPr>
          <w:trHeight w:val="402" w:hRule="exact"/>
        </w:trPr>
        <w:tc>
          <w:tcPr>
            <w:tcW w:w="960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信息传播服务业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1,526,692,243.76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40.34%</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2,060,111,611.23</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-25.89%</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115,548,421.45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3.05%</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120,573,284.34</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-4.17%</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商品销售及配送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721,926,776.52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19.07%</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524,537,940.46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37.63%</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其他代理业务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27,308,552.53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0.72%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36,830,180.42</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-25.85%</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出国留学咨询及相关业务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20,931,238.31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0.55%</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46,339,687.34</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-54.83%</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管道天然气</w:t>
            </w:r>
          </w:p>
        </w:tc>
        <w:tc>
          <w:tcPr>
            <w:tcW w:w="184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117,319,207.61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燃气用具</w:t>
            </w:r>
          </w:p>
        </w:tc>
        <w:tc>
          <w:tcPr>
            <w:tcW w:w="184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7,547,577.27</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液化气</w:t>
            </w:r>
          </w:p>
        </w:tc>
        <w:tc>
          <w:tcPr>
            <w:tcW w:w="184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7,695,144.42</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燃气管网施工及安装</w:t>
            </w:r>
          </w:p>
        </w:tc>
        <w:tc>
          <w:tcPr>
            <w:tcW w:w="184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35,274,736.19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视频信息服务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514,812,051.78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13.60%</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304,686,266.06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68.96%</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销售硬件、软件及提供服务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637,064,956.11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16.83%</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25,813,316.97</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2,367.97%</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漫画图书、期刊及周边产品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48,218,677.57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48,249,429.99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-0.06%</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动漫类服务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9,580,936.65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0.25%</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21,613,684.70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-55.67%</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8,444,285.28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24,811,498.51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0.73%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-65.97%</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代理保险佣金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30,437,928.94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0.80%</w:t>
            </w:r>
          </w:p>
        </w:tc>
        <w:tc>
          <w:tcPr>
            <w:tcW w:w="187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70,188,920.74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1.85%</w:t>
            </w:r>
          </w:p>
        </w:tc>
        <w:tc>
          <w:tcPr>
            <w:tcW w:w="187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53,609,301.56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39,462,372.09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35.85%</w:t>
            </w:r>
          </w:p>
        </w:tc>
      </w:tr>
      <w:tr>
        <w:trPr>
          <w:trHeight w:val="402" w:hRule="exact"/>
        </w:trPr>
        <w:tc>
          <w:tcPr>
            <w:tcW w:w="960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742,903,286.01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19.63%</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777,075,524.50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571,404,470.71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15.10%</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632,291,480.29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-9.63%</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41,774,035.27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45,813,152.87</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-8.82%</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1,093,919,228.69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28.90%</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965,530,062.72</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94,832,133.78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2.51%</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196,653,549.07</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-51.78%</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841,208,209.39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22.23%</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483,194,440.58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74.09%</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西南及其他地区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345,113,625.79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280,845,355.48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22.88%</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53,609,301.56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39,462,372.09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35.85%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宋体" w:hAnsi="宋体" w:cs="宋体" w:eastAsia="宋体" w:hint="default"/>
        </w:rPr>
        <w:t>2</w:t>
      </w:r>
      <w:r>
        <w:rPr/>
        <w:t>）占公司营业收入或营业利润</w:t>
      </w:r>
      <w:r>
        <w:rPr>
          <w:spacing w:val="-60"/>
        </w:rPr>
        <w:t> </w:t>
      </w:r>
      <w:r>
        <w:rPr>
          <w:rFonts w:ascii="宋体" w:hAnsi="宋体" w:cs="宋体" w:eastAsia="宋体" w:hint="default"/>
        </w:rPr>
        <w:t>10%</w:t>
      </w:r>
      <w:r>
        <w:rPr/>
        <w:t>以上的行业、产品或地区情况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240" w:lineRule="auto"/>
        <w:ind w:right="0"/>
        <w:jc w:val="left"/>
      </w:pPr>
      <w:r>
        <w:rPr/>
        <w:t>√ 适用 □</w:t>
      </w:r>
      <w:r>
        <w:rPr>
          <w:spacing w:val="-1"/>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35"/>
        <w:ind w:left="534" w:right="1114"/>
        <w:jc w:val="left"/>
      </w:pPr>
      <w:r>
        <w:rPr/>
        <w:t>公司是否需要遵守特殊行业的披露要求</w:t>
      </w:r>
    </w:p>
    <w:p>
      <w:pPr>
        <w:spacing w:line="240" w:lineRule="auto" w:before="0"/>
        <w:rPr>
          <w:rFonts w:ascii="宋体" w:hAnsi="宋体" w:cs="宋体" w:eastAsia="宋体" w:hint="default"/>
          <w:sz w:val="16"/>
          <w:szCs w:val="16"/>
        </w:rPr>
      </w:pPr>
    </w:p>
    <w:p>
      <w:pPr>
        <w:pStyle w:val="BodyText"/>
        <w:spacing w:line="240" w:lineRule="auto" w:before="35"/>
        <w:ind w:left="534" w:right="1114"/>
        <w:jc w:val="left"/>
      </w:pPr>
      <w:r>
        <w:rPr/>
        <w:t>否</w:t>
      </w:r>
    </w:p>
    <w:p>
      <w:pPr>
        <w:spacing w:before="11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2410"/>
        <w:gridCol w:w="1560"/>
        <w:gridCol w:w="1560"/>
        <w:gridCol w:w="850"/>
        <w:gridCol w:w="1276"/>
        <w:gridCol w:w="1134"/>
        <w:gridCol w:w="1702"/>
      </w:tblGrid>
      <w:tr>
        <w:trPr>
          <w:trHeight w:val="1026"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10"/>
              <w:jc w:val="center"/>
              <w:rPr>
                <w:rFonts w:ascii="宋体" w:hAnsi="宋体" w:cs="宋体" w:eastAsia="宋体" w:hint="default"/>
                <w:sz w:val="18"/>
                <w:szCs w:val="18"/>
              </w:rPr>
            </w:pPr>
            <w:r>
              <w:rPr>
                <w:rFonts w:ascii="宋体" w:hAnsi="宋体" w:cs="宋体" w:eastAsia="宋体" w:hint="default"/>
                <w:sz w:val="18"/>
                <w:szCs w:val="18"/>
              </w:rPr>
              <w:t>营业成本比 上年同期增 减</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4" w:right="35" w:hanging="720"/>
              <w:jc w:val="left"/>
              <w:rPr>
                <w:rFonts w:ascii="宋体" w:hAnsi="宋体" w:cs="宋体" w:eastAsia="宋体" w:hint="default"/>
                <w:sz w:val="18"/>
                <w:szCs w:val="18"/>
              </w:rPr>
            </w:pPr>
            <w:r>
              <w:rPr>
                <w:rFonts w:ascii="宋体" w:hAnsi="宋体" w:cs="宋体" w:eastAsia="宋体" w:hint="default"/>
                <w:sz w:val="18"/>
                <w:szCs w:val="18"/>
              </w:rPr>
              <w:t>毛利率比上年同期增 减</w:t>
            </w:r>
          </w:p>
        </w:tc>
      </w:tr>
      <w:tr>
        <w:trPr>
          <w:trHeight w:val="402" w:hRule="exact"/>
        </w:trPr>
        <w:tc>
          <w:tcPr>
            <w:tcW w:w="1049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2,412,407,232.57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1,863,239,855.94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18.92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514,812,051.78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442,312,767.27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68.96%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153.37%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28.62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3,466,463.84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5,173,374.72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-86.57%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99.93</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57,799,614.22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71,831,496.31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48.87</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8,444,285.28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4,289,171.39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-65.97%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9.38</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734,225,341.95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438,837,949.86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40.23%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53,609,301.56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22,567,978.41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4.34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049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信息传播服务业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1,526,692,243.76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1,057,538,220.77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115,548,421.45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112,396,657.21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3.28</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商品销售及配送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721,926,776.52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645,049,710.69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37.63%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7.29</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其他代理业务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27,308,552.53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22,501,817.15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11.89</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出国留学咨询及相关业务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20,931,238.31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25,753,450.12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-54.83%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49.35</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视频信息服务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514,812,051.78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442,312,767.27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68.96%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153.37%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28.62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销售硬件、软件及提供服务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637,064,956.11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387,645,189.43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2,367.97%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2,945.20%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11.54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漫画图书、期刊及周边产品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48,218,677.57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60,030,738.44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46.62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动漫类服务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9,580,936.65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11,800,757.87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-55.67%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53.25</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8,444,285.28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4,289,171.39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-65.97%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9.38</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代理保险佣金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30,437,928.94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29,263,077.86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70,188,920.74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27,103,057.29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61.39%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53,609,301.56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22,567,978.41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4.34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049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742,903,286.01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500,279,810.24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13.37</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571,404,470.71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399,257,012.98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17.43</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41,774,035.27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26,456,104.14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18.91</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1,093,919,228.69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925,915,235.67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14.02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94,832,133.78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63,373,254.97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-51.78%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19.58</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bl>
    <w:p>
      <w:pPr>
        <w:spacing w:after="0" w:line="240" w:lineRule="auto"/>
        <w:jc w:val="left"/>
        <w:rPr>
          <w:rFonts w:ascii="宋体" w:hAnsi="宋体" w:cs="宋体" w:eastAsia="宋体" w:hint="default"/>
          <w:sz w:val="18"/>
          <w:szCs w:val="18"/>
        </w:rPr>
        <w:sectPr>
          <w:pgSz w:w="11910" w:h="16840"/>
          <w:pgMar w:header="747" w:footer="979" w:top="1060" w:bottom="1160" w:left="600" w:right="0"/>
        </w:sectPr>
      </w:pPr>
    </w:p>
    <w:p>
      <w:pPr>
        <w:spacing w:line="240" w:lineRule="auto" w:before="6"/>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2410"/>
        <w:gridCol w:w="1560"/>
        <w:gridCol w:w="1560"/>
        <w:gridCol w:w="850"/>
        <w:gridCol w:w="1276"/>
        <w:gridCol w:w="1134"/>
        <w:gridCol w:w="1702"/>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841,208,209.39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657,617,302.13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74.09%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10.78</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西南及其他地区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345,113,625.79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252,785,895.36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23.80</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53,609,301.56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22,567,978.41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4.34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20" w:lineRule="auto" w:before="35"/>
        <w:ind w:left="534" w:right="1114"/>
        <w:jc w:val="left"/>
      </w:pPr>
      <w:r>
        <w:rPr/>
        <w:t>公司主营业务数据统计口径在报告期发生调整的情况下，公司最近</w:t>
      </w:r>
      <w:r>
        <w:rPr>
          <w:spacing w:val="-63"/>
        </w:rPr>
        <w:t> </w:t>
      </w:r>
      <w:r>
        <w:rPr>
          <w:rFonts w:ascii="宋体" w:hAnsi="宋体" w:cs="宋体" w:eastAsia="宋体" w:hint="default"/>
        </w:rPr>
        <w:t>1</w:t>
      </w:r>
      <w:r>
        <w:rPr>
          <w:rFonts w:ascii="宋体" w:hAnsi="宋体" w:cs="宋体" w:eastAsia="宋体" w:hint="default"/>
          <w:spacing w:val="-64"/>
        </w:rPr>
        <w:t> </w:t>
      </w:r>
      <w:r>
        <w:rPr/>
        <w:t>年按报告期末口径调整后的主营业务 数据</w:t>
      </w:r>
    </w:p>
    <w:p>
      <w:pPr>
        <w:pStyle w:val="BodyText"/>
        <w:spacing w:line="240" w:lineRule="auto" w:before="87"/>
        <w:ind w:left="534" w:right="1114"/>
        <w:jc w:val="left"/>
      </w:pPr>
      <w:r>
        <w:rPr/>
        <w:t>□ 适用 √</w:t>
      </w:r>
      <w:r>
        <w:rPr>
          <w:spacing w:val="-1"/>
        </w:rPr>
        <w:t> </w:t>
      </w:r>
      <w:r>
        <w:rPr/>
        <w:t>不适用</w:t>
      </w:r>
    </w:p>
    <w:p>
      <w:pPr>
        <w:spacing w:line="240" w:lineRule="auto" w:before="13"/>
        <w:rPr>
          <w:rFonts w:ascii="宋体" w:hAnsi="宋体" w:cs="宋体" w:eastAsia="宋体" w:hint="default"/>
          <w:sz w:val="26"/>
          <w:szCs w:val="26"/>
        </w:rPr>
      </w:pPr>
    </w:p>
    <w:p>
      <w:pPr>
        <w:pStyle w:val="Heading4"/>
        <w:spacing w:line="240" w:lineRule="auto"/>
        <w:ind w:left="534" w:right="1114"/>
        <w:jc w:val="left"/>
        <w:rPr>
          <w:b w:val="0"/>
          <w:bCs w:val="0"/>
        </w:rPr>
      </w:pPr>
      <w:bookmarkStart w:name="（3）公司实物销售收入是否大于劳务收入" w:id="30"/>
      <w:bookmarkEnd w:id="30"/>
      <w:r>
        <w:rPr>
          <w:b w:val="0"/>
          <w:bCs w:val="0"/>
        </w:rPr>
      </w:r>
      <w:r>
        <w:rPr/>
        <w:t>（</w:t>
      </w:r>
      <w:r>
        <w:rPr>
          <w:rFonts w:ascii="宋体" w:hAnsi="宋体" w:cs="宋体" w:eastAsia="宋体" w:hint="default"/>
        </w:rPr>
        <w:t>3</w:t>
      </w:r>
      <w:r>
        <w:rPr/>
        <w:t>）公司实物销售收入是否大于劳务收入</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left="534" w:right="1114"/>
        <w:jc w:val="left"/>
      </w:pPr>
      <w:r>
        <w:rPr/>
        <w:t>□ 是 √ 否</w:t>
      </w:r>
    </w:p>
    <w:p>
      <w:pPr>
        <w:spacing w:line="240" w:lineRule="auto" w:before="13"/>
        <w:rPr>
          <w:rFonts w:ascii="宋体" w:hAnsi="宋体" w:cs="宋体" w:eastAsia="宋体" w:hint="default"/>
          <w:sz w:val="26"/>
          <w:szCs w:val="26"/>
        </w:rPr>
      </w:pPr>
    </w:p>
    <w:p>
      <w:pPr>
        <w:pStyle w:val="Heading4"/>
        <w:spacing w:line="240" w:lineRule="auto"/>
        <w:ind w:left="534" w:right="1114"/>
        <w:jc w:val="left"/>
        <w:rPr>
          <w:b w:val="0"/>
          <w:bCs w:val="0"/>
        </w:rPr>
      </w:pPr>
      <w:bookmarkStart w:name="（4）公司已签订的重大销售合同截至本报告期的履行情况" w:id="31"/>
      <w:bookmarkEnd w:id="31"/>
      <w:r>
        <w:rPr>
          <w:b w:val="0"/>
          <w:bCs w:val="0"/>
        </w:rPr>
      </w:r>
      <w:r>
        <w:rPr/>
        <w:t>（</w:t>
      </w:r>
      <w:r>
        <w:rPr>
          <w:rFonts w:ascii="宋体" w:hAnsi="宋体" w:cs="宋体" w:eastAsia="宋体" w:hint="default"/>
        </w:rPr>
        <w:t>4</w:t>
      </w:r>
      <w:r>
        <w:rPr/>
        <w:t>）公司已签订的重大销售合同截至本报告期的履行情况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left="534" w:right="1114"/>
        <w:jc w:val="left"/>
      </w:pPr>
      <w:r>
        <w:rPr/>
        <w:t>□ 适用 √</w:t>
      </w:r>
      <w:r>
        <w:rPr>
          <w:spacing w:val="-1"/>
        </w:rPr>
        <w:t> </w:t>
      </w:r>
      <w:r>
        <w:rPr/>
        <w:t>不适用</w:t>
      </w:r>
    </w:p>
    <w:p>
      <w:pPr>
        <w:spacing w:line="240" w:lineRule="auto" w:before="13"/>
        <w:rPr>
          <w:rFonts w:ascii="宋体" w:hAnsi="宋体" w:cs="宋体" w:eastAsia="宋体" w:hint="default"/>
          <w:sz w:val="26"/>
          <w:szCs w:val="26"/>
        </w:rPr>
      </w:pPr>
    </w:p>
    <w:p>
      <w:pPr>
        <w:pStyle w:val="Heading4"/>
        <w:spacing w:line="240" w:lineRule="auto"/>
        <w:ind w:left="534" w:right="1114"/>
        <w:jc w:val="left"/>
        <w:rPr>
          <w:b w:val="0"/>
          <w:bCs w:val="0"/>
        </w:rPr>
      </w:pPr>
      <w:bookmarkStart w:name="（5）营业成本构成" w:id="32"/>
      <w:bookmarkEnd w:id="32"/>
      <w:r>
        <w:rPr>
          <w:b w:val="0"/>
          <w:bCs w:val="0"/>
        </w:rPr>
      </w:r>
      <w:r>
        <w:rPr/>
        <w:t>（</w:t>
      </w:r>
      <w:r>
        <w:rPr>
          <w:rFonts w:ascii="宋体" w:hAnsi="宋体" w:cs="宋体" w:eastAsia="宋体" w:hint="default"/>
        </w:rPr>
        <w:t>5</w:t>
      </w:r>
      <w:r>
        <w:rPr/>
        <w:t>）营业成本构成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747" w:footer="979" w:top="1060" w:bottom="1160" w:left="600" w:right="0"/>
        </w:sectPr>
      </w:pPr>
    </w:p>
    <w:p>
      <w:pPr>
        <w:pStyle w:val="BodyText"/>
        <w:spacing w:line="240" w:lineRule="auto" w:before="35"/>
        <w:ind w:left="534" w:right="-20"/>
        <w:jc w:val="left"/>
      </w:pPr>
      <w:r>
        <w:rPr/>
        <w:t>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4"/>
          <w:szCs w:val="14"/>
        </w:rPr>
      </w:pPr>
    </w:p>
    <w:p>
      <w:pPr>
        <w:spacing w:before="0"/>
        <w:ind w:left="5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600" w:right="0"/>
          <w:cols w:num="2" w:equalWidth="0">
            <w:col w:w="1375" w:space="7545"/>
            <w:col w:w="2390"/>
          </w:cols>
        </w:sectPr>
      </w:pPr>
    </w:p>
    <w:p>
      <w:pPr>
        <w:spacing w:line="240" w:lineRule="auto" w:before="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986"/>
        <w:gridCol w:w="1559"/>
        <w:gridCol w:w="1559"/>
        <w:gridCol w:w="992"/>
        <w:gridCol w:w="1560"/>
        <w:gridCol w:w="992"/>
        <w:gridCol w:w="1843"/>
      </w:tblGrid>
      <w:tr>
        <w:trPr>
          <w:trHeight w:val="402" w:hRule="exact"/>
        </w:trPr>
        <w:tc>
          <w:tcPr>
            <w:tcW w:w="19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2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3" w:hRule="exact"/>
        </w:trPr>
        <w:tc>
          <w:tcPr>
            <w:tcW w:w="1986"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2" w:right="38" w:hanging="270"/>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0" w:right="41" w:hanging="270"/>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184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67,555,432.98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黑体" w:hAnsi="黑体" w:cs="黑体" w:eastAsia="黑体" w:hint="default"/>
                <w:sz w:val="18"/>
                <w:szCs w:val="18"/>
              </w:rPr>
            </w:pPr>
            <w:r>
              <w:rPr>
                <w:rFonts w:ascii="黑体"/>
                <w:b/>
                <w:w w:val="95"/>
                <w:sz w:val="18"/>
              </w:rPr>
              <w:t>2.37%</w:t>
            </w:r>
            <w:r>
              <w:rPr>
                <w:rFonts w:ascii="黑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79,566,223.83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黑体" w:hAnsi="黑体" w:cs="黑体" w:eastAsia="黑体" w:hint="default"/>
                <w:sz w:val="18"/>
                <w:szCs w:val="18"/>
              </w:rPr>
            </w:pPr>
            <w:r>
              <w:rPr>
                <w:rFonts w:ascii="黑体"/>
                <w:b/>
                <w:w w:val="95"/>
                <w:sz w:val="18"/>
              </w:rPr>
              <w:t>3.93%</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8"/>
                <w:sz w:val="18"/>
                <w:szCs w:val="18"/>
              </w:rPr>
              <w:t> </w:t>
            </w:r>
            <w:r>
              <w:rPr>
                <w:rFonts w:ascii="黑体" w:hAnsi="黑体" w:cs="黑体" w:eastAsia="黑体" w:hint="default"/>
                <w:b/>
                <w:bCs/>
                <w:sz w:val="18"/>
                <w:szCs w:val="18"/>
              </w:rPr>
              <w:t>1.56</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726,802,692.70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黑体" w:hAnsi="黑体" w:cs="黑体" w:eastAsia="黑体" w:hint="default"/>
                <w:sz w:val="18"/>
                <w:szCs w:val="18"/>
              </w:rPr>
            </w:pPr>
            <w:r>
              <w:rPr>
                <w:rFonts w:ascii="黑体"/>
                <w:b/>
                <w:w w:val="95"/>
                <w:sz w:val="18"/>
              </w:rPr>
              <w:t>25.52%</w:t>
            </w:r>
            <w:r>
              <w:rPr>
                <w:rFonts w:ascii="黑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黑体" w:hAnsi="黑体" w:cs="黑体" w:eastAsia="黑体" w:hint="default"/>
                <w:sz w:val="18"/>
                <w:szCs w:val="18"/>
              </w:rPr>
            </w:pPr>
            <w:r>
              <w:rPr>
                <w:rFonts w:ascii="黑体"/>
                <w:b/>
                <w:w w:val="95"/>
                <w:sz w:val="18"/>
              </w:rPr>
              <w:t>848,183,080.54</w:t>
            </w:r>
            <w:r>
              <w:rPr>
                <w:rFonts w:ascii="黑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黑体" w:hAnsi="黑体" w:cs="黑体" w:eastAsia="黑体" w:hint="default"/>
                <w:sz w:val="18"/>
                <w:szCs w:val="18"/>
              </w:rPr>
            </w:pPr>
            <w:r>
              <w:rPr>
                <w:rFonts w:ascii="黑体"/>
                <w:b/>
                <w:w w:val="95"/>
                <w:sz w:val="18"/>
              </w:rPr>
              <w:t>41.87%</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8"/>
                <w:sz w:val="18"/>
                <w:szCs w:val="18"/>
              </w:rPr>
              <w:t> </w:t>
            </w:r>
            <w:r>
              <w:rPr>
                <w:rFonts w:ascii="黑体" w:hAnsi="黑体" w:cs="黑体" w:eastAsia="黑体" w:hint="default"/>
                <w:b/>
                <w:bCs/>
                <w:sz w:val="18"/>
                <w:szCs w:val="18"/>
              </w:rPr>
              <w:t>16.35</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549,935,496.57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黑体" w:hAnsi="黑体" w:cs="黑体" w:eastAsia="黑体" w:hint="default"/>
                <w:sz w:val="18"/>
                <w:szCs w:val="18"/>
              </w:rPr>
            </w:pPr>
            <w:r>
              <w:rPr>
                <w:rFonts w:ascii="黑体"/>
                <w:b/>
                <w:w w:val="95"/>
                <w:sz w:val="18"/>
              </w:rPr>
              <w:t>19.31%</w:t>
            </w:r>
            <w:r>
              <w:rPr>
                <w:rFonts w:ascii="黑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342,276,290.95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黑体" w:hAnsi="黑体" w:cs="黑体" w:eastAsia="黑体" w:hint="default"/>
                <w:sz w:val="18"/>
                <w:szCs w:val="18"/>
              </w:rPr>
            </w:pPr>
            <w:r>
              <w:rPr>
                <w:rFonts w:ascii="黑体"/>
                <w:b/>
                <w:w w:val="95"/>
                <w:sz w:val="18"/>
              </w:rPr>
              <w:t>16.90%</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8"/>
                <w:sz w:val="18"/>
                <w:szCs w:val="18"/>
              </w:rPr>
              <w:t> </w:t>
            </w:r>
            <w:r>
              <w:rPr>
                <w:rFonts w:ascii="黑体" w:hAnsi="黑体" w:cs="黑体" w:eastAsia="黑体" w:hint="default"/>
                <w:b/>
                <w:bCs/>
                <w:sz w:val="18"/>
                <w:szCs w:val="18"/>
              </w:rPr>
              <w:t>2.41</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115,304,917.07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黑体" w:hAnsi="黑体" w:cs="黑体" w:eastAsia="黑体" w:hint="default"/>
                <w:sz w:val="18"/>
                <w:szCs w:val="18"/>
              </w:rPr>
            </w:pPr>
            <w:r>
              <w:rPr>
                <w:rFonts w:ascii="黑体"/>
                <w:b/>
                <w:w w:val="95"/>
                <w:sz w:val="18"/>
              </w:rPr>
              <w:t>4.05%</w:t>
            </w:r>
            <w:r>
              <w:rPr>
                <w:rFonts w:ascii="黑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105,617,957.11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黑体" w:hAnsi="黑体" w:cs="黑体" w:eastAsia="黑体" w:hint="default"/>
                <w:sz w:val="18"/>
                <w:szCs w:val="18"/>
              </w:rPr>
            </w:pPr>
            <w:r>
              <w:rPr>
                <w:rFonts w:ascii="黑体"/>
                <w:b/>
                <w:w w:val="95"/>
                <w:sz w:val="18"/>
              </w:rPr>
              <w:t>5.21%</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8"/>
                <w:sz w:val="18"/>
                <w:szCs w:val="18"/>
              </w:rPr>
              <w:t> </w:t>
            </w:r>
            <w:r>
              <w:rPr>
                <w:rFonts w:ascii="黑体" w:hAnsi="黑体" w:cs="黑体" w:eastAsia="黑体" w:hint="default"/>
                <w:b/>
                <w:bCs/>
                <w:sz w:val="18"/>
                <w:szCs w:val="18"/>
              </w:rPr>
              <w:t>1.16</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印刷费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12,572,777.38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黑体" w:hAnsi="黑体" w:cs="黑体" w:eastAsia="黑体" w:hint="default"/>
                <w:sz w:val="18"/>
                <w:szCs w:val="18"/>
              </w:rPr>
            </w:pPr>
            <w:r>
              <w:rPr>
                <w:rFonts w:ascii="黑体"/>
                <w:b/>
                <w:w w:val="95"/>
                <w:sz w:val="18"/>
              </w:rPr>
              <w:t>0.44%</w:t>
            </w:r>
            <w:r>
              <w:rPr>
                <w:rFonts w:ascii="黑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17,757,169.83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黑体" w:hAnsi="黑体" w:cs="黑体" w:eastAsia="黑体" w:hint="default"/>
                <w:sz w:val="18"/>
                <w:szCs w:val="18"/>
              </w:rPr>
            </w:pPr>
            <w:r>
              <w:rPr>
                <w:rFonts w:ascii="黑体"/>
                <w:b/>
                <w:w w:val="95"/>
                <w:sz w:val="18"/>
              </w:rPr>
              <w:t>0.88%</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8"/>
                <w:sz w:val="18"/>
                <w:szCs w:val="18"/>
              </w:rPr>
              <w:t> </w:t>
            </w:r>
            <w:r>
              <w:rPr>
                <w:rFonts w:ascii="黑体" w:hAnsi="黑体" w:cs="黑体" w:eastAsia="黑体" w:hint="default"/>
                <w:b/>
                <w:bCs/>
                <w:sz w:val="18"/>
                <w:szCs w:val="18"/>
              </w:rPr>
              <w:t>0.44</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24,998,432.76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黑体" w:hAnsi="黑体" w:cs="黑体" w:eastAsia="黑体" w:hint="default"/>
                <w:sz w:val="18"/>
                <w:szCs w:val="18"/>
              </w:rPr>
            </w:pPr>
            <w:r>
              <w:rPr>
                <w:rFonts w:ascii="黑体"/>
                <w:b/>
                <w:w w:val="95"/>
                <w:sz w:val="18"/>
              </w:rPr>
              <w:t>0.88%</w:t>
            </w:r>
            <w:r>
              <w:rPr>
                <w:rFonts w:ascii="黑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26,344,966.89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黑体" w:hAnsi="黑体" w:cs="黑体" w:eastAsia="黑体" w:hint="default"/>
                <w:sz w:val="18"/>
                <w:szCs w:val="18"/>
              </w:rPr>
            </w:pPr>
            <w:r>
              <w:rPr>
                <w:rFonts w:ascii="黑体"/>
                <w:b/>
                <w:w w:val="95"/>
                <w:sz w:val="18"/>
              </w:rPr>
              <w:t>1.30%</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8"/>
                <w:sz w:val="18"/>
                <w:szCs w:val="18"/>
              </w:rPr>
              <w:t> </w:t>
            </w:r>
            <w:r>
              <w:rPr>
                <w:rFonts w:ascii="黑体" w:hAnsi="黑体" w:cs="黑体" w:eastAsia="黑体" w:hint="default"/>
                <w:b/>
                <w:bCs/>
                <w:sz w:val="18"/>
                <w:szCs w:val="18"/>
              </w:rPr>
              <w:t>0.42</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387,619,721.61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黑体" w:hAnsi="黑体" w:cs="黑体" w:eastAsia="黑体" w:hint="default"/>
                <w:sz w:val="18"/>
                <w:szCs w:val="18"/>
              </w:rPr>
            </w:pPr>
            <w:r>
              <w:rPr>
                <w:rFonts w:ascii="黑体"/>
                <w:b/>
                <w:w w:val="95"/>
                <w:sz w:val="18"/>
              </w:rPr>
              <w:t>13.61%</w:t>
            </w:r>
            <w:r>
              <w:rPr>
                <w:rFonts w:ascii="黑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220,332,273.62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黑体" w:hAnsi="黑体" w:cs="黑体" w:eastAsia="黑体" w:hint="default"/>
                <w:sz w:val="18"/>
                <w:szCs w:val="18"/>
              </w:rPr>
            </w:pPr>
            <w:r>
              <w:rPr>
                <w:rFonts w:ascii="黑体"/>
                <w:b/>
                <w:w w:val="95"/>
                <w:sz w:val="18"/>
              </w:rPr>
              <w:t>10.88%</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8"/>
                <w:sz w:val="18"/>
                <w:szCs w:val="18"/>
              </w:rPr>
              <w:t> </w:t>
            </w:r>
            <w:r>
              <w:rPr>
                <w:rFonts w:ascii="黑体" w:hAnsi="黑体" w:cs="黑体" w:eastAsia="黑体" w:hint="default"/>
                <w:b/>
                <w:bCs/>
                <w:sz w:val="18"/>
                <w:szCs w:val="18"/>
              </w:rPr>
              <w:t>2.73</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1,884,789,471.07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黑体" w:hAnsi="黑体" w:cs="黑体" w:eastAsia="黑体" w:hint="default"/>
                <w:sz w:val="18"/>
                <w:szCs w:val="18"/>
              </w:rPr>
            </w:pPr>
            <w:r>
              <w:rPr>
                <w:rFonts w:ascii="黑体"/>
                <w:b/>
                <w:w w:val="95"/>
                <w:sz w:val="18"/>
              </w:rPr>
              <w:t>66.18%</w:t>
            </w:r>
            <w:r>
              <w:rPr>
                <w:rFonts w:ascii="黑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黑体" w:hAnsi="黑体" w:cs="黑体" w:eastAsia="黑体" w:hint="default"/>
                <w:sz w:val="18"/>
                <w:szCs w:val="18"/>
              </w:rPr>
            </w:pPr>
            <w:r>
              <w:rPr>
                <w:rFonts w:ascii="黑体"/>
                <w:b/>
                <w:w w:val="95"/>
                <w:sz w:val="18"/>
              </w:rPr>
              <w:t>1,640,077,962.77</w:t>
            </w:r>
            <w:r>
              <w:rPr>
                <w:rFonts w:ascii="黑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黑体" w:hAnsi="黑体" w:cs="黑体" w:eastAsia="黑体" w:hint="default"/>
                <w:sz w:val="18"/>
                <w:szCs w:val="18"/>
              </w:rPr>
            </w:pPr>
            <w:r>
              <w:rPr>
                <w:rFonts w:ascii="黑体"/>
                <w:b/>
                <w:w w:val="95"/>
                <w:sz w:val="18"/>
              </w:rPr>
              <w:t>80.97%</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8"/>
                <w:sz w:val="18"/>
                <w:szCs w:val="18"/>
              </w:rPr>
              <w:t> </w:t>
            </w:r>
            <w:r>
              <w:rPr>
                <w:rFonts w:ascii="黑体" w:hAnsi="黑体" w:cs="黑体" w:eastAsia="黑体" w:hint="default"/>
                <w:b/>
                <w:bCs/>
                <w:sz w:val="18"/>
                <w:szCs w:val="18"/>
              </w:rPr>
              <w:t>14.79</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82,252,974.93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黑体" w:hAnsi="黑体" w:cs="黑体" w:eastAsia="黑体" w:hint="default"/>
                <w:sz w:val="18"/>
                <w:szCs w:val="18"/>
              </w:rPr>
            </w:pPr>
            <w:r>
              <w:rPr>
                <w:rFonts w:ascii="黑体"/>
                <w:b/>
                <w:w w:val="95"/>
                <w:sz w:val="18"/>
              </w:rPr>
              <w:t>4.06%</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8"/>
                <w:sz w:val="18"/>
                <w:szCs w:val="18"/>
              </w:rPr>
              <w:t> </w:t>
            </w:r>
            <w:r>
              <w:rPr>
                <w:rFonts w:ascii="黑体" w:hAnsi="黑体" w:cs="黑体" w:eastAsia="黑体" w:hint="default"/>
                <w:b/>
                <w:bCs/>
                <w:sz w:val="18"/>
                <w:szCs w:val="18"/>
              </w:rPr>
              <w:t>4.06</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14,923,229.84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黑体" w:hAnsi="黑体" w:cs="黑体" w:eastAsia="黑体" w:hint="default"/>
                <w:sz w:val="18"/>
                <w:szCs w:val="18"/>
              </w:rPr>
            </w:pPr>
            <w:r>
              <w:rPr>
                <w:rFonts w:ascii="黑体"/>
                <w:b/>
                <w:w w:val="95"/>
                <w:sz w:val="18"/>
              </w:rPr>
              <w:t>0.74%</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8"/>
                <w:sz w:val="18"/>
                <w:szCs w:val="18"/>
              </w:rPr>
              <w:t> </w:t>
            </w:r>
            <w:r>
              <w:rPr>
                <w:rFonts w:ascii="黑体" w:hAnsi="黑体" w:cs="黑体" w:eastAsia="黑体" w:hint="default"/>
                <w:b/>
                <w:bCs/>
                <w:sz w:val="18"/>
                <w:szCs w:val="18"/>
              </w:rPr>
              <w:t>0.74</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9,101,599.51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黑体" w:hAnsi="黑体" w:cs="黑体" w:eastAsia="黑体" w:hint="default"/>
                <w:sz w:val="18"/>
                <w:szCs w:val="18"/>
              </w:rPr>
            </w:pPr>
            <w:r>
              <w:rPr>
                <w:rFonts w:ascii="黑体"/>
                <w:b/>
                <w:w w:val="95"/>
                <w:sz w:val="18"/>
              </w:rPr>
              <w:t>0.45%</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8"/>
                <w:sz w:val="18"/>
                <w:szCs w:val="18"/>
              </w:rPr>
              <w:t> </w:t>
            </w:r>
            <w:r>
              <w:rPr>
                <w:rFonts w:ascii="黑体" w:hAnsi="黑体" w:cs="黑体" w:eastAsia="黑体" w:hint="default"/>
                <w:b/>
                <w:bCs/>
                <w:sz w:val="18"/>
                <w:szCs w:val="18"/>
              </w:rPr>
              <w:t>0.45</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343,476.73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0.02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bl>
    <w:p>
      <w:pPr>
        <w:spacing w:after="0" w:line="240" w:lineRule="auto"/>
        <w:jc w:val="left"/>
        <w:rPr>
          <w:rFonts w:ascii="宋体" w:hAnsi="宋体" w:cs="宋体" w:eastAsia="宋体" w:hint="default"/>
          <w:sz w:val="18"/>
          <w:szCs w:val="18"/>
        </w:rPr>
        <w:sectPr>
          <w:type w:val="continuous"/>
          <w:pgSz w:w="11910" w:h="16840"/>
          <w:pgMar w:top="1060" w:bottom="1160" w:left="600" w:right="0"/>
        </w:sectPr>
      </w:pPr>
    </w:p>
    <w:p>
      <w:pPr>
        <w:spacing w:line="240" w:lineRule="auto" w:before="6"/>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986"/>
        <w:gridCol w:w="1559"/>
        <w:gridCol w:w="1559"/>
        <w:gridCol w:w="992"/>
        <w:gridCol w:w="1560"/>
        <w:gridCol w:w="992"/>
        <w:gridCol w:w="1843"/>
      </w:tblGrid>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23,887,372.24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黑体" w:hAnsi="黑体" w:cs="黑体" w:eastAsia="黑体" w:hint="default"/>
                <w:sz w:val="18"/>
                <w:szCs w:val="18"/>
              </w:rPr>
            </w:pPr>
            <w:r>
              <w:rPr>
                <w:rFonts w:ascii="黑体"/>
                <w:b/>
                <w:w w:val="95"/>
                <w:sz w:val="18"/>
              </w:rPr>
              <w:t>1.18%</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8"/>
                <w:sz w:val="18"/>
                <w:szCs w:val="18"/>
              </w:rPr>
              <w:t> </w:t>
            </w:r>
            <w:r>
              <w:rPr>
                <w:rFonts w:ascii="黑体" w:hAnsi="黑体" w:cs="黑体" w:eastAsia="黑体" w:hint="default"/>
                <w:b/>
                <w:bCs/>
                <w:sz w:val="18"/>
                <w:szCs w:val="18"/>
              </w:rPr>
              <w:t>1.18</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130,508,653.25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黑体" w:hAnsi="黑体" w:cs="黑体" w:eastAsia="黑体" w:hint="default"/>
                <w:sz w:val="18"/>
                <w:szCs w:val="18"/>
              </w:rPr>
            </w:pPr>
            <w:r>
              <w:rPr>
                <w:rFonts w:ascii="黑体"/>
                <w:b/>
                <w:w w:val="95"/>
                <w:sz w:val="18"/>
              </w:rPr>
              <w:t>6.44%</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8"/>
                <w:sz w:val="18"/>
                <w:szCs w:val="18"/>
              </w:rPr>
              <w:t> </w:t>
            </w:r>
            <w:r>
              <w:rPr>
                <w:rFonts w:ascii="黑体" w:hAnsi="黑体" w:cs="黑体" w:eastAsia="黑体" w:hint="default"/>
                <w:b/>
                <w:bCs/>
                <w:sz w:val="18"/>
                <w:szCs w:val="18"/>
              </w:rPr>
              <w:t>6.44</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内容成本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5,760,709.82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16,240,465.48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黑体" w:hAnsi="黑体" w:cs="黑体" w:eastAsia="黑体" w:hint="default"/>
                <w:sz w:val="18"/>
                <w:szCs w:val="18"/>
              </w:rPr>
            </w:pPr>
            <w:r>
              <w:rPr>
                <w:rFonts w:ascii="黑体"/>
                <w:b/>
                <w:w w:val="95"/>
                <w:sz w:val="18"/>
              </w:rPr>
              <w:t>0.80%</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8"/>
                <w:sz w:val="18"/>
                <w:szCs w:val="18"/>
              </w:rPr>
              <w:t> </w:t>
            </w:r>
            <w:r>
              <w:rPr>
                <w:rFonts w:ascii="黑体" w:hAnsi="黑体" w:cs="黑体" w:eastAsia="黑体" w:hint="default"/>
                <w:b/>
                <w:bCs/>
                <w:sz w:val="18"/>
                <w:szCs w:val="18"/>
              </w:rPr>
              <w:t>0.60</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包月成本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14,634,780.20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黑体" w:hAnsi="黑体" w:cs="黑体" w:eastAsia="黑体" w:hint="default"/>
                <w:sz w:val="18"/>
                <w:szCs w:val="18"/>
              </w:rPr>
            </w:pPr>
            <w:r>
              <w:rPr>
                <w:rFonts w:ascii="黑体"/>
                <w:b/>
                <w:w w:val="95"/>
                <w:sz w:val="18"/>
              </w:rPr>
              <w:t>0.51%</w:t>
            </w:r>
            <w:r>
              <w:rPr>
                <w:rFonts w:ascii="黑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34,486,430.95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黑体" w:hAnsi="黑体" w:cs="黑体" w:eastAsia="黑体" w:hint="default"/>
                <w:sz w:val="18"/>
                <w:szCs w:val="18"/>
              </w:rPr>
            </w:pPr>
            <w:r>
              <w:rPr>
                <w:rFonts w:ascii="黑体"/>
                <w:b/>
                <w:w w:val="95"/>
                <w:sz w:val="18"/>
              </w:rPr>
              <w:t>1.70%</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8"/>
                <w:sz w:val="18"/>
                <w:szCs w:val="18"/>
              </w:rPr>
              <w:t> </w:t>
            </w:r>
            <w:r>
              <w:rPr>
                <w:rFonts w:ascii="黑体" w:hAnsi="黑体" w:cs="黑体" w:eastAsia="黑体" w:hint="default"/>
                <w:b/>
                <w:bCs/>
                <w:sz w:val="18"/>
                <w:szCs w:val="18"/>
              </w:rPr>
              <w:t>1.19</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版权成本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5,976,535.48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1,987,356.64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黑体" w:hAnsi="黑体" w:cs="黑体" w:eastAsia="黑体" w:hint="default"/>
                <w:sz w:val="18"/>
                <w:szCs w:val="18"/>
              </w:rPr>
            </w:pPr>
            <w:r>
              <w:rPr>
                <w:rFonts w:ascii="黑体"/>
                <w:b/>
                <w:w w:val="95"/>
                <w:sz w:val="18"/>
              </w:rPr>
              <w:t>0.10%</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8"/>
                <w:sz w:val="18"/>
                <w:szCs w:val="18"/>
              </w:rPr>
              <w:t> </w:t>
            </w:r>
            <w:r>
              <w:rPr>
                <w:rFonts w:ascii="黑体" w:hAnsi="黑体" w:cs="黑体" w:eastAsia="黑体" w:hint="default"/>
                <w:b/>
                <w:bCs/>
                <w:sz w:val="18"/>
                <w:szCs w:val="18"/>
              </w:rPr>
              <w:t>0.11</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415,940,741.77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黑体" w:hAnsi="黑体" w:cs="黑体" w:eastAsia="黑体" w:hint="default"/>
                <w:sz w:val="18"/>
                <w:szCs w:val="18"/>
              </w:rPr>
            </w:pPr>
            <w:r>
              <w:rPr>
                <w:rFonts w:ascii="黑体"/>
                <w:b/>
                <w:w w:val="95"/>
                <w:sz w:val="18"/>
              </w:rPr>
              <w:t>14.61%</w:t>
            </w:r>
            <w:r>
              <w:rPr>
                <w:rFonts w:ascii="黑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121,859,526.25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黑体" w:hAnsi="黑体" w:cs="黑体" w:eastAsia="黑体" w:hint="default"/>
                <w:sz w:val="18"/>
                <w:szCs w:val="18"/>
              </w:rPr>
            </w:pPr>
            <w:r>
              <w:rPr>
                <w:rFonts w:ascii="黑体"/>
                <w:b/>
                <w:w w:val="95"/>
                <w:sz w:val="18"/>
              </w:rPr>
              <w:t>6.02%</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8"/>
                <w:sz w:val="18"/>
                <w:szCs w:val="18"/>
              </w:rPr>
              <w:t> </w:t>
            </w:r>
            <w:r>
              <w:rPr>
                <w:rFonts w:ascii="黑体" w:hAnsi="黑体" w:cs="黑体" w:eastAsia="黑体" w:hint="default"/>
                <w:b/>
                <w:bCs/>
                <w:sz w:val="18"/>
                <w:szCs w:val="18"/>
              </w:rPr>
              <w:t>8.59</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442,312,767.27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黑体" w:hAnsi="黑体" w:cs="黑体" w:eastAsia="黑体" w:hint="default"/>
                <w:sz w:val="18"/>
                <w:szCs w:val="18"/>
              </w:rPr>
            </w:pPr>
            <w:r>
              <w:rPr>
                <w:rFonts w:ascii="黑体"/>
                <w:b/>
                <w:w w:val="95"/>
                <w:sz w:val="18"/>
              </w:rPr>
              <w:t>15.53%</w:t>
            </w:r>
            <w:r>
              <w:rPr>
                <w:rFonts w:ascii="黑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174,573,779.32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黑体" w:hAnsi="黑体" w:cs="黑体" w:eastAsia="黑体" w:hint="default"/>
                <w:sz w:val="18"/>
                <w:szCs w:val="18"/>
              </w:rPr>
            </w:pPr>
            <w:r>
              <w:rPr>
                <w:rFonts w:ascii="黑体"/>
                <w:b/>
                <w:w w:val="95"/>
                <w:sz w:val="18"/>
              </w:rPr>
              <w:t>8.62%</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8"/>
                <w:sz w:val="18"/>
                <w:szCs w:val="18"/>
              </w:rPr>
              <w:t> </w:t>
            </w:r>
            <w:r>
              <w:rPr>
                <w:rFonts w:ascii="黑体" w:hAnsi="黑体" w:cs="黑体" w:eastAsia="黑体" w:hint="default"/>
                <w:b/>
                <w:bCs/>
                <w:sz w:val="18"/>
                <w:szCs w:val="18"/>
              </w:rPr>
              <w:t>6.91</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331,813.28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650,321.95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0.02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服务器托管费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2,072,233.94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4,112,799.92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黑体" w:hAnsi="黑体" w:cs="黑体" w:eastAsia="黑体" w:hint="default"/>
                <w:sz w:val="18"/>
                <w:szCs w:val="18"/>
              </w:rPr>
            </w:pPr>
            <w:r>
              <w:rPr>
                <w:rFonts w:ascii="黑体"/>
                <w:b/>
                <w:w w:val="95"/>
                <w:sz w:val="18"/>
              </w:rPr>
              <w:t>0.20%</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8"/>
                <w:sz w:val="18"/>
                <w:szCs w:val="18"/>
              </w:rPr>
              <w:t> </w:t>
            </w:r>
            <w:r>
              <w:rPr>
                <w:rFonts w:ascii="黑体" w:hAnsi="黑体" w:cs="黑体" w:eastAsia="黑体" w:hint="default"/>
                <w:b/>
                <w:bCs/>
                <w:sz w:val="18"/>
                <w:szCs w:val="18"/>
              </w:rPr>
              <w:t>0.13</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1,089,512.32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2,284,094.13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0.07</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559,771.01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1,311,708.50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0.04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1,120,044.17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4,370,777.01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黑体" w:hAnsi="黑体" w:cs="黑体" w:eastAsia="黑体" w:hint="default"/>
                <w:sz w:val="18"/>
                <w:szCs w:val="18"/>
              </w:rPr>
            </w:pPr>
            <w:r>
              <w:rPr>
                <w:rFonts w:ascii="黑体"/>
                <w:b/>
                <w:w w:val="95"/>
                <w:sz w:val="18"/>
              </w:rPr>
              <w:t>0.22%</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8"/>
                <w:sz w:val="18"/>
                <w:szCs w:val="18"/>
              </w:rPr>
              <w:t> </w:t>
            </w:r>
            <w:r>
              <w:rPr>
                <w:rFonts w:ascii="黑体" w:hAnsi="黑体" w:cs="黑体" w:eastAsia="黑体" w:hint="default"/>
                <w:b/>
                <w:bCs/>
                <w:sz w:val="18"/>
                <w:szCs w:val="18"/>
              </w:rPr>
              <w:t>0.18</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5,173,374.72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12,729,701.51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黑体" w:hAnsi="黑体" w:cs="黑体" w:eastAsia="黑体" w:hint="default"/>
                <w:sz w:val="18"/>
                <w:szCs w:val="18"/>
              </w:rPr>
            </w:pPr>
            <w:r>
              <w:rPr>
                <w:rFonts w:ascii="黑体"/>
                <w:b/>
                <w:w w:val="95"/>
                <w:sz w:val="18"/>
              </w:rPr>
              <w:t>0.63%</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8"/>
                <w:sz w:val="18"/>
                <w:szCs w:val="18"/>
              </w:rPr>
              <w:t> </w:t>
            </w:r>
            <w:r>
              <w:rPr>
                <w:rFonts w:ascii="黑体" w:hAnsi="黑体" w:cs="黑体" w:eastAsia="黑体" w:hint="default"/>
                <w:b/>
                <w:bCs/>
                <w:sz w:val="18"/>
                <w:szCs w:val="18"/>
              </w:rPr>
              <w:t>0.45</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39,977,278.47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黑体" w:hAnsi="黑体" w:cs="黑体" w:eastAsia="黑体" w:hint="default"/>
                <w:sz w:val="18"/>
                <w:szCs w:val="18"/>
              </w:rPr>
            </w:pPr>
            <w:r>
              <w:rPr>
                <w:rFonts w:ascii="黑体"/>
                <w:b/>
                <w:w w:val="95"/>
                <w:sz w:val="18"/>
              </w:rPr>
              <w:t>1.40%</w:t>
            </w:r>
            <w:r>
              <w:rPr>
                <w:rFonts w:ascii="黑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26,699,728.52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黑体" w:hAnsi="黑体" w:cs="黑体" w:eastAsia="黑体" w:hint="default"/>
                <w:sz w:val="18"/>
                <w:szCs w:val="18"/>
              </w:rPr>
            </w:pPr>
            <w:r>
              <w:rPr>
                <w:rFonts w:ascii="黑体"/>
                <w:b/>
                <w:w w:val="95"/>
                <w:sz w:val="18"/>
              </w:rPr>
              <w:t>1.32%</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8"/>
                <w:sz w:val="18"/>
                <w:szCs w:val="18"/>
              </w:rPr>
              <w:t> </w:t>
            </w:r>
            <w:r>
              <w:rPr>
                <w:rFonts w:ascii="黑体" w:hAnsi="黑体" w:cs="黑体" w:eastAsia="黑体" w:hint="default"/>
                <w:b/>
                <w:bCs/>
                <w:sz w:val="18"/>
                <w:szCs w:val="18"/>
              </w:rPr>
              <w:t>0.08</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9,228,313.25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黑体" w:hAnsi="黑体" w:cs="黑体" w:eastAsia="黑体" w:hint="default"/>
                <w:sz w:val="18"/>
                <w:szCs w:val="18"/>
              </w:rPr>
            </w:pPr>
            <w:r>
              <w:rPr>
                <w:rFonts w:ascii="黑体"/>
                <w:b/>
                <w:w w:val="95"/>
                <w:sz w:val="18"/>
              </w:rPr>
              <w:t>0.32%</w:t>
            </w:r>
            <w:r>
              <w:rPr>
                <w:rFonts w:ascii="黑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3,612,717.21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黑体" w:hAnsi="黑体" w:cs="黑体" w:eastAsia="黑体" w:hint="default"/>
                <w:sz w:val="18"/>
                <w:szCs w:val="18"/>
              </w:rPr>
            </w:pPr>
            <w:r>
              <w:rPr>
                <w:rFonts w:ascii="黑体"/>
                <w:b/>
                <w:w w:val="95"/>
                <w:sz w:val="18"/>
              </w:rPr>
              <w:t>0.18%</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8"/>
                <w:sz w:val="18"/>
                <w:szCs w:val="18"/>
              </w:rPr>
              <w:t> </w:t>
            </w:r>
            <w:r>
              <w:rPr>
                <w:rFonts w:ascii="黑体" w:hAnsi="黑体" w:cs="黑体" w:eastAsia="黑体" w:hint="default"/>
                <w:b/>
                <w:bCs/>
                <w:sz w:val="18"/>
                <w:szCs w:val="18"/>
              </w:rPr>
              <w:t>0.14</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动漫服务成本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11,758,175.65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黑体" w:hAnsi="黑体" w:cs="黑体" w:eastAsia="黑体" w:hint="default"/>
                <w:sz w:val="18"/>
                <w:szCs w:val="18"/>
              </w:rPr>
            </w:pPr>
            <w:r>
              <w:rPr>
                <w:rFonts w:ascii="黑体"/>
                <w:b/>
                <w:w w:val="95"/>
                <w:sz w:val="18"/>
              </w:rPr>
              <w:t>0.41%</w:t>
            </w:r>
            <w:r>
              <w:rPr>
                <w:rFonts w:ascii="黑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14,896,030.73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黑体" w:hAnsi="黑体" w:cs="黑体" w:eastAsia="黑体" w:hint="default"/>
                <w:sz w:val="18"/>
                <w:szCs w:val="18"/>
              </w:rPr>
            </w:pPr>
            <w:r>
              <w:rPr>
                <w:rFonts w:ascii="黑体"/>
                <w:b/>
                <w:w w:val="95"/>
                <w:sz w:val="18"/>
              </w:rPr>
              <w:t>0.74%</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8"/>
                <w:sz w:val="18"/>
                <w:szCs w:val="18"/>
              </w:rPr>
              <w:t> </w:t>
            </w:r>
            <w:r>
              <w:rPr>
                <w:rFonts w:ascii="黑体" w:hAnsi="黑体" w:cs="黑体" w:eastAsia="黑体" w:hint="default"/>
                <w:b/>
                <w:bCs/>
                <w:sz w:val="18"/>
                <w:szCs w:val="18"/>
              </w:rPr>
              <w:t>0.33</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版税支出成本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9,412,283.75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黑体" w:hAnsi="黑体" w:cs="黑体" w:eastAsia="黑体" w:hint="default"/>
                <w:sz w:val="18"/>
                <w:szCs w:val="18"/>
              </w:rPr>
            </w:pPr>
            <w:r>
              <w:rPr>
                <w:rFonts w:ascii="黑体"/>
                <w:b/>
                <w:w w:val="95"/>
                <w:sz w:val="18"/>
              </w:rPr>
              <w:t>0.34%</w:t>
            </w:r>
            <w:r>
              <w:rPr>
                <w:rFonts w:ascii="黑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5,986,912.32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黑体" w:hAnsi="黑体" w:cs="黑体" w:eastAsia="黑体" w:hint="default"/>
                <w:sz w:val="18"/>
                <w:szCs w:val="18"/>
              </w:rPr>
            </w:pPr>
            <w:r>
              <w:rPr>
                <w:rFonts w:ascii="黑体"/>
                <w:b/>
                <w:w w:val="95"/>
                <w:sz w:val="18"/>
              </w:rPr>
              <w:t>0.30%</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8"/>
                <w:sz w:val="18"/>
                <w:szCs w:val="18"/>
              </w:rPr>
              <w:t> </w:t>
            </w:r>
            <w:r>
              <w:rPr>
                <w:rFonts w:ascii="黑体" w:hAnsi="黑体" w:cs="黑体" w:eastAsia="黑体" w:hint="default"/>
                <w:b/>
                <w:bCs/>
                <w:sz w:val="18"/>
                <w:szCs w:val="18"/>
              </w:rPr>
              <w:t>0.03</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稿费支出成本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649,368.88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811,502.73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8"/>
                <w:sz w:val="18"/>
                <w:szCs w:val="18"/>
              </w:rPr>
              <w:t> </w:t>
            </w:r>
            <w:r>
              <w:rPr>
                <w:rFonts w:ascii="黑体" w:hAnsi="黑体" w:cs="黑体" w:eastAsia="黑体" w:hint="default"/>
                <w:b/>
                <w:bCs/>
                <w:sz w:val="18"/>
                <w:szCs w:val="18"/>
              </w:rPr>
              <w:t>0.02</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编审劳务支出成本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73,543.12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145,005.49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黑体" w:hAnsi="黑体" w:cs="黑体" w:eastAsia="黑体" w:hint="default"/>
                <w:sz w:val="18"/>
                <w:szCs w:val="18"/>
              </w:rPr>
            </w:pPr>
            <w:r>
              <w:rPr>
                <w:rFonts w:ascii="黑体" w:hAnsi="黑体" w:cs="黑体" w:eastAsia="黑体" w:hint="default"/>
                <w:b/>
                <w:bCs/>
                <w:sz w:val="18"/>
                <w:szCs w:val="18"/>
              </w:rPr>
              <w:t>减少</w:t>
            </w:r>
            <w:r>
              <w:rPr>
                <w:rFonts w:ascii="黑体" w:hAnsi="黑体" w:cs="黑体" w:eastAsia="黑体" w:hint="default"/>
                <w:b/>
                <w:bCs/>
                <w:spacing w:val="-48"/>
                <w:sz w:val="18"/>
                <w:szCs w:val="18"/>
              </w:rPr>
              <w:t> </w:t>
            </w:r>
            <w:r>
              <w:rPr>
                <w:rFonts w:ascii="黑体" w:hAnsi="黑体" w:cs="黑体" w:eastAsia="黑体" w:hint="default"/>
                <w:b/>
                <w:bCs/>
                <w:sz w:val="18"/>
                <w:szCs w:val="18"/>
              </w:rPr>
              <w:t>0.01</w:t>
            </w:r>
            <w:r>
              <w:rPr>
                <w:rFonts w:ascii="黑体" w:hAnsi="黑体" w:cs="黑体" w:eastAsia="黑体" w:hint="default"/>
                <w:b/>
                <w:bCs/>
                <w:spacing w:val="-48"/>
                <w:sz w:val="18"/>
                <w:szCs w:val="18"/>
              </w:rPr>
              <w:t> </w:t>
            </w:r>
            <w:r>
              <w:rPr>
                <w:rFonts w:ascii="黑体" w:hAnsi="黑体" w:cs="黑体" w:eastAsia="黑体" w:hint="default"/>
                <w:b/>
                <w:bCs/>
                <w:sz w:val="18"/>
                <w:szCs w:val="18"/>
              </w:rPr>
              <w:t>个百分点</w:t>
            </w:r>
            <w:r>
              <w:rPr>
                <w:rFonts w:ascii="黑体" w:hAnsi="黑体" w:cs="黑体" w:eastAsia="黑体" w:hint="default"/>
                <w:sz w:val="18"/>
                <w:szCs w:val="18"/>
              </w:rPr>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732,533.19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534,874.84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0.03%</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71,831,496.31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黑体" w:hAnsi="黑体" w:cs="黑体" w:eastAsia="黑体" w:hint="default"/>
                <w:sz w:val="18"/>
                <w:szCs w:val="18"/>
              </w:rPr>
            </w:pPr>
            <w:r>
              <w:rPr>
                <w:rFonts w:ascii="黑体"/>
                <w:b/>
                <w:w w:val="95"/>
                <w:sz w:val="18"/>
              </w:rPr>
              <w:t>2.52%</w:t>
            </w:r>
            <w:r>
              <w:rPr>
                <w:rFonts w:ascii="黑体"/>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52,686,771.84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黑体" w:hAnsi="黑体" w:cs="黑体" w:eastAsia="黑体" w:hint="default"/>
                <w:sz w:val="18"/>
                <w:szCs w:val="18"/>
              </w:rPr>
            </w:pPr>
            <w:r>
              <w:rPr>
                <w:rFonts w:ascii="黑体"/>
                <w:b/>
                <w:w w:val="95"/>
                <w:sz w:val="18"/>
              </w:rPr>
              <w:t>2.60%</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减少</w:t>
            </w:r>
            <w:r>
              <w:rPr>
                <w:rFonts w:ascii="宋体" w:hAnsi="宋体" w:cs="宋体" w:eastAsia="宋体" w:hint="default"/>
                <w:b/>
                <w:bCs/>
                <w:spacing w:val="-48"/>
                <w:sz w:val="18"/>
                <w:szCs w:val="18"/>
              </w:rPr>
              <w:t> </w:t>
            </w:r>
            <w:r>
              <w:rPr>
                <w:rFonts w:ascii="黑体" w:hAnsi="黑体" w:cs="黑体" w:eastAsia="黑体" w:hint="default"/>
                <w:b/>
                <w:bCs/>
                <w:sz w:val="18"/>
                <w:szCs w:val="18"/>
              </w:rPr>
              <w:t>0.08</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71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软件和信息技术服 务费成本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438,949,773.48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黑体" w:hAnsi="黑体" w:cs="黑体" w:eastAsia="黑体" w:hint="default"/>
                <w:sz w:val="18"/>
                <w:szCs w:val="18"/>
              </w:rPr>
            </w:pPr>
            <w:r>
              <w:rPr>
                <w:rFonts w:ascii="黑体"/>
                <w:b/>
                <w:w w:val="95"/>
                <w:sz w:val="18"/>
              </w:rPr>
              <w:t>15.41%</w:t>
            </w:r>
            <w:r>
              <w:rPr>
                <w:rFonts w:ascii="黑体"/>
                <w:sz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8"/>
                <w:sz w:val="18"/>
                <w:szCs w:val="18"/>
              </w:rPr>
              <w:t> </w:t>
            </w:r>
            <w:r>
              <w:rPr>
                <w:rFonts w:ascii="黑体" w:hAnsi="黑体" w:cs="黑体" w:eastAsia="黑体" w:hint="default"/>
                <w:b/>
                <w:bCs/>
                <w:sz w:val="18"/>
                <w:szCs w:val="18"/>
              </w:rPr>
              <w:t>15.41</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438,949,773.48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黑体" w:hAnsi="黑体" w:cs="黑体" w:eastAsia="黑体" w:hint="default"/>
                <w:sz w:val="18"/>
                <w:szCs w:val="18"/>
              </w:rPr>
            </w:pPr>
            <w:r>
              <w:rPr>
                <w:rFonts w:ascii="黑体"/>
                <w:b/>
                <w:w w:val="95"/>
                <w:sz w:val="18"/>
              </w:rPr>
              <w:t>15.41%</w:t>
            </w:r>
            <w:r>
              <w:rPr>
                <w:rFonts w:ascii="黑体"/>
                <w:sz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8"/>
                <w:sz w:val="18"/>
                <w:szCs w:val="18"/>
              </w:rPr>
              <w:t> </w:t>
            </w:r>
            <w:r>
              <w:rPr>
                <w:rFonts w:ascii="黑体" w:hAnsi="黑体" w:cs="黑体" w:eastAsia="黑体" w:hint="default"/>
                <w:b/>
                <w:bCs/>
                <w:sz w:val="18"/>
                <w:szCs w:val="18"/>
              </w:rPr>
              <w:t>15.41</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房地产开发成本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5,195,711.05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14,941,744.71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黑体" w:hAnsi="黑体" w:cs="黑体" w:eastAsia="黑体" w:hint="default"/>
                <w:sz w:val="18"/>
                <w:szCs w:val="18"/>
              </w:rPr>
            </w:pPr>
            <w:r>
              <w:rPr>
                <w:rFonts w:ascii="黑体"/>
                <w:b/>
                <w:w w:val="95"/>
                <w:sz w:val="18"/>
              </w:rPr>
              <w:t>0.74%</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8"/>
                <w:sz w:val="18"/>
                <w:szCs w:val="18"/>
              </w:rPr>
              <w:t> </w:t>
            </w:r>
            <w:r>
              <w:rPr>
                <w:rFonts w:ascii="黑体" w:hAnsi="黑体" w:cs="黑体" w:eastAsia="黑体" w:hint="default"/>
                <w:b/>
                <w:bCs/>
                <w:sz w:val="18"/>
                <w:szCs w:val="18"/>
              </w:rPr>
              <w:t>0.56</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5,195,711.05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14,941,744.71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黑体" w:hAnsi="黑体" w:cs="黑体" w:eastAsia="黑体" w:hint="default"/>
                <w:sz w:val="18"/>
                <w:szCs w:val="18"/>
              </w:rPr>
            </w:pPr>
            <w:r>
              <w:rPr>
                <w:rFonts w:ascii="黑体"/>
                <w:b/>
                <w:w w:val="95"/>
                <w:sz w:val="18"/>
              </w:rPr>
              <w:t>0.74%</w:t>
            </w:r>
            <w:r>
              <w:rPr>
                <w:rFonts w:ascii="黑体"/>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8"/>
                <w:sz w:val="18"/>
                <w:szCs w:val="18"/>
              </w:rPr>
              <w:t> </w:t>
            </w:r>
            <w:r>
              <w:rPr>
                <w:rFonts w:ascii="黑体" w:hAnsi="黑体" w:cs="黑体" w:eastAsia="黑体" w:hint="default"/>
                <w:b/>
                <w:bCs/>
                <w:sz w:val="18"/>
                <w:szCs w:val="18"/>
              </w:rPr>
              <w:t>0.56</w:t>
            </w:r>
            <w:r>
              <w:rPr>
                <w:rFonts w:ascii="黑体" w:hAnsi="黑体" w:cs="黑体" w:eastAsia="黑体" w:hint="default"/>
                <w:b/>
                <w:bCs/>
                <w:spacing w:val="-46"/>
                <w:sz w:val="18"/>
                <w:szCs w:val="18"/>
              </w:rPr>
              <w:t> </w:t>
            </w:r>
            <w:r>
              <w:rPr>
                <w:rFonts w:ascii="宋体" w:hAnsi="宋体" w:cs="宋体" w:eastAsia="宋体" w:hint="default"/>
                <w:sz w:val="18"/>
                <w:szCs w:val="18"/>
              </w:rPr>
              <w:t>个百分点</w:t>
            </w:r>
          </w:p>
        </w:tc>
      </w:tr>
    </w:tbl>
    <w:p>
      <w:pPr>
        <w:spacing w:line="240" w:lineRule="auto" w:before="12"/>
        <w:rPr>
          <w:rFonts w:ascii="宋体" w:hAnsi="宋体" w:cs="宋体" w:eastAsia="宋体" w:hint="default"/>
          <w:sz w:val="10"/>
          <w:szCs w:val="10"/>
        </w:rPr>
      </w:pPr>
    </w:p>
    <w:p>
      <w:pPr>
        <w:pStyle w:val="BodyText"/>
        <w:spacing w:line="240" w:lineRule="auto" w:before="35"/>
        <w:ind w:left="534" w:right="1114"/>
        <w:jc w:val="left"/>
      </w:pPr>
      <w:r>
        <w:rPr/>
        <w:t>说明</w:t>
      </w:r>
    </w:p>
    <w:p>
      <w:pPr>
        <w:spacing w:line="240" w:lineRule="auto" w:before="10"/>
        <w:rPr>
          <w:rFonts w:ascii="宋体" w:hAnsi="宋体" w:cs="宋体" w:eastAsia="宋体" w:hint="default"/>
          <w:sz w:val="18"/>
          <w:szCs w:val="18"/>
        </w:rPr>
      </w:pPr>
    </w:p>
    <w:p>
      <w:pPr>
        <w:pStyle w:val="BodyText"/>
        <w:spacing w:line="420" w:lineRule="auto"/>
        <w:ind w:left="534" w:right="1115" w:firstLine="420"/>
        <w:jc w:val="left"/>
      </w:pPr>
      <w:r>
        <w:rPr/>
        <w:t>数字内容服务业营业收入比上年同期增加</w:t>
      </w:r>
      <w:r>
        <w:rPr>
          <w:spacing w:val="-64"/>
        </w:rPr>
        <w:t> </w:t>
      </w:r>
      <w:r>
        <w:rPr>
          <w:rFonts w:ascii="宋体" w:hAnsi="宋体" w:cs="宋体" w:eastAsia="宋体" w:hint="default"/>
        </w:rPr>
        <w:t>68.96%</w:t>
      </w:r>
      <w:r>
        <w:rPr/>
        <w:t>，营业成本比上年同期增加</w:t>
      </w:r>
      <w:r>
        <w:rPr>
          <w:spacing w:val="-64"/>
        </w:rPr>
        <w:t> </w:t>
      </w:r>
      <w:r>
        <w:rPr>
          <w:rFonts w:ascii="宋体" w:hAnsi="宋体" w:cs="宋体" w:eastAsia="宋体" w:hint="default"/>
        </w:rPr>
        <w:t>153.37%</w:t>
      </w:r>
      <w:r>
        <w:rPr/>
        <w:t>，主要是本期掌 视亿通流量经营业务规模扩大，营业收入及营业成本相应增加所致。</w:t>
      </w:r>
    </w:p>
    <w:p>
      <w:pPr>
        <w:pStyle w:val="BodyText"/>
        <w:spacing w:line="420" w:lineRule="auto" w:before="87"/>
        <w:ind w:left="534" w:right="1198" w:firstLine="420"/>
        <w:jc w:val="left"/>
      </w:pPr>
      <w:r>
        <w:rPr/>
        <w:t>网络与信息安全服务业营业收入比上年同期减少</w:t>
      </w:r>
      <w:r>
        <w:rPr>
          <w:spacing w:val="-53"/>
        </w:rPr>
        <w:t> </w:t>
      </w:r>
      <w:r>
        <w:rPr>
          <w:rFonts w:ascii="宋体" w:hAnsi="宋体" w:cs="宋体" w:eastAsia="宋体" w:hint="default"/>
        </w:rPr>
        <w:t>86.57%</w:t>
      </w:r>
      <w:r>
        <w:rPr/>
        <w:t>，营业成本比上年同期减少</w:t>
      </w:r>
      <w:r>
        <w:rPr>
          <w:spacing w:val="-53"/>
        </w:rPr>
        <w:t> </w:t>
      </w:r>
      <w:r>
        <w:rPr>
          <w:rFonts w:ascii="宋体" w:hAnsi="宋体" w:cs="宋体" w:eastAsia="宋体" w:hint="default"/>
        </w:rPr>
        <w:t>59.36%</w:t>
      </w:r>
      <w:r>
        <w:rPr/>
        <w:t>，主要是 本期处置邦富软件</w:t>
      </w:r>
      <w:r>
        <w:rPr>
          <w:spacing w:val="-52"/>
        </w:rPr>
        <w:t> </w:t>
      </w:r>
      <w:r>
        <w:rPr>
          <w:rFonts w:ascii="宋体" w:hAnsi="宋体" w:cs="宋体" w:eastAsia="宋体" w:hint="default"/>
        </w:rPr>
        <w:t>100%</w:t>
      </w:r>
      <w:r>
        <w:rPr/>
        <w:t>股权减少所致。</w:t>
      </w:r>
    </w:p>
    <w:p>
      <w:pPr>
        <w:pStyle w:val="BodyText"/>
        <w:spacing w:line="453" w:lineRule="auto" w:before="88"/>
        <w:ind w:left="954" w:right="1198"/>
        <w:jc w:val="left"/>
      </w:pPr>
      <w:r>
        <w:rPr/>
        <w:t>动漫产品及动漫服务业营业成本比上年同期增加</w:t>
      </w:r>
      <w:r>
        <w:rPr>
          <w:spacing w:val="-53"/>
        </w:rPr>
        <w:t> </w:t>
      </w:r>
      <w:r>
        <w:rPr>
          <w:rFonts w:ascii="宋体" w:hAnsi="宋体" w:cs="宋体" w:eastAsia="宋体" w:hint="default"/>
        </w:rPr>
        <w:t>36.34%</w:t>
      </w:r>
      <w:r>
        <w:rPr/>
        <w:t>，主要是本期漫友文化处理存货增加所致。 房地产销售营业收入比上年同期减少</w:t>
      </w:r>
      <w:r>
        <w:rPr>
          <w:spacing w:val="-53"/>
        </w:rPr>
        <w:t> </w:t>
      </w:r>
      <w:r>
        <w:rPr>
          <w:rFonts w:ascii="宋体" w:hAnsi="宋体" w:cs="宋体" w:eastAsia="宋体" w:hint="default"/>
        </w:rPr>
        <w:t>65.97%</w:t>
      </w:r>
      <w:r>
        <w:rPr/>
        <w:t>，营业成本比上年同期减少</w:t>
      </w:r>
      <w:r>
        <w:rPr>
          <w:spacing w:val="-53"/>
        </w:rPr>
        <w:t> </w:t>
      </w:r>
      <w:r>
        <w:rPr>
          <w:rFonts w:ascii="宋体" w:hAnsi="宋体" w:cs="宋体" w:eastAsia="宋体" w:hint="default"/>
        </w:rPr>
        <w:t>71.27%</w:t>
      </w:r>
      <w:r>
        <w:rPr/>
        <w:t>，主要是本期房地产</w:t>
      </w:r>
    </w:p>
    <w:p>
      <w:pPr>
        <w:spacing w:after="0" w:line="453" w:lineRule="auto"/>
        <w:jc w:val="left"/>
        <w:sectPr>
          <w:pgSz w:w="11910" w:h="16840"/>
          <w:pgMar w:header="747" w:footer="979" w:top="1060" w:bottom="1160" w:left="60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35"/>
        <w:ind w:right="0"/>
        <w:jc w:val="left"/>
      </w:pPr>
      <w:r>
        <w:rPr/>
        <w:t>销售减少，营业收入及营业成本相应减少所致。</w:t>
      </w:r>
    </w:p>
    <w:p>
      <w:pPr>
        <w:spacing w:line="240" w:lineRule="auto" w:before="9"/>
        <w:rPr>
          <w:rFonts w:ascii="宋体" w:hAnsi="宋体" w:cs="宋体" w:eastAsia="宋体" w:hint="default"/>
          <w:sz w:val="18"/>
          <w:szCs w:val="18"/>
        </w:rPr>
      </w:pPr>
    </w:p>
    <w:p>
      <w:pPr>
        <w:pStyle w:val="BodyText"/>
        <w:spacing w:line="420" w:lineRule="auto"/>
        <w:ind w:right="1199" w:firstLine="420"/>
        <w:jc w:val="left"/>
      </w:pPr>
      <w:r>
        <w:rPr/>
        <w:t>商品销售及配送营业收入比上年同期增加</w:t>
      </w:r>
      <w:r>
        <w:rPr>
          <w:spacing w:val="-54"/>
        </w:rPr>
        <w:t> </w:t>
      </w:r>
      <w:r>
        <w:rPr>
          <w:rFonts w:ascii="宋体" w:hAnsi="宋体" w:cs="宋体" w:eastAsia="宋体" w:hint="default"/>
        </w:rPr>
        <w:t>37.63%</w:t>
      </w:r>
      <w:r>
        <w:rPr/>
        <w:t>，营业成本比上年同期增加</w:t>
      </w:r>
      <w:r>
        <w:rPr>
          <w:spacing w:val="-53"/>
        </w:rPr>
        <w:t> </w:t>
      </w:r>
      <w:r>
        <w:rPr>
          <w:rFonts w:ascii="宋体" w:hAnsi="宋体" w:cs="宋体" w:eastAsia="宋体" w:hint="default"/>
        </w:rPr>
        <w:t>49.85%</w:t>
      </w:r>
      <w:r>
        <w:rPr/>
        <w:t>，主要是本期陕 西黄马甲快递业务增长、生鲜业务规模化，营业收入及营业成本相应增加所致。</w:t>
      </w:r>
    </w:p>
    <w:p>
      <w:pPr>
        <w:pStyle w:val="BodyText"/>
        <w:spacing w:line="420" w:lineRule="auto" w:before="88"/>
        <w:ind w:right="1117" w:firstLine="420"/>
        <w:jc w:val="left"/>
      </w:pPr>
      <w:r>
        <w:rPr/>
        <w:t>其他代理业务营业成本比上年同期减少</w:t>
      </w:r>
      <w:r>
        <w:rPr>
          <w:spacing w:val="-40"/>
        </w:rPr>
        <w:t> </w:t>
      </w:r>
      <w:r>
        <w:rPr>
          <w:rFonts w:ascii="宋体" w:hAnsi="宋体" w:cs="宋体" w:eastAsia="宋体" w:hint="default"/>
          <w:spacing w:val="-3"/>
        </w:rPr>
        <w:t>35.20%</w:t>
      </w:r>
      <w:r>
        <w:rPr>
          <w:spacing w:val="-3"/>
        </w:rPr>
        <w:t>，主要是本期国视上海收入下滑，导致营业成本相应减</w:t>
      </w:r>
      <w:r>
        <w:rPr/>
        <w:t> 少所致。</w:t>
      </w:r>
    </w:p>
    <w:p>
      <w:pPr>
        <w:pStyle w:val="BodyText"/>
        <w:spacing w:line="420" w:lineRule="auto" w:before="87"/>
        <w:ind w:right="1114" w:firstLine="420"/>
        <w:jc w:val="left"/>
      </w:pPr>
      <w:r>
        <w:rPr/>
        <w:t>出国留学咨询及相关业务营业收入比上年同期减少</w:t>
      </w:r>
      <w:r>
        <w:rPr>
          <w:spacing w:val="-52"/>
        </w:rPr>
        <w:t> </w:t>
      </w:r>
      <w:r>
        <w:rPr>
          <w:rFonts w:ascii="宋体" w:hAnsi="宋体" w:cs="宋体" w:eastAsia="宋体" w:hint="default"/>
          <w:spacing w:val="-3"/>
        </w:rPr>
        <w:t>54.83%</w:t>
      </w:r>
      <w:r>
        <w:rPr>
          <w:spacing w:val="-3"/>
        </w:rPr>
        <w:t>，主要是本期澄怀科技出国留学咨询业务收</w:t>
      </w:r>
      <w:r>
        <w:rPr/>
        <w:t> 入大幅减少所致。</w:t>
      </w:r>
    </w:p>
    <w:p>
      <w:pPr>
        <w:pStyle w:val="BodyText"/>
        <w:spacing w:line="420" w:lineRule="auto" w:before="87"/>
        <w:ind w:right="1113" w:firstLine="420"/>
        <w:jc w:val="left"/>
      </w:pPr>
      <w:r>
        <w:rPr/>
        <w:t>视频信息服务营业收入比上年同期增加</w:t>
      </w:r>
      <w:r>
        <w:rPr>
          <w:spacing w:val="-63"/>
        </w:rPr>
        <w:t> </w:t>
      </w:r>
      <w:r>
        <w:rPr>
          <w:rFonts w:ascii="宋体" w:hAnsi="宋体" w:cs="宋体" w:eastAsia="宋体" w:hint="default"/>
        </w:rPr>
        <w:t>68.96%</w:t>
      </w:r>
      <w:r>
        <w:rPr/>
        <w:t>，营业成本比上年同期增加</w:t>
      </w:r>
      <w:r>
        <w:rPr>
          <w:spacing w:val="-63"/>
        </w:rPr>
        <w:t> </w:t>
      </w:r>
      <w:r>
        <w:rPr>
          <w:rFonts w:ascii="宋体" w:hAnsi="宋体" w:cs="宋体" w:eastAsia="宋体" w:hint="default"/>
        </w:rPr>
        <w:t>153.47%</w:t>
      </w:r>
      <w:r>
        <w:rPr/>
        <w:t>，主要是本期掌视 亿通流量经营业务规模扩大，营业收入及营业成本相应增加所致。</w:t>
      </w:r>
    </w:p>
    <w:p>
      <w:pPr>
        <w:pStyle w:val="BodyText"/>
        <w:spacing w:line="420" w:lineRule="auto" w:before="88"/>
        <w:ind w:right="1010" w:firstLine="420"/>
        <w:jc w:val="left"/>
      </w:pPr>
      <w:r>
        <w:rPr/>
        <w:t>销售硬件、软件及提供服务营业收入比上年同期增加</w:t>
      </w:r>
      <w:r>
        <w:rPr>
          <w:spacing w:val="-64"/>
        </w:rPr>
        <w:t> </w:t>
      </w:r>
      <w:r>
        <w:rPr>
          <w:rFonts w:ascii="宋体" w:hAnsi="宋体" w:cs="宋体" w:eastAsia="宋体" w:hint="default"/>
        </w:rPr>
        <w:t>2367.97%</w:t>
      </w:r>
      <w:r>
        <w:rPr/>
        <w:t>，营业成本比上年同期增加</w:t>
      </w:r>
      <w:r>
        <w:rPr>
          <w:spacing w:val="-64"/>
        </w:rPr>
        <w:t> </w:t>
      </w:r>
      <w:r>
        <w:rPr>
          <w:rFonts w:ascii="宋体" w:hAnsi="宋体" w:cs="宋体" w:eastAsia="宋体" w:hint="default"/>
        </w:rPr>
        <w:t>2945.20%</w:t>
      </w:r>
      <w:r>
        <w:rPr/>
        <w:t>， 主要是本期车音智能纳入合并增加所致。</w:t>
      </w:r>
    </w:p>
    <w:p>
      <w:pPr>
        <w:pStyle w:val="BodyText"/>
        <w:spacing w:line="453" w:lineRule="auto" w:before="87"/>
        <w:ind w:left="574" w:right="1013"/>
        <w:jc w:val="left"/>
      </w:pPr>
      <w:r>
        <w:rPr>
          <w:spacing w:val="-4"/>
        </w:rPr>
        <w:t>漫画图书、期刊及周边产品营业成本比上年同期增加</w:t>
      </w:r>
      <w:r>
        <w:rPr>
          <w:spacing w:val="-44"/>
        </w:rPr>
        <w:t> </w:t>
      </w:r>
      <w:r>
        <w:rPr>
          <w:rFonts w:ascii="宋体" w:hAnsi="宋体" w:cs="宋体" w:eastAsia="宋体" w:hint="default"/>
          <w:spacing w:val="-4"/>
        </w:rPr>
        <w:t>59.76%</w:t>
      </w:r>
      <w:r>
        <w:rPr>
          <w:spacing w:val="-4"/>
        </w:rPr>
        <w:t>，主要是本期漫友文化处理存货增加所致。</w:t>
      </w:r>
      <w:r>
        <w:rPr/>
        <w:t> 动漫类服务营业收入比上年同期减少</w:t>
      </w:r>
      <w:r>
        <w:rPr>
          <w:spacing w:val="-35"/>
        </w:rPr>
        <w:t> </w:t>
      </w:r>
      <w:r>
        <w:rPr>
          <w:rFonts w:ascii="宋体" w:hAnsi="宋体" w:cs="宋体" w:eastAsia="宋体" w:hint="default"/>
          <w:spacing w:val="-3"/>
        </w:rPr>
        <w:t>55.67%</w:t>
      </w:r>
      <w:r>
        <w:rPr>
          <w:spacing w:val="-3"/>
        </w:rPr>
        <w:t>，主要是本期漫友文化动漫类服务业务规模缩减，营业收</w:t>
      </w:r>
    </w:p>
    <w:p>
      <w:pPr>
        <w:pStyle w:val="BodyText"/>
        <w:spacing w:line="240" w:lineRule="auto" w:before="18"/>
        <w:ind w:right="0"/>
        <w:jc w:val="left"/>
      </w:pPr>
      <w:r>
        <w:rPr/>
        <w:t>入减少所致。</w:t>
      </w:r>
    </w:p>
    <w:p>
      <w:pPr>
        <w:spacing w:line="240" w:lineRule="auto" w:before="11"/>
        <w:rPr>
          <w:rFonts w:ascii="宋体" w:hAnsi="宋体" w:cs="宋体" w:eastAsia="宋体" w:hint="default"/>
          <w:sz w:val="18"/>
          <w:szCs w:val="18"/>
        </w:rPr>
      </w:pPr>
    </w:p>
    <w:p>
      <w:pPr>
        <w:pStyle w:val="BodyText"/>
        <w:spacing w:line="453" w:lineRule="auto"/>
        <w:ind w:left="574" w:right="1203"/>
        <w:jc w:val="left"/>
      </w:pPr>
      <w:r>
        <w:rPr/>
        <w:t>西北地区营业成本比上年同期增加</w:t>
      </w:r>
      <w:r>
        <w:rPr>
          <w:spacing w:val="-54"/>
        </w:rPr>
        <w:t> </w:t>
      </w:r>
      <w:r>
        <w:rPr>
          <w:rFonts w:ascii="宋体" w:hAnsi="宋体" w:cs="宋体" w:eastAsia="宋体" w:hint="default"/>
        </w:rPr>
        <w:t>35.80%</w:t>
      </w:r>
      <w:r>
        <w:rPr/>
        <w:t>，主要是本期陕西黄马甲物流配送成本增加所致。 东北地区营业收入比上年同期减少</w:t>
      </w:r>
      <w:r>
        <w:rPr>
          <w:spacing w:val="-55"/>
        </w:rPr>
        <w:t> </w:t>
      </w:r>
      <w:r>
        <w:rPr>
          <w:rFonts w:ascii="宋体" w:hAnsi="宋体" w:cs="宋体" w:eastAsia="宋体" w:hint="default"/>
        </w:rPr>
        <w:t>51.78%</w:t>
      </w:r>
      <w:r>
        <w:rPr/>
        <w:t>，营业成本比上年同期减少</w:t>
      </w:r>
      <w:r>
        <w:rPr>
          <w:spacing w:val="-56"/>
        </w:rPr>
        <w:t> </w:t>
      </w:r>
      <w:r>
        <w:rPr>
          <w:rFonts w:ascii="宋体" w:hAnsi="宋体" w:cs="宋体" w:eastAsia="宋体" w:hint="default"/>
        </w:rPr>
        <w:t>31.79%</w:t>
      </w:r>
      <w:r>
        <w:rPr/>
        <w:t>，主要是本期陕西黄马</w:t>
      </w:r>
    </w:p>
    <w:p>
      <w:pPr>
        <w:pStyle w:val="BodyText"/>
        <w:spacing w:line="240" w:lineRule="auto" w:before="18"/>
        <w:ind w:right="0"/>
        <w:jc w:val="left"/>
      </w:pPr>
      <w:r>
        <w:rPr/>
        <w:t>甲在该地区营业收入和成本减少所致。</w:t>
      </w:r>
    </w:p>
    <w:p>
      <w:pPr>
        <w:spacing w:line="240" w:lineRule="auto" w:before="9"/>
        <w:rPr>
          <w:rFonts w:ascii="宋体" w:hAnsi="宋体" w:cs="宋体" w:eastAsia="宋体" w:hint="default"/>
          <w:sz w:val="18"/>
          <w:szCs w:val="18"/>
        </w:rPr>
      </w:pPr>
    </w:p>
    <w:p>
      <w:pPr>
        <w:pStyle w:val="BodyText"/>
        <w:spacing w:line="420" w:lineRule="auto"/>
        <w:ind w:right="1116" w:firstLine="420"/>
        <w:jc w:val="left"/>
      </w:pPr>
      <w:r>
        <w:rPr/>
        <w:t>华北地区营业收入比上年同期增加</w:t>
      </w:r>
      <w:r>
        <w:rPr>
          <w:spacing w:val="-64"/>
        </w:rPr>
        <w:t> </w:t>
      </w:r>
      <w:r>
        <w:rPr>
          <w:rFonts w:ascii="宋体" w:hAnsi="宋体" w:cs="宋体" w:eastAsia="宋体" w:hint="default"/>
        </w:rPr>
        <w:t>74.09%</w:t>
      </w:r>
      <w:r>
        <w:rPr/>
        <w:t>，营业成本比上年同期增加</w:t>
      </w:r>
      <w:r>
        <w:rPr>
          <w:spacing w:val="-65"/>
        </w:rPr>
        <w:t> </w:t>
      </w:r>
      <w:r>
        <w:rPr>
          <w:rFonts w:ascii="宋体" w:hAnsi="宋体" w:cs="宋体" w:eastAsia="宋体" w:hint="default"/>
        </w:rPr>
        <w:t>101.91%</w:t>
      </w:r>
      <w:r>
        <w:rPr/>
        <w:t>，主要是本期掌视亿通 营业收入及营业成本增加所致。</w:t>
      </w:r>
    </w:p>
    <w:p>
      <w:pPr>
        <w:pStyle w:val="BodyText"/>
        <w:spacing w:line="240" w:lineRule="auto" w:before="88"/>
        <w:ind w:left="574" w:right="0"/>
        <w:jc w:val="left"/>
      </w:pPr>
      <w:r>
        <w:rPr/>
        <w:t>西南及其他地区营业成本比上年同期增加</w:t>
      </w:r>
      <w:r>
        <w:rPr>
          <w:spacing w:val="-54"/>
        </w:rPr>
        <w:t> </w:t>
      </w:r>
      <w:r>
        <w:rPr>
          <w:rFonts w:ascii="宋体" w:hAnsi="宋体" w:cs="宋体" w:eastAsia="宋体" w:hint="default"/>
        </w:rPr>
        <w:t>82.10%</w:t>
      </w:r>
      <w:r>
        <w:rPr/>
        <w:t>，主要是本期车音智能纳入合并增加所致。</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报告期内合并范围是否发生变动" w:id="33"/>
      <w:bookmarkEnd w:id="33"/>
      <w:r>
        <w:rPr>
          <w:b w:val="0"/>
          <w:bCs w:val="0"/>
        </w:rPr>
      </w:r>
      <w:r>
        <w:rPr/>
        <w:t>（</w:t>
      </w:r>
      <w:r>
        <w:rPr>
          <w:rFonts w:ascii="宋体" w:hAnsi="宋体" w:cs="宋体" w:eastAsia="宋体" w:hint="default"/>
        </w:rPr>
        <w:t>6</w:t>
      </w:r>
      <w:r>
        <w:rPr/>
        <w:t>）报告期内合并范围是否发生变动</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240" w:lineRule="auto"/>
        <w:ind w:right="0"/>
        <w:jc w:val="left"/>
      </w:pPr>
      <w:r>
        <w:rPr/>
        <w:t>√ 是 □ 否</w:t>
      </w:r>
    </w:p>
    <w:p>
      <w:pPr>
        <w:spacing w:line="240" w:lineRule="auto" w:before="9"/>
        <w:rPr>
          <w:rFonts w:ascii="宋体" w:hAnsi="宋体" w:cs="宋体" w:eastAsia="宋体" w:hint="default"/>
          <w:sz w:val="18"/>
          <w:szCs w:val="18"/>
        </w:rPr>
      </w:pPr>
    </w:p>
    <w:p>
      <w:pPr>
        <w:pStyle w:val="BodyText"/>
        <w:spacing w:line="240" w:lineRule="auto"/>
        <w:ind w:left="574" w:right="0"/>
        <w:jc w:val="left"/>
      </w:pPr>
      <w:r>
        <w:rPr/>
        <w:t>详见“第五节</w:t>
      </w:r>
      <w:r>
        <w:rPr>
          <w:spacing w:val="-2"/>
        </w:rPr>
        <w:t> </w:t>
      </w:r>
      <w:r>
        <w:rPr/>
        <w:t>重要事项”之“八、与上年度财务报告相比，合并报表范围发生变化的情况说明”。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宋体" w:hAnsi="宋体" w:cs="宋体" w:eastAsia="宋体" w:hint="default"/>
        </w:rPr>
        <w:t>7</w:t>
      </w:r>
      <w:r>
        <w:rPr/>
        <w:t>）公司报告期内业务、产品或服务发生重大变化或调整有关情况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240" w:lineRule="auto"/>
        <w:ind w:right="0"/>
        <w:jc w:val="left"/>
      </w:pPr>
      <w:r>
        <w:rPr/>
        <w:t>□ 适用 √</w:t>
      </w:r>
      <w:r>
        <w:rPr>
          <w:spacing w:val="-1"/>
        </w:rPr>
        <w:t> </w:t>
      </w:r>
      <w:r>
        <w:rPr/>
        <w:t>不适用</w:t>
      </w:r>
    </w:p>
    <w:p>
      <w:pPr>
        <w:spacing w:after="0" w:line="240" w:lineRule="auto"/>
        <w:jc w:val="left"/>
        <w:sectPr>
          <w:footerReference w:type="default" r:id="rId13"/>
          <w:pgSz w:w="11910" w:h="16840"/>
          <w:pgMar w:footer="979" w:header="747" w:top="1060" w:bottom="1160" w:left="980" w:right="0"/>
          <w:pgNumType w:start="28"/>
        </w:sectPr>
      </w:pPr>
    </w:p>
    <w:p>
      <w:pPr>
        <w:spacing w:line="240" w:lineRule="auto" w:before="10"/>
        <w:rPr>
          <w:rFonts w:ascii="宋体" w:hAnsi="宋体" w:cs="宋体" w:eastAsia="宋体" w:hint="default"/>
          <w:sz w:val="24"/>
          <w:szCs w:val="24"/>
        </w:rPr>
      </w:pPr>
    </w:p>
    <w:p>
      <w:pPr>
        <w:spacing w:line="669" w:lineRule="auto" w:before="35"/>
        <w:ind w:left="154" w:right="7273" w:firstLine="0"/>
        <w:jc w:val="left"/>
        <w:rPr>
          <w:rFonts w:ascii="宋体" w:hAnsi="宋体" w:cs="宋体" w:eastAsia="宋体" w:hint="default"/>
          <w:sz w:val="21"/>
          <w:szCs w:val="21"/>
        </w:rPr>
      </w:pPr>
      <w:r>
        <w:rPr/>
        <w:pict>
          <v:shape style="position:absolute;margin-left:56.459999pt;margin-top:59.0737pt;width:479.2pt;height:60.9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78"/>
                    <w:gridCol w:w="4890"/>
                  </w:tblGrid>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799,053,784.14</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21.11%</w:t>
                        </w:r>
                      </w:p>
                    </w:tc>
                  </w:tr>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bl>
                <w:p>
                  <w:pPr/>
                </w:p>
              </w:txbxContent>
            </v:textbox>
            <w10:wrap type="none"/>
          </v:shape>
        </w:pict>
      </w:r>
      <w:bookmarkStart w:name="（8）主要销售客户和主要供应商情况" w:id="35"/>
      <w:bookmarkEnd w:id="35"/>
      <w:r>
        <w:rPr/>
      </w:r>
      <w:r>
        <w:rPr>
          <w:rFonts w:ascii="宋体" w:hAnsi="宋体" w:cs="宋体" w:eastAsia="宋体" w:hint="default"/>
          <w:b/>
          <w:bCs/>
          <w:sz w:val="21"/>
          <w:szCs w:val="21"/>
        </w:rPr>
        <w:t>（</w:t>
      </w:r>
      <w:r>
        <w:rPr>
          <w:rFonts w:ascii="宋体" w:hAnsi="宋体" w:cs="宋体" w:eastAsia="宋体"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b/>
          <w:bCs/>
          <w:w w:val="99"/>
          <w:sz w:val="21"/>
          <w:szCs w:val="21"/>
        </w:rPr>
        <w:t> </w:t>
      </w:r>
      <w:r>
        <w:rPr>
          <w:rFonts w:ascii="宋体" w:hAnsi="宋体" w:cs="宋体" w:eastAsia="宋体" w:hint="default"/>
          <w:sz w:val="21"/>
          <w:szCs w:val="21"/>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35"/>
        <w:ind w:right="0"/>
        <w:jc w:val="left"/>
      </w:pPr>
      <w:r>
        <w:rPr/>
        <w:t>公司前</w:t>
      </w:r>
      <w:r>
        <w:rPr>
          <w:spacing w:val="-53"/>
        </w:rPr>
        <w:t> </w:t>
      </w:r>
      <w:r>
        <w:rPr>
          <w:rFonts w:ascii="宋体" w:hAnsi="宋体" w:cs="宋体" w:eastAsia="宋体" w:hint="default"/>
        </w:rPr>
        <w:t>5</w:t>
      </w:r>
      <w:r>
        <w:rPr>
          <w:rFonts w:ascii="宋体" w:hAnsi="宋体" w:cs="宋体" w:eastAsia="宋体" w:hint="default"/>
          <w:spacing w:val="-53"/>
        </w:rPr>
        <w:t> </w:t>
      </w:r>
      <w:r>
        <w:rPr/>
        <w:t>大客户资料</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1"/>
        <w:gridCol w:w="3888"/>
        <w:gridCol w:w="2553"/>
        <w:gridCol w:w="2338"/>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3"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sz w:val="18"/>
              </w:rPr>
              <w:t>1</w:t>
            </w:r>
          </w:p>
        </w:tc>
        <w:tc>
          <w:tcPr>
            <w:tcW w:w="38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杭州菜鸟供应链管理有限公司</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438,073,094.58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11.57%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sz w:val="18"/>
              </w:rPr>
              <w:t>2</w:t>
            </w:r>
          </w:p>
        </w:tc>
        <w:tc>
          <w:tcPr>
            <w:tcW w:w="38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拉萨美娱传媒有限公司</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113,470,147.48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sz w:val="18"/>
              </w:rPr>
              <w:t>3</w:t>
            </w:r>
          </w:p>
        </w:tc>
        <w:tc>
          <w:tcPr>
            <w:tcW w:w="38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一汽丰田汽车销售有限公司</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93,237,167.06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sz w:val="18"/>
              </w:rPr>
              <w:t>4</w:t>
            </w:r>
          </w:p>
        </w:tc>
        <w:tc>
          <w:tcPr>
            <w:tcW w:w="38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北京达佳互联信息技术有限公司</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77,215,925.24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sz w:val="18"/>
              </w:rPr>
              <w:t>5</w:t>
            </w:r>
          </w:p>
        </w:tc>
        <w:tc>
          <w:tcPr>
            <w:tcW w:w="38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77,057,449.78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2.04%</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sz w:val="18"/>
              </w:rPr>
              <w:t>--</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799,053,784.14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21.11%</w:t>
            </w:r>
          </w:p>
        </w:tc>
      </w:tr>
    </w:tbl>
    <w:p>
      <w:pPr>
        <w:spacing w:line="240" w:lineRule="auto" w:before="12"/>
        <w:rPr>
          <w:rFonts w:ascii="宋体" w:hAnsi="宋体" w:cs="宋体" w:eastAsia="宋体" w:hint="default"/>
          <w:sz w:val="10"/>
          <w:szCs w:val="10"/>
        </w:rPr>
      </w:pPr>
    </w:p>
    <w:p>
      <w:pPr>
        <w:pStyle w:val="BodyText"/>
        <w:spacing w:line="240" w:lineRule="auto" w:before="35"/>
        <w:ind w:right="0"/>
        <w:jc w:val="left"/>
      </w:pPr>
      <w:r>
        <w:rPr/>
        <w:t>主要客户其他情况说明</w:t>
      </w:r>
    </w:p>
    <w:p>
      <w:pPr>
        <w:spacing w:line="240" w:lineRule="auto" w:before="9"/>
        <w:rPr>
          <w:rFonts w:ascii="宋体" w:hAnsi="宋体" w:cs="宋体" w:eastAsia="宋体" w:hint="default"/>
          <w:sz w:val="18"/>
          <w:szCs w:val="18"/>
        </w:rPr>
      </w:pPr>
    </w:p>
    <w:p>
      <w:pPr>
        <w:pStyle w:val="BodyText"/>
        <w:spacing w:line="456" w:lineRule="auto"/>
        <w:ind w:right="8862"/>
        <w:jc w:val="left"/>
      </w:pPr>
      <w:r>
        <w:rPr/>
        <w:pict>
          <v:shape style="position:absolute;margin-left:56.459999pt;margin-top:45.103661pt;width:479.2pt;height:60.8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78"/>
                    <w:gridCol w:w="489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652,926,868.71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p>
              </w:txbxContent>
            </v:textbox>
            <w10:wrap type="none"/>
          </v:shape>
        </w:pict>
      </w:r>
      <w:r>
        <w:rPr/>
        <w:t>□ 适用 √</w:t>
      </w:r>
      <w:r>
        <w:rPr>
          <w:spacing w:val="-1"/>
        </w:rPr>
        <w:t> </w:t>
      </w:r>
      <w:r>
        <w:rPr/>
        <w:t>不适用</w:t>
      </w:r>
      <w:r>
        <w:rPr/>
        <w:t> 公司主要供应商情况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35"/>
        <w:ind w:right="0"/>
        <w:jc w:val="left"/>
      </w:pPr>
      <w:r>
        <w:rPr/>
        <w:t>公司前</w:t>
      </w:r>
      <w:r>
        <w:rPr>
          <w:spacing w:val="-53"/>
        </w:rPr>
        <w:t> </w:t>
      </w:r>
      <w:r>
        <w:rPr>
          <w:rFonts w:ascii="宋体" w:hAnsi="宋体" w:cs="宋体" w:eastAsia="宋体" w:hint="default"/>
        </w:rPr>
        <w:t>5</w:t>
      </w:r>
      <w:r>
        <w:rPr>
          <w:rFonts w:ascii="宋体" w:hAnsi="宋体" w:cs="宋体" w:eastAsia="宋体" w:hint="default"/>
          <w:spacing w:val="-53"/>
        </w:rPr>
        <w:t> </w:t>
      </w:r>
      <w:r>
        <w:rPr/>
        <w:t>名供应商资料</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12"/>
        <w:gridCol w:w="3755"/>
        <w:gridCol w:w="2553"/>
        <w:gridCol w:w="2338"/>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1</w:t>
            </w:r>
          </w:p>
        </w:tc>
        <w:tc>
          <w:tcPr>
            <w:tcW w:w="3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深圳证券时报社有限公司</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293,198,651.60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黑体" w:hAnsi="黑体" w:cs="黑体" w:eastAsia="黑体" w:hint="default"/>
                <w:sz w:val="18"/>
                <w:szCs w:val="18"/>
              </w:rPr>
            </w:pPr>
            <w:r>
              <w:rPr>
                <w:rFonts w:ascii="黑体"/>
                <w:b/>
                <w:w w:val="95"/>
                <w:sz w:val="18"/>
              </w:rPr>
              <w:t>10.29%</w:t>
            </w:r>
            <w:r>
              <w:rPr>
                <w:rFonts w:ascii="黑体"/>
                <w:sz w:val="18"/>
              </w:rPr>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2</w:t>
            </w:r>
          </w:p>
        </w:tc>
        <w:tc>
          <w:tcPr>
            <w:tcW w:w="3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微众梦想科技（北京）有限公司</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109,624,475.10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黑体" w:hAnsi="黑体" w:cs="黑体" w:eastAsia="黑体" w:hint="default"/>
                <w:sz w:val="18"/>
                <w:szCs w:val="18"/>
              </w:rPr>
            </w:pPr>
            <w:r>
              <w:rPr>
                <w:rFonts w:ascii="黑体"/>
                <w:b/>
                <w:w w:val="95"/>
                <w:sz w:val="18"/>
              </w:rPr>
              <w:t>3.85%</w:t>
            </w:r>
            <w:r>
              <w:rPr>
                <w:rFonts w:ascii="黑体"/>
                <w:sz w:val="18"/>
              </w:rPr>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3</w:t>
            </w:r>
          </w:p>
        </w:tc>
        <w:tc>
          <w:tcPr>
            <w:tcW w:w="3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上海车享家汽车科技服务有限公司</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91,583,956.36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黑体" w:hAnsi="黑体" w:cs="黑体" w:eastAsia="黑体" w:hint="default"/>
                <w:sz w:val="18"/>
                <w:szCs w:val="18"/>
              </w:rPr>
            </w:pPr>
            <w:r>
              <w:rPr>
                <w:rFonts w:ascii="黑体"/>
                <w:b/>
                <w:w w:val="95"/>
                <w:sz w:val="18"/>
              </w:rPr>
              <w:t>3.22%</w:t>
            </w:r>
            <w:r>
              <w:rPr>
                <w:rFonts w:ascii="黑体"/>
                <w:sz w:val="18"/>
              </w:rPr>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4</w:t>
            </w:r>
          </w:p>
        </w:tc>
        <w:tc>
          <w:tcPr>
            <w:tcW w:w="3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上海蓝韵广告有限公司</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80,831,106.17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黑体" w:hAnsi="黑体" w:cs="黑体" w:eastAsia="黑体" w:hint="default"/>
                <w:sz w:val="18"/>
                <w:szCs w:val="18"/>
              </w:rPr>
            </w:pPr>
            <w:r>
              <w:rPr>
                <w:rFonts w:ascii="黑体"/>
                <w:b/>
                <w:w w:val="95"/>
                <w:sz w:val="18"/>
              </w:rPr>
              <w:t>2.84%</w:t>
            </w:r>
            <w:r>
              <w:rPr>
                <w:rFonts w:ascii="黑体"/>
                <w:sz w:val="18"/>
              </w:rPr>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5</w:t>
            </w:r>
          </w:p>
        </w:tc>
        <w:tc>
          <w:tcPr>
            <w:tcW w:w="3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77,688,679.48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黑体" w:hAnsi="黑体" w:cs="黑体" w:eastAsia="黑体" w:hint="default"/>
                <w:sz w:val="18"/>
                <w:szCs w:val="18"/>
              </w:rPr>
            </w:pPr>
            <w:r>
              <w:rPr>
                <w:rFonts w:ascii="黑体"/>
                <w:b/>
                <w:w w:val="95"/>
                <w:sz w:val="18"/>
              </w:rPr>
              <w:t>2.73%</w:t>
            </w:r>
            <w:r>
              <w:rPr>
                <w:rFonts w:ascii="黑体"/>
                <w:sz w:val="18"/>
              </w:rPr>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sz w:val="18"/>
              </w:rPr>
              <w:t>--</w:t>
            </w:r>
          </w:p>
        </w:tc>
        <w:tc>
          <w:tcPr>
            <w:tcW w:w="25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652,926,868.71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22.92%</w:t>
            </w:r>
          </w:p>
        </w:tc>
      </w:tr>
    </w:tbl>
    <w:p>
      <w:pPr>
        <w:spacing w:line="240" w:lineRule="auto" w:before="12"/>
        <w:rPr>
          <w:rFonts w:ascii="宋体" w:hAnsi="宋体" w:cs="宋体" w:eastAsia="宋体" w:hint="default"/>
          <w:sz w:val="10"/>
          <w:szCs w:val="10"/>
        </w:rPr>
      </w:pPr>
    </w:p>
    <w:p>
      <w:pPr>
        <w:pStyle w:val="BodyText"/>
        <w:spacing w:line="240" w:lineRule="auto" w:before="35"/>
        <w:ind w:right="0"/>
        <w:jc w:val="left"/>
      </w:pPr>
      <w:r>
        <w:rPr/>
        <w:t>主要供应商其他情况说明</w:t>
      </w:r>
    </w:p>
    <w:p>
      <w:pPr>
        <w:spacing w:line="240" w:lineRule="auto" w:before="11"/>
        <w:rPr>
          <w:rFonts w:ascii="宋体" w:hAnsi="宋体" w:cs="宋体" w:eastAsia="宋体" w:hint="default"/>
          <w:sz w:val="18"/>
          <w:szCs w:val="18"/>
        </w:rPr>
      </w:pPr>
    </w:p>
    <w:p>
      <w:pPr>
        <w:pStyle w:val="BodyText"/>
        <w:spacing w:line="240" w:lineRule="auto"/>
        <w:ind w:right="0"/>
        <w:jc w:val="left"/>
      </w:pPr>
      <w:r>
        <w:rPr/>
        <w:t>□ 适用 √</w:t>
      </w:r>
      <w:r>
        <w:rPr>
          <w:spacing w:val="-1"/>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费用" w:id="36"/>
      <w:bookmarkEnd w:id="36"/>
      <w:r>
        <w:rPr>
          <w:b w:val="0"/>
          <w:bCs w:val="0"/>
        </w:rPr>
      </w:r>
      <w:r>
        <w:rPr>
          <w:rFonts w:ascii="宋体" w:hAnsi="宋体" w:cs="宋体" w:eastAsia="宋体" w:hint="default"/>
        </w:rPr>
        <w:t>3</w:t>
      </w:r>
      <w:r>
        <w:rPr/>
        <w:t>、费用</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049"/>
        <w:gridCol w:w="3330"/>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8"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408,646,650.33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427,781,843.33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-4.47%</w:t>
            </w:r>
          </w:p>
        </w:tc>
        <w:tc>
          <w:tcPr>
            <w:tcW w:w="33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364,060,119.90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361,991,369.76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0.57%</w:t>
            </w:r>
          </w:p>
        </w:tc>
        <w:tc>
          <w:tcPr>
            <w:tcW w:w="33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188,862,173.99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100,118,580.15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88.64%</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主要是本期支付借款利息增加等所致</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62,481,034.76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15,572,177.30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301.24%</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主要是本期车音智能纳入合并增加等所致</w:t>
            </w:r>
          </w:p>
        </w:tc>
      </w:tr>
    </w:tbl>
    <w:p>
      <w:pPr>
        <w:spacing w:line="240" w:lineRule="auto" w:before="2"/>
        <w:rPr>
          <w:rFonts w:ascii="宋体" w:hAnsi="宋体" w:cs="宋体" w:eastAsia="宋体" w:hint="default"/>
          <w:sz w:val="19"/>
          <w:szCs w:val="19"/>
        </w:rPr>
      </w:pPr>
    </w:p>
    <w:p>
      <w:pPr>
        <w:pStyle w:val="Heading4"/>
        <w:spacing w:line="240" w:lineRule="auto" w:before="35"/>
        <w:ind w:right="0"/>
        <w:jc w:val="both"/>
        <w:rPr>
          <w:b w:val="0"/>
          <w:bCs w:val="0"/>
        </w:rPr>
      </w:pPr>
      <w:bookmarkStart w:name="4、研发投入" w:id="37"/>
      <w:bookmarkEnd w:id="37"/>
      <w:r>
        <w:rPr>
          <w:b w:val="0"/>
          <w:bCs w:val="0"/>
        </w:rPr>
      </w:r>
      <w:r>
        <w:rPr>
          <w:rFonts w:ascii="宋体" w:hAnsi="宋体" w:cs="宋体" w:eastAsia="宋体" w:hint="default"/>
        </w:rPr>
        <w:t>4</w:t>
      </w:r>
      <w:r>
        <w:rPr/>
        <w:t>、研发投入</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53" w:lineRule="auto"/>
        <w:ind w:left="574" w:right="1302" w:hanging="420"/>
        <w:jc w:val="left"/>
      </w:pPr>
      <w:r>
        <w:rPr/>
        <w:t>√ 适用 □</w:t>
      </w:r>
      <w:r>
        <w:rPr>
          <w:spacing w:val="-1"/>
        </w:rPr>
        <w:t> </w:t>
      </w:r>
      <w:r>
        <w:rPr/>
        <w:t>不适用</w:t>
      </w:r>
      <w:r>
        <w:rPr/>
        <w:t> 报告期内，掌视亿通重新申请获得了</w:t>
      </w:r>
      <w:r>
        <w:rPr>
          <w:rFonts w:ascii="宋体" w:hAnsi="宋体" w:cs="宋体" w:eastAsia="宋体" w:hint="default"/>
        </w:rPr>
        <w:t>2017</w:t>
      </w:r>
      <w:r>
        <w:rPr/>
        <w:t>年度软件企业资质并享受相应企业所得税优惠政策，完成</w:t>
      </w:r>
    </w:p>
    <w:p>
      <w:pPr>
        <w:pStyle w:val="BodyText"/>
        <w:spacing w:line="420" w:lineRule="auto" w:before="18"/>
        <w:ind w:right="1130"/>
        <w:jc w:val="both"/>
      </w:pPr>
      <w:r>
        <w:rPr>
          <w:spacing w:val="-1"/>
        </w:rPr>
        <w:t>“网络文化经营许可证”资质备案，完成“中华人民共和国增值电信业务经营许可证”备案。截至</w:t>
      </w:r>
      <w:r>
        <w:rPr>
          <w:rFonts w:ascii="宋体" w:hAnsi="宋体" w:cs="宋体" w:eastAsia="宋体" w:hint="default"/>
          <w:spacing w:val="-1"/>
        </w:rPr>
        <w:t>2018</w:t>
      </w:r>
      <w:r>
        <w:rPr>
          <w:spacing w:val="-1"/>
        </w:rPr>
        <w:t>年</w:t>
      </w:r>
      <w:r>
        <w:rPr>
          <w:spacing w:val="-80"/>
        </w:rPr>
        <w:t> </w:t>
      </w:r>
      <w:r>
        <w:rPr>
          <w:rFonts w:ascii="宋体" w:hAnsi="宋体" w:cs="宋体" w:eastAsia="宋体" w:hint="default"/>
          <w:spacing w:val="-1"/>
        </w:rPr>
        <w:t>12</w:t>
      </w:r>
      <w:r>
        <w:rPr>
          <w:spacing w:val="-1"/>
        </w:rPr>
        <w:t>月底，累计获得软件产品证</w:t>
      </w:r>
      <w:r>
        <w:rPr>
          <w:rFonts w:ascii="宋体" w:hAnsi="宋体" w:cs="宋体" w:eastAsia="宋体" w:hint="default"/>
          <w:spacing w:val="-1"/>
        </w:rPr>
        <w:t>28</w:t>
      </w:r>
      <w:r>
        <w:rPr>
          <w:spacing w:val="-1"/>
        </w:rPr>
        <w:t>项，软件著作权证</w:t>
      </w:r>
      <w:r>
        <w:rPr>
          <w:rFonts w:ascii="宋体" w:hAnsi="宋体" w:cs="宋体" w:eastAsia="宋体" w:hint="default"/>
          <w:spacing w:val="-1"/>
        </w:rPr>
        <w:t>32</w:t>
      </w:r>
      <w:r>
        <w:rPr>
          <w:spacing w:val="-1"/>
        </w:rPr>
        <w:t>项，发明专利权证</w:t>
      </w:r>
      <w:r>
        <w:rPr>
          <w:rFonts w:ascii="宋体" w:hAnsi="宋体" w:cs="宋体" w:eastAsia="宋体" w:hint="default"/>
          <w:spacing w:val="-1"/>
        </w:rPr>
        <w:t>1</w:t>
      </w:r>
      <w:r>
        <w:rPr>
          <w:spacing w:val="-1"/>
        </w:rPr>
        <w:t>项，其他行业资质许可证</w:t>
      </w:r>
      <w:r>
        <w:rPr>
          <w:rFonts w:ascii="宋体" w:hAnsi="宋体" w:cs="宋体" w:eastAsia="宋体" w:hint="default"/>
          <w:spacing w:val="-1"/>
        </w:rPr>
        <w:t>5</w:t>
      </w:r>
      <w:r>
        <w:rPr>
          <w:spacing w:val="-1"/>
        </w:rPr>
        <w:t>项（分</w:t>
      </w:r>
      <w:r>
        <w:rPr>
          <w:spacing w:val="-86"/>
        </w:rPr>
        <w:t> </w:t>
      </w:r>
      <w:r>
        <w:rPr>
          <w:spacing w:val="-86"/>
        </w:rPr>
      </w:r>
      <w:r>
        <w:rPr>
          <w:spacing w:val="-1"/>
        </w:rPr>
        <w:t>别为软件企业、高新技术企业、网络文化经营许可、广播电视节目制作经营许可、中华人民共和国增值电</w:t>
      </w:r>
      <w:r>
        <w:rPr>
          <w:spacing w:val="-86"/>
        </w:rPr>
        <w:t> </w:t>
      </w:r>
      <w:r>
        <w:rPr>
          <w:spacing w:val="-86"/>
        </w:rPr>
      </w:r>
      <w:r>
        <w:rPr/>
        <w:t>信业务经营许可证）。</w:t>
      </w:r>
    </w:p>
    <w:p>
      <w:pPr>
        <w:pStyle w:val="BodyText"/>
        <w:spacing w:line="420" w:lineRule="auto" w:before="48"/>
        <w:ind w:right="1197" w:firstLine="420"/>
        <w:jc w:val="left"/>
      </w:pPr>
      <w:r>
        <w:rPr/>
        <w:t>报告期内，国广华屏研发的项目有</w:t>
      </w:r>
      <w:r>
        <w:rPr>
          <w:rFonts w:ascii="宋体" w:hAnsi="宋体" w:cs="宋体" w:eastAsia="宋体" w:hint="default"/>
        </w:rPr>
        <w:t>3</w:t>
      </w:r>
      <w:r>
        <w:rPr/>
        <w:t>个，完成了新一代华屏网关服务器产品的研发并投入运营使用， 完成了电视盒子产品的一期研发工作，完成了业务展示及播控系统的全新改造并已部署上线稳定运行。</w:t>
      </w:r>
    </w:p>
    <w:p>
      <w:pPr>
        <w:pStyle w:val="BodyText"/>
        <w:spacing w:line="420" w:lineRule="auto" w:before="47"/>
        <w:ind w:right="1092" w:firstLine="420"/>
        <w:jc w:val="left"/>
      </w:pPr>
      <w:r>
        <w:rPr/>
        <w:t>报告期内，车音智能技术中心围绕基本智能语音技术、智能硬件技术，形成智能呼叫中心系列产品、 车载智能硬件系列产品和语音</w:t>
      </w:r>
      <w:r>
        <w:rPr>
          <w:rFonts w:ascii="宋体" w:hAnsi="宋体" w:cs="宋体" w:eastAsia="宋体" w:hint="default"/>
        </w:rPr>
        <w:t>SDK</w:t>
      </w:r>
      <w:r>
        <w:rPr/>
        <w:t>产品三大类产品，完成</w:t>
      </w:r>
      <w:r>
        <w:rPr>
          <w:rFonts w:ascii="宋体" w:hAnsi="宋体" w:cs="宋体" w:eastAsia="宋体" w:hint="default"/>
        </w:rPr>
        <w:t>20</w:t>
      </w:r>
      <w:r>
        <w:rPr/>
        <w:t>项研究课题，如大众声纹项目支持、声纹识别 </w:t>
      </w:r>
      <w:r>
        <w:rPr>
          <w:rFonts w:ascii="宋体" w:hAnsi="宋体" w:cs="宋体" w:eastAsia="宋体" w:hint="default"/>
        </w:rPr>
        <w:t>SDK</w:t>
      </w:r>
      <w:r>
        <w:rPr/>
        <w:t>开发、语音合成引擎开发和模型训练、语音识别</w:t>
      </w:r>
      <w:r>
        <w:rPr>
          <w:rFonts w:ascii="宋体" w:hAnsi="宋体" w:cs="宋体" w:eastAsia="宋体" w:hint="default"/>
        </w:rPr>
        <w:t>SDK</w:t>
      </w:r>
      <w:r>
        <w:rPr/>
        <w:t>开发等研究。车音智能共获得专利权证</w:t>
      </w:r>
      <w:r>
        <w:rPr>
          <w:rFonts w:ascii="宋体" w:hAnsi="宋体" w:cs="宋体" w:eastAsia="宋体" w:hint="default"/>
        </w:rPr>
        <w:t>115</w:t>
      </w:r>
      <w:r>
        <w:rPr/>
        <w:t>项，软 件著作权证</w:t>
      </w:r>
      <w:r>
        <w:rPr>
          <w:rFonts w:ascii="宋体" w:hAnsi="宋体" w:cs="宋体" w:eastAsia="宋体" w:hint="default"/>
        </w:rPr>
        <w:t>41</w:t>
      </w:r>
      <w:r>
        <w:rPr/>
        <w:t>项，其中</w:t>
      </w:r>
      <w:r>
        <w:rPr>
          <w:rFonts w:ascii="宋体" w:hAnsi="宋体" w:cs="宋体" w:eastAsia="宋体" w:hint="default"/>
        </w:rPr>
        <w:t>2018</w:t>
      </w:r>
      <w:r>
        <w:rPr/>
        <w:t>年获得软件著作权证</w:t>
      </w:r>
      <w:r>
        <w:rPr>
          <w:rFonts w:ascii="宋体" w:hAnsi="宋体" w:cs="宋体" w:eastAsia="宋体" w:hint="default"/>
        </w:rPr>
        <w:t>8</w:t>
      </w:r>
      <w:r>
        <w:rPr/>
        <w:t>项，专利权证</w:t>
      </w:r>
      <w:r>
        <w:rPr>
          <w:rFonts w:ascii="宋体" w:hAnsi="宋体" w:cs="宋体" w:eastAsia="宋体" w:hint="default"/>
        </w:rPr>
        <w:t>8</w:t>
      </w:r>
      <w:r>
        <w:rPr/>
        <w:t>项。</w:t>
      </w:r>
    </w:p>
    <w:p>
      <w:pPr>
        <w:pStyle w:val="BodyText"/>
        <w:spacing w:line="420" w:lineRule="auto" w:before="47"/>
        <w:ind w:right="0" w:firstLine="420"/>
        <w:jc w:val="left"/>
      </w:pPr>
      <w:r>
        <w:rPr/>
        <w:t>报告期内，麦游互动研发的</w:t>
      </w:r>
      <w:r>
        <w:rPr>
          <w:rFonts w:ascii="宋体" w:hAnsi="宋体" w:cs="宋体" w:eastAsia="宋体" w:hint="default"/>
        </w:rPr>
        <w:t>APP</w:t>
      </w:r>
      <w:r>
        <w:rPr/>
        <w:t>及</w:t>
      </w:r>
      <w:r>
        <w:rPr>
          <w:rFonts w:ascii="宋体" w:hAnsi="宋体" w:cs="宋体" w:eastAsia="宋体" w:hint="default"/>
        </w:rPr>
        <w:t>H5</w:t>
      </w:r>
      <w:r>
        <w:rPr/>
        <w:t>游戏项目有</w:t>
      </w:r>
      <w:r>
        <w:rPr>
          <w:rFonts w:ascii="宋体" w:hAnsi="宋体" w:cs="宋体" w:eastAsia="宋体" w:hint="default"/>
        </w:rPr>
        <w:t>15</w:t>
      </w:r>
      <w:r>
        <w:rPr/>
        <w:t>个，各项目进展顺利并取得相应成果，如《开心斗 </w:t>
      </w:r>
      <w:r>
        <w:rPr>
          <w:spacing w:val="-1"/>
        </w:rPr>
        <w:t>地主大奖赛》《麦游千炮捕鱼》《麦游梦幻捕鱼》等</w:t>
      </w:r>
      <w:r>
        <w:rPr>
          <w:rFonts w:ascii="宋体" w:hAnsi="宋体" w:cs="宋体" w:eastAsia="宋体" w:hint="default"/>
          <w:spacing w:val="-1"/>
        </w:rPr>
        <w:t>APP</w:t>
      </w:r>
      <w:r>
        <w:rPr>
          <w:spacing w:val="-1"/>
        </w:rPr>
        <w:t>及《全民射一射》《极速老司机》《我要当维秘》</w:t>
      </w:r>
    </w:p>
    <w:p>
      <w:pPr>
        <w:pStyle w:val="BodyText"/>
        <w:spacing w:line="453" w:lineRule="auto" w:before="47"/>
        <w:ind w:right="3402"/>
        <w:jc w:val="left"/>
      </w:pPr>
      <w:r>
        <w:rPr/>
        <w:pict>
          <v:shape style="position:absolute;margin-left:57.029999pt;margin-top:47.433685pt;width:478.6pt;height:101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96"/>
                    <w:gridCol w:w="2138"/>
                    <w:gridCol w:w="2268"/>
                    <w:gridCol w:w="2054"/>
                  </w:tblGrid>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62"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79.75%</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8.12%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3.55%</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62,481,034.76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15,572,177.30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301.24%</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0.46%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w:t>
                        </w:r>
                      </w:p>
                    </w:tc>
                  </w:tr>
                </w:tbl>
                <w:p>
                  <w:pPr/>
                </w:p>
              </w:txbxContent>
            </v:textbox>
            <w10:wrap type="none"/>
          </v:shape>
        </w:pict>
      </w:r>
      <w:r>
        <w:rPr/>
        <w:t>《全民三国农场》等</w:t>
      </w:r>
      <w:r>
        <w:rPr>
          <w:rFonts w:ascii="宋体" w:hAnsi="宋体" w:cs="宋体" w:eastAsia="宋体" w:hint="default"/>
        </w:rPr>
        <w:t>H5</w:t>
      </w:r>
      <w:r>
        <w:rPr/>
        <w:t>小游戏，其中</w:t>
      </w:r>
      <w:r>
        <w:rPr>
          <w:rFonts w:ascii="宋体" w:hAnsi="宋体" w:cs="宋体" w:eastAsia="宋体" w:hint="default"/>
        </w:rPr>
        <w:t>12</w:t>
      </w:r>
      <w:r>
        <w:rPr/>
        <w:t>个已经取得软件计算机著作权登记证书。 公司研发投入情况</w:t>
      </w:r>
    </w:p>
    <w:p>
      <w:pPr>
        <w:spacing w:after="0" w:line="453"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08"/>
        <w:gridCol w:w="2138"/>
        <w:gridCol w:w="2268"/>
        <w:gridCol w:w="2054"/>
      </w:tblGrid>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851,618.56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13,204,410.78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-93.55%</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84.79%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-83.43%</w:t>
            </w:r>
          </w:p>
        </w:tc>
      </w:tr>
    </w:tbl>
    <w:p>
      <w:pPr>
        <w:spacing w:line="240" w:lineRule="auto" w:before="12"/>
        <w:rPr>
          <w:rFonts w:ascii="宋体" w:hAnsi="宋体" w:cs="宋体" w:eastAsia="宋体" w:hint="default"/>
          <w:sz w:val="10"/>
          <w:szCs w:val="10"/>
        </w:rPr>
      </w:pPr>
    </w:p>
    <w:p>
      <w:pPr>
        <w:pStyle w:val="BodyText"/>
        <w:spacing w:line="240" w:lineRule="auto" w:before="35"/>
        <w:ind w:right="0"/>
        <w:jc w:val="left"/>
      </w:pPr>
      <w:r>
        <w:rPr/>
        <w:t>研发投入总额占营业收入的比重较上年发生显著变化的原因</w:t>
      </w:r>
    </w:p>
    <w:p>
      <w:pPr>
        <w:spacing w:line="240" w:lineRule="auto" w:before="11"/>
        <w:rPr>
          <w:rFonts w:ascii="宋体" w:hAnsi="宋体" w:cs="宋体" w:eastAsia="宋体" w:hint="default"/>
          <w:sz w:val="18"/>
          <w:szCs w:val="18"/>
        </w:rPr>
      </w:pPr>
    </w:p>
    <w:p>
      <w:pPr>
        <w:pStyle w:val="BodyText"/>
        <w:spacing w:line="453" w:lineRule="auto"/>
        <w:ind w:right="6132"/>
        <w:jc w:val="left"/>
      </w:pPr>
      <w:r>
        <w:rPr/>
        <w:t>□ 适用 √</w:t>
      </w:r>
      <w:r>
        <w:rPr>
          <w:spacing w:val="-1"/>
        </w:rPr>
        <w:t> </w:t>
      </w:r>
      <w:r>
        <w:rPr/>
        <w:t>不适用</w:t>
      </w:r>
      <w:r>
        <w:rPr/>
        <w:t> 研发投入资本化率大幅变动的原因及其合理性说明</w:t>
      </w:r>
    </w:p>
    <w:p>
      <w:pPr>
        <w:pStyle w:val="BodyText"/>
        <w:spacing w:line="453" w:lineRule="auto" w:before="59"/>
        <w:ind w:left="574" w:right="1302" w:hanging="420"/>
        <w:jc w:val="left"/>
      </w:pPr>
      <w:r>
        <w:rPr/>
        <w:t>√ 适用 □</w:t>
      </w:r>
      <w:r>
        <w:rPr>
          <w:spacing w:val="-1"/>
        </w:rPr>
        <w:t> </w:t>
      </w:r>
      <w:r>
        <w:rPr/>
        <w:t>不适用</w:t>
      </w:r>
      <w:r>
        <w:rPr/>
        <w:t> 主要是本期澄怀科技研发支出资本化金额减少且本期车音智能纳入合并增加研发投入但无资本化所</w:t>
      </w:r>
    </w:p>
    <w:p>
      <w:pPr>
        <w:spacing w:line="547" w:lineRule="auto" w:before="18"/>
        <w:ind w:left="154" w:right="9803" w:firstLine="0"/>
        <w:jc w:val="left"/>
        <w:rPr>
          <w:rFonts w:ascii="宋体" w:hAnsi="宋体" w:cs="宋体" w:eastAsia="宋体" w:hint="default"/>
          <w:sz w:val="21"/>
          <w:szCs w:val="21"/>
        </w:rPr>
      </w:pPr>
      <w:r>
        <w:rPr>
          <w:rFonts w:ascii="宋体" w:hAnsi="宋体" w:cs="宋体" w:eastAsia="宋体" w:hint="default"/>
          <w:sz w:val="21"/>
          <w:szCs w:val="21"/>
        </w:rPr>
        <w:t>致。 </w:t>
      </w:r>
      <w:bookmarkStart w:name="5、现金流" w:id="38"/>
      <w:bookmarkEnd w:id="38"/>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before="9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4"/>
        <w:gridCol w:w="2422"/>
        <w:gridCol w:w="2411"/>
        <w:gridCol w:w="1770"/>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4,135,114,082.17</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4,627,668,729.57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-10.64%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4,496,534,833.98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3,969,803,967.11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13.27%</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-361,420,751.81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657,864,762.46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-154.94%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4,334,573,000.31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6,643,145,057.65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-34.75%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6,820,240,495.86</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9,623,732,098.37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-29.13%</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-2,485,667,495.55</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-2,980,587,040.72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16.60%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2,293,330,000.00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2,969,448,300.00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-22.77%</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1,311,535,277.81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532,888,962.83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146.12%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981,794,722.19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2,436,559,337.17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-59.71%</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-1,865,524,581.90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113,834,362.69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-1,738.81%</w:t>
            </w:r>
          </w:p>
        </w:tc>
      </w:tr>
    </w:tbl>
    <w:p>
      <w:pPr>
        <w:spacing w:line="240" w:lineRule="auto" w:before="12"/>
        <w:rPr>
          <w:rFonts w:ascii="宋体" w:hAnsi="宋体" w:cs="宋体" w:eastAsia="宋体" w:hint="default"/>
          <w:sz w:val="10"/>
          <w:szCs w:val="10"/>
        </w:rPr>
      </w:pPr>
    </w:p>
    <w:p>
      <w:pPr>
        <w:pStyle w:val="BodyText"/>
        <w:spacing w:line="240" w:lineRule="auto" w:before="35"/>
        <w:ind w:right="0"/>
        <w:jc w:val="left"/>
      </w:pPr>
      <w:r>
        <w:rPr/>
        <w:t>相关数据同比发生重大变动的主要影响因素说明</w:t>
      </w:r>
    </w:p>
    <w:p>
      <w:pPr>
        <w:spacing w:line="240" w:lineRule="auto" w:before="9"/>
        <w:rPr>
          <w:rFonts w:ascii="宋体" w:hAnsi="宋体" w:cs="宋体" w:eastAsia="宋体" w:hint="default"/>
          <w:sz w:val="18"/>
          <w:szCs w:val="18"/>
        </w:rPr>
      </w:pPr>
    </w:p>
    <w:p>
      <w:pPr>
        <w:pStyle w:val="BodyText"/>
        <w:spacing w:line="240" w:lineRule="auto"/>
        <w:ind w:right="0"/>
        <w:jc w:val="left"/>
      </w:pPr>
      <w:r>
        <w:rPr/>
        <w:t>√ 适用 □</w:t>
      </w:r>
      <w:r>
        <w:rPr>
          <w:spacing w:val="-1"/>
        </w:rPr>
        <w:t> </w:t>
      </w:r>
      <w:r>
        <w:rPr/>
        <w:t>不适用</w:t>
      </w:r>
    </w:p>
    <w:p>
      <w:pPr>
        <w:spacing w:line="240" w:lineRule="auto" w:before="4"/>
        <w:rPr>
          <w:rFonts w:ascii="宋体" w:hAnsi="宋体" w:cs="宋体" w:eastAsia="宋体" w:hint="default"/>
          <w:sz w:val="16"/>
          <w:szCs w:val="16"/>
        </w:rPr>
      </w:pPr>
    </w:p>
    <w:p>
      <w:pPr>
        <w:pStyle w:val="BodyText"/>
        <w:spacing w:line="384" w:lineRule="auto"/>
        <w:ind w:right="1145" w:firstLine="420"/>
        <w:jc w:val="left"/>
      </w:pPr>
      <w:r>
        <w:rPr/>
        <w:t>经营活动产生的现金流量净额同比减少</w:t>
      </w:r>
      <w:r>
        <w:rPr>
          <w:spacing w:val="-53"/>
        </w:rPr>
        <w:t> </w:t>
      </w:r>
      <w:r>
        <w:rPr>
          <w:rFonts w:ascii="宋体" w:hAnsi="宋体" w:cs="宋体" w:eastAsia="宋体" w:hint="default"/>
        </w:rPr>
        <w:t>154.94%</w:t>
      </w:r>
      <w:r>
        <w:rPr/>
        <w:t>，主要为本期销售商品、提供劳务收到的现金较上期 减少等所致。</w:t>
      </w:r>
    </w:p>
    <w:p>
      <w:pPr>
        <w:pStyle w:val="BodyText"/>
        <w:spacing w:line="386" w:lineRule="auto" w:before="78"/>
        <w:ind w:right="1119" w:firstLine="420"/>
        <w:jc w:val="left"/>
      </w:pPr>
      <w:r>
        <w:rPr/>
        <w:t>投资活动现金流入小计同比减少</w:t>
      </w:r>
      <w:r>
        <w:rPr>
          <w:spacing w:val="-33"/>
        </w:rPr>
        <w:t> </w:t>
      </w:r>
      <w:r>
        <w:rPr>
          <w:rFonts w:ascii="宋体" w:hAnsi="宋体" w:cs="宋体" w:eastAsia="宋体" w:hint="default"/>
          <w:spacing w:val="-3"/>
        </w:rPr>
        <w:t>34.75%</w:t>
      </w:r>
      <w:r>
        <w:rPr>
          <w:spacing w:val="-3"/>
        </w:rPr>
        <w:t>，主要为本期公司本部和子公司处置股权收到的现金和收到的</w:t>
      </w:r>
      <w:r>
        <w:rPr/>
        <w:t> 基金分红减少等所致。</w:t>
      </w:r>
    </w:p>
    <w:p>
      <w:pPr>
        <w:pStyle w:val="BodyText"/>
        <w:spacing w:line="386" w:lineRule="auto" w:before="76"/>
        <w:ind w:right="1145" w:firstLine="420"/>
        <w:jc w:val="left"/>
      </w:pPr>
      <w:r>
        <w:rPr/>
        <w:t>筹资活动现金流出小计同比增加</w:t>
      </w:r>
      <w:r>
        <w:rPr>
          <w:spacing w:val="-53"/>
        </w:rPr>
        <w:t> </w:t>
      </w:r>
      <w:r>
        <w:rPr>
          <w:rFonts w:ascii="宋体" w:hAnsi="宋体" w:cs="宋体" w:eastAsia="宋体" w:hint="default"/>
        </w:rPr>
        <w:t>146.12%</w:t>
      </w:r>
      <w:r>
        <w:rPr/>
        <w:t>，主要为本期公司本部偿还借款及中期票据的本金和利息支 付的现金增加所致。</w:t>
      </w:r>
    </w:p>
    <w:p>
      <w:pPr>
        <w:pStyle w:val="BodyText"/>
        <w:spacing w:line="240" w:lineRule="auto" w:before="76"/>
        <w:ind w:left="574" w:right="0"/>
        <w:jc w:val="left"/>
      </w:pPr>
      <w:r>
        <w:rPr/>
        <w:t>筹资活动产生的现金流量净额同比减少</w:t>
      </w:r>
      <w:r>
        <w:rPr>
          <w:spacing w:val="-37"/>
        </w:rPr>
        <w:t> </w:t>
      </w:r>
      <w:r>
        <w:rPr>
          <w:rFonts w:ascii="宋体" w:hAnsi="宋体" w:cs="宋体" w:eastAsia="宋体" w:hint="default"/>
          <w:spacing w:val="-3"/>
        </w:rPr>
        <w:t>59.71%</w:t>
      </w:r>
      <w:r>
        <w:rPr>
          <w:spacing w:val="-3"/>
        </w:rPr>
        <w:t>，主要为上期山南华闻取得借款和公司本部发行中期票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35"/>
        <w:ind w:right="0"/>
        <w:jc w:val="left"/>
      </w:pPr>
      <w:r>
        <w:rPr/>
        <w:t>据收到现金较本期增加等所致。</w:t>
      </w:r>
    </w:p>
    <w:p>
      <w:pPr>
        <w:spacing w:line="240" w:lineRule="auto" w:before="8"/>
        <w:rPr>
          <w:rFonts w:ascii="宋体" w:hAnsi="宋体" w:cs="宋体" w:eastAsia="宋体" w:hint="default"/>
          <w:sz w:val="15"/>
          <w:szCs w:val="15"/>
        </w:rPr>
      </w:pPr>
    </w:p>
    <w:p>
      <w:pPr>
        <w:pStyle w:val="BodyText"/>
        <w:spacing w:line="403" w:lineRule="auto"/>
        <w:ind w:right="1145" w:firstLine="420"/>
        <w:jc w:val="left"/>
      </w:pPr>
      <w:r>
        <w:rPr/>
        <w:t>现金及现金等价物净增加额同比减少</w:t>
      </w:r>
      <w:r>
        <w:rPr>
          <w:spacing w:val="-53"/>
        </w:rPr>
        <w:t> </w:t>
      </w:r>
      <w:r>
        <w:rPr>
          <w:rFonts w:ascii="宋体" w:hAnsi="宋体" w:cs="宋体" w:eastAsia="宋体" w:hint="default"/>
        </w:rPr>
        <w:t>1,738.81%</w:t>
      </w:r>
      <w:r>
        <w:rPr/>
        <w:t>，主要为本期公司本部取得子公司、偿还借款及中期 票据的本金和利息支付的现金增加所致。 报告期内公司经营活动产生的现金净流量与本年度净利润存在重大差异的原因说明</w:t>
      </w:r>
    </w:p>
    <w:p>
      <w:pPr>
        <w:pStyle w:val="BodyText"/>
        <w:spacing w:line="420" w:lineRule="auto" w:before="62"/>
        <w:ind w:left="574" w:right="4452" w:hanging="420"/>
        <w:jc w:val="left"/>
      </w:pPr>
      <w:r>
        <w:rPr/>
        <w:t>√ 适用 □</w:t>
      </w:r>
      <w:r>
        <w:rPr>
          <w:spacing w:val="-1"/>
        </w:rPr>
        <w:t> </w:t>
      </w:r>
      <w:r>
        <w:rPr/>
        <w:t>不适用</w:t>
      </w:r>
      <w:r>
        <w:rPr/>
        <w:t> 主要是本期计提资产减值损失和联营企业损益调整亏损等所致。</w:t>
      </w:r>
    </w:p>
    <w:p>
      <w:pPr>
        <w:pStyle w:val="Heading2"/>
        <w:spacing w:line="240" w:lineRule="auto" w:before="162"/>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979" w:top="1060" w:bottom="1160" w:left="980" w:right="0"/>
        </w:sectPr>
      </w:pPr>
    </w:p>
    <w:p>
      <w:pPr>
        <w:spacing w:line="240" w:lineRule="auto" w:before="3"/>
        <w:rPr>
          <w:rFonts w:ascii="宋体" w:hAnsi="宋体" w:cs="宋体" w:eastAsia="宋体" w:hint="default"/>
          <w:b/>
          <w:bCs/>
          <w:sz w:val="16"/>
          <w:szCs w:val="16"/>
        </w:rPr>
      </w:pPr>
    </w:p>
    <w:p>
      <w:pPr>
        <w:pStyle w:val="BodyText"/>
        <w:spacing w:line="240" w:lineRule="auto"/>
        <w:ind w:right="-20"/>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35"/>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39" w:space="6980"/>
            <w:col w:w="201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957"/>
        <w:gridCol w:w="4394"/>
        <w:gridCol w:w="779"/>
      </w:tblGrid>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93" w:right="22" w:hanging="271"/>
              <w:jc w:val="left"/>
              <w:rPr>
                <w:rFonts w:ascii="宋体" w:hAnsi="宋体" w:cs="宋体" w:eastAsia="宋体" w:hint="default"/>
                <w:sz w:val="18"/>
                <w:szCs w:val="18"/>
              </w:rPr>
            </w:pPr>
            <w:r>
              <w:rPr>
                <w:rFonts w:ascii="宋体" w:hAnsi="宋体" w:cs="宋体" w:eastAsia="宋体" w:hint="default"/>
                <w:sz w:val="18"/>
                <w:szCs w:val="18"/>
              </w:rPr>
              <w:t>占利润总额 比例</w:t>
            </w:r>
          </w:p>
        </w:tc>
        <w:tc>
          <w:tcPr>
            <w:tcW w:w="43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是否具有 可持续性</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57" w:type="dxa"/>
            <w:vMerge/>
            <w:tcBorders>
              <w:left w:val="single" w:sz="4" w:space="0" w:color="000000"/>
              <w:right w:val="single" w:sz="4" w:space="0" w:color="000000"/>
            </w:tcBorders>
            <w:shd w:val="clear" w:color="auto" w:fill="D2D2D2"/>
          </w:tcPr>
          <w:p>
            <w:pPr/>
          </w:p>
        </w:tc>
        <w:tc>
          <w:tcPr>
            <w:tcW w:w="43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779" w:type="dxa"/>
            <w:vMerge/>
            <w:tcBorders>
              <w:left w:val="single" w:sz="4" w:space="0" w:color="000000"/>
              <w:right w:val="single" w:sz="4" w:space="0" w:color="000000"/>
            </w:tcBorders>
            <w:shd w:val="clear" w:color="auto" w:fill="D2D2D2"/>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7" w:type="dxa"/>
            <w:vMerge/>
            <w:tcBorders>
              <w:left w:val="single" w:sz="4" w:space="0" w:color="000000"/>
              <w:bottom w:val="single" w:sz="4" w:space="0" w:color="000000"/>
              <w:right w:val="single" w:sz="4" w:space="0" w:color="000000"/>
            </w:tcBorders>
            <w:shd w:val="clear" w:color="auto" w:fill="D2D2D2"/>
          </w:tcPr>
          <w:p>
            <w:pPr/>
          </w:p>
        </w:tc>
        <w:tc>
          <w:tcPr>
            <w:tcW w:w="43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-787,369,077.92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16.15%</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主要是本期公司本部确认文旅基金损益调整亏损等所致</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-15,878,649.09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0.33%</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主要是本期子公司持有股票公允价值变动等所致</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6" w:right="0"/>
              <w:jc w:val="left"/>
              <w:rPr>
                <w:rFonts w:ascii="宋体" w:hAnsi="宋体" w:cs="宋体" w:eastAsia="宋体" w:hint="default"/>
                <w:sz w:val="18"/>
                <w:szCs w:val="18"/>
              </w:rPr>
            </w:pPr>
            <w:r>
              <w:rPr>
                <w:rFonts w:ascii="宋体"/>
                <w:sz w:val="18"/>
              </w:rPr>
              <w:t>3,969,039,717.00</w:t>
            </w:r>
          </w:p>
        </w:tc>
        <w:tc>
          <w:tcPr>
            <w:tcW w:w="9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3" w:right="0"/>
              <w:jc w:val="left"/>
              <w:rPr>
                <w:rFonts w:ascii="宋体" w:hAnsi="宋体" w:cs="宋体" w:eastAsia="宋体" w:hint="default"/>
                <w:sz w:val="18"/>
                <w:szCs w:val="18"/>
              </w:rPr>
            </w:pPr>
            <w:r>
              <w:rPr>
                <w:rFonts w:ascii="宋体"/>
                <w:sz w:val="18"/>
              </w:rPr>
              <w:t>-81.39%</w:t>
            </w:r>
          </w:p>
        </w:tc>
        <w:tc>
          <w:tcPr>
            <w:tcW w:w="4394"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39"/>
              <w:jc w:val="both"/>
              <w:rPr>
                <w:rFonts w:ascii="宋体" w:hAnsi="宋体" w:cs="宋体" w:eastAsia="宋体" w:hint="default"/>
                <w:sz w:val="18"/>
                <w:szCs w:val="18"/>
              </w:rPr>
            </w:pPr>
            <w:r>
              <w:rPr>
                <w:rFonts w:ascii="宋体" w:hAnsi="宋体" w:cs="宋体" w:eastAsia="宋体" w:hint="default"/>
                <w:sz w:val="18"/>
                <w:szCs w:val="18"/>
              </w:rPr>
              <w:t>主要是本期公司本部及子公司计提商誉减值准备、可供 出售金融资产减值、长期股权投资减值和坏账准备等所 致</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957" w:type="dxa"/>
            <w:vMerge/>
            <w:tcBorders>
              <w:left w:val="single" w:sz="4" w:space="0" w:color="000000"/>
              <w:right w:val="single" w:sz="4" w:space="0" w:color="000000"/>
            </w:tcBorders>
          </w:tcPr>
          <w:p>
            <w:pPr/>
          </w:p>
        </w:tc>
        <w:tc>
          <w:tcPr>
            <w:tcW w:w="4394"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4394"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26,474,295.22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-0.54%</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主要是本期收到的政府补助、违约金等收入等所致</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24,110,225.48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-0.49%</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主要是本期固定资产报废损失等所致</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5"/>
        <w:rPr>
          <w:rFonts w:ascii="宋体" w:hAnsi="宋体" w:cs="宋体" w:eastAsia="宋体" w:hint="default"/>
          <w:sz w:val="13"/>
          <w:szCs w:val="13"/>
        </w:rPr>
      </w:pPr>
    </w:p>
    <w:p>
      <w:pPr>
        <w:pStyle w:val="Heading2"/>
        <w:spacing w:line="240" w:lineRule="auto"/>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0"/>
        <w:rPr>
          <w:rFonts w:ascii="宋体" w:hAnsi="宋体" w:cs="宋体" w:eastAsia="宋体" w:hint="default"/>
          <w:b/>
          <w:bCs/>
          <w:sz w:val="20"/>
          <w:szCs w:val="20"/>
        </w:rPr>
      </w:pPr>
    </w:p>
    <w:p>
      <w:pPr>
        <w:pStyle w:val="Heading4"/>
        <w:spacing w:line="240" w:lineRule="auto"/>
        <w:ind w:right="0"/>
        <w:jc w:val="left"/>
        <w:rPr>
          <w:b w:val="0"/>
          <w:bCs w:val="0"/>
        </w:rPr>
      </w:pPr>
      <w:bookmarkStart w:name="1、资产构成重大变动情况" w:id="41"/>
      <w:bookmarkEnd w:id="41"/>
      <w:r>
        <w:rPr>
          <w:b w:val="0"/>
          <w:bCs w:val="0"/>
        </w:rPr>
      </w:r>
      <w:r>
        <w:rPr>
          <w:rFonts w:ascii="宋体" w:hAnsi="宋体" w:cs="宋体" w:eastAsia="宋体" w:hint="default"/>
        </w:rPr>
        <w:t>1</w:t>
      </w:r>
      <w:r>
        <w:rPr/>
        <w:t>、资产构成重大变动情况</w:t>
      </w:r>
      <w:r>
        <w:rPr>
          <w:b w:val="0"/>
          <w:bCs w:val="0"/>
        </w:rPr>
      </w:r>
    </w:p>
    <w:p>
      <w:pPr>
        <w:spacing w:line="240" w:lineRule="auto" w:before="9"/>
        <w:rPr>
          <w:rFonts w:ascii="宋体" w:hAnsi="宋体" w:cs="宋体" w:eastAsia="宋体" w:hint="default"/>
          <w:b/>
          <w:bCs/>
          <w:sz w:val="10"/>
          <w:szCs w:val="1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621"/>
        <w:gridCol w:w="1276"/>
        <w:gridCol w:w="1559"/>
        <w:gridCol w:w="1277"/>
        <w:gridCol w:w="1843"/>
        <w:gridCol w:w="780"/>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8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8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03" w:right="24" w:hanging="180"/>
              <w:jc w:val="left"/>
              <w:rPr>
                <w:rFonts w:ascii="宋体" w:hAnsi="宋体" w:cs="宋体" w:eastAsia="宋体" w:hint="default"/>
                <w:sz w:val="18"/>
                <w:szCs w:val="18"/>
              </w:rPr>
            </w:pPr>
            <w:r>
              <w:rPr>
                <w:rFonts w:ascii="宋体" w:hAnsi="宋体" w:cs="宋体" w:eastAsia="宋体" w:hint="default"/>
                <w:sz w:val="18"/>
                <w:szCs w:val="18"/>
              </w:rPr>
              <w:t>重大变动 说明</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2897" w:type="dxa"/>
            <w:gridSpan w:val="2"/>
            <w:vMerge/>
            <w:tcBorders>
              <w:left w:val="single" w:sz="4" w:space="0" w:color="000000"/>
              <w:bottom w:val="single" w:sz="4" w:space="0" w:color="000000"/>
              <w:right w:val="single" w:sz="4" w:space="0" w:color="000000"/>
            </w:tcBorders>
            <w:shd w:val="clear" w:color="auto" w:fill="D2D2D2"/>
          </w:tcPr>
          <w:p>
            <w:pPr/>
          </w:p>
        </w:tc>
        <w:tc>
          <w:tcPr>
            <w:tcW w:w="2836" w:type="dxa"/>
            <w:gridSpan w:val="2"/>
            <w:vMerge/>
            <w:tcBorders>
              <w:left w:val="single" w:sz="4" w:space="0" w:color="000000"/>
              <w:bottom w:val="single" w:sz="4" w:space="0" w:color="000000"/>
              <w:right w:val="single" w:sz="4" w:space="0" w:color="000000"/>
            </w:tcBorders>
            <w:shd w:val="clear" w:color="auto" w:fill="D2D2D2"/>
          </w:tcPr>
          <w:p>
            <w:pPr/>
          </w:p>
        </w:tc>
        <w:tc>
          <w:tcPr>
            <w:tcW w:w="1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780" w:type="dxa"/>
            <w:vMerge/>
            <w:tcBorders>
              <w:left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6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843"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1"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1,307,307,693.84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2,887,813,698.02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18.24%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8.11</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780" w:type="dxa"/>
            <w:tcBorders>
              <w:top w:val="single" w:sz="18" w:space="0" w:color="D2D2D2"/>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1,394,549,719.72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10.81%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670,879,228.28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4.24%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6.57</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584,989,512.11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622,721,264.51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3.93%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0.60</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38,876,012.21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52,462,612.91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0.33%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0.03</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2,192,181,574.07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16.99%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3,646,233,158.22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6.04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581,948,916.78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615,348,885.22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3.89%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0.62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123,399,574.92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94,479,408.44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0.36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342,200,000.00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2.65%</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2.65</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2,222,250,000.00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1,922,000,000.00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12.14%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5.08</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140" w:right="99"/>
        <w:jc w:val="left"/>
        <w:rPr>
          <w:b w:val="0"/>
          <w:bCs w:val="0"/>
        </w:rPr>
      </w:pPr>
      <w:bookmarkStart w:name="2、以公允价值计量的资产和负债" w:id="42"/>
      <w:bookmarkEnd w:id="42"/>
      <w:r>
        <w:rPr>
          <w:b w:val="0"/>
          <w:bCs w:val="0"/>
        </w:rPr>
      </w:r>
      <w:r>
        <w:rPr>
          <w:rFonts w:ascii="宋体" w:hAnsi="宋体" w:cs="宋体" w:eastAsia="宋体" w:hint="default"/>
        </w:rPr>
        <w:t>2</w:t>
      </w:r>
      <w:r>
        <w:rPr/>
        <w:t>、以公允价值计量的资产和负债</w:t>
      </w:r>
      <w:r>
        <w:rPr>
          <w:b w:val="0"/>
          <w:bCs w:val="0"/>
        </w:rPr>
      </w:r>
    </w:p>
    <w:p>
      <w:pPr>
        <w:spacing w:line="240" w:lineRule="auto" w:before="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headerReference w:type="default" r:id="rId14"/>
          <w:footerReference w:type="default" r:id="rId15"/>
          <w:pgSz w:w="16840" w:h="11910" w:orient="landscape"/>
          <w:pgMar w:header="867" w:footer="979" w:top="1060" w:bottom="1160" w:left="1300" w:right="1220"/>
          <w:pgNumType w:start="33"/>
        </w:sectPr>
      </w:pPr>
    </w:p>
    <w:p>
      <w:pPr>
        <w:pStyle w:val="BodyText"/>
        <w:spacing w:line="240" w:lineRule="auto" w:before="35"/>
        <w:ind w:left="140" w:right="-19"/>
        <w:jc w:val="left"/>
      </w:pPr>
      <w:r>
        <w:rPr/>
        <w:t>√ 适用 □</w:t>
      </w:r>
      <w:r>
        <w:rPr>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4"/>
          <w:szCs w:val="14"/>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60" w:bottom="1160" w:left="1300" w:right="1220"/>
          <w:cols w:num="2" w:equalWidth="0">
            <w:col w:w="1925" w:space="11315"/>
            <w:col w:w="1080"/>
          </w:cols>
        </w:sectPr>
      </w:pP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096"/>
        <w:gridCol w:w="1719"/>
        <w:gridCol w:w="1553"/>
        <w:gridCol w:w="1214"/>
        <w:gridCol w:w="1207"/>
        <w:gridCol w:w="1691"/>
        <w:gridCol w:w="1843"/>
        <w:gridCol w:w="1701"/>
      </w:tblGrid>
      <w:tr>
        <w:trPr>
          <w:trHeight w:val="161" w:hRule="exact"/>
        </w:trPr>
        <w:tc>
          <w:tcPr>
            <w:tcW w:w="3096" w:type="dxa"/>
            <w:vMerge w:val="restart"/>
            <w:tcBorders>
              <w:top w:val="single" w:sz="4" w:space="0" w:color="000000"/>
              <w:left w:val="single" w:sz="4" w:space="0" w:color="000000"/>
              <w:right w:val="single" w:sz="4" w:space="0" w:color="000000"/>
            </w:tcBorders>
            <w:shd w:val="clear" w:color="auto" w:fill="D2D2D2"/>
          </w:tcPr>
          <w:p>
            <w:pPr/>
          </w:p>
        </w:tc>
        <w:tc>
          <w:tcPr>
            <w:tcW w:w="1719" w:type="dxa"/>
            <w:vMerge w:val="restart"/>
            <w:tcBorders>
              <w:top w:val="single" w:sz="4" w:space="0" w:color="000000"/>
              <w:left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91" w:type="dxa"/>
            <w:vMerge w:val="restart"/>
            <w:tcBorders>
              <w:top w:val="single" w:sz="4" w:space="0" w:color="000000"/>
              <w:left w:val="single" w:sz="4" w:space="0" w:color="000000"/>
              <w:right w:val="single" w:sz="4" w:space="0" w:color="000000"/>
            </w:tcBorders>
            <w:shd w:val="clear" w:color="auto" w:fill="D2D2D2"/>
          </w:tcPr>
          <w:p>
            <w:pPr/>
          </w:p>
        </w:tc>
        <w:tc>
          <w:tcPr>
            <w:tcW w:w="1843" w:type="dxa"/>
            <w:vMerge w:val="restart"/>
            <w:tcBorders>
              <w:top w:val="single" w:sz="4" w:space="0" w:color="000000"/>
              <w:left w:val="single" w:sz="4" w:space="0" w:color="000000"/>
              <w:right w:val="single" w:sz="4" w:space="0" w:color="000000"/>
            </w:tcBorders>
            <w:shd w:val="clear" w:color="auto" w:fill="D2D2D2"/>
          </w:tcPr>
          <w:p>
            <w:pPr/>
          </w:p>
        </w:tc>
        <w:tc>
          <w:tcPr>
            <w:tcW w:w="1701"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3096" w:type="dxa"/>
            <w:vMerge/>
            <w:tcBorders>
              <w:left w:val="single" w:sz="4" w:space="0" w:color="000000"/>
              <w:bottom w:val="nil" w:sz="6" w:space="0" w:color="auto"/>
              <w:right w:val="single" w:sz="4" w:space="0" w:color="000000"/>
            </w:tcBorders>
            <w:shd w:val="clear" w:color="auto" w:fill="D2D2D2"/>
          </w:tcPr>
          <w:p>
            <w:pPr/>
          </w:p>
        </w:tc>
        <w:tc>
          <w:tcPr>
            <w:tcW w:w="1719" w:type="dxa"/>
            <w:vMerge/>
            <w:tcBorders>
              <w:left w:val="single" w:sz="4" w:space="0" w:color="000000"/>
              <w:bottom w:val="nil" w:sz="6" w:space="0" w:color="auto"/>
              <w:right w:val="single" w:sz="4" w:space="0" w:color="000000"/>
            </w:tcBorders>
            <w:shd w:val="clear" w:color="auto" w:fill="D2D2D2"/>
          </w:tcPr>
          <w:p>
            <w:pPr/>
          </w:p>
        </w:tc>
        <w:tc>
          <w:tcPr>
            <w:tcW w:w="15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88" w:right="52"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214"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11" w:right="54"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691" w:type="dxa"/>
            <w:vMerge/>
            <w:tcBorders>
              <w:left w:val="single" w:sz="4" w:space="0" w:color="000000"/>
              <w:bottom w:val="nil" w:sz="6" w:space="0" w:color="auto"/>
              <w:right w:val="single" w:sz="4" w:space="0" w:color="000000"/>
            </w:tcBorders>
            <w:shd w:val="clear" w:color="auto" w:fill="D2D2D2"/>
          </w:tcPr>
          <w:p>
            <w:pPr/>
          </w:p>
        </w:tc>
        <w:tc>
          <w:tcPr>
            <w:tcW w:w="1843" w:type="dxa"/>
            <w:vMerge/>
            <w:tcBorders>
              <w:left w:val="single" w:sz="4" w:space="0" w:color="000000"/>
              <w:bottom w:val="nil" w:sz="6" w:space="0" w:color="auto"/>
              <w:right w:val="single" w:sz="4" w:space="0" w:color="000000"/>
            </w:tcBorders>
            <w:shd w:val="clear" w:color="auto" w:fill="D2D2D2"/>
          </w:tcPr>
          <w:p>
            <w:pPr/>
          </w:p>
        </w:tc>
        <w:tc>
          <w:tcPr>
            <w:tcW w:w="1701"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30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553" w:type="dxa"/>
            <w:vMerge/>
            <w:tcBorders>
              <w:left w:val="single" w:sz="4" w:space="0" w:color="000000"/>
              <w:right w:val="single" w:sz="4" w:space="0" w:color="000000"/>
            </w:tcBorders>
            <w:shd w:val="clear" w:color="auto" w:fill="D2D2D2"/>
          </w:tcPr>
          <w:p>
            <w:pPr/>
          </w:p>
        </w:tc>
        <w:tc>
          <w:tcPr>
            <w:tcW w:w="1214"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6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8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7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3096" w:type="dxa"/>
            <w:vMerge w:val="restart"/>
            <w:tcBorders>
              <w:top w:val="nil" w:sz="6" w:space="0" w:color="auto"/>
              <w:left w:val="single" w:sz="4" w:space="0" w:color="000000"/>
              <w:right w:val="single" w:sz="4" w:space="0" w:color="000000"/>
            </w:tcBorders>
            <w:shd w:val="clear" w:color="auto" w:fill="D2D2D2"/>
          </w:tcPr>
          <w:p>
            <w:pPr/>
          </w:p>
        </w:tc>
        <w:tc>
          <w:tcPr>
            <w:tcW w:w="1719" w:type="dxa"/>
            <w:vMerge w:val="restart"/>
            <w:tcBorders>
              <w:top w:val="nil" w:sz="6" w:space="0" w:color="auto"/>
              <w:left w:val="single" w:sz="4" w:space="0" w:color="000000"/>
              <w:right w:val="single" w:sz="4" w:space="0" w:color="000000"/>
            </w:tcBorders>
            <w:shd w:val="clear" w:color="auto" w:fill="D2D2D2"/>
          </w:tcPr>
          <w:p>
            <w:pPr/>
          </w:p>
        </w:tc>
        <w:tc>
          <w:tcPr>
            <w:tcW w:w="1553" w:type="dxa"/>
            <w:vMerge/>
            <w:tcBorders>
              <w:left w:val="single" w:sz="4" w:space="0" w:color="000000"/>
              <w:bottom w:val="nil" w:sz="6" w:space="0" w:color="auto"/>
              <w:right w:val="single" w:sz="4" w:space="0" w:color="000000"/>
            </w:tcBorders>
            <w:shd w:val="clear" w:color="auto" w:fill="D2D2D2"/>
          </w:tcPr>
          <w:p>
            <w:pPr/>
          </w:p>
        </w:tc>
        <w:tc>
          <w:tcPr>
            <w:tcW w:w="1214"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691" w:type="dxa"/>
            <w:vMerge w:val="restart"/>
            <w:tcBorders>
              <w:top w:val="nil" w:sz="6" w:space="0" w:color="auto"/>
              <w:left w:val="single" w:sz="4" w:space="0" w:color="000000"/>
              <w:right w:val="single" w:sz="4" w:space="0" w:color="000000"/>
            </w:tcBorders>
            <w:shd w:val="clear" w:color="auto" w:fill="D2D2D2"/>
          </w:tcPr>
          <w:p>
            <w:pPr/>
          </w:p>
        </w:tc>
        <w:tc>
          <w:tcPr>
            <w:tcW w:w="1843" w:type="dxa"/>
            <w:vMerge w:val="restart"/>
            <w:tcBorders>
              <w:top w:val="nil" w:sz="6" w:space="0" w:color="auto"/>
              <w:left w:val="single" w:sz="4" w:space="0" w:color="000000"/>
              <w:right w:val="single" w:sz="4" w:space="0" w:color="000000"/>
            </w:tcBorders>
            <w:shd w:val="clear" w:color="auto" w:fill="D2D2D2"/>
          </w:tcPr>
          <w:p>
            <w:pPr/>
          </w:p>
        </w:tc>
        <w:tc>
          <w:tcPr>
            <w:tcW w:w="1701"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3096" w:type="dxa"/>
            <w:vMerge/>
            <w:tcBorders>
              <w:left w:val="single" w:sz="4" w:space="0" w:color="000000"/>
              <w:bottom w:val="single" w:sz="4" w:space="0" w:color="000000"/>
              <w:right w:val="single" w:sz="4" w:space="0" w:color="000000"/>
            </w:tcBorders>
            <w:shd w:val="clear" w:color="auto" w:fill="D2D2D2"/>
          </w:tcPr>
          <w:p>
            <w:pPr/>
          </w:p>
        </w:tc>
        <w:tc>
          <w:tcPr>
            <w:tcW w:w="1719" w:type="dxa"/>
            <w:vMerge/>
            <w:tcBorders>
              <w:left w:val="single" w:sz="4" w:space="0" w:color="000000"/>
              <w:bottom w:val="single" w:sz="4" w:space="0" w:color="000000"/>
              <w:right w:val="single" w:sz="4" w:space="0" w:color="000000"/>
            </w:tcBorders>
            <w:shd w:val="clear" w:color="auto" w:fill="D2D2D2"/>
          </w:tcPr>
          <w:p>
            <w:pPr/>
          </w:p>
        </w:tc>
        <w:tc>
          <w:tcPr>
            <w:tcW w:w="15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91" w:type="dxa"/>
            <w:vMerge/>
            <w:tcBorders>
              <w:left w:val="single" w:sz="4" w:space="0" w:color="000000"/>
              <w:bottom w:val="single" w:sz="4"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shd w:val="clear" w:color="auto" w:fill="D2D2D2"/>
          </w:tcPr>
          <w:p>
            <w:pPr/>
          </w:p>
        </w:tc>
        <w:tc>
          <w:tcPr>
            <w:tcW w:w="1701"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0927"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以公允价值计量且其变动计入当期损 益的金融资产（不含衍生金融资产）</w:t>
            </w:r>
          </w:p>
        </w:tc>
        <w:tc>
          <w:tcPr>
            <w:tcW w:w="17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sz w:val="18"/>
              </w:rPr>
              <w:t>82,333,986.54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-13,798,657.09</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330,000,000.00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330,000,000.00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68,535,329.45</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w:t>
            </w:r>
          </w:p>
        </w:tc>
        <w:tc>
          <w:tcPr>
            <w:tcW w:w="17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7"/>
              <w:jc w:val="right"/>
              <w:rPr>
                <w:rFonts w:ascii="宋体" w:hAnsi="宋体" w:cs="宋体" w:eastAsia="宋体" w:hint="default"/>
                <w:sz w:val="18"/>
                <w:szCs w:val="18"/>
              </w:rPr>
            </w:pPr>
            <w:r>
              <w:rPr>
                <w:rFonts w:ascii="宋体"/>
                <w:sz w:val="18"/>
              </w:rPr>
              <w:t>26,254,776.72</w:t>
            </w:r>
          </w:p>
        </w:tc>
        <w:tc>
          <w:tcPr>
            <w:tcW w:w="155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15,752.87</w:t>
            </w:r>
          </w:p>
        </w:tc>
        <w:tc>
          <w:tcPr>
            <w:tcW w:w="1207"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26,270,529.59</w:t>
            </w: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7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7"/>
              <w:jc w:val="right"/>
              <w:rPr>
                <w:rFonts w:ascii="宋体" w:hAnsi="宋体" w:cs="宋体" w:eastAsia="宋体" w:hint="default"/>
                <w:sz w:val="18"/>
                <w:szCs w:val="18"/>
              </w:rPr>
            </w:pPr>
            <w:r>
              <w:rPr>
                <w:rFonts w:ascii="宋体"/>
                <w:sz w:val="18"/>
              </w:rPr>
              <w:t>108,588,763.26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-13,798,657.09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15,752.87</w:t>
            </w:r>
          </w:p>
        </w:tc>
        <w:tc>
          <w:tcPr>
            <w:tcW w:w="1207"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356,270,529.59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68,535,329.45</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1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right="27"/>
              <w:jc w:val="right"/>
              <w:rPr>
                <w:rFonts w:ascii="宋体" w:hAnsi="宋体" w:cs="宋体" w:eastAsia="宋体" w:hint="default"/>
                <w:sz w:val="18"/>
                <w:szCs w:val="18"/>
              </w:rPr>
            </w:pPr>
            <w:r>
              <w:rPr>
                <w:rFonts w:ascii="宋体"/>
                <w:sz w:val="18"/>
              </w:rPr>
              <w:t>63,003,895.99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-23,011,895.99</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3,560,000.00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36,432,000.00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7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7"/>
              <w:jc w:val="right"/>
              <w:rPr>
                <w:rFonts w:ascii="宋体" w:hAnsi="宋体" w:cs="宋体" w:eastAsia="宋体" w:hint="default"/>
                <w:sz w:val="18"/>
                <w:szCs w:val="18"/>
              </w:rPr>
            </w:pPr>
            <w:r>
              <w:rPr>
                <w:rFonts w:ascii="宋体"/>
                <w:sz w:val="18"/>
              </w:rPr>
              <w:t>171,592,659.25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-36,810,553.08</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15,752.87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0.00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359,830,529.59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104,967,329.45</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7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7"/>
              <w:jc w:val="right"/>
              <w:rPr>
                <w:rFonts w:ascii="宋体" w:hAnsi="宋体" w:cs="宋体" w:eastAsia="宋体" w:hint="default"/>
                <w:sz w:val="18"/>
                <w:szCs w:val="18"/>
              </w:rPr>
            </w:pPr>
            <w:r>
              <w:rPr>
                <w:rFonts w:ascii="宋体"/>
                <w:sz w:val="18"/>
              </w:rPr>
              <w:t>0.00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spacing w:line="240" w:lineRule="auto" w:before="12"/>
        <w:rPr>
          <w:rFonts w:ascii="宋体" w:hAnsi="宋体" w:cs="宋体" w:eastAsia="宋体" w:hint="default"/>
          <w:sz w:val="10"/>
          <w:szCs w:val="10"/>
        </w:rPr>
      </w:pPr>
    </w:p>
    <w:p>
      <w:pPr>
        <w:pStyle w:val="BodyText"/>
        <w:spacing w:line="240" w:lineRule="auto" w:before="35"/>
        <w:ind w:left="140" w:right="99"/>
        <w:jc w:val="left"/>
      </w:pPr>
      <w:r>
        <w:rPr/>
        <w:t>报告期内公司主要资产计量属性是否发生重大变化</w:t>
      </w:r>
    </w:p>
    <w:p>
      <w:pPr>
        <w:spacing w:line="240" w:lineRule="auto" w:before="10"/>
        <w:rPr>
          <w:rFonts w:ascii="宋体" w:hAnsi="宋体" w:cs="宋体" w:eastAsia="宋体" w:hint="default"/>
          <w:sz w:val="18"/>
          <w:szCs w:val="18"/>
        </w:rPr>
      </w:pPr>
    </w:p>
    <w:p>
      <w:pPr>
        <w:spacing w:line="388" w:lineRule="auto" w:before="0"/>
        <w:ind w:left="140" w:right="9739" w:firstLine="0"/>
        <w:jc w:val="left"/>
        <w:rPr>
          <w:rFonts w:ascii="宋体" w:hAnsi="宋体" w:cs="宋体" w:eastAsia="宋体" w:hint="default"/>
          <w:sz w:val="21"/>
          <w:szCs w:val="21"/>
        </w:rPr>
      </w:pPr>
      <w:r>
        <w:rPr>
          <w:rFonts w:ascii="宋体" w:hAnsi="宋体" w:cs="宋体" w:eastAsia="宋体" w:hint="default"/>
          <w:sz w:val="21"/>
          <w:szCs w:val="21"/>
        </w:rPr>
        <w:t>□ 是 √</w:t>
      </w:r>
      <w:r>
        <w:rPr>
          <w:rFonts w:ascii="宋体" w:hAnsi="宋体" w:cs="宋体" w:eastAsia="宋体" w:hint="default"/>
          <w:spacing w:val="-1"/>
          <w:sz w:val="21"/>
          <w:szCs w:val="21"/>
        </w:rPr>
        <w:t> </w:t>
      </w:r>
      <w:r>
        <w:rPr>
          <w:rFonts w:ascii="宋体" w:hAnsi="宋体" w:cs="宋体" w:eastAsia="宋体" w:hint="default"/>
          <w:sz w:val="21"/>
          <w:szCs w:val="21"/>
        </w:rPr>
        <w:t>否</w:t>
      </w:r>
      <w:r>
        <w:rPr>
          <w:rFonts w:ascii="宋体" w:hAnsi="宋体" w:cs="宋体" w:eastAsia="宋体" w:hint="default"/>
          <w:sz w:val="21"/>
          <w:szCs w:val="21"/>
        </w:rPr>
        <w:t> </w:t>
      </w:r>
      <w:bookmarkStart w:name="3、截至报告期末的资产权利受限情况" w:id="43"/>
      <w:bookmarkEnd w:id="43"/>
      <w:r>
        <w:rPr>
          <w:rFonts w:ascii="宋体" w:hAnsi="宋体" w:cs="宋体" w:eastAsia="宋体" w:hint="default"/>
          <w:sz w:val="21"/>
          <w:szCs w:val="21"/>
        </w:rPr>
      </w:r>
      <w:r>
        <w:rPr>
          <w:rFonts w:ascii="宋体" w:hAnsi="宋体" w:cs="宋体" w:eastAsia="宋体" w:hint="default"/>
          <w:b/>
          <w:bCs/>
          <w:w w:val="95"/>
          <w:sz w:val="21"/>
          <w:szCs w:val="21"/>
        </w:rPr>
        <w:t>3</w:t>
      </w:r>
      <w:r>
        <w:rPr>
          <w:rFonts w:ascii="宋体" w:hAnsi="宋体" w:cs="宋体" w:eastAsia="宋体" w:hint="default"/>
          <w:b/>
          <w:bCs/>
          <w:w w:val="95"/>
          <w:sz w:val="21"/>
          <w:szCs w:val="21"/>
        </w:rPr>
        <w:t>、截至报告期末的资产权利受限情况</w:t>
      </w:r>
      <w:r>
        <w:rPr>
          <w:rFonts w:ascii="宋体" w:hAnsi="宋体" w:cs="宋体" w:eastAsia="宋体" w:hint="default"/>
          <w:sz w:val="21"/>
          <w:szCs w:val="21"/>
        </w:rPr>
      </w:r>
    </w:p>
    <w:p>
      <w:pPr>
        <w:spacing w:line="240" w:lineRule="auto" w:before="11"/>
        <w:rPr>
          <w:rFonts w:ascii="宋体" w:hAnsi="宋体" w:cs="宋体" w:eastAsia="宋体" w:hint="default"/>
          <w:b/>
          <w:bCs/>
          <w:sz w:val="13"/>
          <w:szCs w:val="13"/>
        </w:rPr>
      </w:pPr>
    </w:p>
    <w:p>
      <w:pPr>
        <w:pStyle w:val="BodyText"/>
        <w:spacing w:line="420" w:lineRule="auto"/>
        <w:ind w:left="140" w:right="99" w:firstLine="420"/>
        <w:jc w:val="left"/>
      </w:pPr>
      <w:r>
        <w:rPr>
          <w:spacing w:val="-4"/>
        </w:rPr>
        <w:t>截至报告期末，公司持有的湖北省资产管理有限公司</w:t>
      </w:r>
      <w:r>
        <w:rPr>
          <w:spacing w:val="-41"/>
        </w:rPr>
        <w:t> </w:t>
      </w:r>
      <w:r>
        <w:rPr>
          <w:rFonts w:ascii="宋体" w:hAnsi="宋体" w:cs="宋体" w:eastAsia="宋体" w:hint="default"/>
          <w:spacing w:val="-5"/>
        </w:rPr>
        <w:t>10%</w:t>
      </w:r>
      <w:r>
        <w:rPr>
          <w:spacing w:val="-5"/>
        </w:rPr>
        <w:t>股权已被上海市公安局司法冻结；公司全资子公司山南华闻持有的东海证券股份有限公司（以</w:t>
      </w:r>
      <w:r>
        <w:rPr/>
        <w:t> 下简称“东海证券”，股票代码：</w:t>
      </w:r>
      <w:r>
        <w:rPr>
          <w:rFonts w:ascii="宋体" w:hAnsi="宋体" w:cs="宋体" w:eastAsia="宋体" w:hint="default"/>
        </w:rPr>
        <w:t>832970</w:t>
      </w:r>
      <w:r>
        <w:rPr/>
        <w:t>）</w:t>
      </w:r>
      <w:r>
        <w:rPr>
          <w:rFonts w:ascii="宋体" w:hAnsi="宋体" w:cs="宋体" w:eastAsia="宋体" w:hint="default"/>
        </w:rPr>
        <w:t>17,069.10</w:t>
      </w:r>
      <w:r>
        <w:rPr>
          <w:rFonts w:ascii="宋体" w:hAnsi="宋体" w:cs="宋体" w:eastAsia="宋体" w:hint="default"/>
          <w:spacing w:val="-53"/>
        </w:rPr>
        <w:t> </w:t>
      </w:r>
      <w:r>
        <w:rPr/>
        <w:t>万股股份（占东海证券总股本的</w:t>
      </w:r>
      <w:r>
        <w:rPr>
          <w:spacing w:val="-53"/>
        </w:rPr>
        <w:t> </w:t>
      </w:r>
      <w:r>
        <w:rPr>
          <w:rFonts w:ascii="宋体" w:hAnsi="宋体" w:cs="宋体" w:eastAsia="宋体" w:hint="default"/>
        </w:rPr>
        <w:t>10.221%</w:t>
      </w:r>
      <w:r>
        <w:rPr/>
        <w:t>）已被上海市公安局司法冻结，其中：已质押</w:t>
      </w:r>
      <w:r>
        <w:rPr>
          <w:spacing w:val="-53"/>
        </w:rPr>
        <w:t> </w:t>
      </w:r>
      <w:r>
        <w:rPr>
          <w:rFonts w:ascii="宋体" w:hAnsi="宋体" w:cs="宋体" w:eastAsia="宋体" w:hint="default"/>
        </w:rPr>
        <w:t>16,700</w:t>
      </w:r>
      <w:r>
        <w:rPr>
          <w:rFonts w:ascii="宋体" w:hAnsi="宋体" w:cs="宋体" w:eastAsia="宋体" w:hint="default"/>
          <w:spacing w:val="-54"/>
        </w:rPr>
        <w:t> </w:t>
      </w:r>
      <w:r>
        <w:rPr/>
        <w:t>万 股股份；公司全资子公司山南华闻持有的深圳爱玩网络科技股份有限公司（以下简称“爱玩网络”，股票代码：</w:t>
      </w:r>
      <w:r>
        <w:rPr>
          <w:rFonts w:ascii="宋体" w:hAnsi="宋体" w:cs="宋体" w:eastAsia="宋体" w:hint="default"/>
        </w:rPr>
        <w:t>835381</w:t>
      </w:r>
      <w:r>
        <w:rPr/>
        <w:t>）</w:t>
      </w:r>
      <w:r>
        <w:rPr>
          <w:rFonts w:ascii="宋体" w:hAnsi="宋体" w:cs="宋体" w:eastAsia="宋体" w:hint="default"/>
        </w:rPr>
        <w:t>1,017.885</w:t>
      </w:r>
      <w:r>
        <w:rPr>
          <w:rFonts w:ascii="宋体" w:hAnsi="宋体" w:cs="宋体" w:eastAsia="宋体" w:hint="default"/>
          <w:spacing w:val="-72"/>
        </w:rPr>
        <w:t> </w:t>
      </w:r>
      <w:r>
        <w:rPr/>
        <w:t>万股股份（占爱玩网 络总股本的</w:t>
      </w:r>
      <w:r>
        <w:rPr>
          <w:spacing w:val="-51"/>
        </w:rPr>
        <w:t> </w:t>
      </w:r>
      <w:r>
        <w:rPr>
          <w:rFonts w:ascii="宋体" w:hAnsi="宋体" w:cs="宋体" w:eastAsia="宋体" w:hint="default"/>
          <w:spacing w:val="-1"/>
        </w:rPr>
        <w:t>20.00%</w:t>
      </w:r>
      <w:r>
        <w:rPr>
          <w:spacing w:val="-1"/>
        </w:rPr>
        <w:t>）已被上海市公安局司法冻结；公司全资子公司上海鸿立持有江苏振江新能源装备股份有限公司（以下简称“振江股份”，股票代码：</w:t>
      </w:r>
      <w:r>
        <w:rPr/>
        <w:t> </w:t>
      </w:r>
      <w:r>
        <w:rPr>
          <w:rFonts w:ascii="宋体" w:hAnsi="宋体" w:cs="宋体" w:eastAsia="宋体" w:hint="default"/>
        </w:rPr>
        <w:t>603507</w:t>
      </w:r>
      <w:r>
        <w:rPr/>
        <w:t>）</w:t>
      </w:r>
      <w:r>
        <w:rPr>
          <w:rFonts w:ascii="宋体" w:hAnsi="宋体" w:cs="宋体" w:eastAsia="宋体" w:hint="default"/>
        </w:rPr>
        <w:t>1,302.484</w:t>
      </w:r>
      <w:r>
        <w:rPr>
          <w:rFonts w:ascii="宋体" w:hAnsi="宋体" w:cs="宋体" w:eastAsia="宋体" w:hint="default"/>
          <w:spacing w:val="-54"/>
        </w:rPr>
        <w:t> </w:t>
      </w:r>
      <w:r>
        <w:rPr/>
        <w:t>万股股份（占振江股份总股本的</w:t>
      </w:r>
      <w:r>
        <w:rPr>
          <w:spacing w:val="-55"/>
        </w:rPr>
        <w:t> </w:t>
      </w:r>
      <w:r>
        <w:rPr>
          <w:rFonts w:ascii="宋体" w:hAnsi="宋体" w:cs="宋体" w:eastAsia="宋体" w:hint="default"/>
        </w:rPr>
        <w:t>10.17%</w:t>
      </w:r>
      <w:r>
        <w:rPr/>
        <w:t>）中的</w:t>
      </w:r>
      <w:r>
        <w:rPr>
          <w:spacing w:val="-55"/>
        </w:rPr>
        <w:t> </w:t>
      </w:r>
      <w:r>
        <w:rPr>
          <w:rFonts w:ascii="宋体" w:hAnsi="宋体" w:cs="宋体" w:eastAsia="宋体" w:hint="default"/>
        </w:rPr>
        <w:t>646</w:t>
      </w:r>
      <w:r>
        <w:rPr>
          <w:rFonts w:ascii="宋体" w:hAnsi="宋体" w:cs="宋体" w:eastAsia="宋体" w:hint="default"/>
          <w:spacing w:val="-55"/>
        </w:rPr>
        <w:t> </w:t>
      </w:r>
      <w:r>
        <w:rPr/>
        <w:t>万股股份已质押。</w:t>
      </w:r>
    </w:p>
    <w:p>
      <w:pPr>
        <w:spacing w:after="0" w:line="420" w:lineRule="auto"/>
        <w:jc w:val="left"/>
        <w:sectPr>
          <w:type w:val="continuous"/>
          <w:pgSz w:w="16840" w:h="11910" w:orient="landscape"/>
          <w:pgMar w:top="1060" w:bottom="1160" w:left="1300" w:right="1220"/>
        </w:sectPr>
      </w:pPr>
    </w:p>
    <w:p>
      <w:pPr>
        <w:spacing w:line="240" w:lineRule="auto" w:before="12"/>
        <w:rPr>
          <w:rFonts w:ascii="宋体" w:hAnsi="宋体" w:cs="宋体" w:eastAsia="宋体" w:hint="default"/>
          <w:sz w:val="2"/>
          <w:szCs w:val="2"/>
        </w:rPr>
      </w:pPr>
    </w:p>
    <w:p>
      <w:pPr>
        <w:spacing w:line="20" w:lineRule="exact"/>
        <w:ind w:left="92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5"/>
          <w:szCs w:val="15"/>
        </w:rPr>
      </w:pPr>
    </w:p>
    <w:p>
      <w:pPr>
        <w:pStyle w:val="Heading2"/>
        <w:spacing w:line="240" w:lineRule="auto"/>
        <w:ind w:left="960" w:right="0"/>
        <w:jc w:val="left"/>
        <w:rPr>
          <w:b w:val="0"/>
          <w:bCs w:val="0"/>
        </w:rPr>
      </w:pPr>
      <w:bookmarkStart w:name="五、投资状况" w:id="44"/>
      <w:bookmarkEnd w:id="44"/>
      <w:r>
        <w:rPr>
          <w:b w:val="0"/>
          <w:bCs w:val="0"/>
        </w:rPr>
      </w:r>
      <w:r>
        <w:rPr/>
        <w:t>五、投资状况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960" w:right="0"/>
        <w:jc w:val="left"/>
        <w:rPr>
          <w:b w:val="0"/>
          <w:bCs w:val="0"/>
        </w:rPr>
      </w:pPr>
      <w:bookmarkStart w:name="1、总体情况" w:id="45"/>
      <w:bookmarkEnd w:id="45"/>
      <w:r>
        <w:rPr>
          <w:b w:val="0"/>
          <w:bCs w:val="0"/>
        </w:rPr>
      </w:r>
      <w:r>
        <w:rPr>
          <w:rFonts w:ascii="宋体" w:hAnsi="宋体" w:cs="宋体" w:eastAsia="宋体" w:hint="default"/>
        </w:rPr>
        <w:t>1</w:t>
      </w:r>
      <w:r>
        <w:rPr/>
        <w:t>、总体情况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left="960" w:right="0"/>
        <w:jc w:val="left"/>
      </w:pPr>
      <w:r>
        <w:rPr/>
        <w:t>√ 适用 □</w:t>
      </w:r>
      <w:r>
        <w:rPr>
          <w:spacing w:val="-2"/>
        </w:rPr>
        <w:t> </w:t>
      </w:r>
      <w:r>
        <w:rPr/>
        <w:t>不适用</w:t>
      </w:r>
    </w:p>
    <w:p>
      <w:pPr>
        <w:spacing w:line="240" w:lineRule="auto" w:before="1"/>
        <w:rPr>
          <w:rFonts w:ascii="宋体" w:hAnsi="宋体" w:cs="宋体" w:eastAsia="宋体" w:hint="default"/>
          <w:sz w:val="8"/>
          <w:szCs w:val="8"/>
        </w:rPr>
      </w:pPr>
    </w:p>
    <w:tbl>
      <w:tblPr>
        <w:tblW w:w="0" w:type="auto"/>
        <w:jc w:val="left"/>
        <w:tblInd w:w="955"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15" w:right="0"/>
              <w:jc w:val="left"/>
              <w:rPr>
                <w:rFonts w:ascii="宋体" w:hAnsi="宋体" w:cs="宋体" w:eastAsia="宋体" w:hint="default"/>
                <w:sz w:val="18"/>
                <w:szCs w:val="18"/>
              </w:rPr>
            </w:pPr>
            <w:r>
              <w:rPr>
                <w:rFonts w:ascii="宋体"/>
                <w:sz w:val="18"/>
              </w:rPr>
              <w:t>1,411,563,063.97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17" w:right="0"/>
              <w:jc w:val="left"/>
              <w:rPr>
                <w:rFonts w:ascii="宋体" w:hAnsi="宋体" w:cs="宋体" w:eastAsia="宋体" w:hint="default"/>
                <w:sz w:val="18"/>
                <w:szCs w:val="18"/>
              </w:rPr>
            </w:pPr>
            <w:r>
              <w:rPr>
                <w:rFonts w:ascii="宋体"/>
                <w:sz w:val="18"/>
              </w:rPr>
              <w:t>5,026,793,232.48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-71.92%</w:t>
            </w:r>
          </w:p>
        </w:tc>
      </w:tr>
    </w:tbl>
    <w:p>
      <w:pPr>
        <w:spacing w:line="240" w:lineRule="auto" w:before="2"/>
        <w:rPr>
          <w:rFonts w:ascii="宋体" w:hAnsi="宋体" w:cs="宋体" w:eastAsia="宋体" w:hint="default"/>
          <w:sz w:val="19"/>
          <w:szCs w:val="19"/>
        </w:rPr>
      </w:pPr>
    </w:p>
    <w:p>
      <w:pPr>
        <w:pStyle w:val="Heading4"/>
        <w:spacing w:line="240" w:lineRule="auto" w:before="35"/>
        <w:ind w:left="960" w:right="0"/>
        <w:jc w:val="left"/>
        <w:rPr>
          <w:b w:val="0"/>
          <w:bCs w:val="0"/>
        </w:rPr>
      </w:pPr>
      <w:bookmarkStart w:name="2、报告期内获取的重大的股权投资情况" w:id="46"/>
      <w:bookmarkEnd w:id="46"/>
      <w:r>
        <w:rPr>
          <w:b w:val="0"/>
          <w:bCs w:val="0"/>
        </w:rPr>
      </w:r>
      <w:r>
        <w:rPr>
          <w:rFonts w:ascii="宋体" w:hAnsi="宋体" w:cs="宋体" w:eastAsia="宋体" w:hint="default"/>
        </w:rPr>
        <w:t>2</w:t>
      </w:r>
      <w:r>
        <w:rPr/>
        <w:t>、报告期内获取的重大的股权投资情况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6840" w:h="11910" w:orient="landscape"/>
          <w:pgMar w:header="867" w:footer="979" w:top="1060" w:bottom="1160" w:left="480" w:right="400"/>
        </w:sectPr>
      </w:pPr>
    </w:p>
    <w:p>
      <w:pPr>
        <w:pStyle w:val="BodyText"/>
        <w:spacing w:line="240" w:lineRule="auto" w:before="35"/>
        <w:ind w:left="960" w:right="-19"/>
        <w:jc w:val="left"/>
      </w:pPr>
      <w:r>
        <w:rPr/>
        <w:t>√ 适用 □</w:t>
      </w:r>
      <w:r>
        <w:rPr>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4"/>
          <w:szCs w:val="14"/>
        </w:rPr>
      </w:pPr>
    </w:p>
    <w:p>
      <w:pPr>
        <w:spacing w:before="0"/>
        <w:ind w:left="941" w:right="1017" w:firstLine="0"/>
        <w:jc w:val="center"/>
        <w:rPr>
          <w:rFonts w:ascii="宋体" w:hAnsi="宋体" w:cs="宋体" w:eastAsia="宋体" w:hint="default"/>
          <w:sz w:val="18"/>
          <w:szCs w:val="18"/>
        </w:rPr>
      </w:pPr>
      <w:r>
        <w:rPr/>
        <w:pict>
          <v:group style="position:absolute;margin-left:484.540009pt;margin-top:109.811714pt;width:53.95pt;height:15.6pt;mso-position-horizontal-relative:page;mso-position-vertical-relative:paragraph;z-index:-1492840" coordorigin="9691,2196" coordsize="1079,312">
            <v:shape style="position:absolute;left:9691;top:2196;width:1079;height:312" coordorigin="9691,2196" coordsize="1079,312" path="m9691,2508l10770,2508,10770,2196,9691,2196,9691,2508xe" filled="true" fillcolor="#ffffff" stroked="false">
              <v:path arrowok="t"/>
              <v:fill type="solid"/>
            </v:shape>
            <w10:wrap type="none"/>
          </v:group>
        </w:pict>
      </w: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6840" w:h="11910" w:orient="landscape"/>
          <w:pgMar w:top="1060" w:bottom="1160" w:left="480" w:right="400"/>
          <w:cols w:num="2" w:equalWidth="0">
            <w:col w:w="2745" w:space="10495"/>
            <w:col w:w="2720"/>
          </w:cols>
        </w:sectPr>
      </w:pPr>
    </w:p>
    <w:p>
      <w:pPr>
        <w:spacing w:line="240" w:lineRule="auto" w:before="0"/>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418"/>
        <w:gridCol w:w="992"/>
        <w:gridCol w:w="709"/>
        <w:gridCol w:w="1560"/>
        <w:gridCol w:w="640"/>
        <w:gridCol w:w="494"/>
        <w:gridCol w:w="1417"/>
        <w:gridCol w:w="993"/>
        <w:gridCol w:w="851"/>
        <w:gridCol w:w="1135"/>
        <w:gridCol w:w="1276"/>
        <w:gridCol w:w="1418"/>
        <w:gridCol w:w="640"/>
        <w:gridCol w:w="920"/>
        <w:gridCol w:w="1274"/>
      </w:tblGrid>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3" w:right="0"/>
              <w:jc w:val="left"/>
              <w:rPr>
                <w:rFonts w:ascii="宋体" w:hAnsi="宋体" w:cs="宋体" w:eastAsia="宋体" w:hint="default"/>
                <w:sz w:val="18"/>
                <w:szCs w:val="18"/>
              </w:rPr>
            </w:pPr>
            <w:r>
              <w:rPr>
                <w:rFonts w:ascii="宋体" w:hAnsi="宋体" w:cs="宋体" w:eastAsia="宋体" w:hint="default"/>
                <w:sz w:val="18"/>
                <w:szCs w:val="18"/>
              </w:rPr>
              <w:t>被投资公司名称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9"/>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3"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2" w:right="60"/>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投资期限</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1"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1" w:right="113"/>
              <w:jc w:val="center"/>
              <w:rPr>
                <w:rFonts w:ascii="宋体" w:hAnsi="宋体" w:cs="宋体" w:eastAsia="宋体" w:hint="default"/>
                <w:sz w:val="18"/>
                <w:szCs w:val="18"/>
              </w:rPr>
            </w:pPr>
            <w:r>
              <w:rPr>
                <w:rFonts w:ascii="宋体" w:hAnsi="宋体" w:cs="宋体" w:eastAsia="宋体" w:hint="default"/>
                <w:sz w:val="18"/>
                <w:szCs w:val="18"/>
              </w:rPr>
              <w:t>截至资产负 债表日的进 展情况</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3"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4" w:right="45"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52" w:right="90"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289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当涂鸿新智能制 </w:t>
            </w:r>
            <w:r>
              <w:rPr>
                <w:rFonts w:ascii="宋体" w:hAnsi="宋体" w:cs="宋体" w:eastAsia="宋体" w:hint="default"/>
                <w:spacing w:val="-10"/>
                <w:sz w:val="18"/>
                <w:szCs w:val="18"/>
              </w:rPr>
              <w:t>造产业基金（有限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29"/>
              <w:jc w:val="right"/>
              <w:rPr>
                <w:rFonts w:ascii="宋体" w:hAnsi="宋体" w:cs="宋体" w:eastAsia="宋体" w:hint="default"/>
                <w:sz w:val="18"/>
                <w:szCs w:val="18"/>
              </w:rPr>
            </w:pPr>
            <w:r>
              <w:rPr>
                <w:rFonts w:ascii="宋体" w:hAnsi="宋体" w:cs="宋体" w:eastAsia="宋体" w:hint="default"/>
                <w:sz w:val="18"/>
                <w:szCs w:val="18"/>
              </w:rPr>
              <w:t>投资业务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68"/>
              <w:jc w:val="right"/>
              <w:rPr>
                <w:rFonts w:ascii="宋体" w:hAnsi="宋体" w:cs="宋体" w:eastAsia="宋体" w:hint="default"/>
                <w:sz w:val="18"/>
                <w:szCs w:val="18"/>
              </w:rPr>
            </w:pPr>
            <w:r>
              <w:rPr>
                <w:rFonts w:ascii="宋体" w:hAnsi="宋体" w:cs="宋体" w:eastAsia="宋体" w:hint="default"/>
                <w:sz w:val="18"/>
                <w:szCs w:val="18"/>
              </w:rPr>
              <w:t>新设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3"/>
              <w:jc w:val="right"/>
              <w:rPr>
                <w:rFonts w:ascii="宋体" w:hAnsi="宋体" w:cs="宋体" w:eastAsia="宋体" w:hint="default"/>
                <w:sz w:val="18"/>
                <w:szCs w:val="18"/>
              </w:rPr>
            </w:pPr>
            <w:r>
              <w:rPr>
                <w:rFonts w:ascii="宋体"/>
                <w:sz w:val="18"/>
              </w:rPr>
              <w:t>60,000,000.00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宋体" w:hAnsi="宋体" w:cs="宋体" w:eastAsia="宋体" w:hint="default"/>
                <w:sz w:val="18"/>
                <w:szCs w:val="18"/>
              </w:rPr>
            </w:pPr>
            <w:r>
              <w:rPr>
                <w:rFonts w:ascii="宋体"/>
                <w:sz w:val="18"/>
              </w:rPr>
              <w:t>41.67%</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10"/>
                <w:sz w:val="18"/>
                <w:szCs w:val="18"/>
              </w:rPr>
              <w:t>拉萨鸿新、当涂县</w:t>
            </w:r>
            <w:r>
              <w:rPr>
                <w:rFonts w:ascii="宋体" w:hAnsi="宋体" w:cs="宋体" w:eastAsia="宋体" w:hint="default"/>
                <w:sz w:val="18"/>
                <w:szCs w:val="18"/>
              </w:rPr>
              <w:t> 民聚创业投资有 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 w:right="58"/>
              <w:jc w:val="both"/>
              <w:rPr>
                <w:rFonts w:ascii="宋体" w:hAnsi="宋体" w:cs="宋体" w:eastAsia="宋体" w:hint="default"/>
                <w:sz w:val="18"/>
                <w:szCs w:val="18"/>
              </w:rPr>
            </w:pPr>
            <w:r>
              <w:rPr>
                <w:rFonts w:ascii="宋体" w:hAnsi="宋体" w:cs="宋体" w:eastAsia="宋体" w:hint="default"/>
                <w:sz w:val="18"/>
                <w:szCs w:val="18"/>
              </w:rPr>
              <w:t>初始存续期 三年，延展 期二年</w:t>
            </w:r>
          </w:p>
        </w:tc>
        <w:tc>
          <w:tcPr>
            <w:tcW w:w="85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4" w:right="-39"/>
              <w:jc w:val="left"/>
              <w:rPr>
                <w:rFonts w:ascii="宋体" w:hAnsi="宋体" w:cs="宋体" w:eastAsia="宋体" w:hint="default"/>
                <w:sz w:val="18"/>
                <w:szCs w:val="18"/>
              </w:rPr>
            </w:pPr>
            <w:r>
              <w:rPr>
                <w:rFonts w:ascii="宋体" w:hAnsi="宋体" w:cs="宋体" w:eastAsia="宋体" w:hint="default"/>
                <w:sz w:val="18"/>
                <w:szCs w:val="18"/>
              </w:rPr>
              <w:t>高端制 </w:t>
            </w:r>
            <w:r>
              <w:rPr>
                <w:rFonts w:ascii="宋体" w:hAnsi="宋体" w:cs="宋体" w:eastAsia="宋体" w:hint="default"/>
                <w:spacing w:val="-11"/>
                <w:sz w:val="18"/>
                <w:szCs w:val="18"/>
              </w:rPr>
              <w:t>造、军工、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大文化类</w:t>
            </w:r>
            <w:r>
              <w:rPr>
                <w:rFonts w:ascii="宋体" w:hAnsi="宋体" w:cs="宋体" w:eastAsia="宋体" w:hint="default"/>
                <w:sz w:val="18"/>
                <w:szCs w:val="18"/>
              </w:rPr>
              <w:t> 等产业方 向的投资 业务</w:t>
            </w:r>
          </w:p>
        </w:tc>
        <w:tc>
          <w:tcPr>
            <w:tcW w:w="113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6" w:right="22"/>
              <w:jc w:val="left"/>
              <w:rPr>
                <w:rFonts w:ascii="宋体" w:hAnsi="宋体" w:cs="宋体" w:eastAsia="宋体" w:hint="default"/>
                <w:sz w:val="18"/>
                <w:szCs w:val="18"/>
              </w:rPr>
            </w:pPr>
            <w:r>
              <w:rPr>
                <w:rFonts w:ascii="宋体" w:hAnsi="宋体" w:cs="宋体" w:eastAsia="宋体" w:hint="default"/>
                <w:sz w:val="18"/>
                <w:szCs w:val="18"/>
              </w:rPr>
              <w:t>当涂鸿新智 能制造产业 基金（有限合 伙）的工商登 记手续已完 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宋体" w:hAnsi="宋体" w:cs="宋体" w:eastAsia="宋体" w:hint="default"/>
                <w:sz w:val="18"/>
                <w:szCs w:val="18"/>
              </w:rPr>
            </w:pPr>
            <w:r>
              <w:rPr>
                <w:rFonts w:ascii="宋体"/>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3"/>
              <w:jc w:val="right"/>
              <w:rPr>
                <w:rFonts w:ascii="宋体" w:hAnsi="宋体" w:cs="宋体" w:eastAsia="宋体" w:hint="default"/>
                <w:sz w:val="18"/>
                <w:szCs w:val="18"/>
              </w:rPr>
            </w:pPr>
            <w:r>
              <w:rPr>
                <w:rFonts w:ascii="宋体"/>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详见在巨潮网 </w:t>
            </w:r>
            <w:r>
              <w:rPr>
                <w:rFonts w:ascii="宋体" w:hAnsi="宋体" w:cs="宋体" w:eastAsia="宋体" w:hint="default"/>
                <w:spacing w:val="-6"/>
                <w:sz w:val="18"/>
                <w:szCs w:val="18"/>
              </w:rPr>
              <w:t>上披露的《关于</w:t>
            </w:r>
            <w:r>
              <w:rPr>
                <w:rFonts w:ascii="宋体" w:hAnsi="宋体" w:cs="宋体" w:eastAsia="宋体" w:hint="default"/>
                <w:sz w:val="18"/>
                <w:szCs w:val="18"/>
              </w:rPr>
              <w:t> 全资子公司参 与投资当涂鸿 新智能制造产 </w:t>
            </w:r>
            <w:r>
              <w:rPr>
                <w:rFonts w:ascii="宋体" w:hAnsi="宋体" w:cs="宋体" w:eastAsia="宋体" w:hint="default"/>
                <w:spacing w:val="-6"/>
                <w:sz w:val="18"/>
                <w:szCs w:val="18"/>
              </w:rPr>
              <w:t>业基金（有限合</w:t>
            </w:r>
            <w:r>
              <w:rPr>
                <w:rFonts w:ascii="宋体" w:hAnsi="宋体" w:cs="宋体" w:eastAsia="宋体" w:hint="default"/>
                <w:sz w:val="18"/>
                <w:szCs w:val="18"/>
              </w:rPr>
              <w:t> </w:t>
            </w:r>
            <w:r>
              <w:rPr>
                <w:rFonts w:ascii="宋体" w:hAnsi="宋体" w:cs="宋体" w:eastAsia="宋体" w:hint="default"/>
                <w:spacing w:val="-28"/>
                <w:sz w:val="18"/>
                <w:szCs w:val="18"/>
              </w:rPr>
              <w:t>伙）的公告》（公</w:t>
            </w:r>
            <w:r>
              <w:rPr>
                <w:rFonts w:ascii="宋体" w:hAnsi="宋体" w:cs="宋体" w:eastAsia="宋体" w:hint="default"/>
                <w:sz w:val="18"/>
                <w:szCs w:val="18"/>
              </w:rPr>
              <w:t> 告编号：</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2018-001</w:t>
            </w:r>
            <w:r>
              <w:rPr>
                <w:rFonts w:ascii="宋体" w:hAnsi="宋体" w:cs="宋体" w:eastAsia="宋体" w:hint="default"/>
                <w:sz w:val="18"/>
                <w:szCs w:val="18"/>
              </w:rPr>
              <w:t>）</w:t>
            </w:r>
          </w:p>
        </w:tc>
      </w:tr>
      <w:tr>
        <w:trPr>
          <w:trHeight w:val="98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华商盈通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29"/>
              <w:jc w:val="right"/>
              <w:rPr>
                <w:rFonts w:ascii="宋体" w:hAnsi="宋体" w:cs="宋体" w:eastAsia="宋体" w:hint="default"/>
                <w:sz w:val="18"/>
                <w:szCs w:val="18"/>
              </w:rPr>
            </w:pPr>
            <w:r>
              <w:rPr>
                <w:rFonts w:ascii="宋体" w:hAnsi="宋体" w:cs="宋体" w:eastAsia="宋体" w:hint="default"/>
                <w:sz w:val="18"/>
                <w:szCs w:val="18"/>
              </w:rPr>
              <w:t>投资业务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收购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18"/>
                <w:szCs w:val="18"/>
              </w:rPr>
            </w:pPr>
            <w:r>
              <w:rPr>
                <w:rFonts w:ascii="宋体"/>
                <w:sz w:val="18"/>
              </w:rPr>
              <w:t>38,750,000.00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38.75%</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0"/>
                <w:sz w:val="18"/>
                <w:szCs w:val="18"/>
              </w:rPr>
              <w:t>华路新材、吉林凯</w:t>
            </w:r>
            <w:r>
              <w:rPr>
                <w:rFonts w:ascii="宋体" w:hAnsi="宋体" w:cs="宋体" w:eastAsia="宋体" w:hint="default"/>
                <w:sz w:val="18"/>
                <w:szCs w:val="18"/>
              </w:rPr>
              <w:t> 利股权投资基金 </w:t>
            </w:r>
            <w:r>
              <w:rPr>
                <w:rFonts w:ascii="宋体" w:hAnsi="宋体" w:cs="宋体" w:eastAsia="宋体" w:hint="default"/>
                <w:spacing w:val="-10"/>
                <w:sz w:val="18"/>
                <w:szCs w:val="18"/>
              </w:rPr>
              <w:t>合伙企业（有限合</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95"/>
              <w:jc w:val="both"/>
              <w:rPr>
                <w:rFonts w:ascii="宋体" w:hAnsi="宋体" w:cs="宋体" w:eastAsia="宋体" w:hint="default"/>
                <w:sz w:val="18"/>
                <w:szCs w:val="18"/>
              </w:rPr>
            </w:pPr>
            <w:r>
              <w:rPr>
                <w:rFonts w:ascii="宋体" w:hAnsi="宋体" w:cs="宋体" w:eastAsia="宋体" w:hint="default"/>
                <w:sz w:val="18"/>
                <w:szCs w:val="18"/>
              </w:rPr>
              <w:t>从事对非 上市企业 的股权投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0"/>
              <w:jc w:val="left"/>
              <w:rPr>
                <w:rFonts w:ascii="宋体" w:hAnsi="宋体" w:cs="宋体" w:eastAsia="宋体" w:hint="default"/>
                <w:sz w:val="18"/>
                <w:szCs w:val="18"/>
              </w:rPr>
            </w:pPr>
            <w:r>
              <w:rPr>
                <w:rFonts w:ascii="宋体" w:hAnsi="宋体" w:cs="宋体" w:eastAsia="宋体" w:hint="default"/>
                <w:sz w:val="18"/>
                <w:szCs w:val="18"/>
              </w:rPr>
              <w:t>华商盈通 </w:t>
            </w:r>
            <w:r>
              <w:rPr>
                <w:rFonts w:ascii="宋体" w:hAnsi="宋体" w:cs="宋体" w:eastAsia="宋体" w:hint="default"/>
                <w:sz w:val="18"/>
                <w:szCs w:val="18"/>
              </w:rPr>
              <w:t>38.75%</w:t>
            </w:r>
            <w:r>
              <w:rPr>
                <w:rFonts w:ascii="宋体" w:hAnsi="宋体" w:cs="宋体" w:eastAsia="宋体" w:hint="default"/>
                <w:sz w:val="18"/>
                <w:szCs w:val="18"/>
              </w:rPr>
              <w:t>股权</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转让的工商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18"/>
                <w:szCs w:val="18"/>
              </w:rPr>
            </w:pPr>
            <w:r>
              <w:rPr>
                <w:rFonts w:ascii="宋体"/>
                <w:sz w:val="18"/>
              </w:rPr>
              <w:t>-15,610,486.76</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详见在巨潮网 </w:t>
            </w:r>
            <w:r>
              <w:rPr>
                <w:rFonts w:ascii="宋体" w:hAnsi="宋体" w:cs="宋体" w:eastAsia="宋体" w:hint="default"/>
                <w:spacing w:val="-6"/>
                <w:sz w:val="18"/>
                <w:szCs w:val="18"/>
              </w:rPr>
              <w:t>上披露的《关于</w:t>
            </w:r>
            <w:r>
              <w:rPr>
                <w:rFonts w:ascii="宋体" w:hAnsi="宋体" w:cs="宋体" w:eastAsia="宋体" w:hint="default"/>
                <w:sz w:val="18"/>
                <w:szCs w:val="18"/>
              </w:rPr>
              <w:t> 受让新疆华商</w:t>
            </w:r>
          </w:p>
        </w:tc>
      </w:tr>
    </w:tbl>
    <w:p>
      <w:pPr>
        <w:spacing w:after="0" w:line="316" w:lineRule="auto"/>
        <w:jc w:val="left"/>
        <w:rPr>
          <w:rFonts w:ascii="宋体" w:hAnsi="宋体" w:cs="宋体" w:eastAsia="宋体" w:hint="default"/>
          <w:sz w:val="18"/>
          <w:szCs w:val="18"/>
        </w:rPr>
        <w:sectPr>
          <w:type w:val="continuous"/>
          <w:pgSz w:w="16840" w:h="11910" w:orient="landscape"/>
          <w:pgMar w:top="1060" w:bottom="1160" w:left="480" w:right="400"/>
        </w:sectPr>
      </w:pPr>
    </w:p>
    <w:p>
      <w:pPr>
        <w:spacing w:line="240" w:lineRule="auto" w:before="0"/>
        <w:rPr>
          <w:rFonts w:ascii="宋体" w:hAnsi="宋体" w:cs="宋体" w:eastAsia="宋体" w:hint="default"/>
          <w:sz w:val="20"/>
          <w:szCs w:val="20"/>
        </w:rPr>
      </w:pPr>
      <w:r>
        <w:rPr/>
        <w:pict>
          <v:shape style="position:absolute;margin-left:29.219999pt;margin-top:55.260006pt;width:787.65pt;height:479.55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992"/>
                    <w:gridCol w:w="709"/>
                    <w:gridCol w:w="1560"/>
                    <w:gridCol w:w="640"/>
                    <w:gridCol w:w="494"/>
                    <w:gridCol w:w="1417"/>
                    <w:gridCol w:w="993"/>
                    <w:gridCol w:w="851"/>
                    <w:gridCol w:w="1135"/>
                    <w:gridCol w:w="1276"/>
                    <w:gridCol w:w="1418"/>
                    <w:gridCol w:w="640"/>
                    <w:gridCol w:w="920"/>
                    <w:gridCol w:w="1274"/>
                  </w:tblGrid>
                  <w:tr>
                    <w:trPr>
                      <w:trHeight w:val="3497" w:hRule="exact"/>
                    </w:trPr>
                    <w:tc>
                      <w:tcPr>
                        <w:tcW w:w="1418"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640" w:type="dxa"/>
                        <w:tcBorders>
                          <w:top w:val="single" w:sz="15" w:space="0" w:color="000000"/>
                          <w:left w:val="single" w:sz="4" w:space="0" w:color="000000"/>
                          <w:bottom w:val="single" w:sz="4" w:space="0" w:color="000000"/>
                          <w:right w:val="single" w:sz="4" w:space="0" w:color="000000"/>
                        </w:tcBorders>
                      </w:tcPr>
                      <w:p>
                        <w:pPr/>
                      </w:p>
                    </w:tc>
                    <w:tc>
                      <w:tcPr>
                        <w:tcW w:w="494"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993"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4" w:right="95"/>
                          <w:jc w:val="both"/>
                          <w:rPr>
                            <w:rFonts w:ascii="宋体" w:hAnsi="宋体" w:cs="宋体" w:eastAsia="宋体" w:hint="default"/>
                            <w:sz w:val="18"/>
                            <w:szCs w:val="18"/>
                          </w:rPr>
                        </w:pPr>
                        <w:r>
                          <w:rPr>
                            <w:rFonts w:ascii="宋体" w:hAnsi="宋体" w:cs="宋体" w:eastAsia="宋体" w:hint="default"/>
                            <w:sz w:val="18"/>
                            <w:szCs w:val="18"/>
                          </w:rPr>
                          <w:t>资、通过 认购非公 开发行股 票或者受 让股权等 方式持有 上市公司 股份</w:t>
                        </w:r>
                      </w:p>
                    </w:tc>
                    <w:tc>
                      <w:tcPr>
                        <w:tcW w:w="1135"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00"/>
                          <w:jc w:val="left"/>
                          <w:rPr>
                            <w:rFonts w:ascii="宋体" w:hAnsi="宋体" w:cs="宋体" w:eastAsia="宋体" w:hint="default"/>
                            <w:sz w:val="18"/>
                            <w:szCs w:val="18"/>
                          </w:rPr>
                        </w:pPr>
                        <w:r>
                          <w:rPr>
                            <w:rFonts w:ascii="宋体" w:hAnsi="宋体" w:cs="宋体" w:eastAsia="宋体" w:hint="default"/>
                            <w:sz w:val="18"/>
                            <w:szCs w:val="18"/>
                          </w:rPr>
                          <w:t>变更登记手 续已完成</w:t>
                        </w:r>
                      </w:p>
                    </w:tc>
                    <w:tc>
                      <w:tcPr>
                        <w:tcW w:w="1276"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640" w:type="dxa"/>
                        <w:tcBorders>
                          <w:top w:val="single" w:sz="15" w:space="0" w:color="000000"/>
                          <w:left w:val="single" w:sz="4" w:space="0" w:color="000000"/>
                          <w:bottom w:val="single" w:sz="4" w:space="0" w:color="000000"/>
                          <w:right w:val="single" w:sz="4" w:space="0" w:color="000000"/>
                        </w:tcBorders>
                      </w:tcPr>
                      <w:p>
                        <w:pPr/>
                      </w:p>
                    </w:tc>
                    <w:tc>
                      <w:tcPr>
                        <w:tcW w:w="920"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71"/>
                          <w:jc w:val="left"/>
                          <w:rPr>
                            <w:rFonts w:ascii="宋体" w:hAnsi="宋体" w:cs="宋体" w:eastAsia="宋体" w:hint="default"/>
                            <w:sz w:val="18"/>
                            <w:szCs w:val="18"/>
                          </w:rPr>
                        </w:pPr>
                        <w:r>
                          <w:rPr>
                            <w:rFonts w:ascii="宋体" w:hAnsi="宋体" w:cs="宋体" w:eastAsia="宋体" w:hint="default"/>
                            <w:sz w:val="18"/>
                            <w:szCs w:val="18"/>
                          </w:rPr>
                          <w:t>盈通股权投资 有限公司股权 </w:t>
                        </w:r>
                        <w:r>
                          <w:rPr>
                            <w:rFonts w:ascii="宋体" w:hAnsi="宋体" w:cs="宋体" w:eastAsia="宋体" w:hint="default"/>
                            <w:spacing w:val="-13"/>
                            <w:sz w:val="18"/>
                            <w:szCs w:val="18"/>
                          </w:rPr>
                          <w:t>的公告》（公告</w:t>
                        </w:r>
                        <w:r>
                          <w:rPr>
                            <w:rFonts w:ascii="宋体" w:hAnsi="宋体" w:cs="宋体" w:eastAsia="宋体" w:hint="default"/>
                            <w:sz w:val="18"/>
                            <w:szCs w:val="18"/>
                          </w:rPr>
                          <w:t> 编号：</w:t>
                        </w:r>
                      </w:p>
                      <w:p>
                        <w:pPr>
                          <w:pStyle w:val="TableParagraph"/>
                          <w:spacing w:line="316" w:lineRule="auto" w:before="17"/>
                          <w:ind w:left="22" w:right="-19"/>
                          <w:jc w:val="left"/>
                          <w:rPr>
                            <w:rFonts w:ascii="宋体" w:hAnsi="宋体" w:cs="宋体" w:eastAsia="宋体" w:hint="default"/>
                            <w:sz w:val="18"/>
                            <w:szCs w:val="18"/>
                          </w:rPr>
                        </w:pPr>
                        <w:r>
                          <w:rPr>
                            <w:rFonts w:ascii="宋体" w:hAnsi="宋体" w:cs="宋体" w:eastAsia="宋体" w:hint="default"/>
                            <w:spacing w:val="-19"/>
                            <w:sz w:val="18"/>
                            <w:szCs w:val="18"/>
                          </w:rPr>
                          <w:t>2018-007</w:t>
                        </w:r>
                        <w:r>
                          <w:rPr>
                            <w:rFonts w:ascii="宋体" w:hAnsi="宋体" w:cs="宋体" w:eastAsia="宋体" w:hint="default"/>
                            <w:spacing w:val="-19"/>
                            <w:sz w:val="18"/>
                            <w:szCs w:val="18"/>
                          </w:rPr>
                          <w:t>）、《关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于受让新疆华 商盈通股权投 资有限公司股 权的进展公告》</w:t>
                        </w:r>
                      </w:p>
                      <w:p>
                        <w:pPr>
                          <w:pStyle w:val="TableParagraph"/>
                          <w:spacing w:line="319" w:lineRule="auto" w:before="19"/>
                          <w:ind w:left="22" w:right="161"/>
                          <w:jc w:val="left"/>
                          <w:rPr>
                            <w:rFonts w:ascii="宋体" w:hAnsi="宋体" w:cs="宋体" w:eastAsia="宋体" w:hint="default"/>
                            <w:sz w:val="18"/>
                            <w:szCs w:val="18"/>
                          </w:rPr>
                        </w:pPr>
                        <w:r>
                          <w:rPr>
                            <w:rFonts w:ascii="宋体" w:hAnsi="宋体" w:cs="宋体" w:eastAsia="宋体" w:hint="default"/>
                            <w:sz w:val="18"/>
                            <w:szCs w:val="18"/>
                          </w:rPr>
                          <w:t>（公告编号： </w:t>
                        </w:r>
                        <w:r>
                          <w:rPr>
                            <w:rFonts w:ascii="宋体" w:hAnsi="宋体" w:cs="宋体" w:eastAsia="宋体" w:hint="default"/>
                            <w:sz w:val="18"/>
                            <w:szCs w:val="18"/>
                          </w:rPr>
                          <w:t>2018-018</w:t>
                        </w:r>
                        <w:r>
                          <w:rPr>
                            <w:rFonts w:ascii="宋体" w:hAnsi="宋体" w:cs="宋体" w:eastAsia="宋体" w:hint="default"/>
                            <w:sz w:val="18"/>
                            <w:szCs w:val="18"/>
                          </w:rPr>
                          <w:t>）</w:t>
                        </w:r>
                      </w:p>
                    </w:tc>
                  </w:tr>
                  <w:tr>
                    <w:trPr>
                      <w:trHeight w:val="4147"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麦游互动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310" w:right="39" w:hanging="270"/>
                          <w:jc w:val="left"/>
                          <w:rPr>
                            <w:rFonts w:ascii="宋体" w:hAnsi="宋体" w:cs="宋体" w:eastAsia="宋体" w:hint="default"/>
                            <w:sz w:val="18"/>
                            <w:szCs w:val="18"/>
                          </w:rPr>
                        </w:pPr>
                        <w:r>
                          <w:rPr>
                            <w:rFonts w:ascii="宋体" w:hAnsi="宋体" w:cs="宋体" w:eastAsia="宋体" w:hint="default"/>
                            <w:sz w:val="18"/>
                            <w:szCs w:val="18"/>
                          </w:rPr>
                          <w:t>游戏研发及 运营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收购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185,640,000.00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51.00%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9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33"/>
                          <w:jc w:val="left"/>
                          <w:rPr>
                            <w:rFonts w:ascii="宋体" w:hAnsi="宋体" w:cs="宋体" w:eastAsia="宋体" w:hint="default"/>
                            <w:sz w:val="18"/>
                            <w:szCs w:val="18"/>
                          </w:rPr>
                        </w:pPr>
                        <w:r>
                          <w:rPr>
                            <w:rFonts w:ascii="宋体" w:hAnsi="宋体" w:cs="宋体" w:eastAsia="宋体" w:hint="default"/>
                            <w:spacing w:val="-10"/>
                            <w:sz w:val="18"/>
                            <w:szCs w:val="18"/>
                          </w:rPr>
                          <w:t>遵义米麦、凯普投</w:t>
                        </w:r>
                        <w:r>
                          <w:rPr>
                            <w:rFonts w:ascii="宋体" w:hAnsi="宋体" w:cs="宋体" w:eastAsia="宋体" w:hint="default"/>
                            <w:sz w:val="18"/>
                            <w:szCs w:val="18"/>
                          </w:rPr>
                          <w:t> </w:t>
                        </w:r>
                        <w:r>
                          <w:rPr>
                            <w:rFonts w:ascii="宋体" w:hAnsi="宋体" w:cs="宋体" w:eastAsia="宋体" w:hint="default"/>
                            <w:spacing w:val="-25"/>
                            <w:sz w:val="18"/>
                            <w:szCs w:val="18"/>
                          </w:rPr>
                          <w:t>资、陈虹、廖明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张丽娜、陈丛山、</w:t>
                        </w:r>
                        <w:r>
                          <w:rPr>
                            <w:rFonts w:ascii="宋体" w:hAnsi="宋体" w:cs="宋体" w:eastAsia="宋体" w:hint="default"/>
                            <w:spacing w:val="-23"/>
                            <w:sz w:val="18"/>
                            <w:szCs w:val="18"/>
                          </w:rPr>
                          <w:t> </w:t>
                        </w:r>
                        <w:r>
                          <w:rPr>
                            <w:rFonts w:ascii="宋体" w:hAnsi="宋体" w:cs="宋体" w:eastAsia="宋体" w:hint="default"/>
                            <w:sz w:val="18"/>
                            <w:szCs w:val="18"/>
                          </w:rPr>
                          <w:t>李坚文、许军声</w:t>
                        </w:r>
                        <w:r>
                          <w:rPr>
                            <w:rFonts w:ascii="宋体" w:hAnsi="宋体" w:cs="宋体" w:eastAsia="宋体" w:hint="default"/>
                            <w:sz w:val="18"/>
                            <w:szCs w:val="18"/>
                          </w:rPr>
                          <w:t> 王涛、彭亮</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p>
                        <w:pPr>
                          <w:pStyle w:val="TableParagraph"/>
                          <w:spacing w:line="240" w:lineRule="auto" w:before="75"/>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95"/>
                          <w:jc w:val="both"/>
                          <w:rPr>
                            <w:rFonts w:ascii="宋体" w:hAnsi="宋体" w:cs="宋体" w:eastAsia="宋体" w:hint="default"/>
                            <w:sz w:val="18"/>
                            <w:szCs w:val="18"/>
                          </w:rPr>
                        </w:pPr>
                        <w:r>
                          <w:rPr>
                            <w:rFonts w:ascii="宋体" w:hAnsi="宋体" w:cs="宋体" w:eastAsia="宋体" w:hint="default"/>
                            <w:sz w:val="18"/>
                            <w:szCs w:val="18"/>
                          </w:rPr>
                          <w:t>全国性手 机棋牌游 戏产品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200"/>
                          <w:jc w:val="both"/>
                          <w:rPr>
                            <w:rFonts w:ascii="宋体" w:hAnsi="宋体" w:cs="宋体" w:eastAsia="宋体" w:hint="default"/>
                            <w:sz w:val="18"/>
                            <w:szCs w:val="18"/>
                          </w:rPr>
                        </w:pPr>
                        <w:r>
                          <w:rPr>
                            <w:rFonts w:ascii="宋体" w:hAnsi="宋体" w:cs="宋体" w:eastAsia="宋体" w:hint="default"/>
                            <w:sz w:val="18"/>
                            <w:szCs w:val="18"/>
                          </w:rPr>
                          <w:t>麦游互动 </w:t>
                        </w:r>
                        <w:r>
                          <w:rPr>
                            <w:rFonts w:ascii="宋体" w:hAnsi="宋体" w:cs="宋体" w:eastAsia="宋体" w:hint="default"/>
                            <w:sz w:val="18"/>
                            <w:szCs w:val="18"/>
                          </w:rPr>
                          <w:t>51.00%</w:t>
                        </w:r>
                        <w:r>
                          <w:rPr>
                            <w:rFonts w:ascii="宋体" w:hAnsi="宋体" w:cs="宋体" w:eastAsia="宋体" w:hint="default"/>
                            <w:sz w:val="18"/>
                            <w:szCs w:val="18"/>
                          </w:rPr>
                          <w:t>股权</w:t>
                        </w:r>
                      </w:p>
                      <w:p>
                        <w:pPr>
                          <w:pStyle w:val="TableParagraph"/>
                          <w:spacing w:line="319" w:lineRule="auto" w:before="19"/>
                          <w:ind w:left="22" w:right="200"/>
                          <w:jc w:val="both"/>
                          <w:rPr>
                            <w:rFonts w:ascii="宋体" w:hAnsi="宋体" w:cs="宋体" w:eastAsia="宋体" w:hint="default"/>
                            <w:sz w:val="18"/>
                            <w:szCs w:val="18"/>
                          </w:rPr>
                        </w:pPr>
                        <w:r>
                          <w:rPr>
                            <w:rFonts w:ascii="宋体" w:hAnsi="宋体" w:cs="宋体" w:eastAsia="宋体" w:hint="default"/>
                            <w:sz w:val="18"/>
                            <w:szCs w:val="18"/>
                          </w:rPr>
                          <w:t>转让的工商 变更登记手 续已完成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9,240,929.99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10,167,426.87</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详见在巨潮网 </w:t>
                        </w:r>
                        <w:r>
                          <w:rPr>
                            <w:rFonts w:ascii="宋体" w:hAnsi="宋体" w:cs="宋体" w:eastAsia="宋体" w:hint="default"/>
                            <w:spacing w:val="-6"/>
                            <w:sz w:val="18"/>
                            <w:szCs w:val="18"/>
                          </w:rPr>
                          <w:t>上披露的《关于</w:t>
                        </w:r>
                        <w:r>
                          <w:rPr>
                            <w:rFonts w:ascii="宋体" w:hAnsi="宋体" w:cs="宋体" w:eastAsia="宋体" w:hint="default"/>
                            <w:sz w:val="18"/>
                            <w:szCs w:val="18"/>
                          </w:rPr>
                          <w:t> 购买深圳市麦 游互动科技有 限公司股权的 </w:t>
                        </w:r>
                        <w:r>
                          <w:rPr>
                            <w:rFonts w:ascii="宋体" w:hAnsi="宋体" w:cs="宋体" w:eastAsia="宋体" w:hint="default"/>
                            <w:spacing w:val="-13"/>
                            <w:sz w:val="18"/>
                            <w:szCs w:val="18"/>
                          </w:rPr>
                          <w:t>公告》（公告编</w:t>
                        </w:r>
                        <w:r>
                          <w:rPr>
                            <w:rFonts w:ascii="宋体" w:hAnsi="宋体" w:cs="宋体" w:eastAsia="宋体" w:hint="default"/>
                            <w:sz w:val="18"/>
                            <w:szCs w:val="18"/>
                          </w:rPr>
                          <w:t> </w:t>
                        </w:r>
                        <w:r>
                          <w:rPr>
                            <w:rFonts w:ascii="宋体" w:hAnsi="宋体" w:cs="宋体" w:eastAsia="宋体" w:hint="default"/>
                            <w:spacing w:val="-19"/>
                            <w:sz w:val="18"/>
                            <w:szCs w:val="18"/>
                          </w:rPr>
                          <w:t>号：</w:t>
                        </w:r>
                        <w:r>
                          <w:rPr>
                            <w:rFonts w:ascii="宋体" w:hAnsi="宋体" w:cs="宋体" w:eastAsia="宋体" w:hint="default"/>
                            <w:spacing w:val="-19"/>
                            <w:sz w:val="18"/>
                            <w:szCs w:val="18"/>
                          </w:rPr>
                          <w:t>2018-026</w:t>
                        </w:r>
                        <w:r>
                          <w:rPr>
                            <w:rFonts w:ascii="宋体" w:hAnsi="宋体" w:cs="宋体" w:eastAsia="宋体" w:hint="default"/>
                            <w:spacing w:val="-19"/>
                            <w:sz w:val="18"/>
                            <w:szCs w:val="18"/>
                          </w:rPr>
                          <w:t>）、</w:t>
                        </w:r>
                        <w:r>
                          <w:rPr>
                            <w:rFonts w:ascii="宋体" w:hAnsi="宋体" w:cs="宋体" w:eastAsia="宋体" w:hint="default"/>
                            <w:sz w:val="18"/>
                            <w:szCs w:val="18"/>
                          </w:rPr>
                        </w:r>
                      </w:p>
                      <w:p>
                        <w:pPr>
                          <w:pStyle w:val="TableParagraph"/>
                          <w:spacing w:line="319" w:lineRule="auto" w:before="19"/>
                          <w:ind w:left="22" w:right="110"/>
                          <w:jc w:val="both"/>
                          <w:rPr>
                            <w:rFonts w:ascii="宋体" w:hAnsi="宋体" w:cs="宋体" w:eastAsia="宋体" w:hint="default"/>
                            <w:sz w:val="18"/>
                            <w:szCs w:val="18"/>
                          </w:rPr>
                        </w:pPr>
                        <w:r>
                          <w:rPr>
                            <w:rFonts w:ascii="宋体" w:hAnsi="宋体" w:cs="宋体" w:eastAsia="宋体" w:hint="default"/>
                            <w:sz w:val="18"/>
                            <w:szCs w:val="18"/>
                          </w:rPr>
                          <w:t>《关于购买深 圳市麦游互动 科技有限公司 股权的进展公 </w:t>
                        </w:r>
                        <w:r>
                          <w:rPr>
                            <w:rFonts w:ascii="宋体" w:hAnsi="宋体" w:cs="宋体" w:eastAsia="宋体" w:hint="default"/>
                            <w:spacing w:val="-19"/>
                            <w:sz w:val="18"/>
                            <w:szCs w:val="18"/>
                          </w:rPr>
                          <w:t>告》（公告编号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2018-039</w:t>
                        </w:r>
                        <w:r>
                          <w:rPr>
                            <w:rFonts w:ascii="宋体" w:hAnsi="宋体" w:cs="宋体" w:eastAsia="宋体" w:hint="default"/>
                            <w:sz w:val="18"/>
                            <w:szCs w:val="18"/>
                          </w:rPr>
                          <w:t>）</w:t>
                        </w:r>
                      </w:p>
                    </w:tc>
                  </w:tr>
                  <w:tr>
                    <w:trPr>
                      <w:trHeight w:val="19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125"/>
                          <w:jc w:val="both"/>
                          <w:rPr>
                            <w:rFonts w:ascii="宋体" w:hAnsi="宋体" w:cs="宋体" w:eastAsia="宋体" w:hint="default"/>
                            <w:sz w:val="18"/>
                            <w:szCs w:val="18"/>
                          </w:rPr>
                        </w:pPr>
                        <w:r>
                          <w:rPr>
                            <w:rFonts w:ascii="宋体" w:hAnsi="宋体" w:cs="宋体" w:eastAsia="宋体" w:hint="default"/>
                            <w:sz w:val="18"/>
                            <w:szCs w:val="18"/>
                          </w:rPr>
                          <w:t>北京磐聿企业管 理中心（有限合 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投资业务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新设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300,000,000.00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99.67%</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4" w:right="9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122"/>
                          <w:jc w:val="left"/>
                          <w:rPr>
                            <w:rFonts w:ascii="宋体" w:hAnsi="宋体" w:cs="宋体" w:eastAsia="宋体" w:hint="default"/>
                            <w:sz w:val="18"/>
                            <w:szCs w:val="18"/>
                          </w:rPr>
                        </w:pPr>
                        <w:r>
                          <w:rPr>
                            <w:rFonts w:ascii="宋体" w:hAnsi="宋体" w:cs="宋体" w:eastAsia="宋体" w:hint="default"/>
                            <w:sz w:val="18"/>
                            <w:szCs w:val="18"/>
                          </w:rPr>
                          <w:t>上海镕聿企业管 理有限公司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投资业务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2" w:right="200"/>
                          <w:jc w:val="left"/>
                          <w:rPr>
                            <w:rFonts w:ascii="宋体" w:hAnsi="宋体" w:cs="宋体" w:eastAsia="宋体" w:hint="default"/>
                            <w:sz w:val="18"/>
                            <w:szCs w:val="18"/>
                          </w:rPr>
                        </w:pPr>
                        <w:r>
                          <w:rPr>
                            <w:rFonts w:ascii="宋体" w:hAnsi="宋体" w:cs="宋体" w:eastAsia="宋体" w:hint="default"/>
                            <w:sz w:val="18"/>
                            <w:szCs w:val="18"/>
                          </w:rPr>
                          <w:t>北京磐聿企 业管理中心</w:t>
                        </w:r>
                      </w:p>
                      <w:p>
                        <w:pPr>
                          <w:pStyle w:val="TableParagraph"/>
                          <w:spacing w:line="319"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（有限合伙） 的工商登记 手续已完成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详见在巨潮网 </w:t>
                        </w:r>
                        <w:r>
                          <w:rPr>
                            <w:rFonts w:ascii="宋体" w:hAnsi="宋体" w:cs="宋体" w:eastAsia="宋体" w:hint="default"/>
                            <w:spacing w:val="-6"/>
                            <w:sz w:val="18"/>
                            <w:szCs w:val="18"/>
                          </w:rPr>
                          <w:t>上披露的《关于</w:t>
                        </w:r>
                        <w:r>
                          <w:rPr>
                            <w:rFonts w:ascii="宋体" w:hAnsi="宋体" w:cs="宋体" w:eastAsia="宋体" w:hint="default"/>
                            <w:sz w:val="18"/>
                            <w:szCs w:val="18"/>
                          </w:rPr>
                          <w:t> 新疆华商盈通 股权投资有限 公司参与投资 设立有限合伙</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44"/>
        <w:ind w:left="0" w:right="106" w:firstLine="0"/>
        <w:jc w:val="right"/>
        <w:rPr>
          <w:rFonts w:ascii="宋体" w:hAnsi="宋体" w:cs="宋体" w:eastAsia="宋体" w:hint="default"/>
          <w:sz w:val="18"/>
          <w:szCs w:val="18"/>
        </w:rPr>
      </w:pPr>
      <w:r>
        <w:rPr/>
        <w:pict>
          <v:shape style="position:absolute;margin-left:376.031006pt;margin-top:-171.948288pt;width:64.3500pt;height:93.65pt;mso-position-horizontal-relative:page;mso-position-vertical-relative:paragraph;z-index:-14928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祯、</w:t>
                  </w:r>
                </w:p>
              </w:txbxContent>
            </v:textbox>
            <w10:wrap type="none"/>
          </v:shape>
        </w:pict>
      </w:r>
      <w:r>
        <w:rPr/>
        <w:pict>
          <v:group style="position:absolute;margin-left:391.220001pt;margin-top:-171.948288pt;width:49.2pt;height:206.9pt;mso-position-horizontal-relative:page;mso-position-vertical-relative:paragraph;z-index:1360" coordorigin="7824,-3439" coordsize="984,4138">
            <v:group style="position:absolute;left:7824;top:-3439;width:984;height:1873" coordorigin="7824,-3439" coordsize="984,1873">
              <v:shape style="position:absolute;left:7824;top:-3439;width:984;height:1873" coordorigin="7824,-3439" coordsize="984,1873" path="m7824,-1567l8808,-1567,8808,-3439,7824,-3439,7824,-1567xe" filled="true" fillcolor="#ffffff" stroked="false">
                <v:path arrowok="t"/>
                <v:fill type="solid"/>
              </v:shape>
            </v:group>
            <v:group style="position:absolute;left:7836;top:-1567;width:2;height:393" coordorigin="7836,-1567" coordsize="2,393">
              <v:shape style="position:absolute;left:7836;top:-1567;width:2;height:393" coordorigin="7836,-1567" coordsize="0,393" path="m7836,-1567l7836,-1174e" filled="false" stroked="true" strokeweight="1.140pt" strokecolor="#ffffff">
                <v:path arrowok="t"/>
              </v:shape>
            </v:group>
            <v:group style="position:absolute;left:7824;top:-1174;width:984;height:1873" coordorigin="7824,-1174" coordsize="984,1873">
              <v:shape style="position:absolute;left:7824;top:-1174;width:984;height:1873" coordorigin="7824,-1174" coordsize="984,1873" path="m7824,698l8808,698,8808,-1174,7824,-1174,7824,698xe" filled="true" fillcolor="#ffffff" stroked="false">
                <v:path arrowok="t"/>
                <v:fill type="solid"/>
              </v:shape>
            </v:group>
            <v:group style="position:absolute;left:7847;top:-1567;width:938;height:393" coordorigin="7847,-1567" coordsize="938,393">
              <v:shape style="position:absolute;left:7847;top:-1567;width:938;height:393" coordorigin="7847,-1567" coordsize="938,393" path="m7847,-1174l8785,-1174,8785,-1567,7847,-1567,7847,-1174xe" filled="true" fillcolor="#ffffff" stroked="false">
                <v:path arrowok="t"/>
                <v:fill type="solid"/>
              </v:shape>
            </v:group>
            <w10:wrap type="none"/>
          </v:group>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979" w:top="1060" w:bottom="1200" w:left="480" w:right="340"/>
        </w:sectPr>
      </w:pPr>
    </w:p>
    <w:p>
      <w:pPr>
        <w:spacing w:line="240" w:lineRule="auto" w:before="4"/>
        <w:rPr>
          <w:rFonts w:ascii="Times New Roman" w:hAnsi="Times New Roman" w:cs="Times New Roman" w:eastAsia="Times New Roman" w:hint="default"/>
          <w:sz w:val="3"/>
          <w:szCs w:val="3"/>
        </w:rPr>
      </w:pPr>
      <w:r>
        <w:rPr/>
        <w:pict>
          <v:shape style="position:absolute;margin-left:385.040009pt;margin-top:407.460022pt;width:55.35pt;height:53.6pt;mso-position-horizontal-relative:page;mso-position-vertical-relative:page;z-index:-1492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85.040009pt;margin-top:480.660004pt;width:55.35pt;height:53.6pt;mso-position-horizontal-relative:page;mso-position-vertical-relative:page;z-index:-1492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91.220001pt;margin-top:480.660004pt;width:49.2pt;height:53.6pt;mso-position-horizontal-relative:page;mso-position-vertical-relative:page;z-index:-1492672" coordorigin="7824,9613" coordsize="984,1072">
            <v:shape style="position:absolute;left:7824;top:9613;width:984;height:1072" coordorigin="7824,9613" coordsize="984,1072" path="m7824,10685l8808,10685,8808,9613,7824,9613,7824,10685xe" filled="true" fillcolor="#ffffff" stroked="false">
              <v:path arrowok="t"/>
              <v:fill type="solid"/>
            </v:shape>
            <w10:wrap type="none"/>
          </v:group>
        </w:pict>
      </w:r>
    </w:p>
    <w:tbl>
      <w:tblPr>
        <w:tblW w:w="0" w:type="auto"/>
        <w:jc w:val="left"/>
        <w:tblInd w:w="104" w:type="dxa"/>
        <w:tblLayout w:type="fixed"/>
        <w:tblCellMar>
          <w:top w:w="0" w:type="dxa"/>
          <w:left w:w="0" w:type="dxa"/>
          <w:bottom w:w="0" w:type="dxa"/>
          <w:right w:w="0" w:type="dxa"/>
        </w:tblCellMar>
        <w:tblLook w:val="01E0"/>
      </w:tblPr>
      <w:tblGrid>
        <w:gridCol w:w="1418"/>
        <w:gridCol w:w="992"/>
        <w:gridCol w:w="709"/>
        <w:gridCol w:w="1560"/>
        <w:gridCol w:w="640"/>
        <w:gridCol w:w="494"/>
        <w:gridCol w:w="1417"/>
        <w:gridCol w:w="993"/>
        <w:gridCol w:w="851"/>
        <w:gridCol w:w="1135"/>
        <w:gridCol w:w="1276"/>
        <w:gridCol w:w="1418"/>
        <w:gridCol w:w="640"/>
        <w:gridCol w:w="920"/>
        <w:gridCol w:w="1274"/>
      </w:tblGrid>
      <w:tr>
        <w:trPr>
          <w:trHeight w:val="5682" w:hRule="exact"/>
        </w:trPr>
        <w:tc>
          <w:tcPr>
            <w:tcW w:w="1418"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640" w:type="dxa"/>
            <w:tcBorders>
              <w:top w:val="single" w:sz="15" w:space="0" w:color="000000"/>
              <w:left w:val="single" w:sz="4" w:space="0" w:color="000000"/>
              <w:bottom w:val="single" w:sz="4" w:space="0" w:color="000000"/>
              <w:right w:val="single" w:sz="4" w:space="0" w:color="000000"/>
            </w:tcBorders>
          </w:tcPr>
          <w:p>
            <w:pPr/>
          </w:p>
        </w:tc>
        <w:tc>
          <w:tcPr>
            <w:tcW w:w="494"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993"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640" w:type="dxa"/>
            <w:tcBorders>
              <w:top w:val="single" w:sz="15" w:space="0" w:color="000000"/>
              <w:left w:val="single" w:sz="4" w:space="0" w:color="000000"/>
              <w:bottom w:val="single" w:sz="4" w:space="0" w:color="000000"/>
              <w:right w:val="single" w:sz="4" w:space="0" w:color="000000"/>
            </w:tcBorders>
          </w:tcPr>
          <w:p>
            <w:pPr/>
          </w:p>
        </w:tc>
        <w:tc>
          <w:tcPr>
            <w:tcW w:w="920"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企业的公告》</w:t>
            </w:r>
          </w:p>
          <w:p>
            <w:pPr>
              <w:pStyle w:val="TableParagraph"/>
              <w:spacing w:line="316" w:lineRule="auto" w:before="77"/>
              <w:ind w:left="22" w:right="20"/>
              <w:jc w:val="left"/>
              <w:rPr>
                <w:rFonts w:ascii="宋体" w:hAnsi="宋体" w:cs="宋体" w:eastAsia="宋体" w:hint="default"/>
                <w:sz w:val="18"/>
                <w:szCs w:val="18"/>
              </w:rPr>
            </w:pPr>
            <w:r>
              <w:rPr>
                <w:rFonts w:ascii="宋体" w:hAnsi="宋体" w:cs="宋体" w:eastAsia="宋体" w:hint="default"/>
                <w:sz w:val="18"/>
                <w:szCs w:val="18"/>
              </w:rPr>
              <w:t>（公告编号： </w:t>
            </w:r>
            <w:r>
              <w:rPr>
                <w:rFonts w:ascii="宋体" w:hAnsi="宋体" w:cs="宋体" w:eastAsia="宋体" w:hint="default"/>
                <w:spacing w:val="-19"/>
                <w:sz w:val="18"/>
                <w:szCs w:val="18"/>
              </w:rPr>
              <w:t>2018-033</w:t>
            </w:r>
            <w:r>
              <w:rPr>
                <w:rFonts w:ascii="宋体" w:hAnsi="宋体" w:cs="宋体" w:eastAsia="宋体" w:hint="default"/>
                <w:spacing w:val="-19"/>
                <w:sz w:val="18"/>
                <w:szCs w:val="18"/>
              </w:rPr>
              <w:t>）、《关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于新疆华商盈 通股权投资有 限公司参与投 资设立有限合 伙企业的补充 </w:t>
            </w:r>
            <w:r>
              <w:rPr>
                <w:rFonts w:ascii="宋体" w:hAnsi="宋体" w:cs="宋体" w:eastAsia="宋体" w:hint="default"/>
                <w:spacing w:val="-13"/>
                <w:sz w:val="18"/>
                <w:szCs w:val="18"/>
              </w:rPr>
              <w:t>公告》（公告编</w:t>
            </w:r>
            <w:r>
              <w:rPr>
                <w:rFonts w:ascii="宋体" w:hAnsi="宋体" w:cs="宋体" w:eastAsia="宋体" w:hint="default"/>
                <w:sz w:val="18"/>
                <w:szCs w:val="18"/>
              </w:rPr>
              <w:t> </w:t>
            </w:r>
            <w:r>
              <w:rPr>
                <w:rFonts w:ascii="宋体" w:hAnsi="宋体" w:cs="宋体" w:eastAsia="宋体" w:hint="default"/>
                <w:spacing w:val="-19"/>
                <w:sz w:val="18"/>
                <w:szCs w:val="18"/>
              </w:rPr>
              <w:t>号：</w:t>
            </w:r>
            <w:r>
              <w:rPr>
                <w:rFonts w:ascii="宋体" w:hAnsi="宋体" w:cs="宋体" w:eastAsia="宋体" w:hint="default"/>
                <w:spacing w:val="-19"/>
                <w:sz w:val="18"/>
                <w:szCs w:val="18"/>
              </w:rPr>
              <w:t>2018-037</w:t>
            </w:r>
            <w:r>
              <w:rPr>
                <w:rFonts w:ascii="宋体" w:hAnsi="宋体" w:cs="宋体" w:eastAsia="宋体" w:hint="default"/>
                <w:spacing w:val="-19"/>
                <w:sz w:val="18"/>
                <w:szCs w:val="18"/>
              </w:rPr>
              <w:t>）、</w:t>
            </w:r>
            <w:r>
              <w:rPr>
                <w:rFonts w:ascii="宋体" w:hAnsi="宋体" w:cs="宋体" w:eastAsia="宋体" w:hint="default"/>
                <w:sz w:val="18"/>
                <w:szCs w:val="18"/>
              </w:rPr>
            </w:r>
          </w:p>
          <w:p>
            <w:pPr>
              <w:pStyle w:val="TableParagraph"/>
              <w:spacing w:line="316" w:lineRule="auto" w:before="19"/>
              <w:ind w:left="22" w:right="71"/>
              <w:jc w:val="left"/>
              <w:rPr>
                <w:rFonts w:ascii="宋体" w:hAnsi="宋体" w:cs="宋体" w:eastAsia="宋体" w:hint="default"/>
                <w:sz w:val="18"/>
                <w:szCs w:val="18"/>
              </w:rPr>
            </w:pPr>
            <w:r>
              <w:rPr>
                <w:rFonts w:ascii="宋体" w:hAnsi="宋体" w:cs="宋体" w:eastAsia="宋体" w:hint="default"/>
                <w:sz w:val="18"/>
                <w:szCs w:val="18"/>
              </w:rPr>
              <w:t>《关于新疆华 商盈通股权投 资有限公司参 与投资设立有 限合伙企业的 </w:t>
            </w:r>
            <w:r>
              <w:rPr>
                <w:rFonts w:ascii="宋体" w:hAnsi="宋体" w:cs="宋体" w:eastAsia="宋体" w:hint="default"/>
                <w:spacing w:val="-13"/>
                <w:sz w:val="18"/>
                <w:szCs w:val="18"/>
              </w:rPr>
              <w:t>进展公告》（公</w:t>
            </w:r>
            <w:r>
              <w:rPr>
                <w:rFonts w:ascii="宋体" w:hAnsi="宋体" w:cs="宋体" w:eastAsia="宋体" w:hint="default"/>
                <w:sz w:val="18"/>
                <w:szCs w:val="18"/>
              </w:rPr>
              <w:t> 告编号：</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2018-057</w:t>
            </w:r>
            <w:r>
              <w:rPr>
                <w:rFonts w:ascii="宋体" w:hAnsi="宋体" w:cs="宋体" w:eastAsia="宋体" w:hint="default"/>
                <w:sz w:val="18"/>
                <w:szCs w:val="18"/>
              </w:rPr>
              <w:t>）</w:t>
            </w:r>
          </w:p>
        </w:tc>
      </w:tr>
      <w:tr>
        <w:trPr>
          <w:trHeight w:val="133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海南文旅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0" w:right="39"/>
              <w:jc w:val="both"/>
              <w:rPr>
                <w:rFonts w:ascii="宋体" w:hAnsi="宋体" w:cs="宋体" w:eastAsia="宋体" w:hint="default"/>
                <w:sz w:val="18"/>
                <w:szCs w:val="18"/>
              </w:rPr>
            </w:pPr>
            <w:r>
              <w:rPr>
                <w:rFonts w:ascii="宋体" w:hAnsi="宋体" w:cs="宋体" w:eastAsia="宋体" w:hint="default"/>
                <w:sz w:val="18"/>
                <w:szCs w:val="18"/>
              </w:rPr>
              <w:t>文创旅游产 业园投资开 发建设、物 业服务等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68"/>
              <w:jc w:val="right"/>
              <w:rPr>
                <w:rFonts w:ascii="宋体" w:hAnsi="宋体" w:cs="宋体" w:eastAsia="宋体" w:hint="default"/>
                <w:sz w:val="18"/>
                <w:szCs w:val="18"/>
              </w:rPr>
            </w:pPr>
            <w:r>
              <w:rPr>
                <w:rFonts w:ascii="宋体" w:hAnsi="宋体" w:cs="宋体" w:eastAsia="宋体" w:hint="default"/>
                <w:sz w:val="18"/>
                <w:szCs w:val="18"/>
              </w:rPr>
              <w:t>新设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385,000,000.00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55.00%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9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2"/>
              <w:jc w:val="left"/>
              <w:rPr>
                <w:rFonts w:ascii="宋体" w:hAnsi="宋体" w:cs="宋体" w:eastAsia="宋体" w:hint="default"/>
                <w:sz w:val="18"/>
                <w:szCs w:val="18"/>
              </w:rPr>
            </w:pPr>
            <w:r>
              <w:rPr>
                <w:rFonts w:ascii="宋体" w:hAnsi="宋体" w:cs="宋体" w:eastAsia="宋体" w:hint="default"/>
                <w:sz w:val="18"/>
                <w:szCs w:val="18"/>
              </w:rPr>
              <w:t>西藏常春藤创业 投资有限公司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95"/>
              <w:jc w:val="both"/>
              <w:rPr>
                <w:rFonts w:ascii="宋体" w:hAnsi="宋体" w:cs="宋体" w:eastAsia="宋体" w:hint="default"/>
                <w:sz w:val="18"/>
                <w:szCs w:val="18"/>
              </w:rPr>
            </w:pPr>
            <w:r>
              <w:rPr>
                <w:rFonts w:ascii="宋体" w:hAnsi="宋体" w:cs="宋体" w:eastAsia="宋体" w:hint="default"/>
                <w:sz w:val="18"/>
                <w:szCs w:val="18"/>
              </w:rPr>
              <w:t>负责双创 大厦的运 营和管理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0"/>
              <w:jc w:val="both"/>
              <w:rPr>
                <w:rFonts w:ascii="宋体" w:hAnsi="宋体" w:cs="宋体" w:eastAsia="宋体" w:hint="default"/>
                <w:sz w:val="18"/>
                <w:szCs w:val="18"/>
              </w:rPr>
            </w:pPr>
            <w:r>
              <w:rPr>
                <w:rFonts w:ascii="宋体" w:hAnsi="宋体" w:cs="宋体" w:eastAsia="宋体" w:hint="default"/>
                <w:sz w:val="18"/>
                <w:szCs w:val="18"/>
              </w:rPr>
              <w:t>海南文旅的 工商登记手 续已完成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-6,465,515.46</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sz w:val="18"/>
              </w:rPr>
              <w:t>--</w:t>
            </w:r>
          </w:p>
        </w:tc>
      </w:tr>
      <w:tr>
        <w:trPr>
          <w:trHeight w:val="254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车联网服务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收购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1,668,000,000.00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60.00%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4" w:right="9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0"/>
                <w:sz w:val="18"/>
                <w:szCs w:val="18"/>
              </w:rPr>
              <w:t>子栋科技、嘉兴慧</w:t>
            </w:r>
            <w:r>
              <w:rPr>
                <w:rFonts w:ascii="宋体" w:hAnsi="宋体" w:cs="宋体" w:eastAsia="宋体" w:hint="default"/>
                <w:sz w:val="18"/>
                <w:szCs w:val="18"/>
              </w:rPr>
              <w:t> 河股权投资合伙 </w:t>
            </w:r>
            <w:r>
              <w:rPr>
                <w:rFonts w:ascii="宋体" w:hAnsi="宋体" w:cs="宋体" w:eastAsia="宋体" w:hint="default"/>
                <w:spacing w:val="-10"/>
                <w:sz w:val="18"/>
                <w:szCs w:val="18"/>
              </w:rPr>
              <w:t>企业（有限合伙）</w:t>
            </w:r>
            <w:r>
              <w:rPr>
                <w:rFonts w:ascii="宋体" w:hAnsi="宋体" w:cs="宋体" w:eastAsia="宋体" w:hint="default"/>
                <w:sz w:val="18"/>
                <w:szCs w:val="18"/>
              </w:rPr>
              <w:t> </w:t>
            </w:r>
            <w:r>
              <w:rPr>
                <w:rFonts w:ascii="宋体" w:hAnsi="宋体" w:cs="宋体" w:eastAsia="宋体" w:hint="default"/>
                <w:spacing w:val="-10"/>
                <w:sz w:val="18"/>
                <w:szCs w:val="18"/>
              </w:rPr>
              <w:t>鼎金投资、新余正</w:t>
            </w:r>
            <w:r>
              <w:rPr>
                <w:rFonts w:ascii="宋体" w:hAnsi="宋体" w:cs="宋体" w:eastAsia="宋体" w:hint="default"/>
                <w:sz w:val="18"/>
                <w:szCs w:val="18"/>
              </w:rPr>
              <w:t> 佳智诚投资中心</w:t>
            </w:r>
          </w:p>
          <w:p>
            <w:pPr>
              <w:pStyle w:val="TableParagraph"/>
              <w:spacing w:line="316" w:lineRule="auto" w:before="19"/>
              <w:ind w:left="22" w:right="23"/>
              <w:jc w:val="left"/>
              <w:rPr>
                <w:rFonts w:ascii="宋体" w:hAnsi="宋体" w:cs="宋体" w:eastAsia="宋体" w:hint="default"/>
                <w:sz w:val="18"/>
                <w:szCs w:val="18"/>
              </w:rPr>
            </w:pPr>
            <w:r>
              <w:rPr>
                <w:rFonts w:ascii="宋体" w:hAnsi="宋体" w:cs="宋体" w:eastAsia="宋体" w:hint="default"/>
                <w:spacing w:val="-12"/>
                <w:sz w:val="18"/>
                <w:szCs w:val="18"/>
              </w:rPr>
              <w:t>（有限合伙）、新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余华浩远翔投资 </w:t>
            </w:r>
            <w:r>
              <w:rPr>
                <w:rFonts w:ascii="宋体" w:hAnsi="宋体" w:cs="宋体" w:eastAsia="宋体" w:hint="default"/>
                <w:spacing w:val="-10"/>
                <w:sz w:val="18"/>
                <w:szCs w:val="18"/>
              </w:rPr>
              <w:t>中心（有限合伙）</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107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pict>
                <v:group style="width:49.2pt;height:53.6pt;mso-position-horizontal-relative:char;mso-position-vertical-relative:line" coordorigin="0,0" coordsize="984,1072">
                  <v:group style="position:absolute;left:0;top:0;width:984;height:1072" coordorigin="0,0" coordsize="984,1072">
                    <v:shape style="position:absolute;left:0;top:0;width:984;height:1072" coordorigin="0,0" coordsize="984,1072" path="m0,1072l983,1072,983,0,0,0,0,1072xe" filled="true" fillcolor="#ffffff" stroked="false">
                      <v:path arrowok="t"/>
                      <v:fill type="solid"/>
                    </v:shape>
                  </v:group>
                </v:group>
              </w:pict>
            </w:r>
            <w:r>
              <w:rPr>
                <w:rFonts w:ascii="Times New Roman" w:hAnsi="Times New Roman" w:cs="Times New Roman" w:eastAsia="Times New Roman" w:hint="default"/>
                <w:position w:val="-20"/>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5"/>
              <w:jc w:val="both"/>
              <w:rPr>
                <w:rFonts w:ascii="宋体" w:hAnsi="宋体" w:cs="宋体" w:eastAsia="宋体" w:hint="default"/>
                <w:sz w:val="18"/>
                <w:szCs w:val="18"/>
              </w:rPr>
            </w:pPr>
            <w:r>
              <w:rPr>
                <w:rFonts w:ascii="宋体" w:hAnsi="宋体" w:cs="宋体" w:eastAsia="宋体" w:hint="default"/>
                <w:sz w:val="18"/>
                <w:szCs w:val="18"/>
              </w:rPr>
              <w:t>车载交互 系统开发 和以人工 智能为基 础、以大 数据分析 为核心的 车主运营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6" w:lineRule="auto"/>
              <w:ind w:left="22" w:right="200"/>
              <w:jc w:val="both"/>
              <w:rPr>
                <w:rFonts w:ascii="宋体" w:hAnsi="宋体" w:cs="宋体" w:eastAsia="宋体" w:hint="default"/>
                <w:sz w:val="18"/>
                <w:szCs w:val="18"/>
              </w:rPr>
            </w:pPr>
            <w:r>
              <w:rPr>
                <w:rFonts w:ascii="宋体" w:hAnsi="宋体" w:cs="宋体" w:eastAsia="宋体" w:hint="default"/>
                <w:sz w:val="18"/>
                <w:szCs w:val="18"/>
              </w:rPr>
              <w:t>车音智能 </w:t>
            </w:r>
            <w:r>
              <w:rPr>
                <w:rFonts w:ascii="宋体" w:hAnsi="宋体" w:cs="宋体" w:eastAsia="宋体" w:hint="default"/>
                <w:sz w:val="18"/>
                <w:szCs w:val="18"/>
              </w:rPr>
              <w:t>60.00%</w:t>
            </w:r>
            <w:r>
              <w:rPr>
                <w:rFonts w:ascii="宋体" w:hAnsi="宋体" w:cs="宋体" w:eastAsia="宋体" w:hint="default"/>
                <w:sz w:val="18"/>
                <w:szCs w:val="18"/>
              </w:rPr>
              <w:t>股权</w:t>
            </w:r>
          </w:p>
          <w:p>
            <w:pPr>
              <w:pStyle w:val="TableParagraph"/>
              <w:spacing w:line="319" w:lineRule="auto" w:before="19"/>
              <w:ind w:left="22" w:right="200"/>
              <w:jc w:val="both"/>
              <w:rPr>
                <w:rFonts w:ascii="宋体" w:hAnsi="宋体" w:cs="宋体" w:eastAsia="宋体" w:hint="default"/>
                <w:sz w:val="18"/>
                <w:szCs w:val="18"/>
              </w:rPr>
            </w:pPr>
            <w:r>
              <w:rPr>
                <w:rFonts w:ascii="宋体" w:hAnsi="宋体" w:cs="宋体" w:eastAsia="宋体" w:hint="default"/>
                <w:sz w:val="18"/>
                <w:szCs w:val="18"/>
              </w:rPr>
              <w:t>转让的工商 变更登记手 续已完成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79,406,131.75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90,272,593.81</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详见在巨潮网 </w:t>
            </w:r>
            <w:r>
              <w:rPr>
                <w:rFonts w:ascii="宋体" w:hAnsi="宋体" w:cs="宋体" w:eastAsia="宋体" w:hint="default"/>
                <w:spacing w:val="-6"/>
                <w:sz w:val="18"/>
                <w:szCs w:val="18"/>
              </w:rPr>
              <w:t>上披露的《关于</w:t>
            </w:r>
            <w:r>
              <w:rPr>
                <w:rFonts w:ascii="宋体" w:hAnsi="宋体" w:cs="宋体" w:eastAsia="宋体" w:hint="default"/>
                <w:sz w:val="18"/>
                <w:szCs w:val="18"/>
              </w:rPr>
              <w:t> 购买车音智能 科技有限公司 股权的公告》</w:t>
            </w:r>
          </w:p>
          <w:p>
            <w:pPr>
              <w:pStyle w:val="TableParagraph"/>
              <w:spacing w:line="316"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（公告编号： </w:t>
            </w:r>
            <w:r>
              <w:rPr>
                <w:rFonts w:ascii="宋体" w:hAnsi="宋体" w:cs="宋体" w:eastAsia="宋体" w:hint="default"/>
                <w:spacing w:val="-19"/>
                <w:sz w:val="18"/>
                <w:szCs w:val="18"/>
              </w:rPr>
              <w:t>2018-079</w:t>
            </w:r>
            <w:r>
              <w:rPr>
                <w:rFonts w:ascii="宋体" w:hAnsi="宋体" w:cs="宋体" w:eastAsia="宋体" w:hint="default"/>
                <w:spacing w:val="-19"/>
                <w:sz w:val="18"/>
                <w:szCs w:val="18"/>
              </w:rPr>
              <w:t>）、《关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于购买车音智</w:t>
            </w:r>
          </w:p>
        </w:tc>
      </w:tr>
    </w:tbl>
    <w:p>
      <w:pPr>
        <w:spacing w:after="0" w:line="316" w:lineRule="auto"/>
        <w:jc w:val="left"/>
        <w:rPr>
          <w:rFonts w:ascii="宋体" w:hAnsi="宋体" w:cs="宋体" w:eastAsia="宋体" w:hint="default"/>
          <w:sz w:val="18"/>
          <w:szCs w:val="18"/>
        </w:rPr>
        <w:sectPr>
          <w:pgSz w:w="16840" w:h="11910" w:orient="landscape"/>
          <w:pgMar w:header="867" w:footer="979" w:top="1060" w:bottom="1200" w:left="480" w:right="400"/>
        </w:sectPr>
      </w:pPr>
    </w:p>
    <w:p>
      <w:pPr>
        <w:spacing w:line="240" w:lineRule="auto" w:before="4"/>
        <w:rPr>
          <w:rFonts w:ascii="Times New Roman" w:hAnsi="Times New Roman" w:cs="Times New Roman" w:eastAsia="Times New Roman"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418"/>
        <w:gridCol w:w="992"/>
        <w:gridCol w:w="709"/>
        <w:gridCol w:w="1560"/>
        <w:gridCol w:w="640"/>
        <w:gridCol w:w="494"/>
        <w:gridCol w:w="1417"/>
        <w:gridCol w:w="993"/>
        <w:gridCol w:w="851"/>
        <w:gridCol w:w="1135"/>
        <w:gridCol w:w="1276"/>
        <w:gridCol w:w="1418"/>
        <w:gridCol w:w="640"/>
        <w:gridCol w:w="920"/>
        <w:gridCol w:w="1274"/>
      </w:tblGrid>
      <w:tr>
        <w:trPr>
          <w:trHeight w:val="1625" w:hRule="exact"/>
        </w:trPr>
        <w:tc>
          <w:tcPr>
            <w:tcW w:w="1418"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640" w:type="dxa"/>
            <w:tcBorders>
              <w:top w:val="single" w:sz="15" w:space="0" w:color="000000"/>
              <w:left w:val="single" w:sz="4" w:space="0" w:color="000000"/>
              <w:bottom w:val="single" w:sz="4" w:space="0" w:color="000000"/>
              <w:right w:val="single" w:sz="4" w:space="0" w:color="000000"/>
            </w:tcBorders>
          </w:tcPr>
          <w:p>
            <w:pPr/>
          </w:p>
        </w:tc>
        <w:tc>
          <w:tcPr>
            <w:tcW w:w="494"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新意资本</w:t>
            </w:r>
          </w:p>
        </w:tc>
        <w:tc>
          <w:tcPr>
            <w:tcW w:w="993"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275"/>
              <w:jc w:val="right"/>
              <w:rPr>
                <w:rFonts w:ascii="宋体" w:hAnsi="宋体" w:cs="宋体" w:eastAsia="宋体" w:hint="default"/>
                <w:sz w:val="18"/>
                <w:szCs w:val="18"/>
              </w:rPr>
            </w:pPr>
            <w:r>
              <w:rPr>
                <w:rFonts w:ascii="宋体" w:hAnsi="宋体" w:cs="宋体" w:eastAsia="宋体" w:hint="default"/>
                <w:sz w:val="18"/>
                <w:szCs w:val="18"/>
              </w:rPr>
              <w:t>及服务</w:t>
            </w:r>
          </w:p>
        </w:tc>
        <w:tc>
          <w:tcPr>
            <w:tcW w:w="1135"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640" w:type="dxa"/>
            <w:tcBorders>
              <w:top w:val="single" w:sz="15" w:space="0" w:color="000000"/>
              <w:left w:val="single" w:sz="4" w:space="0" w:color="000000"/>
              <w:bottom w:val="single" w:sz="4" w:space="0" w:color="000000"/>
              <w:right w:val="single" w:sz="4" w:space="0" w:color="000000"/>
            </w:tcBorders>
          </w:tcPr>
          <w:p>
            <w:pPr/>
          </w:p>
        </w:tc>
        <w:tc>
          <w:tcPr>
            <w:tcW w:w="920"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71"/>
              <w:jc w:val="left"/>
              <w:rPr>
                <w:rFonts w:ascii="宋体" w:hAnsi="宋体" w:cs="宋体" w:eastAsia="宋体" w:hint="default"/>
                <w:sz w:val="18"/>
                <w:szCs w:val="18"/>
              </w:rPr>
            </w:pPr>
            <w:r>
              <w:rPr>
                <w:rFonts w:ascii="宋体" w:hAnsi="宋体" w:cs="宋体" w:eastAsia="宋体" w:hint="default"/>
                <w:sz w:val="18"/>
                <w:szCs w:val="18"/>
              </w:rPr>
              <w:t>能科技有限公 司股权的的进 </w:t>
            </w:r>
            <w:r>
              <w:rPr>
                <w:rFonts w:ascii="宋体" w:hAnsi="宋体" w:cs="宋体" w:eastAsia="宋体" w:hint="default"/>
                <w:spacing w:val="-13"/>
                <w:sz w:val="18"/>
                <w:szCs w:val="18"/>
              </w:rPr>
              <w:t>展公告》（公告</w:t>
            </w:r>
            <w:r>
              <w:rPr>
                <w:rFonts w:ascii="宋体" w:hAnsi="宋体" w:cs="宋体" w:eastAsia="宋体" w:hint="default"/>
                <w:sz w:val="18"/>
                <w:szCs w:val="18"/>
              </w:rPr>
              <w:t> 编号：</w:t>
            </w:r>
          </w:p>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2018-092</w:t>
            </w:r>
            <w:r>
              <w:rPr>
                <w:rFonts w:ascii="宋体" w:hAnsi="宋体" w:cs="宋体" w:eastAsia="宋体" w:hint="default"/>
                <w:sz w:val="18"/>
                <w:szCs w:val="18"/>
              </w:rPr>
              <w:t>）</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sz w:val="18"/>
              </w:rPr>
              <w:t>2,637,390,000.00</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sz w:val="18"/>
              </w:rPr>
              <w:t>--</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9"/>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88,647,061.74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4" w:right="0"/>
              <w:jc w:val="left"/>
              <w:rPr>
                <w:rFonts w:ascii="宋体" w:hAnsi="宋体" w:cs="宋体" w:eastAsia="宋体" w:hint="default"/>
                <w:sz w:val="18"/>
                <w:szCs w:val="18"/>
              </w:rPr>
            </w:pPr>
            <w:r>
              <w:rPr>
                <w:rFonts w:ascii="宋体"/>
                <w:sz w:val="18"/>
              </w:rPr>
              <w:t>78,364,018.46</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960" w:right="0"/>
        <w:jc w:val="left"/>
        <w:rPr>
          <w:b w:val="0"/>
          <w:bCs w:val="0"/>
        </w:rPr>
      </w:pPr>
      <w:bookmarkStart w:name="3、报告期内正在进行的重大的非股权投资情况" w:id="47"/>
      <w:bookmarkEnd w:id="47"/>
      <w:r>
        <w:rPr>
          <w:b w:val="0"/>
          <w:bCs w:val="0"/>
        </w:rPr>
      </w:r>
      <w:r>
        <w:rPr>
          <w:rFonts w:ascii="宋体" w:hAnsi="宋体" w:cs="宋体" w:eastAsia="宋体" w:hint="default"/>
        </w:rPr>
        <w:t>3</w:t>
      </w:r>
      <w:r>
        <w:rPr/>
        <w:t>、报告期内正在进行的重大的非股权投资情况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spacing w:line="547" w:lineRule="auto" w:before="0"/>
        <w:ind w:left="960" w:right="1319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4、金融资产投资" w:id="48"/>
      <w:bookmarkEnd w:id="48"/>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、金融资产投资</w:t>
      </w:r>
      <w:r>
        <w:rPr>
          <w:rFonts w:ascii="宋体" w:hAnsi="宋体" w:cs="宋体" w:eastAsia="宋体" w:hint="default"/>
          <w:sz w:val="21"/>
          <w:szCs w:val="21"/>
        </w:rPr>
      </w:r>
    </w:p>
    <w:p>
      <w:pPr>
        <w:pStyle w:val="Heading4"/>
        <w:spacing w:line="240" w:lineRule="auto" w:before="70"/>
        <w:ind w:left="960" w:right="0"/>
        <w:jc w:val="left"/>
        <w:rPr>
          <w:b w:val="0"/>
          <w:bCs w:val="0"/>
        </w:rPr>
      </w:pPr>
      <w:bookmarkStart w:name="（1）证券投资情况" w:id="49"/>
      <w:bookmarkEnd w:id="49"/>
      <w:r>
        <w:rPr>
          <w:b w:val="0"/>
          <w:bCs w:val="0"/>
        </w:rPr>
      </w:r>
      <w:r>
        <w:rPr/>
        <w:t>（</w:t>
      </w:r>
      <w:r>
        <w:rPr>
          <w:rFonts w:ascii="宋体" w:hAnsi="宋体" w:cs="宋体" w:eastAsia="宋体" w:hint="default"/>
        </w:rPr>
        <w:t>1</w:t>
      </w:r>
      <w:r>
        <w:rPr/>
        <w:t>）证券投资情况</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6840" w:h="11910" w:orient="landscape"/>
          <w:pgMar w:header="867" w:footer="979" w:top="1060" w:bottom="1160" w:left="480" w:right="400"/>
        </w:sectPr>
      </w:pPr>
    </w:p>
    <w:p>
      <w:pPr>
        <w:pStyle w:val="BodyText"/>
        <w:spacing w:line="240" w:lineRule="auto" w:before="35"/>
        <w:ind w:left="960" w:right="-19"/>
        <w:jc w:val="left"/>
      </w:pPr>
      <w:r>
        <w:rPr/>
        <w:t>√ 适用 □</w:t>
      </w:r>
      <w:r>
        <w:rPr>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4"/>
          <w:szCs w:val="14"/>
        </w:rPr>
      </w:pPr>
    </w:p>
    <w:p>
      <w:pPr>
        <w:spacing w:before="0"/>
        <w:ind w:left="941" w:right="1017"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6840" w:h="11910" w:orient="landscape"/>
          <w:pgMar w:top="1060" w:bottom="1160" w:left="480" w:right="400"/>
          <w:cols w:num="2" w:equalWidth="0">
            <w:col w:w="2745" w:space="10495"/>
            <w:col w:w="2720"/>
          </w:cols>
        </w:sectPr>
      </w:pPr>
    </w:p>
    <w:p>
      <w:pPr>
        <w:spacing w:line="240" w:lineRule="auto" w:before="13"/>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709"/>
        <w:gridCol w:w="682"/>
        <w:gridCol w:w="1445"/>
        <w:gridCol w:w="1277"/>
        <w:gridCol w:w="1276"/>
        <w:gridCol w:w="1277"/>
        <w:gridCol w:w="1275"/>
        <w:gridCol w:w="1134"/>
        <w:gridCol w:w="1134"/>
        <w:gridCol w:w="1134"/>
        <w:gridCol w:w="1134"/>
        <w:gridCol w:w="1277"/>
        <w:gridCol w:w="1558"/>
        <w:gridCol w:w="426"/>
      </w:tblGrid>
      <w:tr>
        <w:trPr>
          <w:trHeight w:val="1026"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证券品 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证券代 码</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6"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1"/>
              <w:jc w:val="right"/>
              <w:rPr>
                <w:rFonts w:ascii="宋体" w:hAnsi="宋体" w:cs="宋体" w:eastAsia="宋体" w:hint="default"/>
                <w:sz w:val="18"/>
                <w:szCs w:val="18"/>
              </w:rPr>
            </w:pPr>
            <w:r>
              <w:rPr>
                <w:rFonts w:ascii="宋体" w:hAnsi="宋体" w:cs="宋体" w:eastAsia="宋体" w:hint="default"/>
                <w:sz w:val="18"/>
                <w:szCs w:val="18"/>
              </w:rPr>
              <w:t>最初投资成本</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3" w:right="0"/>
              <w:jc w:val="left"/>
              <w:rPr>
                <w:rFonts w:ascii="宋体" w:hAnsi="宋体" w:cs="宋体" w:eastAsia="宋体" w:hint="default"/>
                <w:sz w:val="18"/>
                <w:szCs w:val="18"/>
              </w:rPr>
            </w:pPr>
            <w:r>
              <w:rPr>
                <w:rFonts w:ascii="宋体" w:hAnsi="宋体" w:cs="宋体" w:eastAsia="宋体" w:hint="default"/>
                <w:sz w:val="18"/>
                <w:szCs w:val="18"/>
              </w:rPr>
              <w:t>会计计量模式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3"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1" w:right="93"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10"/>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71" w:right="110"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71" w:right="110"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1" w:right="0"/>
              <w:jc w:val="left"/>
              <w:rPr>
                <w:rFonts w:ascii="宋体" w:hAnsi="宋体" w:cs="宋体" w:eastAsia="宋体" w:hint="default"/>
                <w:sz w:val="18"/>
                <w:szCs w:val="18"/>
              </w:rPr>
            </w:pPr>
            <w:r>
              <w:rPr>
                <w:rFonts w:ascii="宋体" w:hAnsi="宋体" w:cs="宋体" w:eastAsia="宋体" w:hint="default"/>
                <w:sz w:val="18"/>
                <w:szCs w:val="18"/>
              </w:rPr>
              <w:t>报告期损益</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3"/>
              <w:jc w:val="right"/>
              <w:rPr>
                <w:rFonts w:ascii="宋体" w:hAnsi="宋体" w:cs="宋体" w:eastAsia="宋体" w:hint="default"/>
                <w:sz w:val="18"/>
                <w:szCs w:val="18"/>
              </w:rPr>
            </w:pPr>
            <w:r>
              <w:rPr>
                <w:rFonts w:ascii="宋体" w:hAnsi="宋体" w:cs="宋体" w:eastAsia="宋体" w:hint="default"/>
                <w:sz w:val="18"/>
                <w:szCs w:val="18"/>
              </w:rPr>
              <w:t>期末账面价值</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4" w:right="0"/>
              <w:jc w:val="left"/>
              <w:rPr>
                <w:rFonts w:ascii="宋体" w:hAnsi="宋体" w:cs="宋体" w:eastAsia="宋体" w:hint="default"/>
                <w:sz w:val="18"/>
                <w:szCs w:val="18"/>
              </w:rPr>
            </w:pPr>
            <w:r>
              <w:rPr>
                <w:rFonts w:ascii="宋体" w:hAnsi="宋体" w:cs="宋体" w:eastAsia="宋体" w:hint="default"/>
                <w:sz w:val="18"/>
                <w:szCs w:val="18"/>
              </w:rPr>
              <w:t>会计核算科目</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 w:right="26"/>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境内外 股票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300421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力星股份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公允价值计量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63,003,895.99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10,044,000.00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7,555,064.33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5,486,834.98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36,432,000.00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133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008699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50"/>
              <w:jc w:val="both"/>
              <w:rPr>
                <w:rFonts w:ascii="宋体" w:hAnsi="宋体" w:cs="宋体" w:eastAsia="宋体" w:hint="default"/>
                <w:sz w:val="18"/>
                <w:szCs w:val="18"/>
              </w:rPr>
            </w:pPr>
            <w:r>
              <w:rPr>
                <w:rFonts w:ascii="宋体" w:hAnsi="宋体" w:cs="宋体" w:eastAsia="宋体" w:hint="default"/>
                <w:sz w:val="18"/>
                <w:szCs w:val="18"/>
              </w:rPr>
              <w:t>招商银行点金公 司理财之步步生 金 </w:t>
            </w:r>
            <w:r>
              <w:rPr>
                <w:rFonts w:ascii="Times New Roman" w:hAnsi="Times New Roman" w:cs="Times New Roman" w:eastAsia="Times New Roman" w:hint="default"/>
                <w:sz w:val="18"/>
                <w:szCs w:val="18"/>
              </w:rPr>
              <w:t>8699 </w:t>
            </w:r>
            <w:r>
              <w:rPr>
                <w:rFonts w:ascii="宋体" w:hAnsi="宋体" w:cs="宋体" w:eastAsia="宋体" w:hint="default"/>
                <w:sz w:val="18"/>
                <w:szCs w:val="18"/>
              </w:rPr>
              <w:t>号理财 产品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成本法计量</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30,000,000.00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000621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易方达现金增利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公允价值计量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25,095,449.97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1,189,757.40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1,189,757.40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26,285,207.37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r>
    </w:tbl>
    <w:p>
      <w:pPr>
        <w:spacing w:after="0" w:line="240" w:lineRule="auto"/>
        <w:jc w:val="left"/>
        <w:rPr>
          <w:rFonts w:ascii="宋体" w:hAnsi="宋体" w:cs="宋体" w:eastAsia="宋体" w:hint="default"/>
          <w:sz w:val="18"/>
          <w:szCs w:val="18"/>
        </w:rPr>
        <w:sectPr>
          <w:type w:val="continuous"/>
          <w:pgSz w:w="16840" w:h="11910" w:orient="landscape"/>
          <w:pgMar w:top="1060" w:bottom="1160" w:left="480" w:right="400"/>
        </w:sectPr>
      </w:pPr>
    </w:p>
    <w:p>
      <w:pPr>
        <w:spacing w:line="240" w:lineRule="auto" w:before="12"/>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709"/>
        <w:gridCol w:w="682"/>
        <w:gridCol w:w="1445"/>
        <w:gridCol w:w="1277"/>
        <w:gridCol w:w="1276"/>
        <w:gridCol w:w="1277"/>
        <w:gridCol w:w="1275"/>
        <w:gridCol w:w="1134"/>
        <w:gridCol w:w="1134"/>
        <w:gridCol w:w="1134"/>
        <w:gridCol w:w="1134"/>
        <w:gridCol w:w="1277"/>
        <w:gridCol w:w="1558"/>
        <w:gridCol w:w="426"/>
      </w:tblGrid>
      <w:tr>
        <w:trPr>
          <w:trHeight w:val="377" w:hRule="exact"/>
        </w:trPr>
        <w:tc>
          <w:tcPr>
            <w:tcW w:w="709"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15" w:space="0" w:color="000000"/>
              <w:left w:val="single" w:sz="4" w:space="0" w:color="000000"/>
              <w:bottom w:val="single" w:sz="4" w:space="0" w:color="000000"/>
              <w:right w:val="single" w:sz="4" w:space="0" w:color="000000"/>
            </w:tcBorders>
          </w:tcPr>
          <w:p>
            <w:pPr/>
          </w:p>
        </w:tc>
        <w:tc>
          <w:tcPr>
            <w:tcW w:w="144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货币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1277"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275"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558"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
              <w:jc w:val="center"/>
              <w:rPr>
                <w:rFonts w:ascii="宋体" w:hAnsi="宋体" w:cs="宋体" w:eastAsia="宋体" w:hint="default"/>
                <w:sz w:val="18"/>
                <w:szCs w:val="18"/>
              </w:rPr>
            </w:pPr>
            <w:r>
              <w:rPr>
                <w:rFonts w:ascii="宋体" w:hAnsi="宋体" w:cs="宋体" w:eastAsia="宋体" w:hint="default"/>
                <w:sz w:val="18"/>
                <w:szCs w:val="18"/>
              </w:rPr>
              <w:t>资金</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003753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工银瑞信如意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公允价值计量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20,092,233.96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890,234.60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890,234.60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20,982,468.56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招商银行短期理 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成本法计量</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133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0" w:lineRule="auto"/>
              <w:ind w:left="22" w:right="58"/>
              <w:jc w:val="left"/>
              <w:rPr>
                <w:rFonts w:ascii="Times New Roman" w:hAnsi="Times New Roman" w:cs="Times New Roman" w:eastAsia="Times New Roman" w:hint="default"/>
                <w:sz w:val="18"/>
                <w:szCs w:val="18"/>
              </w:rPr>
            </w:pPr>
            <w:r>
              <w:rPr>
                <w:rFonts w:ascii="Times New Roman"/>
                <w:sz w:val="18"/>
              </w:rPr>
              <w:t>SH0720 179650</w:t>
            </w:r>
          </w:p>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sz w:val="18"/>
              </w:rPr>
              <w:t>35D01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中国建设银行上 海市分行</w:t>
            </w:r>
            <w:r>
              <w:rPr>
                <w:rFonts w:ascii="Times New Roman" w:hAnsi="Times New Roman" w:cs="Times New Roman" w:eastAsia="Times New Roman" w:hint="default"/>
                <w:sz w:val="18"/>
                <w:szCs w:val="18"/>
              </w:rPr>
              <w:t>“</w:t>
            </w:r>
            <w:r>
              <w:rPr>
                <w:rFonts w:ascii="宋体" w:hAnsi="宋体" w:cs="宋体" w:eastAsia="宋体" w:hint="default"/>
                <w:sz w:val="18"/>
                <w:szCs w:val="18"/>
              </w:rPr>
              <w:t>乾元</w:t>
            </w:r>
            <w:r>
              <w:rPr>
                <w:rFonts w:ascii="Times New Roman" w:hAnsi="Times New Roman" w:cs="Times New Roman" w:eastAsia="Times New Roman" w:hint="default"/>
                <w:sz w:val="18"/>
                <w:szCs w:val="18"/>
              </w:rPr>
              <w:t>— </w:t>
            </w:r>
            <w:r>
              <w:rPr>
                <w:rFonts w:ascii="宋体" w:hAnsi="宋体" w:cs="宋体" w:eastAsia="宋体" w:hint="default"/>
                <w:sz w:val="18"/>
                <w:szCs w:val="18"/>
              </w:rPr>
              <w:t>日日增利</w:t>
            </w:r>
            <w:r>
              <w:rPr>
                <w:rFonts w:ascii="Times New Roman" w:hAnsi="Times New Roman" w:cs="Times New Roman" w:eastAsia="Times New Roman" w:hint="default"/>
                <w:sz w:val="18"/>
                <w:szCs w:val="18"/>
              </w:rPr>
              <w:t>”</w:t>
            </w:r>
            <w:r>
              <w:rPr>
                <w:rFonts w:ascii="宋体" w:hAnsi="宋体" w:cs="宋体" w:eastAsia="宋体" w:hint="default"/>
                <w:sz w:val="18"/>
                <w:szCs w:val="18"/>
              </w:rPr>
              <w:t>开放式 资产组合型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成本法计量</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28"/>
              <w:jc w:val="left"/>
              <w:rPr>
                <w:rFonts w:ascii="Times New Roman" w:hAnsi="Times New Roman" w:cs="Times New Roman" w:eastAsia="Times New Roman" w:hint="default"/>
                <w:sz w:val="18"/>
                <w:szCs w:val="18"/>
              </w:rPr>
            </w:pPr>
            <w:r>
              <w:rPr>
                <w:rFonts w:ascii="Times New Roman"/>
                <w:sz w:val="18"/>
              </w:rPr>
              <w:t>AXKX</w:t>
            </w:r>
            <w:r>
              <w:rPr>
                <w:rFonts w:ascii="Times New Roman"/>
                <w:spacing w:val="-1"/>
                <w:w w:val="99"/>
                <w:sz w:val="18"/>
              </w:rPr>
              <w:t> </w:t>
            </w:r>
            <w:r>
              <w:rPr>
                <w:rFonts w:ascii="Times New Roman"/>
                <w:sz w:val="18"/>
              </w:rPr>
              <w:t>TT2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安心快线天天利 滚利第二期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成本法计量</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境内外 股票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000001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平安银行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12,811,695.80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公允价值计量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12,403,473.60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-3,655,760.64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126,832.51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8,747,712.96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境内外 股票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002196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方正电机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25,263,869.53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公允价值计量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11,805,749.28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-5,410,968.42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63,064.90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6,394,780.86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境内外 股票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002249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大洋电机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23,998,394.15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公允价值计量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12,937,079.73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-6,811,920.03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204,171.99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6,125,159.70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402" w:hRule="exact"/>
        </w:trPr>
        <w:tc>
          <w:tcPr>
            <w:tcW w:w="283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3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198,673,959.48</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145,337,882.53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-13,798,657.09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10,044,000.00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7,555,064.33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7,960,896.38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169,967,329.45</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3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证券投资审批董事会公告披露日期</w:t>
            </w:r>
          </w:p>
        </w:tc>
        <w:tc>
          <w:tcPr>
            <w:tcW w:w="1290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83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证券投资审批股东会公告披露日期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z w:val="18"/>
                <w:szCs w:val="18"/>
              </w:rPr>
              <w:t>)</w:t>
            </w:r>
          </w:p>
        </w:tc>
        <w:tc>
          <w:tcPr>
            <w:tcW w:w="12901" w:type="dxa"/>
            <w:gridSpan w:val="11"/>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960" w:right="0"/>
        <w:jc w:val="left"/>
        <w:rPr>
          <w:b w:val="0"/>
          <w:bCs w:val="0"/>
        </w:rPr>
      </w:pPr>
      <w:bookmarkStart w:name="（2）衍生品投资情况" w:id="50"/>
      <w:bookmarkEnd w:id="50"/>
      <w:r>
        <w:rPr>
          <w:b w:val="0"/>
          <w:bCs w:val="0"/>
        </w:rPr>
      </w:r>
      <w:r>
        <w:rPr/>
        <w:t>（</w:t>
      </w:r>
      <w:r>
        <w:rPr>
          <w:rFonts w:ascii="宋体" w:hAnsi="宋体" w:cs="宋体" w:eastAsia="宋体" w:hint="default"/>
        </w:rPr>
        <w:t>2</w:t>
      </w:r>
      <w:r>
        <w:rPr/>
        <w:t>）衍生品投资情况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left="960" w:right="0"/>
        <w:jc w:val="left"/>
      </w:pPr>
      <w:r>
        <w:rPr/>
        <w:t>□ 适用 √</w:t>
      </w:r>
      <w:r>
        <w:rPr>
          <w:spacing w:val="-2"/>
        </w:rPr>
        <w:t> </w:t>
      </w:r>
      <w:r>
        <w:rPr/>
        <w:t>不适用</w:t>
      </w:r>
    </w:p>
    <w:p>
      <w:pPr>
        <w:spacing w:after="0" w:line="240" w:lineRule="auto"/>
        <w:jc w:val="left"/>
        <w:sectPr>
          <w:pgSz w:w="16840" w:h="11910" w:orient="landscape"/>
          <w:pgMar w:header="867" w:footer="979" w:top="1060" w:bottom="1160" w:left="480" w:right="40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8"/>
          <w:szCs w:val="8"/>
        </w:rPr>
      </w:pPr>
    </w:p>
    <w:p>
      <w:pPr>
        <w:spacing w:line="547" w:lineRule="auto" w:before="35"/>
        <w:ind w:left="140" w:right="11138" w:firstLine="0"/>
        <w:jc w:val="left"/>
        <w:rPr>
          <w:rFonts w:ascii="宋体" w:hAnsi="宋体" w:cs="宋体" w:eastAsia="宋体" w:hint="default"/>
          <w:sz w:val="21"/>
          <w:szCs w:val="21"/>
        </w:rPr>
      </w:pPr>
      <w:r>
        <w:rPr>
          <w:rFonts w:ascii="宋体" w:hAnsi="宋体" w:cs="宋体" w:eastAsia="宋体" w:hint="default"/>
          <w:sz w:val="21"/>
          <w:szCs w:val="21"/>
        </w:rPr>
        <w:t>公司报告期不存在衍生品投资。 </w:t>
      </w:r>
      <w:bookmarkStart w:name="5、募集资金使用情况" w:id="51"/>
      <w:bookmarkEnd w:id="51"/>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1"/>
        <w:rPr>
          <w:rFonts w:ascii="宋体" w:hAnsi="宋体" w:cs="宋体" w:eastAsia="宋体" w:hint="default"/>
          <w:b/>
          <w:bCs/>
          <w:sz w:val="17"/>
          <w:szCs w:val="17"/>
        </w:rPr>
      </w:pPr>
    </w:p>
    <w:p>
      <w:pPr>
        <w:pStyle w:val="BodyText"/>
        <w:spacing w:line="453" w:lineRule="auto"/>
        <w:ind w:left="140" w:right="10928"/>
        <w:jc w:val="left"/>
      </w:pPr>
      <w:r>
        <w:rPr/>
        <w:t>□ 适用 √</w:t>
      </w:r>
      <w:r>
        <w:rPr>
          <w:spacing w:val="-2"/>
        </w:rPr>
        <w:t> </w:t>
      </w:r>
      <w:r>
        <w:rPr/>
        <w:t>不适用</w:t>
      </w:r>
      <w:r>
        <w:rPr/>
        <w:t> 公司报告期无募集资金使用情况。</w:t>
      </w:r>
    </w:p>
    <w:p>
      <w:pPr>
        <w:pStyle w:val="Heading2"/>
        <w:spacing w:line="240" w:lineRule="auto" w:before="143"/>
        <w:ind w:left="140" w:right="11138"/>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40" w:right="11138"/>
        <w:jc w:val="left"/>
        <w:rPr>
          <w:b w:val="0"/>
          <w:bCs w:val="0"/>
        </w:rPr>
      </w:pPr>
      <w:bookmarkStart w:name="1、出售重大资产情况" w:id="53"/>
      <w:bookmarkEnd w:id="53"/>
      <w:r>
        <w:rPr>
          <w:b w:val="0"/>
          <w:bCs w:val="0"/>
        </w:rPr>
      </w:r>
      <w:r>
        <w:rPr>
          <w:rFonts w:ascii="宋体" w:hAnsi="宋体" w:cs="宋体" w:eastAsia="宋体" w:hint="default"/>
        </w:rPr>
        <w:t>1</w:t>
      </w:r>
      <w:r>
        <w:rPr/>
        <w:t>、出售重大资产情况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453" w:lineRule="auto"/>
        <w:ind w:left="140" w:right="11348"/>
        <w:jc w:val="left"/>
      </w:pPr>
      <w:r>
        <w:rPr/>
        <w:t>□ 适用 √</w:t>
      </w:r>
      <w:r>
        <w:rPr>
          <w:spacing w:val="-2"/>
        </w:rPr>
        <w:t> </w:t>
      </w:r>
      <w:r>
        <w:rPr/>
        <w:t>不适用</w:t>
      </w:r>
      <w:r>
        <w:rPr/>
        <w:t> 公司报告期未出售重大资产。</w:t>
      </w:r>
    </w:p>
    <w:p>
      <w:pPr>
        <w:pStyle w:val="Heading4"/>
        <w:spacing w:line="240" w:lineRule="auto" w:before="164"/>
        <w:ind w:left="140" w:right="11138"/>
        <w:jc w:val="left"/>
        <w:rPr>
          <w:b w:val="0"/>
          <w:bCs w:val="0"/>
        </w:rPr>
      </w:pPr>
      <w:bookmarkStart w:name="2、出售重大股权情况" w:id="54"/>
      <w:bookmarkEnd w:id="54"/>
      <w:r>
        <w:rPr>
          <w:b w:val="0"/>
          <w:bCs w:val="0"/>
        </w:rPr>
      </w:r>
      <w:r>
        <w:rPr>
          <w:rFonts w:ascii="宋体" w:hAnsi="宋体" w:cs="宋体" w:eastAsia="宋体" w:hint="default"/>
        </w:rPr>
        <w:t>2</w:t>
      </w:r>
      <w:r>
        <w:rPr/>
        <w:t>、出售重大股权情况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240" w:lineRule="auto"/>
        <w:ind w:left="140" w:right="11138"/>
        <w:jc w:val="left"/>
      </w:pPr>
      <w:r>
        <w:rPr/>
        <w:t>□ 适用 √</w:t>
      </w:r>
      <w:r>
        <w:rPr>
          <w:spacing w:val="-2"/>
        </w:rPr>
        <w:t> </w:t>
      </w:r>
      <w:r>
        <w:rPr/>
        <w:t>不适用</w:t>
      </w:r>
    </w:p>
    <w:p>
      <w:pPr>
        <w:spacing w:after="0" w:line="240" w:lineRule="auto"/>
        <w:jc w:val="left"/>
        <w:sectPr>
          <w:pgSz w:w="16840" w:h="11910" w:orient="landscape"/>
          <w:pgMar w:header="867" w:footer="979" w:top="1060" w:bottom="1160" w:left="1300" w:right="1300"/>
        </w:sectPr>
      </w:pPr>
    </w:p>
    <w:p>
      <w:pPr>
        <w:pStyle w:val="Heading2"/>
        <w:spacing w:line="240" w:lineRule="auto" w:before="30"/>
        <w:ind w:left="680" w:right="0"/>
        <w:jc w:val="left"/>
        <w:rPr>
          <w:b w:val="0"/>
          <w:bCs w:val="0"/>
        </w:rPr>
      </w:pPr>
      <w:r>
        <w:rPr/>
        <w:pict>
          <v:group style="position:absolute;margin-left:70.5pt;margin-top:2.255627pt;width:701pt;height:.1pt;mso-position-horizontal-relative:page;mso-position-vertical-relative:paragraph;z-index:-1492624"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七、主要控股参股公司分析" w:id="55"/>
      <w:bookmarkEnd w:id="55"/>
      <w:r>
        <w:rPr>
          <w:b w:val="0"/>
          <w:bCs w:val="0"/>
        </w:rPr>
      </w:r>
      <w:r>
        <w:rPr/>
        <w:t>七、主要控股参股公司分析</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1"/>
        <w:ind w:left="680" w:right="0"/>
        <w:jc w:val="left"/>
      </w:pPr>
      <w:r>
        <w:rPr/>
        <w:t>√ 适用 □</w:t>
      </w:r>
      <w:r>
        <w:rPr>
          <w:spacing w:val="-2"/>
        </w:rPr>
        <w:t> </w:t>
      </w:r>
      <w:r>
        <w:rPr/>
        <w:t>不适用</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6840" w:h="11910" w:orient="landscape"/>
          <w:pgMar w:header="867" w:footer="979" w:top="1060" w:bottom="1160" w:left="760" w:right="960"/>
        </w:sectPr>
      </w:pPr>
    </w:p>
    <w:p>
      <w:pPr>
        <w:pStyle w:val="BodyText"/>
        <w:spacing w:line="240" w:lineRule="auto" w:before="35"/>
        <w:ind w:left="680" w:right="-19"/>
        <w:jc w:val="left"/>
      </w:pPr>
      <w:r>
        <w:rPr/>
        <w:t>主要子公司及对公司净利润影响达</w:t>
      </w:r>
      <w:r>
        <w:rPr>
          <w:spacing w:val="-54"/>
        </w:rPr>
        <w:t> </w:t>
      </w:r>
      <w:r>
        <w:rPr>
          <w:rFonts w:ascii="宋体" w:hAnsi="宋体" w:cs="宋体" w:eastAsia="宋体"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4"/>
          <w:szCs w:val="14"/>
        </w:rPr>
      </w:pPr>
    </w:p>
    <w:p>
      <w:pPr>
        <w:spacing w:before="0"/>
        <w:ind w:left="68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60" w:bottom="1160" w:left="760" w:right="960"/>
          <w:cols w:num="2" w:equalWidth="0">
            <w:col w:w="6088" w:space="7152"/>
            <w:col w:w="1880"/>
          </w:cols>
        </w:sectPr>
      </w:pP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055"/>
        <w:gridCol w:w="1197"/>
        <w:gridCol w:w="3278"/>
        <w:gridCol w:w="1559"/>
        <w:gridCol w:w="1560"/>
        <w:gridCol w:w="1559"/>
        <w:gridCol w:w="1559"/>
        <w:gridCol w:w="1418"/>
        <w:gridCol w:w="1702"/>
      </w:tblGrid>
      <w:tr>
        <w:trPr>
          <w:trHeight w:val="402"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402"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拥有《证券时报》经营业务的独家经营权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1,171,735,930.17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827,859,918.64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856,725,478.86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74,595,749.99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57,200,204.45</w:t>
            </w:r>
          </w:p>
        </w:tc>
      </w:tr>
      <w:tr>
        <w:trPr>
          <w:trHeight w:val="714"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
                <w:sz w:val="18"/>
                <w:szCs w:val="18"/>
              </w:rPr>
              <w:t>取得独家代理经营《华商报》等媒体的广</w:t>
            </w:r>
            <w:r>
              <w:rPr>
                <w:rFonts w:ascii="宋体" w:hAnsi="宋体" w:cs="宋体" w:eastAsia="宋体" w:hint="default"/>
                <w:sz w:val="18"/>
                <w:szCs w:val="18"/>
              </w:rPr>
              <w:t> 告、发行、印刷与纸张采购业务的权利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3,177,097,214.85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2,199,913,203.30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1,233,985,194.98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-69,474,027.11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-76,363,119.63</w:t>
            </w:r>
          </w:p>
        </w:tc>
      </w:tr>
      <w:tr>
        <w:trPr>
          <w:trHeight w:val="402"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上海鸿立</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实业投资等</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716,372,915.76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628,936,526.41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1,440,037.87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-9,634,149.23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-10,650,505.96</w:t>
            </w:r>
          </w:p>
        </w:tc>
      </w:tr>
      <w:tr>
        <w:trPr>
          <w:trHeight w:val="714"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国广光荣</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拥有国际台在国内三套广播频率广告经 营业务的独家经营权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426,053,803.45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334,292,637.15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230,407,159.41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48,466,942.35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51,797,850.25</w:t>
            </w:r>
          </w:p>
        </w:tc>
      </w:tr>
      <w:tr>
        <w:trPr>
          <w:trHeight w:val="402"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留学咨询服务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100,063,175.96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-162,517,643.79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43,401,215.01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-485,660,219.81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-495,790,791.57</w:t>
            </w:r>
          </w:p>
        </w:tc>
      </w:tr>
      <w:tr>
        <w:trPr>
          <w:trHeight w:val="402"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出版物印刷业务等</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117,647,058.80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410,178,255.50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377,706,069.18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140,183,802.37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-11,468,004.47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-11,390,881.51</w:t>
            </w:r>
          </w:p>
        </w:tc>
      </w:tr>
      <w:tr>
        <w:trPr>
          <w:trHeight w:val="402"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华商广告</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广告的设计、制作、代理、发布等</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1,258,119,500.25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1,097,314,319.81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330,947,635.93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-89,361,837.46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-99,756,909.89</w:t>
            </w:r>
          </w:p>
        </w:tc>
      </w:tr>
      <w:tr>
        <w:trPr>
          <w:trHeight w:val="402"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国视上海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手机音</w:t>
            </w:r>
            <w:r>
              <w:rPr>
                <w:rFonts w:ascii="宋体" w:hAnsi="宋体" w:cs="宋体" w:eastAsia="宋体" w:hint="default"/>
                <w:sz w:val="18"/>
                <w:szCs w:val="18"/>
              </w:rPr>
              <w:t>/</w:t>
            </w:r>
            <w:r>
              <w:rPr>
                <w:rFonts w:ascii="宋体" w:hAnsi="宋体" w:cs="宋体" w:eastAsia="宋体" w:hint="default"/>
                <w:sz w:val="18"/>
                <w:szCs w:val="18"/>
              </w:rPr>
              <w:t>视频业务运营管理服务业务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569,369,231.96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61,557,070.10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90,219,517.39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1,060,028.12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1,026,828.88</w:t>
            </w:r>
          </w:p>
        </w:tc>
      </w:tr>
      <w:tr>
        <w:trPr>
          <w:trHeight w:val="402"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运营商视频的内容分销及推广业务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384,828,044.22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329,942,168.48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491,712,044.75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-10,200,592.19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-8,377,021.41</w:t>
            </w:r>
          </w:p>
        </w:tc>
      </w:tr>
      <w:tr>
        <w:trPr>
          <w:trHeight w:val="402"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楼宇广告服务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128,279,415.24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101,449,761.97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66,925,543.00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-26,761,704.05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-32,562,350.88</w:t>
            </w:r>
          </w:p>
        </w:tc>
      </w:tr>
      <w:tr>
        <w:trPr>
          <w:trHeight w:val="402"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动漫产品销售及动漫服务业务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138,432,453.77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54,534,575.81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57,651,331.95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-40,305,699.62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-38,922,784.70</w:t>
            </w:r>
          </w:p>
        </w:tc>
      </w:tr>
      <w:tr>
        <w:trPr>
          <w:trHeight w:val="402"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车联网服务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60,105,994.00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993,553,373.94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420,791,183.90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1,023,142,460.82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207,480,843.21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198,110,770.10</w:t>
            </w:r>
          </w:p>
        </w:tc>
      </w:tr>
      <w:tr>
        <w:trPr>
          <w:trHeight w:val="402"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麦游互动</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游戏研发及运营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65,536,030.25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57,838,485.99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120,377,822.13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48,825,934.12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41,816,660.55</w:t>
            </w:r>
          </w:p>
        </w:tc>
      </w:tr>
      <w:tr>
        <w:trPr>
          <w:trHeight w:val="402"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海南文旅</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负责双创大厦的运营和管理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1,111,956,882.11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688,244,517.34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-11,755,482.72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-11,755,482.66</w:t>
            </w:r>
          </w:p>
        </w:tc>
      </w:tr>
      <w:tr>
        <w:trPr>
          <w:trHeight w:val="402"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互联网电视服务业务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196,590,131.00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967,940,119.31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365,528,666.19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1,275,197,504.35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-219,308,392.93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-219,171,509.74</w:t>
            </w:r>
          </w:p>
        </w:tc>
      </w:tr>
    </w:tbl>
    <w:p>
      <w:pPr>
        <w:spacing w:after="0" w:line="240" w:lineRule="auto"/>
        <w:jc w:val="right"/>
        <w:rPr>
          <w:rFonts w:ascii="宋体" w:hAnsi="宋体" w:cs="宋体" w:eastAsia="宋体" w:hint="default"/>
          <w:sz w:val="18"/>
          <w:szCs w:val="18"/>
        </w:rPr>
        <w:sectPr>
          <w:type w:val="continuous"/>
          <w:pgSz w:w="16840" w:h="11910" w:orient="landscape"/>
          <w:pgMar w:top="1060" w:bottom="1160" w:left="760" w:right="9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报告期内取得和处置子公司的情况</w:t>
      </w:r>
    </w:p>
    <w:p>
      <w:pPr>
        <w:spacing w:line="240" w:lineRule="auto" w:before="9"/>
        <w:rPr>
          <w:rFonts w:ascii="宋体" w:hAnsi="宋体" w:cs="宋体" w:eastAsia="宋体" w:hint="default"/>
          <w:sz w:val="18"/>
          <w:szCs w:val="18"/>
        </w:rPr>
      </w:pPr>
    </w:p>
    <w:p>
      <w:pPr>
        <w:pStyle w:val="BodyText"/>
        <w:spacing w:line="240" w:lineRule="auto"/>
        <w:ind w:right="0"/>
        <w:jc w:val="left"/>
      </w:pPr>
      <w:r>
        <w:rPr/>
        <w:t>√ 适用 □</w:t>
      </w:r>
      <w:r>
        <w:rPr>
          <w:spacing w:val="-1"/>
        </w:rPr>
        <w:t> </w:t>
      </w:r>
      <w:r>
        <w:rPr/>
        <w:t>不适用</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2"/>
        <w:gridCol w:w="6522"/>
        <w:gridCol w:w="1346"/>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5"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8" w:right="36" w:hanging="90"/>
              <w:jc w:val="left"/>
              <w:rPr>
                <w:rFonts w:ascii="宋体" w:hAnsi="宋体" w:cs="宋体" w:eastAsia="宋体" w:hint="default"/>
                <w:sz w:val="18"/>
                <w:szCs w:val="18"/>
              </w:rPr>
            </w:pPr>
            <w:r>
              <w:rPr>
                <w:rFonts w:ascii="宋体" w:hAnsi="宋体" w:cs="宋体" w:eastAsia="宋体" w:hint="default"/>
                <w:sz w:val="18"/>
                <w:szCs w:val="18"/>
              </w:rPr>
              <w:t>对整体生产经营 和业绩的影响</w:t>
            </w:r>
          </w:p>
        </w:tc>
      </w:tr>
      <w:tr>
        <w:trPr>
          <w:trHeight w:val="227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麦游互动</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z w:val="18"/>
                <w:szCs w:val="18"/>
              </w:rPr>
              <w:t>股权</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公司以现金方式分别以</w:t>
            </w:r>
            <w:r>
              <w:rPr>
                <w:rFonts w:ascii="宋体" w:hAnsi="宋体" w:cs="宋体" w:eastAsia="宋体" w:hint="default"/>
                <w:spacing w:val="-42"/>
                <w:sz w:val="18"/>
                <w:szCs w:val="18"/>
              </w:rPr>
              <w:t> </w:t>
            </w:r>
            <w:r>
              <w:rPr>
                <w:rFonts w:ascii="宋体" w:hAnsi="宋体" w:cs="宋体" w:eastAsia="宋体" w:hint="default"/>
                <w:sz w:val="18"/>
                <w:szCs w:val="18"/>
              </w:rPr>
              <w:t>14,851.20</w:t>
            </w:r>
            <w:r>
              <w:rPr>
                <w:rFonts w:ascii="宋体" w:hAnsi="宋体" w:cs="宋体" w:eastAsia="宋体" w:hint="default"/>
                <w:spacing w:val="-42"/>
                <w:sz w:val="18"/>
                <w:szCs w:val="18"/>
              </w:rPr>
              <w:t> </w:t>
            </w:r>
            <w:r>
              <w:rPr>
                <w:rFonts w:ascii="宋体" w:hAnsi="宋体" w:cs="宋体" w:eastAsia="宋体" w:hint="default"/>
                <w:spacing w:val="-3"/>
                <w:sz w:val="18"/>
                <w:szCs w:val="18"/>
              </w:rPr>
              <w:t>万元、</w:t>
            </w:r>
            <w:r>
              <w:rPr>
                <w:rFonts w:ascii="宋体" w:hAnsi="宋体" w:cs="宋体" w:eastAsia="宋体" w:hint="default"/>
                <w:spacing w:val="-3"/>
                <w:sz w:val="18"/>
                <w:szCs w:val="18"/>
              </w:rPr>
              <w:t>3,712.80</w:t>
            </w:r>
            <w:r>
              <w:rPr>
                <w:rFonts w:ascii="宋体" w:hAnsi="宋体" w:cs="宋体" w:eastAsia="宋体" w:hint="default"/>
                <w:spacing w:val="-42"/>
                <w:sz w:val="18"/>
                <w:szCs w:val="18"/>
              </w:rPr>
              <w:t> </w:t>
            </w:r>
            <w:r>
              <w:rPr>
                <w:rFonts w:ascii="宋体" w:hAnsi="宋体" w:cs="宋体" w:eastAsia="宋体" w:hint="default"/>
                <w:spacing w:val="-3"/>
                <w:sz w:val="18"/>
                <w:szCs w:val="18"/>
              </w:rPr>
              <w:t>万元的价格受让遵义米麦、凯普</w:t>
            </w:r>
            <w:r>
              <w:rPr>
                <w:rFonts w:ascii="宋体" w:hAnsi="宋体" w:cs="宋体" w:eastAsia="宋体" w:hint="default"/>
                <w:sz w:val="18"/>
                <w:szCs w:val="18"/>
              </w:rPr>
              <w:t> 投资持有的麦游互动</w:t>
            </w:r>
            <w:r>
              <w:rPr>
                <w:rFonts w:ascii="宋体" w:hAnsi="宋体" w:cs="宋体" w:eastAsia="宋体" w:hint="default"/>
                <w:spacing w:val="-43"/>
                <w:sz w:val="18"/>
                <w:szCs w:val="18"/>
              </w:rPr>
              <w:t> </w:t>
            </w:r>
            <w:r>
              <w:rPr>
                <w:rFonts w:ascii="宋体" w:hAnsi="宋体" w:cs="宋体" w:eastAsia="宋体" w:hint="default"/>
                <w:spacing w:val="-2"/>
                <w:sz w:val="18"/>
                <w:szCs w:val="18"/>
              </w:rPr>
              <w:t>40.80%</w:t>
            </w:r>
            <w:r>
              <w:rPr>
                <w:rFonts w:ascii="宋体" w:hAnsi="宋体" w:cs="宋体" w:eastAsia="宋体" w:hint="default"/>
                <w:spacing w:val="-2"/>
                <w:sz w:val="18"/>
                <w:szCs w:val="18"/>
              </w:rPr>
              <w:t>股权（对应注册资本</w:t>
            </w:r>
            <w:r>
              <w:rPr>
                <w:rFonts w:ascii="宋体" w:hAnsi="宋体" w:cs="宋体" w:eastAsia="宋体" w:hint="default"/>
                <w:spacing w:val="-43"/>
                <w:sz w:val="18"/>
                <w:szCs w:val="18"/>
              </w:rPr>
              <w:t> </w:t>
            </w:r>
            <w:r>
              <w:rPr>
                <w:rFonts w:ascii="宋体" w:hAnsi="宋体" w:cs="宋体" w:eastAsia="宋体" w:hint="default"/>
                <w:sz w:val="18"/>
                <w:szCs w:val="18"/>
              </w:rPr>
              <w:t>612.00</w:t>
            </w:r>
            <w:r>
              <w:rPr>
                <w:rFonts w:ascii="宋体" w:hAnsi="宋体" w:cs="宋体" w:eastAsia="宋体" w:hint="default"/>
                <w:spacing w:val="-42"/>
                <w:sz w:val="18"/>
                <w:szCs w:val="18"/>
              </w:rPr>
              <w:t> </w:t>
            </w:r>
            <w:r>
              <w:rPr>
                <w:rFonts w:ascii="宋体" w:hAnsi="宋体" w:cs="宋体" w:eastAsia="宋体" w:hint="default"/>
                <w:spacing w:val="-9"/>
                <w:sz w:val="18"/>
                <w:szCs w:val="18"/>
              </w:rPr>
              <w:t>万元）、</w:t>
            </w:r>
            <w:r>
              <w:rPr>
                <w:rFonts w:ascii="宋体" w:hAnsi="宋体" w:cs="宋体" w:eastAsia="宋体" w:hint="default"/>
                <w:spacing w:val="-9"/>
                <w:sz w:val="18"/>
                <w:szCs w:val="18"/>
              </w:rPr>
              <w:t>10.20%</w:t>
            </w:r>
            <w:r>
              <w:rPr>
                <w:rFonts w:ascii="宋体" w:hAnsi="宋体" w:cs="宋体" w:eastAsia="宋体" w:hint="default"/>
                <w:spacing w:val="-9"/>
                <w:sz w:val="18"/>
                <w:szCs w:val="18"/>
              </w:rPr>
              <w:t>股权（对应</w:t>
            </w:r>
            <w:r>
              <w:rPr>
                <w:rFonts w:ascii="宋体" w:hAnsi="宋体" w:cs="宋体" w:eastAsia="宋体" w:hint="default"/>
                <w:sz w:val="18"/>
                <w:szCs w:val="18"/>
              </w:rPr>
              <w:t> 注册资本</w:t>
            </w:r>
            <w:r>
              <w:rPr>
                <w:rFonts w:ascii="宋体" w:hAnsi="宋体" w:cs="宋体" w:eastAsia="宋体" w:hint="default"/>
                <w:spacing w:val="-41"/>
                <w:sz w:val="18"/>
                <w:szCs w:val="18"/>
              </w:rPr>
              <w:t> </w:t>
            </w:r>
            <w:r>
              <w:rPr>
                <w:rFonts w:ascii="宋体" w:hAnsi="宋体" w:cs="宋体" w:eastAsia="宋体" w:hint="default"/>
                <w:sz w:val="18"/>
                <w:szCs w:val="18"/>
              </w:rPr>
              <w:t>153.00</w:t>
            </w:r>
            <w:r>
              <w:rPr>
                <w:rFonts w:ascii="宋体" w:hAnsi="宋体" w:cs="宋体" w:eastAsia="宋体" w:hint="default"/>
                <w:spacing w:val="-41"/>
                <w:sz w:val="18"/>
                <w:szCs w:val="18"/>
              </w:rPr>
              <w:t> </w:t>
            </w:r>
            <w:r>
              <w:rPr>
                <w:rFonts w:ascii="宋体" w:hAnsi="宋体" w:cs="宋体" w:eastAsia="宋体" w:hint="default"/>
                <w:spacing w:val="-4"/>
                <w:sz w:val="18"/>
                <w:szCs w:val="18"/>
              </w:rPr>
              <w:t>万元），参照具有执行证券、期货相关业务资格的中水致远资产评</w:t>
            </w:r>
          </w:p>
          <w:p>
            <w:pPr>
              <w:pStyle w:val="TableParagraph"/>
              <w:spacing w:line="319" w:lineRule="auto" w:before="19"/>
              <w:ind w:left="22" w:right="22"/>
              <w:jc w:val="left"/>
              <w:rPr>
                <w:rFonts w:ascii="宋体" w:hAnsi="宋体" w:cs="宋体" w:eastAsia="宋体" w:hint="default"/>
                <w:sz w:val="18"/>
                <w:szCs w:val="18"/>
              </w:rPr>
            </w:pPr>
            <w:r>
              <w:rPr>
                <w:rFonts w:ascii="宋体" w:hAnsi="宋体" w:cs="宋体" w:eastAsia="宋体" w:hint="default"/>
                <w:sz w:val="18"/>
                <w:szCs w:val="18"/>
              </w:rPr>
              <w:t>估有限公司出具的《资产评估报告》的评估结果，于评估基准日</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 </w:t>
            </w:r>
            <w:r>
              <w:rPr>
                <w:rFonts w:ascii="宋体" w:hAnsi="宋体" w:cs="宋体" w:eastAsia="宋体" w:hint="default"/>
                <w:sz w:val="18"/>
                <w:szCs w:val="18"/>
              </w:rPr>
              <w:t>日麦游互动</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z w:val="18"/>
                <w:szCs w:val="18"/>
              </w:rPr>
              <w:t>股权相对应的评估值为</w:t>
            </w:r>
            <w:r>
              <w:rPr>
                <w:rFonts w:ascii="宋体" w:hAnsi="宋体" w:cs="宋体" w:eastAsia="宋体" w:hint="default"/>
                <w:spacing w:val="-46"/>
                <w:sz w:val="18"/>
                <w:szCs w:val="18"/>
              </w:rPr>
              <w:t> </w:t>
            </w:r>
            <w:r>
              <w:rPr>
                <w:rFonts w:ascii="宋体" w:hAnsi="宋体" w:cs="宋体" w:eastAsia="宋体" w:hint="default"/>
                <w:sz w:val="18"/>
                <w:szCs w:val="18"/>
              </w:rPr>
              <w:t>20,094</w:t>
            </w:r>
            <w:r>
              <w:rPr>
                <w:rFonts w:ascii="宋体" w:hAnsi="宋体" w:cs="宋体" w:eastAsia="宋体" w:hint="default"/>
                <w:spacing w:val="-46"/>
                <w:sz w:val="18"/>
                <w:szCs w:val="18"/>
              </w:rPr>
              <w:t> </w:t>
            </w:r>
            <w:r>
              <w:rPr>
                <w:rFonts w:ascii="宋体" w:hAnsi="宋体" w:cs="宋体" w:eastAsia="宋体" w:hint="default"/>
                <w:spacing w:val="-4"/>
                <w:sz w:val="18"/>
                <w:szCs w:val="18"/>
              </w:rPr>
              <w:t>万元，为了各方的长期合作，经协议</w:t>
            </w:r>
            <w:r>
              <w:rPr>
                <w:rFonts w:ascii="宋体" w:hAnsi="宋体" w:cs="宋体" w:eastAsia="宋体" w:hint="default"/>
                <w:sz w:val="18"/>
                <w:szCs w:val="18"/>
              </w:rPr>
              <w:t> 各方友好协商，确定麦游互动</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z w:val="18"/>
                <w:szCs w:val="18"/>
              </w:rPr>
              <w:t>股权的转让价款为</w:t>
            </w:r>
            <w:r>
              <w:rPr>
                <w:rFonts w:ascii="宋体" w:hAnsi="宋体" w:cs="宋体" w:eastAsia="宋体" w:hint="default"/>
                <w:spacing w:val="-46"/>
                <w:sz w:val="18"/>
                <w:szCs w:val="18"/>
              </w:rPr>
              <w:t> </w:t>
            </w:r>
            <w:r>
              <w:rPr>
                <w:rFonts w:ascii="宋体" w:hAnsi="宋体" w:cs="宋体" w:eastAsia="宋体" w:hint="default"/>
                <w:sz w:val="18"/>
                <w:szCs w:val="18"/>
              </w:rPr>
              <w:t>18,564.00</w:t>
            </w:r>
            <w:r>
              <w:rPr>
                <w:rFonts w:ascii="宋体" w:hAnsi="宋体" w:cs="宋体" w:eastAsia="宋体" w:hint="default"/>
                <w:spacing w:val="-46"/>
                <w:sz w:val="18"/>
                <w:szCs w:val="18"/>
              </w:rPr>
              <w:t> </w:t>
            </w:r>
            <w:r>
              <w:rPr>
                <w:rFonts w:ascii="宋体" w:hAnsi="宋体" w:cs="宋体" w:eastAsia="宋体" w:hint="default"/>
                <w:sz w:val="18"/>
                <w:szCs w:val="18"/>
              </w:rPr>
              <w:t>万元。该股权受让 的工商变更登记手续已完成。</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3"/>
              <w:jc w:val="both"/>
              <w:rPr>
                <w:rFonts w:ascii="宋体" w:hAnsi="宋体" w:cs="宋体" w:eastAsia="宋体" w:hint="default"/>
                <w:sz w:val="18"/>
                <w:szCs w:val="18"/>
              </w:rPr>
            </w:pPr>
            <w:r>
              <w:rPr>
                <w:rFonts w:ascii="宋体" w:hAnsi="宋体" w:cs="宋体" w:eastAsia="宋体" w:hint="default"/>
                <w:sz w:val="18"/>
                <w:szCs w:val="18"/>
              </w:rPr>
              <w:t>对公司未来财务 状况和经营成果 的具体影响将主 要取决于麦游互 动未来的经营管 理成果。</w:t>
            </w:r>
          </w:p>
        </w:tc>
      </w:tr>
      <w:tr>
        <w:trPr>
          <w:trHeight w:val="258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车音智能</w:t>
            </w:r>
            <w:r>
              <w:rPr>
                <w:rFonts w:ascii="宋体" w:hAnsi="宋体" w:cs="宋体" w:eastAsia="宋体" w:hint="default"/>
                <w:spacing w:val="-46"/>
                <w:sz w:val="18"/>
                <w:szCs w:val="18"/>
              </w:rPr>
              <w:t> </w:t>
            </w:r>
            <w:r>
              <w:rPr>
                <w:rFonts w:ascii="宋体" w:hAnsi="宋体" w:cs="宋体" w:eastAsia="宋体" w:hint="default"/>
                <w:sz w:val="18"/>
                <w:szCs w:val="18"/>
              </w:rPr>
              <w:t>60%</w:t>
            </w:r>
            <w:r>
              <w:rPr>
                <w:rFonts w:ascii="宋体" w:hAnsi="宋体" w:cs="宋体" w:eastAsia="宋体" w:hint="default"/>
                <w:sz w:val="18"/>
                <w:szCs w:val="18"/>
              </w:rPr>
              <w:t>股权</w:t>
            </w:r>
          </w:p>
        </w:tc>
        <w:tc>
          <w:tcPr>
            <w:tcW w:w="6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公司以</w:t>
            </w:r>
            <w:r>
              <w:rPr>
                <w:rFonts w:ascii="宋体" w:hAnsi="宋体" w:cs="宋体" w:eastAsia="宋体" w:hint="default"/>
                <w:spacing w:val="-46"/>
                <w:sz w:val="18"/>
                <w:szCs w:val="18"/>
              </w:rPr>
              <w:t> </w:t>
            </w:r>
            <w:r>
              <w:rPr>
                <w:rFonts w:ascii="宋体" w:hAnsi="宋体" w:cs="宋体" w:eastAsia="宋体" w:hint="default"/>
                <w:sz w:val="18"/>
                <w:szCs w:val="18"/>
              </w:rPr>
              <w:t>30,987.55</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81,751.18</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30,987.27</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13,900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9,174</w:t>
            </w:r>
          </w:p>
          <w:p>
            <w:pPr>
              <w:pStyle w:val="TableParagraph"/>
              <w:spacing w:line="319" w:lineRule="auto" w:before="75"/>
              <w:ind w:left="22" w:right="23"/>
              <w:jc w:val="left"/>
              <w:rPr>
                <w:rFonts w:ascii="宋体" w:hAnsi="宋体" w:cs="宋体" w:eastAsia="宋体" w:hint="default"/>
                <w:sz w:val="18"/>
                <w:szCs w:val="18"/>
              </w:rPr>
            </w:pPr>
            <w:r>
              <w:rPr>
                <w:rFonts w:ascii="宋体" w:hAnsi="宋体" w:cs="宋体" w:eastAsia="宋体" w:hint="default"/>
                <w:spacing w:val="-3"/>
                <w:sz w:val="18"/>
                <w:szCs w:val="18"/>
              </w:rPr>
              <w:t>万元的价格购买子栋科技、嘉兴慧河股权投资合伙企业（有限合伙）、鼎金投资、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新余正佳智诚投资中心（有限合伙）、新余华浩远翔投资中心（有限合伙）分别持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有的车音智能</w:t>
            </w:r>
            <w:r>
              <w:rPr>
                <w:rFonts w:ascii="宋体" w:hAnsi="宋体" w:cs="宋体" w:eastAsia="宋体" w:hint="default"/>
                <w:spacing w:val="-24"/>
                <w:sz w:val="18"/>
                <w:szCs w:val="18"/>
              </w:rPr>
              <w:t> </w:t>
            </w:r>
            <w:r>
              <w:rPr>
                <w:rFonts w:ascii="宋体" w:hAnsi="宋体" w:cs="宋体" w:eastAsia="宋体" w:hint="default"/>
                <w:spacing w:val="-2"/>
                <w:sz w:val="18"/>
                <w:szCs w:val="18"/>
              </w:rPr>
              <w:t>11.1466%</w:t>
            </w:r>
            <w:r>
              <w:rPr>
                <w:rFonts w:ascii="宋体" w:hAnsi="宋体" w:cs="宋体" w:eastAsia="宋体" w:hint="default"/>
                <w:spacing w:val="-2"/>
                <w:sz w:val="18"/>
                <w:szCs w:val="18"/>
              </w:rPr>
              <w:t>、</w:t>
            </w:r>
            <w:r>
              <w:rPr>
                <w:rFonts w:ascii="宋体" w:hAnsi="宋体" w:cs="宋体" w:eastAsia="宋体" w:hint="default"/>
                <w:spacing w:val="-2"/>
                <w:sz w:val="18"/>
                <w:szCs w:val="18"/>
              </w:rPr>
              <w:t>29.4069%</w:t>
            </w:r>
            <w:r>
              <w:rPr>
                <w:rFonts w:ascii="宋体" w:hAnsi="宋体" w:cs="宋体" w:eastAsia="宋体" w:hint="default"/>
                <w:spacing w:val="-2"/>
                <w:sz w:val="18"/>
                <w:szCs w:val="18"/>
              </w:rPr>
              <w:t>、</w:t>
            </w:r>
            <w:r>
              <w:rPr>
                <w:rFonts w:ascii="宋体" w:hAnsi="宋体" w:cs="宋体" w:eastAsia="宋体" w:hint="default"/>
                <w:spacing w:val="-2"/>
                <w:sz w:val="18"/>
                <w:szCs w:val="18"/>
              </w:rPr>
              <w:t>11.1465%</w:t>
            </w:r>
            <w:r>
              <w:rPr>
                <w:rFonts w:ascii="宋体" w:hAnsi="宋体" w:cs="宋体" w:eastAsia="宋体" w:hint="default"/>
                <w:spacing w:val="-2"/>
                <w:sz w:val="18"/>
                <w:szCs w:val="18"/>
              </w:rPr>
              <w:t>、</w:t>
            </w:r>
            <w:r>
              <w:rPr>
                <w:rFonts w:ascii="宋体" w:hAnsi="宋体" w:cs="宋体" w:eastAsia="宋体" w:hint="default"/>
                <w:spacing w:val="-2"/>
                <w:sz w:val="18"/>
                <w:szCs w:val="18"/>
              </w:rPr>
              <w:t>5%</w:t>
            </w:r>
            <w:r>
              <w:rPr>
                <w:rFonts w:ascii="宋体" w:hAnsi="宋体" w:cs="宋体" w:eastAsia="宋体" w:hint="default"/>
                <w:spacing w:val="-2"/>
                <w:sz w:val="18"/>
                <w:szCs w:val="18"/>
              </w:rPr>
              <w:t>、</w:t>
            </w:r>
            <w:r>
              <w:rPr>
                <w:rFonts w:ascii="宋体" w:hAnsi="宋体" w:cs="宋体" w:eastAsia="宋体" w:hint="default"/>
                <w:spacing w:val="-2"/>
                <w:sz w:val="18"/>
                <w:szCs w:val="18"/>
              </w:rPr>
              <w:t>3.3%</w:t>
            </w:r>
            <w:r>
              <w:rPr>
                <w:rFonts w:ascii="宋体" w:hAnsi="宋体" w:cs="宋体" w:eastAsia="宋体" w:hint="default"/>
                <w:spacing w:val="-2"/>
                <w:sz w:val="18"/>
                <w:szCs w:val="18"/>
              </w:rPr>
              <w:t>的股权，参考具有执行证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券、期货相关业务资格的中联资产评估集团有限公司出具的《资产评估报告》，于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评估基准日</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pacing w:val="-10"/>
                <w:sz w:val="18"/>
                <w:szCs w:val="18"/>
              </w:rPr>
              <w:t>日，车音智能</w:t>
            </w:r>
            <w:r>
              <w:rPr>
                <w:rFonts w:ascii="宋体" w:hAnsi="宋体" w:cs="宋体" w:eastAsia="宋体" w:hint="default"/>
                <w:spacing w:val="-46"/>
                <w:sz w:val="18"/>
                <w:szCs w:val="18"/>
              </w:rPr>
              <w:t> </w:t>
            </w:r>
            <w:r>
              <w:rPr>
                <w:rFonts w:ascii="宋体" w:hAnsi="宋体" w:cs="宋体" w:eastAsia="宋体" w:hint="default"/>
                <w:sz w:val="18"/>
                <w:szCs w:val="18"/>
              </w:rPr>
              <w:t>60%</w:t>
            </w:r>
            <w:r>
              <w:rPr>
                <w:rFonts w:ascii="宋体" w:hAnsi="宋体" w:cs="宋体" w:eastAsia="宋体" w:hint="default"/>
                <w:sz w:val="18"/>
                <w:szCs w:val="18"/>
              </w:rPr>
              <w:t>股权相对应的评估值为</w:t>
            </w:r>
            <w:r>
              <w:rPr>
                <w:rFonts w:ascii="宋体" w:hAnsi="宋体" w:cs="宋体" w:eastAsia="宋体" w:hint="default"/>
                <w:spacing w:val="-46"/>
                <w:sz w:val="18"/>
                <w:szCs w:val="18"/>
              </w:rPr>
              <w:t> </w:t>
            </w:r>
            <w:r>
              <w:rPr>
                <w:rFonts w:ascii="宋体" w:hAnsi="宋体" w:cs="宋体" w:eastAsia="宋体" w:hint="default"/>
                <w:sz w:val="18"/>
                <w:szCs w:val="18"/>
              </w:rPr>
              <w:t>166,806.14</w:t>
            </w:r>
            <w:r>
              <w:rPr>
                <w:rFonts w:ascii="宋体" w:hAnsi="宋体" w:cs="宋体" w:eastAsia="宋体" w:hint="default"/>
                <w:spacing w:val="-45"/>
                <w:sz w:val="18"/>
                <w:szCs w:val="18"/>
              </w:rPr>
              <w:t> </w:t>
            </w:r>
            <w:r>
              <w:rPr>
                <w:rFonts w:ascii="宋体" w:hAnsi="宋体" w:cs="宋体" w:eastAsia="宋体" w:hint="default"/>
                <w:sz w:val="18"/>
                <w:szCs w:val="18"/>
              </w:rPr>
              <w:t>万 </w:t>
            </w:r>
            <w:r>
              <w:rPr>
                <w:rFonts w:ascii="宋体" w:hAnsi="宋体" w:cs="宋体" w:eastAsia="宋体" w:hint="default"/>
                <w:spacing w:val="-3"/>
                <w:sz w:val="18"/>
                <w:szCs w:val="18"/>
              </w:rPr>
              <w:t>元，经协议各方协商，车音智能</w:t>
            </w:r>
            <w:r>
              <w:rPr>
                <w:rFonts w:ascii="宋体" w:hAnsi="宋体" w:cs="宋体" w:eastAsia="宋体" w:hint="default"/>
                <w:spacing w:val="-46"/>
                <w:sz w:val="18"/>
                <w:szCs w:val="18"/>
              </w:rPr>
              <w:t> </w:t>
            </w:r>
            <w:r>
              <w:rPr>
                <w:rFonts w:ascii="宋体" w:hAnsi="宋体" w:cs="宋体" w:eastAsia="宋体" w:hint="default"/>
                <w:sz w:val="18"/>
                <w:szCs w:val="18"/>
              </w:rPr>
              <w:t>60%</w:t>
            </w:r>
            <w:r>
              <w:rPr>
                <w:rFonts w:ascii="宋体" w:hAnsi="宋体" w:cs="宋体" w:eastAsia="宋体" w:hint="default"/>
                <w:sz w:val="18"/>
                <w:szCs w:val="18"/>
              </w:rPr>
              <w:t>股权的转让价款为</w:t>
            </w:r>
            <w:r>
              <w:rPr>
                <w:rFonts w:ascii="宋体" w:hAnsi="宋体" w:cs="宋体" w:eastAsia="宋体" w:hint="default"/>
                <w:spacing w:val="-46"/>
                <w:sz w:val="18"/>
                <w:szCs w:val="18"/>
              </w:rPr>
              <w:t> </w:t>
            </w:r>
            <w:r>
              <w:rPr>
                <w:rFonts w:ascii="宋体" w:hAnsi="宋体" w:cs="宋体" w:eastAsia="宋体" w:hint="default"/>
                <w:sz w:val="18"/>
                <w:szCs w:val="18"/>
              </w:rPr>
              <w:t>166,800.00</w:t>
            </w:r>
            <w:r>
              <w:rPr>
                <w:rFonts w:ascii="宋体" w:hAnsi="宋体" w:cs="宋体" w:eastAsia="宋体" w:hint="default"/>
                <w:spacing w:val="-46"/>
                <w:sz w:val="18"/>
                <w:szCs w:val="18"/>
              </w:rPr>
              <w:t> </w:t>
            </w:r>
            <w:r>
              <w:rPr>
                <w:rFonts w:ascii="宋体" w:hAnsi="宋体" w:cs="宋体" w:eastAsia="宋体" w:hint="default"/>
                <w:spacing w:val="-3"/>
                <w:sz w:val="18"/>
                <w:szCs w:val="18"/>
              </w:rPr>
              <w:t>万元。该股权受</w:t>
            </w:r>
            <w:r>
              <w:rPr>
                <w:rFonts w:ascii="宋体" w:hAnsi="宋体" w:cs="宋体" w:eastAsia="宋体" w:hint="default"/>
                <w:sz w:val="18"/>
                <w:szCs w:val="18"/>
              </w:rPr>
              <w:t> 让的工商变更登记手续已完成。</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53"/>
              <w:jc w:val="both"/>
              <w:rPr>
                <w:rFonts w:ascii="宋体" w:hAnsi="宋体" w:cs="宋体" w:eastAsia="宋体" w:hint="default"/>
                <w:sz w:val="18"/>
                <w:szCs w:val="18"/>
              </w:rPr>
            </w:pPr>
            <w:r>
              <w:rPr>
                <w:rFonts w:ascii="宋体" w:hAnsi="宋体" w:cs="宋体" w:eastAsia="宋体" w:hint="default"/>
                <w:sz w:val="18"/>
                <w:szCs w:val="18"/>
              </w:rPr>
              <w:t>对公司未来财务 状况和经营成果 的具体影响将主 要取决于车音智 能未来的经营管 理成果。</w:t>
            </w:r>
          </w:p>
        </w:tc>
      </w:tr>
    </w:tbl>
    <w:p>
      <w:pPr>
        <w:spacing w:line="240" w:lineRule="auto" w:before="13"/>
        <w:rPr>
          <w:rFonts w:ascii="宋体" w:hAnsi="宋体" w:cs="宋体" w:eastAsia="宋体" w:hint="default"/>
          <w:sz w:val="10"/>
          <w:szCs w:val="10"/>
        </w:rPr>
      </w:pPr>
    </w:p>
    <w:p>
      <w:pPr>
        <w:pStyle w:val="BodyText"/>
        <w:spacing w:line="456" w:lineRule="auto" w:before="35"/>
        <w:ind w:left="574" w:right="1302" w:hanging="420"/>
        <w:jc w:val="left"/>
      </w:pPr>
      <w:r>
        <w:rPr/>
        <w:t>主要控股参股公司情况说明 时报传媒</w:t>
      </w:r>
      <w:r>
        <w:rPr>
          <w:rFonts w:ascii="宋体" w:hAnsi="宋体" w:cs="宋体" w:eastAsia="宋体" w:hint="default"/>
        </w:rPr>
        <w:t>2018</w:t>
      </w:r>
      <w:r>
        <w:rPr/>
        <w:t>年实现合并归属于母公司所有者的净利润为</w:t>
      </w:r>
      <w:r>
        <w:rPr>
          <w:rFonts w:ascii="宋体" w:hAnsi="宋体" w:cs="宋体" w:eastAsia="宋体" w:hint="default"/>
        </w:rPr>
        <w:t>5,720.02</w:t>
      </w:r>
      <w:r>
        <w:rPr/>
        <w:t>万元</w:t>
      </w:r>
      <w:r>
        <w:rPr>
          <w:rFonts w:ascii="宋体" w:hAnsi="宋体" w:cs="宋体" w:eastAsia="宋体" w:hint="default"/>
        </w:rPr>
        <w:t>,</w:t>
      </w:r>
      <w:r>
        <w:rPr/>
        <w:t>同比减少</w:t>
      </w:r>
      <w:r>
        <w:rPr>
          <w:rFonts w:ascii="宋体" w:hAnsi="宋体" w:cs="宋体" w:eastAsia="宋体" w:hint="default"/>
        </w:rPr>
        <w:t>72.53%,</w:t>
      </w:r>
      <w:r>
        <w:rPr/>
        <w:t>主要是本</w:t>
      </w:r>
    </w:p>
    <w:p>
      <w:pPr>
        <w:pStyle w:val="BodyText"/>
        <w:spacing w:line="453" w:lineRule="auto" w:before="16"/>
        <w:ind w:left="574" w:right="1321" w:hanging="420"/>
        <w:jc w:val="left"/>
      </w:pPr>
      <w:r>
        <w:rPr/>
        <w:t>期基金服务费成本、网络发布费和印刷成本增加所致。 华商传媒</w:t>
      </w:r>
      <w:r>
        <w:rPr>
          <w:rFonts w:ascii="宋体" w:hAnsi="宋体" w:cs="宋体" w:eastAsia="宋体" w:hint="default"/>
        </w:rPr>
        <w:t>2018</w:t>
      </w:r>
      <w:r>
        <w:rPr/>
        <w:t>年实现合并归属于母公司所有者的净利润为</w:t>
      </w:r>
      <w:r>
        <w:rPr>
          <w:rFonts w:ascii="宋体" w:hAnsi="宋体" w:cs="宋体" w:eastAsia="宋体" w:hint="default"/>
        </w:rPr>
        <w:t>-7,636.31</w:t>
      </w:r>
      <w:r>
        <w:rPr/>
        <w:t>万元</w:t>
      </w:r>
      <w:r>
        <w:rPr>
          <w:rFonts w:ascii="宋体" w:hAnsi="宋体" w:cs="宋体" w:eastAsia="宋体" w:hint="default"/>
        </w:rPr>
        <w:t>,</w:t>
      </w:r>
      <w:r>
        <w:rPr/>
        <w:t>同比减少</w:t>
      </w:r>
      <w:r>
        <w:rPr>
          <w:rFonts w:ascii="宋体" w:hAnsi="宋体" w:cs="宋体" w:eastAsia="宋体" w:hint="default"/>
        </w:rPr>
        <w:t>117.18%,</w:t>
      </w:r>
      <w:r>
        <w:rPr/>
        <w:t>主要是</w:t>
      </w:r>
    </w:p>
    <w:p>
      <w:pPr>
        <w:pStyle w:val="BodyText"/>
        <w:spacing w:line="420" w:lineRule="auto" w:before="18"/>
        <w:ind w:right="0"/>
        <w:jc w:val="left"/>
      </w:pPr>
      <w:r>
        <w:rPr>
          <w:spacing w:val="-1"/>
        </w:rPr>
        <w:t>本期广告及报刊发行收入及成本同时下降，但收入下降幅度较成本大；以及本期处置可供出售金融资产等</w:t>
      </w:r>
      <w:r>
        <w:rPr>
          <w:spacing w:val="-80"/>
        </w:rPr>
        <w:t> </w:t>
      </w:r>
      <w:r>
        <w:rPr>
          <w:spacing w:val="-80"/>
        </w:rPr>
      </w:r>
      <w:r>
        <w:rPr/>
        <w:t>取得的投资收益及收到基金分红收益减少所致。</w:t>
      </w:r>
    </w:p>
    <w:p>
      <w:pPr>
        <w:pStyle w:val="BodyText"/>
        <w:spacing w:line="420" w:lineRule="auto" w:before="87"/>
        <w:ind w:right="1302" w:firstLine="420"/>
        <w:jc w:val="left"/>
      </w:pPr>
      <w:r>
        <w:rPr/>
        <w:t>上海鸿立</w:t>
      </w:r>
      <w:r>
        <w:rPr>
          <w:rFonts w:ascii="宋体" w:hAnsi="宋体" w:cs="宋体" w:eastAsia="宋体" w:hint="default"/>
        </w:rPr>
        <w:t>2018</w:t>
      </w:r>
      <w:r>
        <w:rPr/>
        <w:t>年实现合并归属于母公司所有者的净利润为</w:t>
      </w:r>
      <w:r>
        <w:rPr>
          <w:rFonts w:ascii="宋体" w:hAnsi="宋体" w:cs="宋体" w:eastAsia="宋体" w:hint="default"/>
        </w:rPr>
        <w:t>-1,065.05</w:t>
      </w:r>
      <w:r>
        <w:rPr/>
        <w:t>万元</w:t>
      </w:r>
      <w:r>
        <w:rPr>
          <w:rFonts w:ascii="宋体" w:hAnsi="宋体" w:cs="宋体" w:eastAsia="宋体" w:hint="default"/>
        </w:rPr>
        <w:t>,</w:t>
      </w:r>
      <w:r>
        <w:rPr/>
        <w:t>同比减少</w:t>
      </w:r>
      <w:r>
        <w:rPr>
          <w:rFonts w:ascii="宋体" w:hAnsi="宋体" w:cs="宋体" w:eastAsia="宋体" w:hint="default"/>
        </w:rPr>
        <w:t>174.53%,</w:t>
      </w:r>
      <w:r>
        <w:rPr/>
        <w:t>主要是 本期计提股权投资减值准备所致。</w:t>
      </w:r>
    </w:p>
    <w:p>
      <w:pPr>
        <w:pStyle w:val="BodyText"/>
        <w:spacing w:line="420" w:lineRule="auto" w:before="88"/>
        <w:ind w:right="1302" w:firstLine="420"/>
        <w:jc w:val="left"/>
      </w:pPr>
      <w:r>
        <w:rPr/>
        <w:t>国广光荣</w:t>
      </w:r>
      <w:r>
        <w:rPr>
          <w:rFonts w:ascii="宋体" w:hAnsi="宋体" w:cs="宋体" w:eastAsia="宋体" w:hint="default"/>
        </w:rPr>
        <w:t>2018</w:t>
      </w:r>
      <w:r>
        <w:rPr/>
        <w:t>年实现合并归属于母公司所有者的净利润为</w:t>
      </w:r>
      <w:r>
        <w:rPr>
          <w:rFonts w:ascii="宋体" w:hAnsi="宋体" w:cs="宋体" w:eastAsia="宋体" w:hint="default"/>
        </w:rPr>
        <w:t>5,179.79</w:t>
      </w:r>
      <w:r>
        <w:rPr/>
        <w:t>万元</w:t>
      </w:r>
      <w:r>
        <w:rPr>
          <w:rFonts w:ascii="宋体" w:hAnsi="宋体" w:cs="宋体" w:eastAsia="宋体" w:hint="default"/>
        </w:rPr>
        <w:t>,</w:t>
      </w:r>
      <w:r>
        <w:rPr/>
        <w:t>同比减少</w:t>
      </w:r>
      <w:r>
        <w:rPr>
          <w:rFonts w:ascii="宋体" w:hAnsi="宋体" w:cs="宋体" w:eastAsia="宋体" w:hint="default"/>
        </w:rPr>
        <w:t>39.72%,</w:t>
      </w:r>
      <w:r>
        <w:rPr/>
        <w:t>主要是本 期收入及成本同时增加，但成本增幅较收入大所致。</w:t>
      </w:r>
    </w:p>
    <w:p>
      <w:pPr>
        <w:pStyle w:val="BodyText"/>
        <w:spacing w:line="420" w:lineRule="auto" w:before="87"/>
        <w:ind w:right="0" w:firstLine="420"/>
        <w:jc w:val="left"/>
      </w:pPr>
      <w:r>
        <w:rPr>
          <w:spacing w:val="-1"/>
        </w:rPr>
        <w:t>澄怀科技</w:t>
      </w:r>
      <w:r>
        <w:rPr>
          <w:rFonts w:ascii="宋体" w:hAnsi="宋体" w:cs="宋体" w:eastAsia="宋体" w:hint="default"/>
          <w:spacing w:val="-1"/>
        </w:rPr>
        <w:t>2018</w:t>
      </w:r>
      <w:r>
        <w:rPr>
          <w:spacing w:val="-1"/>
        </w:rPr>
        <w:t>年实现合并归属于母公司所有者的净利润为</w:t>
      </w:r>
      <w:r>
        <w:rPr>
          <w:rFonts w:ascii="宋体" w:hAnsi="宋体" w:cs="宋体" w:eastAsia="宋体" w:hint="default"/>
          <w:spacing w:val="-1"/>
        </w:rPr>
        <w:t>-49,579.08</w:t>
      </w:r>
      <w:r>
        <w:rPr>
          <w:spacing w:val="-1"/>
        </w:rPr>
        <w:t>万元</w:t>
      </w:r>
      <w:r>
        <w:rPr>
          <w:rFonts w:ascii="宋体" w:hAnsi="宋体" w:cs="宋体" w:eastAsia="宋体" w:hint="default"/>
          <w:spacing w:val="-1"/>
        </w:rPr>
        <w:t>,</w:t>
      </w:r>
      <w:r>
        <w:rPr>
          <w:spacing w:val="-1"/>
        </w:rPr>
        <w:t>同比减少</w:t>
      </w:r>
      <w:r>
        <w:rPr>
          <w:rFonts w:ascii="宋体" w:hAnsi="宋体" w:cs="宋体" w:eastAsia="宋体" w:hint="default"/>
          <w:spacing w:val="-1"/>
        </w:rPr>
        <w:t>677.10%,</w:t>
      </w:r>
      <w:r>
        <w:rPr>
          <w:spacing w:val="-1"/>
        </w:rPr>
        <w:t>主要是</w:t>
      </w:r>
      <w:r>
        <w:rPr/>
        <w:t> 本期营业收入下降和计提资产减值准备所致。</w:t>
      </w:r>
    </w:p>
    <w:p>
      <w:pPr>
        <w:pStyle w:val="BodyText"/>
        <w:spacing w:line="420" w:lineRule="auto" w:before="87"/>
        <w:ind w:right="1197" w:firstLine="420"/>
        <w:jc w:val="left"/>
      </w:pPr>
      <w:r>
        <w:rPr/>
        <w:t>华商数码</w:t>
      </w:r>
      <w:r>
        <w:rPr>
          <w:rFonts w:ascii="宋体" w:hAnsi="宋体" w:cs="宋体" w:eastAsia="宋体" w:hint="default"/>
        </w:rPr>
        <w:t>2018</w:t>
      </w:r>
      <w:r>
        <w:rPr/>
        <w:t>年实现合并归属于母公司所有者的净利润为</w:t>
      </w:r>
      <w:r>
        <w:rPr>
          <w:rFonts w:ascii="宋体" w:hAnsi="宋体" w:cs="宋体" w:eastAsia="宋体" w:hint="default"/>
        </w:rPr>
        <w:t>-1,139.09</w:t>
      </w:r>
      <w:r>
        <w:rPr/>
        <w:t>万元</w:t>
      </w:r>
      <w:r>
        <w:rPr>
          <w:rFonts w:ascii="宋体" w:hAnsi="宋体" w:cs="宋体" w:eastAsia="宋体" w:hint="default"/>
        </w:rPr>
        <w:t>,</w:t>
      </w:r>
      <w:r>
        <w:rPr/>
        <w:t>同比减少</w:t>
      </w:r>
      <w:r>
        <w:rPr>
          <w:rFonts w:ascii="宋体" w:hAnsi="宋体" w:cs="宋体" w:eastAsia="宋体" w:hint="default"/>
        </w:rPr>
        <w:t>84.02%,</w:t>
      </w:r>
      <w:r>
        <w:rPr/>
        <w:t>主要是本 期印刷收入下降所致。</w:t>
      </w:r>
    </w:p>
    <w:p>
      <w:pPr>
        <w:spacing w:after="0" w:line="420" w:lineRule="auto"/>
        <w:jc w:val="left"/>
        <w:sectPr>
          <w:headerReference w:type="default" r:id="rId16"/>
          <w:footerReference w:type="default" r:id="rId17"/>
          <w:pgSz w:w="11910" w:h="16840"/>
          <w:pgMar w:header="877" w:footer="979" w:top="1100" w:bottom="1160" w:left="980" w:right="0"/>
          <w:pgNumType w:start="41"/>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302" w:firstLine="420"/>
        <w:jc w:val="left"/>
      </w:pPr>
      <w:r>
        <w:rPr/>
        <w:t>华商广告</w:t>
      </w:r>
      <w:r>
        <w:rPr>
          <w:rFonts w:ascii="宋体" w:hAnsi="宋体" w:cs="宋体" w:eastAsia="宋体" w:hint="default"/>
        </w:rPr>
        <w:t>2018</w:t>
      </w:r>
      <w:r>
        <w:rPr/>
        <w:t>年实现合并归属于母公司所有者的净利润为</w:t>
      </w:r>
      <w:r>
        <w:rPr>
          <w:rFonts w:ascii="宋体" w:hAnsi="宋体" w:cs="宋体" w:eastAsia="宋体" w:hint="default"/>
        </w:rPr>
        <w:t>-9,975.69</w:t>
      </w:r>
      <w:r>
        <w:rPr/>
        <w:t>万元</w:t>
      </w:r>
      <w:r>
        <w:rPr>
          <w:rFonts w:ascii="宋体" w:hAnsi="宋体" w:cs="宋体" w:eastAsia="宋体" w:hint="default"/>
        </w:rPr>
        <w:t>,</w:t>
      </w:r>
      <w:r>
        <w:rPr/>
        <w:t>同比减少</w:t>
      </w:r>
      <w:r>
        <w:rPr>
          <w:rFonts w:ascii="宋体" w:hAnsi="宋体" w:cs="宋体" w:eastAsia="宋体" w:hint="default"/>
        </w:rPr>
        <w:t>119.73%,</w:t>
      </w:r>
      <w:r>
        <w:rPr/>
        <w:t>主要是 本期广告收入减少，商业活动成本增加所致。</w:t>
      </w:r>
    </w:p>
    <w:p>
      <w:pPr>
        <w:pStyle w:val="BodyText"/>
        <w:spacing w:line="420" w:lineRule="auto" w:before="87"/>
        <w:ind w:right="1302" w:firstLine="420"/>
        <w:jc w:val="left"/>
      </w:pPr>
      <w:r>
        <w:rPr/>
        <w:t>国视上海</w:t>
      </w:r>
      <w:r>
        <w:rPr>
          <w:rFonts w:ascii="宋体" w:hAnsi="宋体" w:cs="宋体" w:eastAsia="宋体" w:hint="default"/>
        </w:rPr>
        <w:t>2018</w:t>
      </w:r>
      <w:r>
        <w:rPr/>
        <w:t>年实现合并归属于母公司所有者的净利润为</w:t>
      </w:r>
      <w:r>
        <w:rPr>
          <w:rFonts w:ascii="宋体" w:hAnsi="宋体" w:cs="宋体" w:eastAsia="宋体" w:hint="default"/>
        </w:rPr>
        <w:t>102.68</w:t>
      </w:r>
      <w:r>
        <w:rPr/>
        <w:t>万元</w:t>
      </w:r>
      <w:r>
        <w:rPr>
          <w:rFonts w:ascii="宋体" w:hAnsi="宋体" w:cs="宋体" w:eastAsia="宋体" w:hint="default"/>
        </w:rPr>
        <w:t>,</w:t>
      </w:r>
      <w:r>
        <w:rPr/>
        <w:t>同比减少</w:t>
      </w:r>
      <w:r>
        <w:rPr>
          <w:rFonts w:ascii="宋体" w:hAnsi="宋体" w:cs="宋体" w:eastAsia="宋体" w:hint="default"/>
        </w:rPr>
        <w:t>80.26%,</w:t>
      </w:r>
      <w:r>
        <w:rPr/>
        <w:t>主要是本期</w:t>
      </w:r>
      <w:r>
        <w:rPr>
          <w:spacing w:val="-2"/>
        </w:rPr>
        <w:t> </w:t>
      </w:r>
      <w:r>
        <w:rPr/>
        <w:t>运营商业务收入下降，收入降幅较成本降幅大所致。</w:t>
      </w:r>
    </w:p>
    <w:p>
      <w:pPr>
        <w:pStyle w:val="BodyText"/>
        <w:spacing w:line="420" w:lineRule="auto" w:before="88"/>
        <w:ind w:right="1302" w:firstLine="420"/>
        <w:jc w:val="left"/>
      </w:pPr>
      <w:r>
        <w:rPr/>
        <w:t>掌视亿通</w:t>
      </w:r>
      <w:r>
        <w:rPr>
          <w:rFonts w:ascii="宋体" w:hAnsi="宋体" w:cs="宋体" w:eastAsia="宋体" w:hint="default"/>
        </w:rPr>
        <w:t>2018</w:t>
      </w:r>
      <w:r>
        <w:rPr/>
        <w:t>年实现合并归属于母公司所有者的净利润为</w:t>
      </w:r>
      <w:r>
        <w:rPr>
          <w:rFonts w:ascii="宋体" w:hAnsi="宋体" w:cs="宋体" w:eastAsia="宋体" w:hint="default"/>
        </w:rPr>
        <w:t>-837.70</w:t>
      </w:r>
      <w:r>
        <w:rPr/>
        <w:t>万元</w:t>
      </w:r>
      <w:r>
        <w:rPr>
          <w:rFonts w:ascii="宋体" w:hAnsi="宋体" w:cs="宋体" w:eastAsia="宋体" w:hint="default"/>
        </w:rPr>
        <w:t>,</w:t>
      </w:r>
      <w:r>
        <w:rPr/>
        <w:t>同比减少</w:t>
      </w:r>
      <w:r>
        <w:rPr>
          <w:rFonts w:ascii="宋体" w:hAnsi="宋体" w:cs="宋体" w:eastAsia="宋体" w:hint="default"/>
        </w:rPr>
        <w:t>110.01%,</w:t>
      </w:r>
      <w:r>
        <w:rPr/>
        <w:t>主要是本 期运营商业务收入减少，但流量经营业务成本增加以及本期计提影视投资款减值准备所致。</w:t>
      </w:r>
    </w:p>
    <w:p>
      <w:pPr>
        <w:pStyle w:val="BodyText"/>
        <w:spacing w:line="420" w:lineRule="auto" w:before="87"/>
        <w:ind w:right="1302" w:firstLine="420"/>
        <w:jc w:val="left"/>
      </w:pPr>
      <w:r>
        <w:rPr/>
        <w:t>精视文化</w:t>
      </w:r>
      <w:r>
        <w:rPr>
          <w:rFonts w:ascii="宋体" w:hAnsi="宋体" w:cs="宋体" w:eastAsia="宋体" w:hint="default"/>
        </w:rPr>
        <w:t>2018</w:t>
      </w:r>
      <w:r>
        <w:rPr/>
        <w:t>年实现合并归属于母公司所有者的净利润为</w:t>
      </w:r>
      <w:r>
        <w:rPr>
          <w:rFonts w:ascii="宋体" w:hAnsi="宋体" w:cs="宋体" w:eastAsia="宋体" w:hint="default"/>
        </w:rPr>
        <w:t>-3,256.24</w:t>
      </w:r>
      <w:r>
        <w:rPr/>
        <w:t>万元</w:t>
      </w:r>
      <w:r>
        <w:rPr>
          <w:rFonts w:ascii="宋体" w:hAnsi="宋体" w:cs="宋体" w:eastAsia="宋体" w:hint="default"/>
        </w:rPr>
        <w:t>,</w:t>
      </w:r>
      <w:r>
        <w:rPr/>
        <w:t>同比减少</w:t>
      </w:r>
      <w:r>
        <w:rPr>
          <w:rFonts w:ascii="宋体" w:hAnsi="宋体" w:cs="宋体" w:eastAsia="宋体" w:hint="default"/>
        </w:rPr>
        <w:t>569.67%,</w:t>
      </w:r>
      <w:r>
        <w:rPr/>
        <w:t>主要是 本期广告发布费收入减少，成本增加所致。</w:t>
      </w:r>
    </w:p>
    <w:p>
      <w:pPr>
        <w:pStyle w:val="BodyText"/>
        <w:spacing w:line="420" w:lineRule="auto" w:before="87"/>
        <w:ind w:right="1302" w:firstLine="420"/>
        <w:jc w:val="left"/>
      </w:pPr>
      <w:r>
        <w:rPr/>
        <w:t>漫友文化</w:t>
      </w:r>
      <w:r>
        <w:rPr>
          <w:rFonts w:ascii="宋体" w:hAnsi="宋体" w:cs="宋体" w:eastAsia="宋体" w:hint="default"/>
        </w:rPr>
        <w:t>2018</w:t>
      </w:r>
      <w:r>
        <w:rPr/>
        <w:t>年实现合并归属于母公司所有者的净利润为</w:t>
      </w:r>
      <w:r>
        <w:rPr>
          <w:rFonts w:ascii="宋体" w:hAnsi="宋体" w:cs="宋体" w:eastAsia="宋体" w:hint="default"/>
        </w:rPr>
        <w:t>-3,892.28</w:t>
      </w:r>
      <w:r>
        <w:rPr/>
        <w:t>万元</w:t>
      </w:r>
      <w:r>
        <w:rPr>
          <w:rFonts w:ascii="宋体" w:hAnsi="宋体" w:cs="宋体" w:eastAsia="宋体" w:hint="default"/>
        </w:rPr>
        <w:t>,</w:t>
      </w:r>
      <w:r>
        <w:rPr/>
        <w:t>同比减少</w:t>
      </w:r>
      <w:r>
        <w:rPr>
          <w:rFonts w:ascii="宋体" w:hAnsi="宋体" w:cs="宋体" w:eastAsia="宋体" w:hint="default"/>
        </w:rPr>
        <w:t>309.62%,</w:t>
      </w:r>
      <w:r>
        <w:rPr/>
        <w:t>主要是 本期动漫类服务收入下降，成本增加所致。</w:t>
      </w:r>
    </w:p>
    <w:p>
      <w:pPr>
        <w:pStyle w:val="BodyText"/>
        <w:spacing w:line="420" w:lineRule="auto" w:before="88"/>
        <w:ind w:right="1197" w:firstLine="420"/>
        <w:jc w:val="left"/>
      </w:pPr>
      <w:r>
        <w:rPr/>
        <w:t>车音智能</w:t>
      </w:r>
      <w:r>
        <w:rPr>
          <w:rFonts w:ascii="宋体" w:hAnsi="宋体" w:cs="宋体" w:eastAsia="宋体" w:hint="default"/>
        </w:rPr>
        <w:t>2018</w:t>
      </w:r>
      <w:r>
        <w:rPr/>
        <w:t>年实现合并归属于母公司所有者的净利润为</w:t>
      </w:r>
      <w:r>
        <w:rPr>
          <w:rFonts w:ascii="宋体" w:hAnsi="宋体" w:cs="宋体" w:eastAsia="宋体" w:hint="default"/>
        </w:rPr>
        <w:t>19,811.08</w:t>
      </w:r>
      <w:r>
        <w:rPr/>
        <w:t>万元</w:t>
      </w:r>
      <w:r>
        <w:rPr>
          <w:rFonts w:ascii="宋体" w:hAnsi="宋体" w:cs="宋体" w:eastAsia="宋体" w:hint="default"/>
        </w:rPr>
        <w:t>,</w:t>
      </w:r>
      <w:r>
        <w:rPr/>
        <w:t>同比增加</w:t>
      </w:r>
      <w:r>
        <w:rPr>
          <w:rFonts w:ascii="宋体" w:hAnsi="宋体" w:cs="宋体" w:eastAsia="宋体" w:hint="default"/>
        </w:rPr>
        <w:t>98.67%,</w:t>
      </w:r>
      <w:r>
        <w:rPr/>
        <w:t>主要是本 期广告投放业务收入大幅增加所致。</w:t>
      </w:r>
    </w:p>
    <w:p>
      <w:pPr>
        <w:pStyle w:val="BodyText"/>
        <w:spacing w:line="420" w:lineRule="auto" w:before="87"/>
        <w:ind w:right="1197" w:firstLine="420"/>
        <w:jc w:val="left"/>
      </w:pPr>
      <w:r>
        <w:rPr/>
        <w:t>麦游互动</w:t>
      </w:r>
      <w:r>
        <w:rPr>
          <w:rFonts w:ascii="宋体" w:hAnsi="宋体" w:cs="宋体" w:eastAsia="宋体" w:hint="default"/>
        </w:rPr>
        <w:t>2018</w:t>
      </w:r>
      <w:r>
        <w:rPr/>
        <w:t>年实现合并归属于母公司所有者的净利润为</w:t>
      </w:r>
      <w:r>
        <w:rPr>
          <w:rFonts w:ascii="宋体" w:hAnsi="宋体" w:cs="宋体" w:eastAsia="宋体" w:hint="default"/>
        </w:rPr>
        <w:t>4,181.67</w:t>
      </w:r>
      <w:r>
        <w:rPr/>
        <w:t>万元</w:t>
      </w:r>
      <w:r>
        <w:rPr>
          <w:rFonts w:ascii="宋体" w:hAnsi="宋体" w:cs="宋体" w:eastAsia="宋体" w:hint="default"/>
        </w:rPr>
        <w:t>,</w:t>
      </w:r>
      <w:r>
        <w:rPr/>
        <w:t>同比增加</w:t>
      </w:r>
      <w:r>
        <w:rPr>
          <w:rFonts w:ascii="宋体" w:hAnsi="宋体" w:cs="宋体" w:eastAsia="宋体" w:hint="default"/>
        </w:rPr>
        <w:t>273.71%,</w:t>
      </w:r>
      <w:r>
        <w:rPr/>
        <w:t>主要是本 期游戏收入增加所致。</w:t>
      </w:r>
    </w:p>
    <w:p>
      <w:pPr>
        <w:pStyle w:val="BodyText"/>
        <w:spacing w:line="420" w:lineRule="auto" w:before="87"/>
        <w:ind w:right="0" w:firstLine="420"/>
        <w:jc w:val="left"/>
      </w:pPr>
      <w:r>
        <w:rPr>
          <w:spacing w:val="-1"/>
        </w:rPr>
        <w:t>国广东方</w:t>
      </w:r>
      <w:r>
        <w:rPr>
          <w:rFonts w:ascii="宋体" w:hAnsi="宋体" w:cs="宋体" w:eastAsia="宋体" w:hint="default"/>
          <w:spacing w:val="-1"/>
        </w:rPr>
        <w:t>2018</w:t>
      </w:r>
      <w:r>
        <w:rPr>
          <w:spacing w:val="-1"/>
        </w:rPr>
        <w:t>年实现合并归属于母公司所有者的净利润为</w:t>
      </w:r>
      <w:r>
        <w:rPr>
          <w:rFonts w:ascii="宋体" w:hAnsi="宋体" w:cs="宋体" w:eastAsia="宋体" w:hint="default"/>
          <w:spacing w:val="-1"/>
        </w:rPr>
        <w:t>-21,917.15</w:t>
      </w:r>
      <w:r>
        <w:rPr>
          <w:spacing w:val="-1"/>
        </w:rPr>
        <w:t>万元</w:t>
      </w:r>
      <w:r>
        <w:rPr>
          <w:rFonts w:ascii="宋体" w:hAnsi="宋体" w:cs="宋体" w:eastAsia="宋体" w:hint="default"/>
          <w:spacing w:val="-1"/>
        </w:rPr>
        <w:t>,</w:t>
      </w:r>
      <w:r>
        <w:rPr>
          <w:spacing w:val="-1"/>
        </w:rPr>
        <w:t>同比减少</w:t>
      </w:r>
      <w:r>
        <w:rPr>
          <w:rFonts w:ascii="宋体" w:hAnsi="宋体" w:cs="宋体" w:eastAsia="宋体" w:hint="default"/>
          <w:spacing w:val="-1"/>
        </w:rPr>
        <w:t>1,897.75%,</w:t>
      </w:r>
      <w:r>
        <w:rPr>
          <w:spacing w:val="-1"/>
        </w:rPr>
        <w:t>主要</w:t>
      </w:r>
      <w:r>
        <w:rPr>
          <w:spacing w:val="-2"/>
        </w:rPr>
        <w:t> </w:t>
      </w:r>
      <w:r>
        <w:rPr/>
        <w:t>是本期成本增加和计提资产减值损失所致。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2"/>
        <w:spacing w:line="240" w:lineRule="auto" w:before="0"/>
        <w:ind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0"/>
        <w:ind w:right="0"/>
        <w:jc w:val="left"/>
      </w:pPr>
      <w:r>
        <w:rPr/>
        <w:t>□ 适用 √</w:t>
      </w:r>
      <w:r>
        <w:rPr>
          <w:spacing w:val="-1"/>
        </w:rPr>
        <w:t> </w:t>
      </w:r>
      <w:r>
        <w:rPr/>
        <w:t>不适用</w:t>
      </w:r>
    </w:p>
    <w:p>
      <w:pPr>
        <w:spacing w:line="240" w:lineRule="auto" w:before="1"/>
        <w:rPr>
          <w:rFonts w:ascii="宋体" w:hAnsi="宋体" w:cs="宋体" w:eastAsia="宋体" w:hint="default"/>
          <w:sz w:val="25"/>
          <w:szCs w:val="25"/>
        </w:rPr>
      </w:pPr>
    </w:p>
    <w:p>
      <w:pPr>
        <w:pStyle w:val="Heading2"/>
        <w:spacing w:line="240" w:lineRule="auto" w:before="0"/>
        <w:ind w:right="0"/>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0"/>
        <w:rPr>
          <w:rFonts w:ascii="宋体" w:hAnsi="宋体" w:cs="宋体" w:eastAsia="宋体" w:hint="default"/>
          <w:b/>
          <w:bCs/>
          <w:sz w:val="24"/>
          <w:szCs w:val="24"/>
        </w:rPr>
      </w:pPr>
    </w:p>
    <w:p>
      <w:pPr>
        <w:pStyle w:val="BodyText"/>
        <w:spacing w:line="420" w:lineRule="auto" w:before="161"/>
        <w:ind w:left="574" w:right="0" w:firstLine="2"/>
        <w:jc w:val="left"/>
      </w:pPr>
      <w:r>
        <w:rPr>
          <w:rFonts w:ascii="宋体" w:hAnsi="宋体" w:cs="宋体" w:eastAsia="宋体" w:hint="default"/>
          <w:b/>
          <w:bCs/>
        </w:rPr>
        <w:t>（一）公司发展战略</w:t>
      </w:r>
      <w:r>
        <w:rPr>
          <w:rFonts w:ascii="宋体" w:hAnsi="宋体" w:cs="宋体" w:eastAsia="宋体" w:hint="default"/>
          <w:b/>
          <w:bCs/>
          <w:w w:val="99"/>
        </w:rPr>
        <w:t> </w:t>
      </w:r>
      <w:r>
        <w:rPr>
          <w:spacing w:val="-1"/>
        </w:rPr>
        <w:t>经过多年努力，华闻传媒已经实现了报纸、移动视频、网络媒体、广播、楼宇媒体等多种媒体渠道的</w:t>
      </w:r>
    </w:p>
    <w:p>
      <w:pPr>
        <w:pStyle w:val="BodyText"/>
        <w:spacing w:line="420" w:lineRule="auto" w:before="47"/>
        <w:ind w:right="0"/>
        <w:jc w:val="left"/>
      </w:pPr>
      <w:r>
        <w:rPr>
          <w:spacing w:val="-1"/>
        </w:rPr>
        <w:t>全覆盖，基本奠定了“全媒体、大文化”的战略布局，初步形成了一个覆盖用户主要生活和工作场景的立</w:t>
      </w:r>
      <w:r>
        <w:rPr>
          <w:spacing w:val="-84"/>
        </w:rPr>
        <w:t> </w:t>
      </w:r>
      <w:r>
        <w:rPr>
          <w:spacing w:val="-84"/>
        </w:rPr>
      </w:r>
      <w:r>
        <w:rPr/>
        <w:t>体多样、融合发展的现代传播体系。</w:t>
      </w:r>
    </w:p>
    <w:p>
      <w:pPr>
        <w:pStyle w:val="BodyText"/>
        <w:spacing w:line="420" w:lineRule="auto" w:before="87"/>
        <w:ind w:right="0" w:firstLine="420"/>
        <w:jc w:val="left"/>
      </w:pPr>
      <w:r>
        <w:rPr>
          <w:spacing w:val="-1"/>
        </w:rPr>
        <w:t>目前公司内部业务主要包括财经媒体业务、区域资讯业务、广播广告业务、网络视频业务、车联网业</w:t>
      </w:r>
      <w:r>
        <w:rPr/>
        <w:t> </w:t>
      </w:r>
      <w:r>
        <w:rPr>
          <w:spacing w:val="-1"/>
        </w:rPr>
        <w:t>务、漫画动漫业务、楼宇广告业务、游戏竞技业务等，在媒体资源、传媒渠道领域的覆盖已较为全面。以</w:t>
      </w:r>
    </w:p>
    <w:p>
      <w:pPr>
        <w:spacing w:after="0" w:line="42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信息披露、咨询服务为主要方向的财经媒体业务；以融合会展、快递、网络建设最有影响力的区域“媒体</w:t>
      </w:r>
    </w:p>
    <w:p>
      <w:pPr>
        <w:spacing w:line="240" w:lineRule="auto" w:before="9"/>
        <w:rPr>
          <w:rFonts w:ascii="宋体" w:hAnsi="宋体" w:cs="宋体" w:eastAsia="宋体" w:hint="default"/>
          <w:sz w:val="15"/>
          <w:szCs w:val="15"/>
        </w:rPr>
      </w:pPr>
    </w:p>
    <w:p>
      <w:pPr>
        <w:pStyle w:val="BodyText"/>
        <w:spacing w:line="420" w:lineRule="auto"/>
        <w:ind w:right="1110"/>
        <w:jc w:val="both"/>
      </w:pPr>
      <w:r>
        <w:rPr>
          <w:rFonts w:ascii="宋体" w:hAnsi="宋体" w:cs="宋体" w:eastAsia="宋体" w:hint="default"/>
        </w:rPr>
        <w:t>+</w:t>
      </w:r>
      <w:r>
        <w:rPr/>
        <w:t>”业务，为用户提供了优质的财经及区域媒体产品与服务；以广播广告和楼宇媒体为代表的广告营销业</w:t>
      </w:r>
      <w:r>
        <w:rPr>
          <w:spacing w:val="-34"/>
        </w:rPr>
        <w:t> </w:t>
      </w:r>
      <w:r>
        <w:rPr>
          <w:spacing w:val="-34"/>
        </w:rPr>
      </w:r>
      <w:r>
        <w:rPr>
          <w:spacing w:val="-1"/>
        </w:rPr>
        <w:t>务，深入消费群体，内容覆盖广，现今已经产生了较强的品牌影响力与较高的广告溢价；以手机视频和互</w:t>
      </w:r>
      <w:r>
        <w:rPr>
          <w:spacing w:val="-85"/>
        </w:rPr>
        <w:t> </w:t>
      </w:r>
      <w:r>
        <w:rPr>
          <w:spacing w:val="-85"/>
        </w:rPr>
      </w:r>
      <w:r>
        <w:rPr/>
        <w:t>联网电视组成的网络视频服务业务，依托其独有的牌照优势，从广播频道、手机视频</w:t>
      </w:r>
      <w:r>
        <w:rPr>
          <w:rFonts w:ascii="宋体" w:hAnsi="宋体" w:cs="宋体" w:eastAsia="宋体" w:hint="default"/>
        </w:rPr>
        <w:t>APP</w:t>
      </w:r>
      <w:r>
        <w:rPr/>
        <w:t>、大数据深度挖</w:t>
      </w:r>
      <w:r>
        <w:rPr>
          <w:spacing w:val="-26"/>
        </w:rPr>
        <w:t> </w:t>
      </w:r>
      <w:r>
        <w:rPr>
          <w:spacing w:val="-26"/>
        </w:rPr>
      </w:r>
      <w:r>
        <w:rPr/>
        <w:t>掘、智能渠道管理等各层面处深挖市场，并为场景内有刚性或准刚性需求的用户提供免流量的视频服务， </w:t>
      </w:r>
      <w:r>
        <w:rPr>
          <w:spacing w:val="-1"/>
        </w:rPr>
        <w:t>“护城河”进一步加强；以车联网、智能、数据为核心的特色信息和数据服务业务，致力于智能网联领域</w:t>
      </w:r>
      <w:r>
        <w:rPr>
          <w:spacing w:val="-86"/>
        </w:rPr>
        <w:t> </w:t>
      </w:r>
      <w:r>
        <w:rPr>
          <w:spacing w:val="-86"/>
        </w:rPr>
      </w:r>
      <w:r>
        <w:rPr/>
        <w:t>的技术和运营创新，为汽车主机厂提供智能汽车解决方案，包括车载交互系统开发、车主运营及服务等； </w:t>
      </w:r>
      <w:r>
        <w:rPr>
          <w:spacing w:val="-1"/>
        </w:rPr>
        <w:t>以漫画动漫和手机游戏为典型代表的文化娱乐产品，为公司在文化媒体产业链延伸业务上积累培育了优质</w:t>
      </w:r>
      <w:r>
        <w:rPr>
          <w:spacing w:val="-80"/>
        </w:rPr>
        <w:t> </w:t>
      </w:r>
      <w:r>
        <w:rPr>
          <w:spacing w:val="-80"/>
        </w:rPr>
      </w:r>
      <w:r>
        <w:rPr/>
        <w:t>的市场资源和强大的品牌影响力。目前公司在渠道布局上，已经为公司后续转型奠定了坚实的发展基础。</w:t>
      </w:r>
    </w:p>
    <w:p>
      <w:pPr>
        <w:pStyle w:val="BodyText"/>
        <w:spacing w:line="420" w:lineRule="auto" w:before="87"/>
        <w:ind w:left="574" w:right="1116" w:firstLine="2"/>
        <w:jc w:val="left"/>
      </w:pPr>
      <w:r>
        <w:rPr>
          <w:rFonts w:ascii="宋体" w:hAnsi="宋体" w:cs="宋体" w:eastAsia="宋体" w:hint="default"/>
          <w:b/>
          <w:bCs/>
        </w:rPr>
        <w:t>1</w:t>
      </w:r>
      <w:r>
        <w:rPr>
          <w:rFonts w:ascii="宋体" w:hAnsi="宋体" w:cs="宋体" w:eastAsia="宋体" w:hint="default"/>
          <w:b/>
          <w:bCs/>
        </w:rPr>
        <w:t>．指导思想</w:t>
      </w:r>
      <w:r>
        <w:rPr>
          <w:rFonts w:ascii="宋体" w:hAnsi="宋体" w:cs="宋体" w:eastAsia="宋体" w:hint="default"/>
          <w:b/>
          <w:bCs/>
          <w:w w:val="99"/>
        </w:rPr>
        <w:t> </w:t>
      </w:r>
      <w:r>
        <w:rPr>
          <w:spacing w:val="-1"/>
        </w:rPr>
        <w:t>准确把握形势、政策与环境，全面贯彻党的十九大精神，深刻领会国家“十三五”规划纲要，从公司</w:t>
      </w:r>
    </w:p>
    <w:p>
      <w:pPr>
        <w:pStyle w:val="BodyText"/>
        <w:spacing w:line="420" w:lineRule="auto" w:before="47"/>
        <w:ind w:right="1023"/>
        <w:jc w:val="left"/>
      </w:pPr>
      <w:r>
        <w:rPr/>
        <w:t>实际出发，按照“拥抱科技、借力金融、依托媒介、创新文旅”总体思路，致力落实“传播信息，弘扬文 化”的经营理念，依托股东的国家级媒体背景，网络基础设施、信息服务、高科技产业等综合实力，依靠 公司多年累积的品牌、平台、项目、实力、机制等比较优势，积极运用网络化、移动化、智能化、区块链 等新技术手段，充分发挥资本市场配置资源等功能，继续开拓、加强、打通、融合媒体渠道、技术应用与 用户，深度整合发展财经内容与服务，积极发展文化金融，大力进军文娱、文体、文旅内容与服务，全面 </w:t>
      </w:r>
      <w:r>
        <w:rPr>
          <w:spacing w:val="-3"/>
        </w:rPr>
        <w:t>发力创新文旅，整合资源，突出主业，激活存量，拓展增量，持续创新，规范运作，增创效益，提升价值，</w:t>
      </w:r>
      <w:r>
        <w:rPr>
          <w:spacing w:val="-92"/>
        </w:rPr>
        <w:t> </w:t>
      </w:r>
      <w:r>
        <w:rPr>
          <w:spacing w:val="-92"/>
        </w:rPr>
      </w:r>
      <w:r>
        <w:rPr/>
        <w:t>全力打造以财经服务与文娱体旅“两个服务供应商”为支撑的独具特色的“新兴生活方式文化生态圈” 和“新型智慧传媒文化集团”。</w:t>
      </w:r>
    </w:p>
    <w:p>
      <w:pPr>
        <w:pStyle w:val="BodyText"/>
        <w:spacing w:line="420" w:lineRule="auto" w:before="47"/>
        <w:ind w:left="574" w:right="1116" w:firstLine="2"/>
        <w:jc w:val="left"/>
      </w:pPr>
      <w:r>
        <w:rPr>
          <w:rFonts w:ascii="宋体" w:hAnsi="宋体" w:cs="宋体" w:eastAsia="宋体" w:hint="default"/>
          <w:b/>
          <w:bCs/>
        </w:rPr>
        <w:t>2</w:t>
      </w:r>
      <w:r>
        <w:rPr>
          <w:rFonts w:ascii="宋体" w:hAnsi="宋体" w:cs="宋体" w:eastAsia="宋体" w:hint="default"/>
          <w:b/>
          <w:bCs/>
        </w:rPr>
        <w:t>．基本原则</w:t>
      </w:r>
      <w:r>
        <w:rPr>
          <w:rFonts w:ascii="宋体" w:hAnsi="宋体" w:cs="宋体" w:eastAsia="宋体" w:hint="default"/>
          <w:b/>
          <w:bCs/>
          <w:w w:val="99"/>
        </w:rPr>
        <w:t> </w:t>
      </w:r>
      <w:r>
        <w:rPr>
          <w:spacing w:val="-1"/>
        </w:rPr>
        <w:t>公司发展战略规划既要考量企业在战略跑道选取、顶层设计上应具备的前瞻性预见性，又要考虑具体</w:t>
      </w:r>
    </w:p>
    <w:p>
      <w:pPr>
        <w:pStyle w:val="BodyText"/>
        <w:spacing w:line="420" w:lineRule="auto" w:before="47"/>
        <w:ind w:right="0"/>
        <w:jc w:val="left"/>
      </w:pPr>
      <w:r>
        <w:rPr>
          <w:spacing w:val="-1"/>
        </w:rPr>
        <w:t>业务板块在深度与广度上的落地执行能力。因此，按照公司战略指导思想与公司现状及发展方向，确定发</w:t>
      </w:r>
      <w:r>
        <w:rPr>
          <w:spacing w:val="-83"/>
        </w:rPr>
        <w:t> </w:t>
      </w:r>
      <w:r>
        <w:rPr>
          <w:spacing w:val="-83"/>
        </w:rPr>
      </w:r>
      <w:r>
        <w:rPr/>
        <w:t>展战略的基本原则。</w:t>
      </w:r>
    </w:p>
    <w:p>
      <w:pPr>
        <w:pStyle w:val="BodyText"/>
        <w:spacing w:line="420" w:lineRule="auto" w:before="47"/>
        <w:ind w:right="0" w:firstLine="420"/>
        <w:jc w:val="left"/>
      </w:pPr>
      <w:r>
        <w:rPr>
          <w:spacing w:val="-1"/>
        </w:rPr>
        <w:t>第一，主次结合，突出主业。明确主打业务、主攻方向和突破口。同时兼顾其它相关业务，通过进一</w:t>
      </w:r>
      <w:r>
        <w:rPr/>
        <w:t> 步优化产业结构，进行纵向一体化、横向一体化的梳理，保障业务有序、协同发展。</w:t>
      </w:r>
    </w:p>
    <w:p>
      <w:pPr>
        <w:pStyle w:val="BodyText"/>
        <w:spacing w:line="420" w:lineRule="auto" w:before="47"/>
        <w:ind w:right="0" w:firstLine="420"/>
        <w:jc w:val="left"/>
      </w:pPr>
      <w:r>
        <w:rPr>
          <w:spacing w:val="-1"/>
        </w:rPr>
        <w:t>第二，大小结合，精选项目。突出重大项目，选定“定海神针”。孵化小微项目，培育新方向新业态</w:t>
      </w:r>
      <w:r>
        <w:rPr/>
        <w:t> 新模式，以其带来后续发力式的增长。</w:t>
      </w:r>
    </w:p>
    <w:p>
      <w:pPr>
        <w:pStyle w:val="BodyText"/>
        <w:spacing w:line="240" w:lineRule="auto" w:before="47"/>
        <w:ind w:left="574" w:right="0"/>
        <w:jc w:val="left"/>
      </w:pPr>
      <w:r>
        <w:rPr/>
        <w:t>第三，新老结合，处理好存量业务与增量业务关系。</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left="574" w:right="0"/>
        <w:jc w:val="left"/>
      </w:pPr>
      <w:r>
        <w:rPr/>
        <w:t>第四，内外结合，既要抓好内部整合、内生发展，又要抓紧外部并购、外向发展。 </w:t>
      </w:r>
      <w:r>
        <w:rPr>
          <w:spacing w:val="-1"/>
        </w:rPr>
        <w:t>第五，轻重结合，匹配资产。根据现状，在投资上，注意资产的轻重搭配。在剥离了主业之外的重资</w:t>
      </w:r>
    </w:p>
    <w:p>
      <w:pPr>
        <w:pStyle w:val="BodyText"/>
        <w:spacing w:line="420" w:lineRule="auto" w:before="47"/>
        <w:ind w:left="574" w:right="1017" w:hanging="420"/>
        <w:jc w:val="left"/>
      </w:pPr>
      <w:r>
        <w:rPr/>
        <w:t>产的同时，注意补充与主业相关的重资产业务，增加融资所需要的可担保优质资产。 </w:t>
      </w:r>
      <w:r>
        <w:rPr>
          <w:spacing w:val="-3"/>
        </w:rPr>
        <w:t>第六，长短结合，既重视短平快业务、立足当前，又重视中长期价值资产项目、布局长远。在收益上，</w:t>
      </w:r>
    </w:p>
    <w:p>
      <w:pPr>
        <w:pStyle w:val="BodyText"/>
        <w:spacing w:line="420" w:lineRule="auto" w:before="47"/>
        <w:ind w:right="0"/>
        <w:jc w:val="left"/>
      </w:pPr>
      <w:r>
        <w:rPr>
          <w:spacing w:val="-1"/>
        </w:rPr>
        <w:t>不但需要在短期内继续增强盈利能力，而且更应着眼于未来长期的新文化、大文化、文娱体旅消费产业布</w:t>
      </w:r>
      <w:r>
        <w:rPr>
          <w:spacing w:val="-83"/>
        </w:rPr>
        <w:t> </w:t>
      </w:r>
      <w:r>
        <w:rPr>
          <w:spacing w:val="-83"/>
        </w:rPr>
      </w:r>
      <w:r>
        <w:rPr/>
        <w:t>局，使得原有产业和新产业形成合力，共同推进产业发展。</w:t>
      </w:r>
    </w:p>
    <w:p>
      <w:pPr>
        <w:pStyle w:val="BodyText"/>
        <w:spacing w:line="420" w:lineRule="auto" w:before="47"/>
        <w:ind w:right="1023" w:firstLine="420"/>
        <w:jc w:val="left"/>
      </w:pPr>
      <w:r>
        <w:rPr/>
        <w:t>第七，“质”“量”结合，规模与效益结合。既努力上发展规模，争取较快速发展，又着力保经济效 </w:t>
      </w:r>
      <w:r>
        <w:rPr>
          <w:spacing w:val="-3"/>
        </w:rPr>
        <w:t>益，谋求高质量发展。在扩大规模时注重利润优先，注重企业价值、注重投资者回报，坚定投资者的信心，</w:t>
      </w:r>
      <w:r>
        <w:rPr>
          <w:spacing w:val="-94"/>
        </w:rPr>
        <w:t> </w:t>
      </w:r>
      <w:r>
        <w:rPr>
          <w:spacing w:val="-94"/>
        </w:rPr>
      </w:r>
      <w:r>
        <w:rPr/>
        <w:t>并在稳定公司利润的基础上不断提升公司价值。</w:t>
      </w:r>
    </w:p>
    <w:p>
      <w:pPr>
        <w:pStyle w:val="BodyText"/>
        <w:spacing w:line="420" w:lineRule="auto" w:before="47"/>
        <w:ind w:right="1023" w:firstLine="420"/>
        <w:jc w:val="left"/>
      </w:pPr>
      <w:r>
        <w:rPr/>
        <w:t>第八，“人”“事”结合，既做好业务、项目，又要加强管理、以人为本。处理好优化公司管理与业 </w:t>
      </w:r>
      <w:r>
        <w:rPr>
          <w:spacing w:val="-3"/>
        </w:rPr>
        <w:t>务导向的关系。一方面支持业务优先，发展才是硬道理，另一方面要不断跟进管理、规范管理、创新管理，</w:t>
      </w:r>
      <w:r>
        <w:rPr>
          <w:spacing w:val="-94"/>
        </w:rPr>
        <w:t> </w:t>
      </w:r>
      <w:r>
        <w:rPr>
          <w:spacing w:val="-94"/>
        </w:rPr>
      </w:r>
      <w:r>
        <w:rPr/>
        <w:t>进一步完善治理机构，进一步健全目标管理、制度管理，再造流程，创新机制。在业务开拓与发展的实战</w:t>
      </w:r>
      <w:r>
        <w:rPr/>
        <w:t> 中，形成专业、优秀的人才团队，并优化团队建设、队伍建设，践行适合司情的企业文化。</w:t>
      </w:r>
    </w:p>
    <w:p>
      <w:pPr>
        <w:pStyle w:val="Heading4"/>
        <w:spacing w:line="240" w:lineRule="auto" w:before="47"/>
        <w:ind w:left="576" w:right="0"/>
        <w:jc w:val="left"/>
        <w:rPr>
          <w:b w:val="0"/>
          <w:bCs w:val="0"/>
        </w:rPr>
      </w:pPr>
      <w:r>
        <w:rPr>
          <w:rFonts w:ascii="宋体" w:hAnsi="宋体" w:cs="宋体" w:eastAsia="宋体" w:hint="default"/>
        </w:rPr>
        <w:t>3</w:t>
      </w:r>
      <w:r>
        <w:rPr/>
        <w:t>．战略方向</w:t>
      </w:r>
      <w:r>
        <w:rPr>
          <w:b w:val="0"/>
          <w:bCs w:val="0"/>
        </w:rPr>
      </w:r>
    </w:p>
    <w:p>
      <w:pPr>
        <w:spacing w:line="240" w:lineRule="auto" w:before="9"/>
        <w:rPr>
          <w:rFonts w:ascii="宋体" w:hAnsi="宋体" w:cs="宋体" w:eastAsia="宋体" w:hint="default"/>
          <w:b/>
          <w:bCs/>
          <w:sz w:val="15"/>
          <w:szCs w:val="15"/>
        </w:rPr>
      </w:pPr>
    </w:p>
    <w:p>
      <w:pPr>
        <w:pStyle w:val="BodyText"/>
        <w:spacing w:line="420" w:lineRule="auto"/>
        <w:ind w:right="1110" w:firstLine="420"/>
        <w:jc w:val="left"/>
      </w:pPr>
      <w:r>
        <w:rPr/>
        <w:t>公司从</w:t>
      </w:r>
      <w:r>
        <w:rPr>
          <w:rFonts w:ascii="宋体" w:hAnsi="宋体" w:cs="宋体" w:eastAsia="宋体" w:hint="default"/>
        </w:rPr>
        <w:t>2013-2017</w:t>
      </w:r>
      <w:r>
        <w:rPr/>
        <w:t>年的战略侧重是实现全媒体的渠道布局，显著扩大了用户覆盖的地理范围、特征人 群、消费习惯，从原有的都市和财经报纸媒体用户扩充到手机视频用户、互联网电视用户、二次元用户、 广播用户、教育留学用户、框架传媒用户等。完成这一阶段的渠道布局后，公司</w:t>
      </w:r>
      <w:r>
        <w:rPr>
          <w:rFonts w:ascii="宋体" w:hAnsi="宋体" w:cs="宋体" w:eastAsia="宋体" w:hint="default"/>
        </w:rPr>
        <w:t>2018-2022</w:t>
      </w:r>
      <w:r>
        <w:rPr/>
        <w:t>年的战略将在 </w:t>
      </w:r>
      <w:r>
        <w:rPr>
          <w:spacing w:val="-1"/>
        </w:rPr>
        <w:t>加强、整合、聚焦核心主渠道的同时，侧重于内容布局，而内容布局的切入点主要定位在互联网新媒体和</w:t>
      </w:r>
      <w:r>
        <w:rPr>
          <w:spacing w:val="-86"/>
        </w:rPr>
        <w:t> </w:t>
      </w:r>
      <w:r>
        <w:rPr>
          <w:spacing w:val="-86"/>
        </w:rPr>
      </w:r>
      <w:r>
        <w:rPr>
          <w:spacing w:val="-1"/>
        </w:rPr>
        <w:t>“创新文娱体旅”。这将是公司的核心业务，也是公司未来五年并购重组、资源配置以及资金投入的主要</w:t>
      </w:r>
      <w:r>
        <w:rPr>
          <w:spacing w:val="-83"/>
        </w:rPr>
        <w:t> </w:t>
      </w:r>
      <w:r>
        <w:rPr>
          <w:spacing w:val="-83"/>
        </w:rPr>
      </w:r>
      <w:r>
        <w:rPr/>
        <w:t>方向。</w:t>
      </w:r>
    </w:p>
    <w:p>
      <w:pPr>
        <w:pStyle w:val="BodyText"/>
        <w:spacing w:line="420" w:lineRule="auto" w:before="47"/>
        <w:ind w:right="1131" w:firstLine="420"/>
        <w:jc w:val="both"/>
      </w:pPr>
      <w:r>
        <w:rPr>
          <w:spacing w:val="-1"/>
        </w:rPr>
        <w:t>互联网新媒体已然成为传播信息的主要渠道，互联网新媒体的项目、平台、品牌比比皆是，但是泥沙</w:t>
      </w:r>
      <w:r>
        <w:rPr/>
        <w:t> </w:t>
      </w:r>
      <w:r>
        <w:rPr>
          <w:spacing w:val="-1"/>
        </w:rPr>
        <w:t>俱下。公司将积极应对媒体的互联网化、移动化、智能化、泛媒介化、个性化、程序化浪潮与趋势，在广</w:t>
      </w:r>
      <w:r>
        <w:rPr>
          <w:spacing w:val="-85"/>
        </w:rPr>
        <w:t> </w:t>
      </w:r>
      <w:r>
        <w:rPr>
          <w:spacing w:val="-85"/>
        </w:rPr>
      </w:r>
      <w:r>
        <w:rPr>
          <w:spacing w:val="-1"/>
        </w:rPr>
        <w:t>泛调研的基础上，大浪淘沙，沙中淘金，选择适合公司的方向及体量、业绩、结构、周期等相应要求的目</w:t>
      </w:r>
      <w:r>
        <w:rPr>
          <w:spacing w:val="-83"/>
        </w:rPr>
        <w:t> </w:t>
      </w:r>
      <w:r>
        <w:rPr>
          <w:spacing w:val="-83"/>
        </w:rPr>
      </w:r>
      <w:r>
        <w:rPr>
          <w:spacing w:val="-1"/>
        </w:rPr>
        <w:t>标项目来实施并购与整合，为公司加强互联网智慧新媒体的渠道和内容，进行战略性、关键性、联动性的</w:t>
      </w:r>
      <w:r>
        <w:rPr>
          <w:spacing w:val="-86"/>
        </w:rPr>
        <w:t> </w:t>
      </w:r>
      <w:r>
        <w:rPr>
          <w:spacing w:val="-86"/>
        </w:rPr>
      </w:r>
      <w:r>
        <w:rPr/>
        <w:t>布局。</w:t>
      </w:r>
    </w:p>
    <w:p>
      <w:pPr>
        <w:pStyle w:val="BodyText"/>
        <w:spacing w:line="420" w:lineRule="auto" w:before="47"/>
        <w:ind w:right="1109" w:firstLine="420"/>
        <w:jc w:val="both"/>
      </w:pPr>
      <w:r>
        <w:rPr>
          <w:spacing w:val="-1"/>
        </w:rPr>
        <w:t>经过公司的论证分析，创新文娱体旅是公司多样化渠道覆盖用户的一个较有共性的需求，也是公司的</w:t>
      </w:r>
      <w:r>
        <w:rPr/>
        <w:t> </w:t>
      </w:r>
      <w:r>
        <w:rPr>
          <w:spacing w:val="-1"/>
        </w:rPr>
        <w:t>全媒体能够发挥较高影响力、能够通过该项内容和服务将全媒体渠道整合运营的一个颇具张力的内容。因</w:t>
      </w:r>
      <w:r>
        <w:rPr>
          <w:spacing w:val="-81"/>
        </w:rPr>
        <w:t> </w:t>
      </w:r>
      <w:r>
        <w:rPr>
          <w:spacing w:val="-81"/>
        </w:rPr>
      </w:r>
      <w:r>
        <w:rPr/>
        <w:t>此，公司下一阶段的战略就是用创新文娱体旅的内容和相应的服务去满足全媒体渠道的用户，相辅相成。 </w:t>
      </w:r>
      <w:r>
        <w:rPr>
          <w:spacing w:val="-1"/>
        </w:rPr>
        <w:t>用创新文旅、创新文娱及优质体育竞技内容来填充我们全媒体渠道各种用户切实的旺盛的极具成长性的需</w:t>
      </w:r>
    </w:p>
    <w:p>
      <w:pPr>
        <w:spacing w:after="0" w:line="420"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求。</w:t>
      </w:r>
    </w:p>
    <w:p>
      <w:pPr>
        <w:spacing w:line="240" w:lineRule="auto" w:before="9"/>
        <w:rPr>
          <w:rFonts w:ascii="宋体" w:hAnsi="宋体" w:cs="宋体" w:eastAsia="宋体" w:hint="default"/>
          <w:sz w:val="15"/>
          <w:szCs w:val="15"/>
        </w:rPr>
      </w:pPr>
    </w:p>
    <w:p>
      <w:pPr>
        <w:pStyle w:val="BodyText"/>
        <w:spacing w:line="420" w:lineRule="auto"/>
        <w:ind w:right="1132" w:firstLine="420"/>
        <w:jc w:val="both"/>
      </w:pPr>
      <w:r>
        <w:rPr>
          <w:spacing w:val="-1"/>
        </w:rPr>
        <w:t>内容是公司走向领先的优秀的新型智慧传媒集团的必经之路，公司下一阶段的战略将致力于为全媒体</w:t>
      </w:r>
      <w:r>
        <w:rPr/>
        <w:t> </w:t>
      </w:r>
      <w:r>
        <w:rPr>
          <w:spacing w:val="-1"/>
        </w:rPr>
        <w:t>渠道的各类用户提供满足切实需求的文娱、文体、文旅等内容和服务，并运用大数据、智能化、区块链等</w:t>
      </w:r>
      <w:r>
        <w:rPr>
          <w:spacing w:val="-83"/>
        </w:rPr>
        <w:t> </w:t>
      </w:r>
      <w:r>
        <w:rPr>
          <w:spacing w:val="-83"/>
        </w:rPr>
      </w:r>
      <w:r>
        <w:rPr>
          <w:spacing w:val="-1"/>
        </w:rPr>
        <w:t>技术手段和工具，将多样化的媒体渠道及用户整合运营、全面提升。因此，将“创新文娱体旅”作为战略</w:t>
      </w:r>
      <w:r>
        <w:rPr>
          <w:spacing w:val="-85"/>
        </w:rPr>
        <w:t> </w:t>
      </w:r>
      <w:r>
        <w:rPr>
          <w:spacing w:val="-85"/>
        </w:rPr>
      </w:r>
      <w:r>
        <w:rPr/>
        <w:t>发展的主攻方向，“拥抱科技、借力金融、依托媒介、创新文旅”。</w:t>
      </w:r>
    </w:p>
    <w:p>
      <w:pPr>
        <w:pStyle w:val="BodyText"/>
        <w:spacing w:line="420" w:lineRule="auto" w:before="47"/>
        <w:ind w:right="1131" w:firstLine="420"/>
        <w:jc w:val="both"/>
      </w:pPr>
      <w:r>
        <w:rPr>
          <w:spacing w:val="-1"/>
        </w:rPr>
        <w:t>公司重点布局和发展的文旅产业是文化行业的一个组成部分，重点在于文化旅游、文化娱乐。文旅产</w:t>
      </w:r>
      <w:r>
        <w:rPr/>
        <w:t> </w:t>
      </w:r>
      <w:r>
        <w:rPr>
          <w:spacing w:val="-1"/>
        </w:rPr>
        <w:t>业的发展有两个极为重要的推动力：一个是科技进步，特别是基于通信技术、互联网技术及信息管理与处</w:t>
      </w:r>
      <w:r>
        <w:rPr>
          <w:spacing w:val="-83"/>
        </w:rPr>
        <w:t> </w:t>
      </w:r>
      <w:r>
        <w:rPr>
          <w:spacing w:val="-83"/>
        </w:rPr>
      </w:r>
      <w:r>
        <w:rPr>
          <w:spacing w:val="-1"/>
        </w:rPr>
        <w:t>理技术融合对文旅资源的价值提升；另一个是财经推动，特别是文旅与财经服务的结合、文旅金融对文旅</w:t>
      </w:r>
      <w:r>
        <w:rPr>
          <w:spacing w:val="-83"/>
        </w:rPr>
        <w:t> </w:t>
      </w:r>
      <w:r>
        <w:rPr>
          <w:spacing w:val="-83"/>
        </w:rPr>
      </w:r>
      <w:r>
        <w:rPr/>
        <w:t>资源的聚合作用。资源是基础，创意是灵魂，文旅与科技、文旅与财经的融合是公司发展的战略方向。</w:t>
      </w:r>
    </w:p>
    <w:p>
      <w:pPr>
        <w:pStyle w:val="BodyText"/>
        <w:spacing w:line="420" w:lineRule="auto" w:before="47"/>
        <w:ind w:right="0" w:firstLine="420"/>
        <w:jc w:val="left"/>
      </w:pPr>
      <w:r>
        <w:rPr/>
        <w:t>（</w:t>
      </w:r>
      <w:r>
        <w:rPr>
          <w:rFonts w:ascii="宋体" w:hAnsi="宋体" w:cs="宋体" w:eastAsia="宋体" w:hint="default"/>
        </w:rPr>
        <w:t>1</w:t>
      </w:r>
      <w:r>
        <w:rPr/>
        <w:t>）公司将注重科技与文旅的结合，打造科技文旅、创新文旅。公司拥有大数据挖掘、基于用户画 </w:t>
      </w:r>
      <w:r>
        <w:rPr>
          <w:spacing w:val="-1"/>
        </w:rPr>
        <w:t>像的智能推送技术等，公司将进一步强化现有的这些技术能力，重点突出智能语音、全息影像、</w:t>
      </w:r>
      <w:r>
        <w:rPr>
          <w:rFonts w:ascii="宋体" w:hAnsi="宋体" w:cs="宋体" w:eastAsia="宋体" w:hint="default"/>
          <w:spacing w:val="-1"/>
        </w:rPr>
        <w:t>AR</w:t>
      </w:r>
      <w:r>
        <w:rPr>
          <w:spacing w:val="-1"/>
        </w:rPr>
        <w:t>、</w:t>
      </w:r>
      <w:r>
        <w:rPr>
          <w:rFonts w:ascii="宋体" w:hAnsi="宋体" w:cs="宋体" w:eastAsia="宋体" w:hint="default"/>
          <w:spacing w:val="-1"/>
        </w:rPr>
        <w:t>VR</w:t>
      </w:r>
      <w:r>
        <w:rPr>
          <w:spacing w:val="-1"/>
        </w:rPr>
        <w:t>等</w:t>
      </w:r>
      <w:r>
        <w:rPr>
          <w:spacing w:val="-82"/>
        </w:rPr>
        <w:t> </w:t>
      </w:r>
      <w:r>
        <w:rPr/>
        <w:t>人工智能技术与文旅的结合，利用科技提升文旅的价值和用户体验。</w:t>
      </w:r>
    </w:p>
    <w:p>
      <w:pPr>
        <w:pStyle w:val="BodyText"/>
        <w:spacing w:line="420" w:lineRule="auto" w:before="47"/>
        <w:ind w:right="0" w:firstLine="420"/>
        <w:jc w:val="left"/>
      </w:pPr>
      <w:r>
        <w:rPr/>
        <w:t>（</w:t>
      </w:r>
      <w:r>
        <w:rPr>
          <w:rFonts w:ascii="宋体" w:hAnsi="宋体" w:cs="宋体" w:eastAsia="宋体" w:hint="default"/>
        </w:rPr>
        <w:t>2</w:t>
      </w:r>
      <w:r>
        <w:rPr/>
        <w:t>）公司将注重金融服务与文旅的结合，打造特色财经、文旅金融。公司将在深度整合财经内容与 </w:t>
      </w:r>
      <w:r>
        <w:rPr>
          <w:spacing w:val="-1"/>
        </w:rPr>
        <w:t>服务的基础上，充分利用财经资讯、证券交易平台、财经用户等金融能力与力量提升文旅的价值空间和创</w:t>
      </w:r>
      <w:r>
        <w:rPr>
          <w:spacing w:val="-83"/>
        </w:rPr>
        <w:t> </w:t>
      </w:r>
      <w:r>
        <w:rPr>
          <w:spacing w:val="-83"/>
        </w:rPr>
      </w:r>
      <w:r>
        <w:rPr>
          <w:spacing w:val="-1"/>
        </w:rPr>
        <w:t>新空间。特别是在文旅项目的文创园、文交所、资产证券化等方面做更多的努力和拓展，向内外部用户提</w:t>
      </w:r>
      <w:r>
        <w:rPr>
          <w:spacing w:val="-86"/>
        </w:rPr>
        <w:t> </w:t>
      </w:r>
      <w:r>
        <w:rPr>
          <w:spacing w:val="-86"/>
        </w:rPr>
      </w:r>
      <w:r>
        <w:rPr/>
        <w:t>供文旅金融服务。</w:t>
      </w:r>
    </w:p>
    <w:p>
      <w:pPr>
        <w:pStyle w:val="BodyText"/>
        <w:spacing w:line="420" w:lineRule="auto" w:before="47"/>
        <w:ind w:right="0" w:firstLine="420"/>
        <w:jc w:val="left"/>
      </w:pPr>
      <w:r>
        <w:rPr/>
        <w:t>（</w:t>
      </w:r>
      <w:r>
        <w:rPr>
          <w:rFonts w:ascii="宋体" w:hAnsi="宋体" w:cs="宋体" w:eastAsia="宋体" w:hint="default"/>
        </w:rPr>
        <w:t>3</w:t>
      </w:r>
      <w:r>
        <w:rPr/>
        <w:t>）公司将注重媒体业务与文旅的结合，打造文旅传媒、智慧传媒。公司将依托于股东国家级、国 </w:t>
      </w:r>
      <w:r>
        <w:rPr>
          <w:spacing w:val="-1"/>
        </w:rPr>
        <w:t>际化、全媒体背景和资源，依靠公司传媒文化品牌和实力，以文旅、财经服务为内容与纽带，将现有的手</w:t>
      </w:r>
      <w:r>
        <w:rPr>
          <w:spacing w:val="-82"/>
        </w:rPr>
        <w:t> </w:t>
      </w:r>
      <w:r>
        <w:rPr>
          <w:spacing w:val="-82"/>
        </w:rPr>
      </w:r>
      <w:r>
        <w:rPr>
          <w:spacing w:val="-1"/>
        </w:rPr>
        <w:t>机视频、互联网电视、广播、报纸、框架等媒体覆盖的上亿用户连接在一起，建设智慧文旅传媒体系。通</w:t>
      </w:r>
      <w:r>
        <w:rPr>
          <w:spacing w:val="-83"/>
        </w:rPr>
        <w:t> </w:t>
      </w:r>
      <w:r>
        <w:rPr>
          <w:spacing w:val="-83"/>
        </w:rPr>
      </w:r>
      <w:r>
        <w:rPr>
          <w:spacing w:val="-1"/>
        </w:rPr>
        <w:t>过文旅创造内容、培育内容；利用传媒业务渠道与用户覆盖传播内容、聚合用户；并以财经服务、文旅金</w:t>
      </w:r>
      <w:r>
        <w:rPr>
          <w:spacing w:val="-83"/>
        </w:rPr>
        <w:t> </w:t>
      </w:r>
      <w:r>
        <w:rPr>
          <w:spacing w:val="-83"/>
        </w:rPr>
      </w:r>
      <w:r>
        <w:rPr/>
        <w:t>融作为手段和产品支持。做到文化为魂、旅娱为体、财经服务为术。</w:t>
      </w:r>
    </w:p>
    <w:p>
      <w:pPr>
        <w:pStyle w:val="BodyText"/>
        <w:spacing w:line="420" w:lineRule="auto" w:before="47"/>
        <w:ind w:left="574" w:right="0" w:firstLine="2"/>
        <w:jc w:val="left"/>
      </w:pPr>
      <w:r>
        <w:rPr>
          <w:rFonts w:ascii="宋体" w:hAnsi="宋体" w:cs="宋体" w:eastAsia="宋体" w:hint="default"/>
          <w:b/>
          <w:bCs/>
        </w:rPr>
        <w:t>4</w:t>
      </w:r>
      <w:r>
        <w:rPr>
          <w:rFonts w:ascii="宋体" w:hAnsi="宋体" w:cs="宋体" w:eastAsia="宋体" w:hint="default"/>
          <w:b/>
          <w:bCs/>
        </w:rPr>
        <w:t>．业务发展方略</w:t>
      </w:r>
      <w:r>
        <w:rPr>
          <w:rFonts w:ascii="宋体" w:hAnsi="宋体" w:cs="宋体" w:eastAsia="宋体" w:hint="default"/>
          <w:b/>
          <w:bCs/>
          <w:w w:val="99"/>
        </w:rPr>
        <w:t> </w:t>
      </w:r>
      <w:r>
        <w:rPr>
          <w:spacing w:val="-1"/>
        </w:rPr>
        <w:t>围绕“拥抱科技、借力金融、依托媒介、创新文旅”总体思路，以财经综合服务及创新文娱体旅为主</w:t>
      </w:r>
    </w:p>
    <w:p>
      <w:pPr>
        <w:pStyle w:val="BodyText"/>
        <w:spacing w:line="420" w:lineRule="auto" w:before="47"/>
        <w:ind w:right="0"/>
        <w:jc w:val="left"/>
      </w:pPr>
      <w:r>
        <w:rPr>
          <w:spacing w:val="-1"/>
        </w:rPr>
        <w:t>攻方向，以满足用户文化消费升级需求，提升企业价值为目标，打造两个服务供应商，一个新兴生活方式</w:t>
      </w:r>
      <w:r>
        <w:rPr>
          <w:spacing w:val="-86"/>
        </w:rPr>
        <w:t> </w:t>
      </w:r>
      <w:r>
        <w:rPr>
          <w:spacing w:val="-86"/>
        </w:rPr>
      </w:r>
      <w:r>
        <w:rPr/>
        <w:t>文化生态圈。</w:t>
      </w:r>
    </w:p>
    <w:p>
      <w:pPr>
        <w:pStyle w:val="BodyText"/>
        <w:spacing w:line="420" w:lineRule="auto" w:before="47"/>
        <w:ind w:right="0" w:firstLine="420"/>
        <w:jc w:val="left"/>
      </w:pPr>
      <w:r>
        <w:rPr>
          <w:spacing w:val="-1"/>
        </w:rPr>
        <w:t>第一，财经服务提供商：重点发力整合以中国资本市场指定信息披露服务为核心的财经媒体服务平台</w:t>
      </w:r>
      <w:r>
        <w:rPr/>
        <w:t> “时报传媒”与金融交易平台“东海证券”相关资源与业务，深挖“财经资讯</w:t>
      </w:r>
      <w:r>
        <w:rPr>
          <w:rFonts w:ascii="宋体" w:hAnsi="宋体" w:cs="宋体" w:eastAsia="宋体" w:hint="default"/>
        </w:rPr>
        <w:t>+</w:t>
      </w:r>
      <w:r>
        <w:rPr/>
        <w:t>财经服务</w:t>
      </w:r>
      <w:r>
        <w:rPr>
          <w:rFonts w:ascii="宋体" w:hAnsi="宋体" w:cs="宋体" w:eastAsia="宋体" w:hint="default"/>
        </w:rPr>
        <w:t>+</w:t>
      </w:r>
      <w:r>
        <w:rPr/>
        <w:t>文旅金融</w:t>
      </w:r>
      <w:r>
        <w:rPr>
          <w:rFonts w:ascii="宋体" w:hAnsi="宋体" w:cs="宋体" w:eastAsia="宋体" w:hint="default"/>
        </w:rPr>
        <w:t>+</w:t>
      </w:r>
      <w:r>
        <w:rPr/>
        <w:t>交易 </w:t>
      </w:r>
      <w:r>
        <w:rPr>
          <w:spacing w:val="-1"/>
        </w:rPr>
        <w:t>服务”的一体化服务，强化公司的大数据能力并积极向人工智能方向拓展，以提供符合用户投资需求的财</w:t>
      </w:r>
      <w:r>
        <w:rPr>
          <w:spacing w:val="-81"/>
        </w:rPr>
        <w:t> </w:t>
      </w:r>
      <w:r>
        <w:rPr>
          <w:spacing w:val="-81"/>
        </w:rPr>
      </w:r>
      <w:r>
        <w:rPr/>
        <w:t>经资讯数据服务产品与交易服务作为一大入口，打造客观、专业、权威、特色的财经综合服务提供商。</w:t>
      </w:r>
    </w:p>
    <w:p>
      <w:pPr>
        <w:spacing w:after="0" w:line="42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110" w:firstLine="420"/>
        <w:jc w:val="both"/>
      </w:pPr>
      <w:r>
        <w:rPr/>
        <w:t>第二，打造以科技为特色的文娱体旅服务：以创意和科技创新为主要驱动力，以信息技术、互联网、 </w:t>
      </w:r>
      <w:r>
        <w:rPr>
          <w:spacing w:val="-1"/>
        </w:rPr>
        <w:t>物联网、大数据、区块链为基础，依托公司现有媒介平台资源、品牌资源、</w:t>
      </w:r>
      <w:r>
        <w:rPr>
          <w:rFonts w:ascii="宋体" w:hAnsi="宋体" w:cs="宋体" w:eastAsia="宋体" w:hint="default"/>
          <w:spacing w:val="-1"/>
        </w:rPr>
        <w:t>IP</w:t>
      </w:r>
      <w:r>
        <w:rPr>
          <w:spacing w:val="-1"/>
        </w:rPr>
        <w:t>资源和上亿的用户资源，打</w:t>
      </w:r>
      <w:r>
        <w:rPr>
          <w:spacing w:val="-82"/>
        </w:rPr>
        <w:t> </w:t>
      </w:r>
      <w:r>
        <w:rPr>
          <w:spacing w:val="-82"/>
        </w:rPr>
      </w:r>
      <w:r>
        <w:rPr/>
        <w:t>造突出智能语音、全息影像、</w:t>
      </w:r>
      <w:r>
        <w:rPr>
          <w:rFonts w:ascii="宋体" w:hAnsi="宋体" w:cs="宋体" w:eastAsia="宋体" w:hint="default"/>
        </w:rPr>
        <w:t>VR</w:t>
      </w:r>
      <w:r>
        <w:rPr/>
        <w:t>、</w:t>
      </w:r>
      <w:r>
        <w:rPr>
          <w:rFonts w:ascii="宋体" w:hAnsi="宋体" w:cs="宋体" w:eastAsia="宋体" w:hint="default"/>
        </w:rPr>
        <w:t>AR</w:t>
      </w:r>
      <w:r>
        <w:rPr/>
        <w:t>等科技特色的文娱体旅服务。</w:t>
      </w:r>
    </w:p>
    <w:p>
      <w:pPr>
        <w:pStyle w:val="BodyText"/>
        <w:spacing w:line="420" w:lineRule="auto" w:before="48"/>
        <w:ind w:right="0" w:firstLine="420"/>
        <w:jc w:val="left"/>
      </w:pPr>
      <w:r>
        <w:rPr/>
        <w:t>围绕公司现有媒介平台资源、基础设施资源、品牌资源、</w:t>
      </w:r>
      <w:r>
        <w:rPr>
          <w:rFonts w:ascii="宋体" w:hAnsi="宋体" w:cs="宋体" w:eastAsia="宋体" w:hint="default"/>
        </w:rPr>
        <w:t>IP</w:t>
      </w:r>
      <w:r>
        <w:rPr/>
        <w:t>资源和用户资源，基于公司类型化音乐、 </w:t>
      </w:r>
      <w:r>
        <w:rPr>
          <w:spacing w:val="-3"/>
        </w:rPr>
        <w:t>动漫等内容，凭借公司网络视频、音频的渠道优势，整合构建音乐、动漫等</w:t>
      </w:r>
      <w:r>
        <w:rPr>
          <w:rFonts w:ascii="宋体" w:hAnsi="宋体" w:cs="宋体" w:eastAsia="宋体" w:hint="default"/>
          <w:spacing w:val="-3"/>
        </w:rPr>
        <w:t>IP</w:t>
      </w:r>
      <w:r>
        <w:rPr>
          <w:spacing w:val="-3"/>
        </w:rPr>
        <w:t>优质互娱平台。以粉丝经济、</w:t>
      </w:r>
      <w:r>
        <w:rPr>
          <w:spacing w:val="-92"/>
        </w:rPr>
        <w:t> </w:t>
      </w:r>
      <w:r>
        <w:rPr>
          <w:spacing w:val="-92"/>
        </w:rPr>
      </w:r>
      <w:r>
        <w:rPr/>
        <w:t>体验经济为主题，适时延伸游戏产业，打通公司资源变现通道，结合音乐小镇、动漫小镇、文创园区、传</w:t>
      </w:r>
      <w:r>
        <w:rPr/>
        <w:t> 媒村等形态，发展一站式体验消费旅游项目，以提供符合用户文化旅游、娱乐休闲、娱乐竞技为导向的文 化娱乐产品与服务作为一大入口，进行“文化</w:t>
      </w:r>
      <w:r>
        <w:rPr>
          <w:rFonts w:ascii="宋体" w:hAnsi="宋体" w:cs="宋体" w:eastAsia="宋体" w:hint="default"/>
        </w:rPr>
        <w:t>+</w:t>
      </w:r>
      <w:r>
        <w:rPr/>
        <w:t>”、“媒体</w:t>
      </w:r>
      <w:r>
        <w:rPr>
          <w:rFonts w:ascii="宋体" w:hAnsi="宋体" w:cs="宋体" w:eastAsia="宋体" w:hint="default"/>
        </w:rPr>
        <w:t>+</w:t>
      </w:r>
      <w:r>
        <w:rPr/>
        <w:t>”、“智能</w:t>
      </w:r>
      <w:r>
        <w:rPr>
          <w:rFonts w:ascii="宋体" w:hAnsi="宋体" w:cs="宋体" w:eastAsia="宋体" w:hint="default"/>
        </w:rPr>
        <w:t>+</w:t>
      </w:r>
      <w:r>
        <w:rPr/>
        <w:t>”产业延伸与融合，打造全新的 文娱体旅矩阵式产业消费链条，打造以科技为特色的、满足用户个性化、差异化、一站式体验消费链条的 文娱体旅综合服务提供商。</w:t>
      </w:r>
    </w:p>
    <w:p>
      <w:pPr>
        <w:pStyle w:val="BodyText"/>
        <w:spacing w:line="420" w:lineRule="auto" w:before="47"/>
        <w:ind w:right="1017" w:firstLine="420"/>
        <w:jc w:val="left"/>
      </w:pPr>
      <w:r>
        <w:rPr>
          <w:spacing w:val="-3"/>
        </w:rPr>
        <w:t>抓住海南国际旅游岛的发展机遇，实现公司创新文旅业务的战略突破。公司作为海南的优秀上市企业，</w:t>
      </w:r>
      <w:r>
        <w:rPr/>
        <w:t> 在海南建省办特区</w:t>
      </w:r>
      <w:r>
        <w:rPr>
          <w:rFonts w:ascii="宋体" w:hAnsi="宋体" w:cs="宋体" w:eastAsia="宋体" w:hint="default"/>
        </w:rPr>
        <w:t>30</w:t>
      </w:r>
      <w:r>
        <w:rPr/>
        <w:t>周年之际，必须抓住海南加快建成国际旅游岛及打造改革开放升级版的历史性机遇， 实现文旅产业的抢滩布局与快速发展。</w:t>
      </w:r>
    </w:p>
    <w:p>
      <w:pPr>
        <w:pStyle w:val="BodyText"/>
        <w:spacing w:line="420" w:lineRule="auto" w:before="47"/>
        <w:ind w:right="1110" w:firstLine="420"/>
        <w:jc w:val="both"/>
      </w:pPr>
      <w:r>
        <w:rPr/>
        <w:t>两大业务融合，打造新兴生活方式文化生态圈。财经服务与创新文旅两大业务未来可以在产品运营、 </w:t>
      </w:r>
      <w:r>
        <w:rPr>
          <w:spacing w:val="-1"/>
        </w:rPr>
        <w:t>渠道分发、流量入口、用户数据后台分享与管理等诸多业务层面互懂、互联、互通、互用，相互纠缠、相</w:t>
      </w:r>
      <w:r>
        <w:rPr>
          <w:spacing w:val="-84"/>
        </w:rPr>
        <w:t> </w:t>
      </w:r>
      <w:r>
        <w:rPr>
          <w:spacing w:val="-84"/>
        </w:rPr>
      </w:r>
      <w:r>
        <w:rPr>
          <w:spacing w:val="-1"/>
        </w:rPr>
        <w:t>互渗透，相互协同，互动融合；也可在资产投融资、团队管理与运营、线上轻资产与线下体验式重资产上</w:t>
      </w:r>
      <w:r>
        <w:rPr>
          <w:spacing w:val="-83"/>
        </w:rPr>
        <w:t> </w:t>
      </w:r>
      <w:r>
        <w:rPr>
          <w:spacing w:val="-83"/>
        </w:rPr>
      </w:r>
      <w:r>
        <w:rPr>
          <w:spacing w:val="-1"/>
        </w:rPr>
        <w:t>互动融合；借助线下文娱体旅资产的场景优势，推动公司金融、财经产品服务的落地。金融财经数据资讯</w:t>
      </w:r>
      <w:r>
        <w:rPr>
          <w:spacing w:val="-86"/>
        </w:rPr>
        <w:t> </w:t>
      </w:r>
      <w:r>
        <w:rPr>
          <w:spacing w:val="-86"/>
        </w:rPr>
      </w:r>
      <w:r>
        <w:rPr>
          <w:spacing w:val="-1"/>
        </w:rPr>
        <w:t>本身也可以为文娱体旅资产与项目提供金融服务、资本市场服务，最终形成线上线下全场景融合，覆盖用</w:t>
      </w:r>
      <w:r>
        <w:rPr>
          <w:spacing w:val="-83"/>
        </w:rPr>
        <w:t> </w:t>
      </w:r>
      <w:r>
        <w:rPr>
          <w:spacing w:val="-83"/>
        </w:rPr>
      </w:r>
      <w:r>
        <w:rPr/>
        <w:t>户财经、旅游、娱乐、竞技体验的全景式的新兴生活方式的文化生态圈。</w:t>
      </w:r>
    </w:p>
    <w:p>
      <w:pPr>
        <w:pStyle w:val="BodyText"/>
        <w:spacing w:line="420" w:lineRule="auto" w:before="47"/>
        <w:ind w:left="574" w:right="1116" w:firstLine="2"/>
        <w:jc w:val="left"/>
      </w:pPr>
      <w:r>
        <w:rPr>
          <w:rFonts w:ascii="宋体" w:hAnsi="宋体" w:cs="宋体" w:eastAsia="宋体" w:hint="default"/>
          <w:b/>
          <w:bCs/>
        </w:rPr>
        <w:t>5</w:t>
      </w:r>
      <w:r>
        <w:rPr>
          <w:rFonts w:ascii="宋体" w:hAnsi="宋体" w:cs="宋体" w:eastAsia="宋体" w:hint="default"/>
          <w:b/>
          <w:bCs/>
        </w:rPr>
        <w:t>．战略目标</w:t>
      </w:r>
      <w:r>
        <w:rPr>
          <w:rFonts w:ascii="宋体" w:hAnsi="宋体" w:cs="宋体" w:eastAsia="宋体" w:hint="default"/>
          <w:b/>
          <w:bCs/>
          <w:w w:val="99"/>
        </w:rPr>
        <w:t> </w:t>
      </w:r>
      <w:r>
        <w:rPr>
          <w:spacing w:val="-1"/>
        </w:rPr>
        <w:t>公司通过对核心子公司未来五年业务及盈利做出预测，结合公司资产负债率和筹资指标，以及每年度</w:t>
      </w:r>
    </w:p>
    <w:p>
      <w:pPr>
        <w:pStyle w:val="BodyText"/>
        <w:spacing w:line="420" w:lineRule="auto" w:before="47"/>
        <w:ind w:left="574" w:right="1197" w:hanging="420"/>
        <w:jc w:val="left"/>
      </w:pPr>
      <w:r>
        <w:rPr/>
        <w:t>公司外延式并购发展业务及净利润增长的预估，确立公司未来五年资产与业务目标。 公司努力建立两个核心文化传媒资产服务体系，实现各平台间的战略协同，构建以“财经资讯</w:t>
      </w:r>
      <w:r>
        <w:rPr>
          <w:rFonts w:ascii="宋体" w:hAnsi="宋体" w:cs="宋体" w:eastAsia="宋体" w:hint="default"/>
        </w:rPr>
        <w:t>+</w:t>
      </w:r>
      <w:r>
        <w:rPr/>
        <w:t>财经</w:t>
      </w:r>
    </w:p>
    <w:p>
      <w:pPr>
        <w:pStyle w:val="BodyText"/>
        <w:spacing w:line="420" w:lineRule="auto" w:before="47"/>
        <w:ind w:right="1023"/>
        <w:jc w:val="left"/>
      </w:pPr>
      <w:r>
        <w:rPr/>
        <w:t>综合服务”为核心的财经信息数据服务提供商，以科技为特色的“文化娱乐、文化体育、文化旅游”等文 </w:t>
      </w:r>
      <w:r>
        <w:rPr>
          <w:spacing w:val="-3"/>
        </w:rPr>
        <w:t>娱体旅综合服务提供商，打造具有较大规模、较高品质、较强品牌影响力的一流新兴生活方式文化生态圈。</w:t>
      </w:r>
    </w:p>
    <w:p>
      <w:pPr>
        <w:pStyle w:val="BodyText"/>
        <w:spacing w:line="420" w:lineRule="auto" w:before="47"/>
        <w:ind w:right="1132" w:firstLine="420"/>
        <w:jc w:val="left"/>
      </w:pPr>
      <w:r>
        <w:rPr>
          <w:spacing w:val="-1"/>
        </w:rPr>
        <w:t>在业务具体目标实施执行上，以五年作为具体落实时间点来划分。</w:t>
      </w:r>
      <w:r>
        <w:rPr>
          <w:rFonts w:ascii="宋体" w:hAnsi="宋体" w:cs="宋体" w:eastAsia="宋体" w:hint="default"/>
          <w:spacing w:val="-1"/>
        </w:rPr>
        <w:t>2018</w:t>
      </w:r>
      <w:r>
        <w:rPr>
          <w:spacing w:val="-1"/>
        </w:rPr>
        <w:t>年度，是公司新发展战略规划</w:t>
      </w:r>
      <w:r>
        <w:rPr/>
        <w:t> </w:t>
      </w:r>
      <w:r>
        <w:rPr>
          <w:spacing w:val="-1"/>
        </w:rPr>
        <w:t>实施第一年，公司进入发展“换档期”、战略转型期。公司将努力克服困难，应对“换档”震动与转型阵</w:t>
      </w:r>
      <w:r>
        <w:rPr>
          <w:spacing w:val="-85"/>
        </w:rPr>
        <w:t> </w:t>
      </w:r>
      <w:r>
        <w:rPr>
          <w:spacing w:val="-85"/>
        </w:rPr>
      </w:r>
      <w:r>
        <w:rPr/>
        <w:t>痛，在加强内部整合重组的同时，通过引入一些项目资产与现有业务结合，培育出</w:t>
      </w:r>
      <w:r>
        <w:rPr>
          <w:rFonts w:ascii="宋体" w:hAnsi="宋体" w:cs="宋体" w:eastAsia="宋体" w:hint="default"/>
        </w:rPr>
        <w:t>1-2</w:t>
      </w:r>
      <w:r>
        <w:rPr/>
        <w:t>个产品品牌；文娱 </w:t>
      </w:r>
      <w:r>
        <w:rPr>
          <w:spacing w:val="-1"/>
        </w:rPr>
        <w:t>体旅项目部分，立项并推进若干个自有项目，孵化培育</w:t>
      </w:r>
      <w:r>
        <w:rPr>
          <w:rFonts w:ascii="宋体" w:hAnsi="宋体" w:cs="宋体" w:eastAsia="宋体" w:hint="default"/>
          <w:spacing w:val="-1"/>
        </w:rPr>
        <w:t>1-2</w:t>
      </w:r>
      <w:r>
        <w:rPr>
          <w:spacing w:val="-1"/>
        </w:rPr>
        <w:t>个重大核心资产。</w:t>
      </w:r>
      <w:r>
        <w:rPr>
          <w:rFonts w:ascii="宋体" w:hAnsi="宋体" w:cs="宋体" w:eastAsia="宋体" w:hint="default"/>
          <w:spacing w:val="-1"/>
        </w:rPr>
        <w:t>2019-2020</w:t>
      </w:r>
      <w:r>
        <w:rPr>
          <w:spacing w:val="-1"/>
        </w:rPr>
        <w:t>年度，是公司业务</w:t>
      </w:r>
    </w:p>
    <w:p>
      <w:pPr>
        <w:spacing w:after="0" w:line="42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131"/>
        <w:jc w:val="both"/>
      </w:pPr>
      <w:r>
        <w:rPr>
          <w:spacing w:val="-1"/>
        </w:rPr>
        <w:t>大发展时期，争取在两个战略方向上成功打造在业内享有声誉，并带来稳定现金流及利润回报的强势业务</w:t>
      </w:r>
      <w:r>
        <w:rPr>
          <w:spacing w:val="-81"/>
        </w:rPr>
        <w:t> </w:t>
      </w:r>
      <w:r>
        <w:rPr>
          <w:spacing w:val="-81"/>
        </w:rPr>
      </w:r>
      <w:r>
        <w:rPr>
          <w:spacing w:val="-1"/>
        </w:rPr>
        <w:t>品牌与项目模块。</w:t>
      </w:r>
      <w:r>
        <w:rPr>
          <w:rFonts w:ascii="宋体" w:hAnsi="宋体" w:cs="宋体" w:eastAsia="宋体" w:hint="default"/>
          <w:spacing w:val="-1"/>
        </w:rPr>
        <w:t>2021-2022</w:t>
      </w:r>
      <w:r>
        <w:rPr>
          <w:spacing w:val="-1"/>
        </w:rPr>
        <w:t>年度，是公司业务利润收获期，经过前</w:t>
      </w:r>
      <w:r>
        <w:rPr>
          <w:rFonts w:ascii="宋体" w:hAnsi="宋体" w:cs="宋体" w:eastAsia="宋体" w:hint="default"/>
          <w:spacing w:val="-1"/>
        </w:rPr>
        <w:t>3-4</w:t>
      </w:r>
      <w:r>
        <w:rPr>
          <w:spacing w:val="-1"/>
        </w:rPr>
        <w:t>年的耕耘，实现外部并购整合与现</w:t>
      </w:r>
      <w:r>
        <w:rPr>
          <w:spacing w:val="-81"/>
        </w:rPr>
        <w:t> </w:t>
      </w:r>
      <w:r>
        <w:rPr>
          <w:spacing w:val="-81"/>
        </w:rPr>
      </w:r>
      <w:r>
        <w:rPr/>
        <w:t>有业务的有效结合与融合发展，实现核心业务利润快速増长和公司价值爆发式提升。</w:t>
      </w:r>
    </w:p>
    <w:p>
      <w:pPr>
        <w:pStyle w:val="BodyText"/>
        <w:spacing w:line="420" w:lineRule="auto" w:before="48"/>
        <w:ind w:left="574" w:right="0" w:firstLine="2"/>
        <w:jc w:val="left"/>
      </w:pPr>
      <w:r>
        <w:rPr>
          <w:rFonts w:ascii="宋体" w:hAnsi="宋体" w:cs="宋体" w:eastAsia="宋体" w:hint="default"/>
          <w:b/>
          <w:bCs/>
        </w:rPr>
        <w:t>6</w:t>
      </w:r>
      <w:r>
        <w:rPr>
          <w:rFonts w:ascii="宋体" w:hAnsi="宋体" w:cs="宋体" w:eastAsia="宋体" w:hint="default"/>
          <w:b/>
          <w:bCs/>
        </w:rPr>
        <w:t>．战略实施举措</w:t>
      </w:r>
      <w:r>
        <w:rPr>
          <w:rFonts w:ascii="宋体" w:hAnsi="宋体" w:cs="宋体" w:eastAsia="宋体" w:hint="default"/>
          <w:b/>
          <w:bCs/>
          <w:w w:val="99"/>
        </w:rPr>
        <w:t> </w:t>
      </w:r>
      <w:r>
        <w:rPr>
          <w:spacing w:val="-1"/>
        </w:rPr>
        <w:t>第一，加强政策和市场的研究与分析，为业务发展提供顶层设计与指导。第二，建立战略保障落地机</w:t>
      </w:r>
    </w:p>
    <w:p>
      <w:pPr>
        <w:pStyle w:val="BodyText"/>
        <w:spacing w:line="420" w:lineRule="auto" w:before="47"/>
        <w:ind w:right="1110"/>
        <w:jc w:val="both"/>
      </w:pPr>
      <w:r>
        <w:rPr>
          <w:spacing w:val="-1"/>
        </w:rPr>
        <w:t>制，确保战略规划和运营实际相契合。第三，加大外部资源并购整合力度，实现公司规模和效益的快速提</w:t>
      </w:r>
      <w:r>
        <w:rPr>
          <w:spacing w:val="-85"/>
        </w:rPr>
        <w:t> </w:t>
      </w:r>
      <w:r>
        <w:rPr>
          <w:spacing w:val="-85"/>
        </w:rPr>
      </w:r>
      <w:r>
        <w:rPr>
          <w:spacing w:val="-1"/>
        </w:rPr>
        <w:t>升。第四，抓好现有项目管理与内部整合，做到扬长避短、奖优罚劣。第五，拓宽融资渠道，优化筹资结</w:t>
      </w:r>
      <w:r>
        <w:rPr>
          <w:spacing w:val="-85"/>
        </w:rPr>
        <w:t> </w:t>
      </w:r>
      <w:r>
        <w:rPr>
          <w:spacing w:val="-85"/>
        </w:rPr>
      </w:r>
      <w:r>
        <w:rPr/>
        <w:t>构，合理规划、配置短、中长期融资及融资品种。第六，强化实施人才兴司战略，建立和完善人才培养、 </w:t>
      </w:r>
      <w:r>
        <w:rPr>
          <w:spacing w:val="-1"/>
        </w:rPr>
        <w:t>引进、使用机制；第七，优化内部管理构架与机制，有序协作，高效运行；第八，弘扬“拼搏、诚信、和</w:t>
      </w:r>
      <w:r>
        <w:rPr>
          <w:spacing w:val="-86"/>
        </w:rPr>
        <w:t> </w:t>
      </w:r>
      <w:r>
        <w:rPr>
          <w:spacing w:val="-86"/>
        </w:rPr>
      </w:r>
      <w:r>
        <w:rPr/>
        <w:t>谐、创新”企业精神，使企业文化成为公司持续发展的重要力量。</w:t>
      </w:r>
    </w:p>
    <w:p>
      <w:pPr>
        <w:pStyle w:val="BodyText"/>
        <w:spacing w:line="420" w:lineRule="auto" w:before="47"/>
        <w:ind w:left="574" w:right="0" w:firstLine="2"/>
        <w:jc w:val="left"/>
      </w:pPr>
      <w:r>
        <w:rPr>
          <w:rFonts w:ascii="宋体" w:hAnsi="宋体" w:cs="宋体" w:eastAsia="宋体" w:hint="default"/>
          <w:b/>
          <w:bCs/>
        </w:rPr>
        <w:t>7</w:t>
      </w:r>
      <w:r>
        <w:rPr>
          <w:rFonts w:ascii="宋体" w:hAnsi="宋体" w:cs="宋体" w:eastAsia="宋体" w:hint="default"/>
          <w:b/>
          <w:bCs/>
        </w:rPr>
        <w:t>．愿景与使命</w:t>
      </w:r>
      <w:r>
        <w:rPr>
          <w:rFonts w:ascii="宋体" w:hAnsi="宋体" w:cs="宋体" w:eastAsia="宋体" w:hint="default"/>
          <w:b/>
          <w:bCs/>
          <w:w w:val="99"/>
        </w:rPr>
        <w:t> </w:t>
      </w:r>
      <w:r>
        <w:rPr>
          <w:spacing w:val="-1"/>
        </w:rPr>
        <w:t>公司愿景：继续秉承“传播信息，弘扬文化”的经营宗旨，运用自身渠道及用户优势，做好特色、精</w:t>
      </w:r>
    </w:p>
    <w:p>
      <w:pPr>
        <w:pStyle w:val="BodyText"/>
        <w:spacing w:line="420" w:lineRule="auto" w:before="47"/>
        <w:ind w:right="1023"/>
        <w:jc w:val="left"/>
      </w:pPr>
      <w:r>
        <w:rPr/>
        <w:t>品内容产品与服务，拥抱科技，借力金融，依托媒介，创新文旅，最大限度地满足新时代用户的文化消费 升级需求，夯实基础，持续创新，转型发展，融合发展，品质发展，持续发展，努力把公司建设成为中国 </w:t>
      </w:r>
      <w:r>
        <w:rPr>
          <w:spacing w:val="-3"/>
        </w:rPr>
        <w:t>新型智慧文化传媒集团；致力打造文化传媒产业的“百年老店”，坚持对股东、对团队、对员工、对客户、</w:t>
      </w:r>
      <w:r>
        <w:rPr>
          <w:spacing w:val="-94"/>
        </w:rPr>
        <w:t> </w:t>
      </w:r>
      <w:r>
        <w:rPr>
          <w:spacing w:val="-94"/>
        </w:rPr>
      </w:r>
      <w:r>
        <w:rPr/>
        <w:t>对合作伙伴、对政府、对社会、对国家等各方负责，真正实现互利共赢。</w:t>
      </w:r>
    </w:p>
    <w:p>
      <w:pPr>
        <w:pStyle w:val="BodyText"/>
        <w:spacing w:line="240" w:lineRule="auto" w:before="47"/>
        <w:ind w:left="574" w:right="0"/>
        <w:jc w:val="left"/>
      </w:pPr>
      <w:r>
        <w:rPr/>
        <w:t>公司使命：专业提升价值，创新驱动发展，更好服务用户，更多回报股东，做优秀的企业公民。</w:t>
      </w:r>
    </w:p>
    <w:p>
      <w:pPr>
        <w:spacing w:line="240" w:lineRule="auto" w:before="9"/>
        <w:rPr>
          <w:rFonts w:ascii="宋体" w:hAnsi="宋体" w:cs="宋体" w:eastAsia="宋体" w:hint="default"/>
          <w:sz w:val="15"/>
          <w:szCs w:val="15"/>
        </w:rPr>
      </w:pPr>
    </w:p>
    <w:p>
      <w:pPr>
        <w:pStyle w:val="BodyText"/>
        <w:spacing w:line="420" w:lineRule="auto"/>
        <w:ind w:left="574" w:right="0" w:firstLine="2"/>
        <w:jc w:val="left"/>
      </w:pPr>
      <w:r>
        <w:rPr>
          <w:rFonts w:ascii="宋体" w:hAnsi="宋体" w:cs="宋体" w:eastAsia="宋体" w:hint="default"/>
          <w:b/>
          <w:bCs/>
        </w:rPr>
        <w:t>（二）经营计划</w:t>
      </w:r>
      <w:r>
        <w:rPr>
          <w:rFonts w:ascii="宋体" w:hAnsi="宋体" w:cs="宋体" w:eastAsia="宋体" w:hint="default"/>
          <w:b/>
          <w:bCs/>
          <w:w w:val="99"/>
        </w:rPr>
        <w:t> </w:t>
      </w:r>
      <w:r>
        <w:rPr>
          <w:rFonts w:ascii="宋体" w:hAnsi="宋体" w:cs="宋体" w:eastAsia="宋体" w:hint="default"/>
          <w:spacing w:val="-1"/>
        </w:rPr>
        <w:t>2019</w:t>
      </w:r>
      <w:r>
        <w:rPr>
          <w:spacing w:val="-1"/>
        </w:rPr>
        <w:t>年的工作思路是：在股东的支持、新一届董事会的领导和监事会的监督下，以发展为主题，以效</w:t>
      </w:r>
    </w:p>
    <w:p>
      <w:pPr>
        <w:pStyle w:val="BodyText"/>
        <w:spacing w:line="420" w:lineRule="auto" w:before="47"/>
        <w:ind w:right="1110"/>
        <w:jc w:val="both"/>
      </w:pPr>
      <w:r>
        <w:rPr>
          <w:spacing w:val="-1"/>
        </w:rPr>
        <w:t>益为主线，以规划引领、团队建设、目标管理、制度保障为抓手，坚决推进业务、资产、资源、机构、人</w:t>
      </w:r>
      <w:r>
        <w:rPr>
          <w:spacing w:val="-86"/>
        </w:rPr>
        <w:t> </w:t>
      </w:r>
      <w:r>
        <w:rPr>
          <w:spacing w:val="-86"/>
        </w:rPr>
      </w:r>
      <w:r>
        <w:rPr/>
        <w:t>员、管理、文化等系列调整或改革，全面清理、集中处理历史遗留问题及相关风险，剥离淘汰亏损业务， </w:t>
      </w:r>
      <w:r>
        <w:rPr>
          <w:spacing w:val="-1"/>
        </w:rPr>
        <w:t>处置非战略性资产，聚焦主业，发展重点项目，“刮骨去毒、强身健体”，开源节流，提质增效，统筹协</w:t>
      </w:r>
      <w:r>
        <w:rPr>
          <w:spacing w:val="-85"/>
        </w:rPr>
        <w:t> </w:t>
      </w:r>
      <w:r>
        <w:rPr>
          <w:spacing w:val="-85"/>
        </w:rPr>
      </w:r>
      <w:r>
        <w:rPr>
          <w:spacing w:val="-1"/>
        </w:rPr>
        <w:t>调好经营与管理、开源与节流、投资与筹资、规范与效率、激励与约束、业务与队伍、集团与子公司、当</w:t>
      </w:r>
      <w:r>
        <w:rPr>
          <w:spacing w:val="-85"/>
        </w:rPr>
        <w:t> </w:t>
      </w:r>
      <w:r>
        <w:rPr>
          <w:spacing w:val="-85"/>
        </w:rPr>
      </w:r>
      <w:r>
        <w:rPr/>
        <w:t>下和长远的关系，致力实现股东、管理团队、员工、合作者、投资人互利共赢。</w:t>
      </w:r>
    </w:p>
    <w:p>
      <w:pPr>
        <w:pStyle w:val="BodyText"/>
        <w:spacing w:line="420" w:lineRule="auto" w:before="47"/>
        <w:ind w:left="574" w:right="1197"/>
        <w:jc w:val="left"/>
      </w:pPr>
      <w:r>
        <w:rPr/>
        <w:t>为实现上述思路和目标，公司将在以下几个层面积极开展工作： </w:t>
      </w:r>
      <w:r>
        <w:rPr>
          <w:rFonts w:ascii="宋体" w:hAnsi="宋体" w:cs="宋体" w:eastAsia="宋体" w:hint="default"/>
        </w:rPr>
        <w:t>1</w:t>
      </w:r>
      <w:r>
        <w:rPr/>
        <w:t>．时报传媒面对资本市场监管从严、信息披露方式变革等挑战，一是通过创新服务手段及内容，守</w:t>
      </w:r>
    </w:p>
    <w:p>
      <w:pPr>
        <w:pStyle w:val="BodyText"/>
        <w:spacing w:line="420" w:lineRule="auto" w:before="48"/>
        <w:ind w:right="1131"/>
        <w:jc w:val="both"/>
      </w:pPr>
      <w:r>
        <w:rPr>
          <w:spacing w:val="-1"/>
        </w:rPr>
        <w:t>住信息披露业务阵地，提高单个项目的含金量，同时进一步提高新上市公司成为常年客户的转化率，并做</w:t>
      </w:r>
      <w:r>
        <w:rPr>
          <w:spacing w:val="-83"/>
        </w:rPr>
        <w:t> </w:t>
      </w:r>
      <w:r>
        <w:rPr>
          <w:spacing w:val="-83"/>
        </w:rPr>
      </w:r>
      <w:r>
        <w:rPr>
          <w:spacing w:val="-1"/>
        </w:rPr>
        <w:t>好常年客户的服务维护工作，努力保持行业领先优势；二是要充分做好市场发生变化的准备，认识到营业</w:t>
      </w:r>
      <w:r>
        <w:rPr>
          <w:spacing w:val="-83"/>
        </w:rPr>
        <w:t> </w:t>
      </w:r>
      <w:r>
        <w:rPr>
          <w:spacing w:val="-83"/>
        </w:rPr>
      </w:r>
      <w:r>
        <w:rPr>
          <w:spacing w:val="-1"/>
        </w:rPr>
        <w:t>收入减少利润下降可能面临到的经营困难，采取有效措施增收节支；三是要改革现有管理构架和现行考核</w:t>
      </w:r>
    </w:p>
    <w:p>
      <w:pPr>
        <w:spacing w:after="0" w:line="420"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0"/>
        <w:jc w:val="left"/>
      </w:pPr>
      <w:r>
        <w:rPr>
          <w:spacing w:val="-1"/>
        </w:rPr>
        <w:t>管理办法，激发经营团队的新动能；四是要继续探索丰富服务手段及服务内容，打破目前以单一信息披露</w:t>
      </w:r>
      <w:r>
        <w:rPr>
          <w:spacing w:val="-82"/>
        </w:rPr>
        <w:t> </w:t>
      </w:r>
      <w:r>
        <w:rPr>
          <w:spacing w:val="-82"/>
        </w:rPr>
      </w:r>
      <w:r>
        <w:rPr/>
        <w:t>收入为主的业务构架。</w:t>
      </w:r>
    </w:p>
    <w:p>
      <w:pPr>
        <w:pStyle w:val="BodyText"/>
        <w:spacing w:line="420" w:lineRule="auto" w:before="47"/>
        <w:ind w:right="0" w:firstLine="420"/>
        <w:jc w:val="left"/>
      </w:pPr>
      <w:r>
        <w:rPr>
          <w:rFonts w:ascii="宋体" w:hAnsi="宋体" w:cs="宋体" w:eastAsia="宋体" w:hint="default"/>
        </w:rPr>
        <w:t>2</w:t>
      </w:r>
      <w:r>
        <w:rPr/>
        <w:t>．华商传媒受新媒体业务的冲击，传统广告业务经营举步维艰，受行业政策的影响，会展业务面临 </w:t>
      </w:r>
      <w:r>
        <w:rPr>
          <w:spacing w:val="-1"/>
        </w:rPr>
        <w:t>业绩下滑，将执行“生存、转型、规范”的发展思路，继续消化成本，深耕区域，加强移动端内容生产能</w:t>
      </w:r>
      <w:r>
        <w:rPr>
          <w:spacing w:val="-84"/>
        </w:rPr>
        <w:t> </w:t>
      </w:r>
      <w:r>
        <w:rPr>
          <w:spacing w:val="-84"/>
        </w:rPr>
      </w:r>
      <w:r>
        <w:rPr>
          <w:spacing w:val="-1"/>
        </w:rPr>
        <w:t>力，持续强化机构媒体影响力，把生存放在第一位；同时，务必使转型业务取得突破增长，整合资源，形</w:t>
      </w:r>
      <w:r>
        <w:rPr>
          <w:spacing w:val="-83"/>
        </w:rPr>
        <w:t> </w:t>
      </w:r>
      <w:r>
        <w:rPr>
          <w:spacing w:val="-83"/>
        </w:rPr>
      </w:r>
      <w:r>
        <w:rPr/>
        <w:t>成“移动化、区域化、资源化”的商业格局。</w:t>
      </w:r>
    </w:p>
    <w:p>
      <w:pPr>
        <w:pStyle w:val="BodyText"/>
        <w:spacing w:line="420" w:lineRule="auto" w:before="47"/>
        <w:ind w:right="1092" w:firstLine="420"/>
        <w:jc w:val="left"/>
      </w:pPr>
      <w:r>
        <w:rPr>
          <w:rFonts w:ascii="宋体" w:hAnsi="宋体" w:cs="宋体" w:eastAsia="宋体" w:hint="default"/>
        </w:rPr>
        <w:t>3</w:t>
      </w:r>
      <w:r>
        <w:rPr/>
        <w:t>．国广光荣将根据所承担的经营任务目标，在努力确保完成应缴纳的独家广告代理费的同时，争取 </w:t>
      </w:r>
      <w:r>
        <w:rPr>
          <w:spacing w:val="-1"/>
        </w:rPr>
        <w:t>尽快形成以国际台广告代理业务为基础，以新媒体广告业务为发展方向的新型业务模式和相适应的经营能</w:t>
      </w:r>
      <w:r>
        <w:rPr>
          <w:spacing w:val="-80"/>
        </w:rPr>
        <w:t> </w:t>
      </w:r>
      <w:r>
        <w:rPr>
          <w:spacing w:val="-80"/>
        </w:rPr>
      </w:r>
      <w:r>
        <w:rPr/>
        <w:t>力；继续加强与</w:t>
      </w:r>
      <w:r>
        <w:rPr>
          <w:rFonts w:ascii="宋体" w:hAnsi="宋体" w:cs="宋体" w:eastAsia="宋体" w:hint="default"/>
        </w:rPr>
        <w:t>4A</w:t>
      </w:r>
      <w:r>
        <w:rPr/>
        <w:t>公司的合作，避免广告投放量持续下降；增强与频率节目部门的合作，为</w:t>
      </w:r>
      <w:r>
        <w:rPr>
          <w:rFonts w:ascii="宋体" w:hAnsi="宋体" w:cs="宋体" w:eastAsia="宋体" w:hint="default"/>
        </w:rPr>
        <w:t>4S</w:t>
      </w:r>
      <w:r>
        <w:rPr/>
        <w:t>店、餐饮、 休闲娱乐行业、家装卖场等线下实体客户打造活动推广和品牌形象宣传平台。</w:t>
      </w:r>
    </w:p>
    <w:p>
      <w:pPr>
        <w:pStyle w:val="BodyText"/>
        <w:spacing w:line="420" w:lineRule="auto" w:before="47"/>
        <w:ind w:right="1197" w:firstLine="420"/>
        <w:jc w:val="left"/>
      </w:pPr>
      <w:r>
        <w:rPr>
          <w:rFonts w:ascii="宋体" w:hAnsi="宋体" w:cs="宋体" w:eastAsia="宋体" w:hint="default"/>
        </w:rPr>
        <w:t>4</w:t>
      </w:r>
      <w:r>
        <w:rPr/>
        <w:t>．国视上海将维持现有业务，减缓业绩下滑速度；拓展新业务，寻找新的利润增长点，实现长期可 持续发展；加强日常管理，加大开源节流力度。</w:t>
      </w:r>
    </w:p>
    <w:p>
      <w:pPr>
        <w:pStyle w:val="BodyText"/>
        <w:spacing w:line="420" w:lineRule="auto" w:before="47"/>
        <w:ind w:right="1023" w:firstLine="420"/>
        <w:jc w:val="left"/>
      </w:pPr>
      <w:r>
        <w:rPr>
          <w:rFonts w:ascii="宋体" w:hAnsi="宋体" w:cs="宋体" w:eastAsia="宋体" w:hint="default"/>
        </w:rPr>
        <w:t>5</w:t>
      </w:r>
      <w:r>
        <w:rPr/>
        <w:t>．掌视亿通将在运营商视频业务规则已发生巨大变化的背景下，积极把握新的合作机会，增强除视 频业务外其他领域的运营商业务拓展，审慎规划，在稳定收入的同时争取新的增长点；目前流量经营业务 已积累了一部分稳定的客户，未来将积极优化服务质量，提高客户满意度；在版权业务方面，与各大运营 </w:t>
      </w:r>
      <w:r>
        <w:rPr>
          <w:spacing w:val="-3"/>
        </w:rPr>
        <w:t>商、影视制作公司、版权机构保持密切友好的合作关系，巩固版权资源，迎合运营商视频业务的发展趋势，</w:t>
      </w:r>
      <w:r>
        <w:rPr>
          <w:spacing w:val="-96"/>
        </w:rPr>
        <w:t> </w:t>
      </w:r>
      <w:r>
        <w:rPr>
          <w:spacing w:val="-96"/>
        </w:rPr>
      </w:r>
      <w:r>
        <w:rPr/>
        <w:t>满足广大用户对视频内容的需求；在内容分销业务方面，有选择地引进符合公司定位的独家版权内容，维</w:t>
      </w:r>
      <w:r>
        <w:rPr/>
        <w:t> 护好现有的分销渠道，借住</w:t>
      </w:r>
      <w:r>
        <w:rPr>
          <w:rFonts w:ascii="宋体" w:hAnsi="宋体" w:cs="宋体" w:eastAsia="宋体" w:hint="default"/>
        </w:rPr>
        <w:t>IPTV</w:t>
      </w:r>
      <w:r>
        <w:rPr/>
        <w:t>和互联网电视等新媒体平台的发展趋势，开拓新的合作平台。</w:t>
      </w:r>
    </w:p>
    <w:p>
      <w:pPr>
        <w:pStyle w:val="BodyText"/>
        <w:spacing w:line="420" w:lineRule="auto" w:before="47"/>
        <w:ind w:right="0" w:firstLine="420"/>
        <w:jc w:val="left"/>
      </w:pPr>
      <w:r>
        <w:rPr>
          <w:rFonts w:ascii="宋体" w:hAnsi="宋体" w:cs="宋体" w:eastAsia="宋体" w:hint="default"/>
          <w:spacing w:val="-1"/>
        </w:rPr>
        <w:t>6</w:t>
      </w:r>
      <w:r>
        <w:rPr>
          <w:spacing w:val="-1"/>
        </w:rPr>
        <w:t>．国广华屏</w:t>
      </w:r>
      <w:r>
        <w:rPr>
          <w:rFonts w:ascii="宋体" w:hAnsi="宋体" w:cs="宋体" w:eastAsia="宋体" w:hint="default"/>
          <w:spacing w:val="-1"/>
        </w:rPr>
        <w:t>2019</w:t>
      </w:r>
      <w:r>
        <w:rPr>
          <w:spacing w:val="-1"/>
        </w:rPr>
        <w:t>年计划实现海洋船舶场景业务累计覆盖</w:t>
      </w:r>
      <w:r>
        <w:rPr>
          <w:rFonts w:ascii="宋体" w:hAnsi="宋体" w:cs="宋体" w:eastAsia="宋体" w:hint="default"/>
          <w:spacing w:val="-1"/>
        </w:rPr>
        <w:t>1,000</w:t>
      </w:r>
      <w:r>
        <w:rPr>
          <w:spacing w:val="-1"/>
        </w:rPr>
        <w:t>艘船只；一带一路海外工地场景累计覆</w:t>
      </w:r>
      <w:r>
        <w:rPr/>
        <w:t> 盖</w:t>
      </w:r>
      <w:r>
        <w:rPr>
          <w:rFonts w:ascii="宋体" w:hAnsi="宋体" w:cs="宋体" w:eastAsia="宋体" w:hint="default"/>
        </w:rPr>
        <w:t>10</w:t>
      </w:r>
      <w:r>
        <w:rPr/>
        <w:t>个；航空机载业务覆盖</w:t>
      </w:r>
      <w:r>
        <w:rPr>
          <w:rFonts w:ascii="宋体" w:hAnsi="宋体" w:cs="宋体" w:eastAsia="宋体" w:hint="default"/>
        </w:rPr>
        <w:t>20+</w:t>
      </w:r>
      <w:r>
        <w:rPr/>
        <w:t>架航班；用户覆盖</w:t>
      </w:r>
      <w:r>
        <w:rPr>
          <w:rFonts w:ascii="宋体" w:hAnsi="宋体" w:cs="宋体" w:eastAsia="宋体" w:hint="default"/>
        </w:rPr>
        <w:t>50</w:t>
      </w:r>
      <w:r>
        <w:rPr/>
        <w:t>万人</w:t>
      </w:r>
      <w:r>
        <w:rPr>
          <w:rFonts w:ascii="宋体" w:hAnsi="宋体" w:cs="宋体" w:eastAsia="宋体" w:hint="default"/>
        </w:rPr>
        <w:t>/</w:t>
      </w:r>
      <w:r>
        <w:rPr/>
        <w:t>月。</w:t>
      </w:r>
    </w:p>
    <w:p>
      <w:pPr>
        <w:pStyle w:val="BodyText"/>
        <w:spacing w:line="420" w:lineRule="auto" w:before="47"/>
        <w:ind w:right="0" w:firstLine="420"/>
        <w:jc w:val="left"/>
      </w:pPr>
      <w:r>
        <w:rPr>
          <w:rFonts w:ascii="宋体" w:hAnsi="宋体" w:cs="宋体" w:eastAsia="宋体" w:hint="default"/>
        </w:rPr>
        <w:t>7</w:t>
      </w:r>
      <w:r>
        <w:rPr/>
        <w:t>．精视文化将加强市场投入，保护品牌和影响力；创新服务，灵活把控客户核心需要，尽量避免低 </w:t>
      </w:r>
      <w:r>
        <w:rPr>
          <w:spacing w:val="-1"/>
        </w:rPr>
        <w:t>价促销；加大资金成本投入，参与争夺楼盘资源，保护核心优质资源；增加行业内合作，强强联合，资源</w:t>
      </w:r>
      <w:r>
        <w:rPr>
          <w:spacing w:val="-83"/>
        </w:rPr>
        <w:t> </w:t>
      </w:r>
      <w:r>
        <w:rPr>
          <w:spacing w:val="-83"/>
        </w:rPr>
      </w:r>
      <w:r>
        <w:rPr>
          <w:spacing w:val="-1"/>
        </w:rPr>
        <w:t>共享；增加人力成本投入和激励措施，吸引优质人才，同时提高员工工作效率和归属感，促使人才实现业</w:t>
      </w:r>
      <w:r>
        <w:rPr>
          <w:spacing w:val="-86"/>
        </w:rPr>
        <w:t> </w:t>
      </w:r>
      <w:r>
        <w:rPr>
          <w:spacing w:val="-86"/>
        </w:rPr>
      </w:r>
      <w:r>
        <w:rPr>
          <w:spacing w:val="-1"/>
        </w:rPr>
        <w:t>绩突破；把控广告投放关键节点，做好整体方案和营销组合拳；重建南京分公司，快速恢复市场占有率及</w:t>
      </w:r>
      <w:r>
        <w:rPr>
          <w:spacing w:val="-86"/>
        </w:rPr>
        <w:t> </w:t>
      </w:r>
      <w:r>
        <w:rPr>
          <w:spacing w:val="-86"/>
        </w:rPr>
      </w:r>
      <w:r>
        <w:rPr/>
        <w:t>影响力；鼓励常州分公司探索灵活运作的经营新模式，摆脱区域发展限制。</w:t>
      </w:r>
    </w:p>
    <w:p>
      <w:pPr>
        <w:pStyle w:val="BodyText"/>
        <w:spacing w:line="420" w:lineRule="auto" w:before="47"/>
        <w:ind w:right="0" w:firstLine="420"/>
        <w:jc w:val="left"/>
      </w:pPr>
      <w:r>
        <w:rPr>
          <w:rFonts w:ascii="宋体" w:hAnsi="宋体" w:cs="宋体" w:eastAsia="宋体" w:hint="default"/>
        </w:rPr>
        <w:t>8</w:t>
      </w:r>
      <w:r>
        <w:rPr/>
        <w:t>．漫友文化将进一步发挥平面出版平台的辐射功能，保持漫画图书出版的基本盘，积极、稳妥进军 </w:t>
      </w:r>
      <w:r>
        <w:rPr>
          <w:spacing w:val="-1"/>
        </w:rPr>
        <w:t>儿童读物新生态领域；夯实动漫节奖运营优势，在探索中国动漫金龙奖的市场化、国际化道路上取得实质</w:t>
      </w:r>
      <w:r>
        <w:rPr>
          <w:spacing w:val="-83"/>
        </w:rPr>
        <w:t> </w:t>
      </w:r>
      <w:r>
        <w:rPr>
          <w:spacing w:val="-83"/>
        </w:rPr>
      </w:r>
      <w:r>
        <w:rPr/>
        <w:t>性的进展；实现动漫</w:t>
      </w:r>
      <w:r>
        <w:rPr>
          <w:rFonts w:ascii="宋体" w:hAnsi="宋体" w:cs="宋体" w:eastAsia="宋体" w:hint="default"/>
        </w:rPr>
        <w:t>IP</w:t>
      </w:r>
      <w:r>
        <w:rPr/>
        <w:t>孵化和定制服务的有机结合，并迅速规模化，大力提升生产力。</w:t>
      </w:r>
    </w:p>
    <w:p>
      <w:pPr>
        <w:pStyle w:val="BodyText"/>
        <w:spacing w:line="240" w:lineRule="auto" w:before="47"/>
        <w:ind w:left="574" w:right="0"/>
        <w:jc w:val="left"/>
      </w:pPr>
      <w:r>
        <w:rPr>
          <w:rFonts w:ascii="宋体" w:hAnsi="宋体" w:cs="宋体" w:eastAsia="宋体" w:hint="default"/>
        </w:rPr>
        <w:t>9</w:t>
      </w:r>
      <w:r>
        <w:rPr/>
        <w:t>．车音智能</w:t>
      </w:r>
      <w:r>
        <w:rPr>
          <w:rFonts w:ascii="宋体" w:hAnsi="宋体" w:cs="宋体" w:eastAsia="宋体" w:hint="default"/>
        </w:rPr>
        <w:t>2019</w:t>
      </w:r>
      <w:r>
        <w:rPr/>
        <w:t>年度经营计划的核心思路是围绕“积聚动能、升级产品、确保利润、加大收入”的</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116"/>
        <w:jc w:val="left"/>
      </w:pPr>
      <w:r>
        <w:rPr>
          <w:spacing w:val="-1"/>
        </w:rPr>
        <w:t>经营管理宗旨，计划并实施业务目标、内部管理目标等各类综合经营目标，并依此部署具体经营策略。在</w:t>
      </w:r>
      <w:r>
        <w:rPr>
          <w:spacing w:val="-85"/>
        </w:rPr>
        <w:t> </w:t>
      </w:r>
      <w:r>
        <w:rPr>
          <w:spacing w:val="-85"/>
        </w:rPr>
      </w:r>
      <w:r>
        <w:rPr/>
        <w:t>业务管理层面，巩固现有</w:t>
      </w:r>
      <w:r>
        <w:rPr>
          <w:rFonts w:ascii="宋体" w:hAnsi="宋体" w:cs="宋体" w:eastAsia="宋体" w:hint="default"/>
        </w:rPr>
        <w:t>toB</w:t>
      </w:r>
      <w:r>
        <w:rPr/>
        <w:t>业务，同时基于</w:t>
      </w:r>
      <w:r>
        <w:rPr>
          <w:rFonts w:ascii="宋体" w:hAnsi="宋体" w:cs="宋体" w:eastAsia="宋体" w:hint="default"/>
        </w:rPr>
        <w:t>toB</w:t>
      </w:r>
      <w:r>
        <w:rPr/>
        <w:t>业务的经验及数据积累，布局全新</w:t>
      </w:r>
      <w:r>
        <w:rPr>
          <w:rFonts w:ascii="宋体" w:hAnsi="宋体" w:cs="宋体" w:eastAsia="宋体" w:hint="default"/>
        </w:rPr>
        <w:t>toC</w:t>
      </w:r>
      <w:r>
        <w:rPr/>
        <w:t>业务，致力于成为 </w:t>
      </w:r>
      <w:r>
        <w:rPr>
          <w:spacing w:val="-1"/>
        </w:rPr>
        <w:t>国内领先智能汽车运营商。在经营管理层面，重点实施事业部制，强化业绩导向的事业独立核算机制，事</w:t>
      </w:r>
      <w:r>
        <w:rPr>
          <w:spacing w:val="-85"/>
        </w:rPr>
        <w:t> </w:t>
      </w:r>
      <w:r>
        <w:rPr>
          <w:spacing w:val="-85"/>
        </w:rPr>
      </w:r>
      <w:r>
        <w:rPr>
          <w:spacing w:val="-1"/>
        </w:rPr>
        <w:t>业部的核心任务是完成下达的经营目标。车音智能计划设立人工智能和智慧运营、车载智能硬件、智慧交</w:t>
      </w:r>
      <w:r>
        <w:rPr>
          <w:spacing w:val="-83"/>
        </w:rPr>
        <w:t> </w:t>
      </w:r>
      <w:r>
        <w:rPr>
          <w:spacing w:val="-83"/>
        </w:rPr>
      </w:r>
      <w:r>
        <w:rPr/>
        <w:t>通、电子商务及保险业务等</w:t>
      </w:r>
      <w:r>
        <w:rPr>
          <w:rFonts w:ascii="宋体" w:hAnsi="宋体" w:cs="宋体" w:eastAsia="宋体" w:hint="default"/>
        </w:rPr>
        <w:t>5</w:t>
      </w:r>
      <w:r>
        <w:rPr/>
        <w:t>大事业部，以利润指标进行绩效考核和奖惩激励，务求实现</w:t>
      </w:r>
      <w:r>
        <w:rPr>
          <w:rFonts w:ascii="宋体" w:hAnsi="宋体" w:cs="宋体" w:eastAsia="宋体" w:hint="default"/>
        </w:rPr>
        <w:t>2019</w:t>
      </w:r>
      <w:r>
        <w:rPr/>
        <w:t>年度的利润 目标。</w:t>
      </w:r>
    </w:p>
    <w:p>
      <w:pPr>
        <w:pStyle w:val="BodyText"/>
        <w:spacing w:line="420" w:lineRule="auto" w:before="47"/>
        <w:ind w:right="1131" w:firstLine="420"/>
        <w:jc w:val="both"/>
      </w:pPr>
      <w:r>
        <w:rPr>
          <w:rFonts w:ascii="宋体" w:hAnsi="宋体" w:cs="宋体" w:eastAsia="宋体" w:hint="default"/>
          <w:spacing w:val="-1"/>
        </w:rPr>
        <w:t>10</w:t>
      </w:r>
      <w:r>
        <w:rPr>
          <w:spacing w:val="-1"/>
        </w:rPr>
        <w:t>．麦游互动将加强治理，优化团队人员结构，提高团队素质；优质、高效地研发新游戏产品，促成</w:t>
      </w:r>
      <w:r>
        <w:rPr/>
        <w:t> </w:t>
      </w:r>
      <w:r>
        <w:rPr>
          <w:spacing w:val="-1"/>
        </w:rPr>
        <w:t>商业化运营工作的实现；保障核心产品的升级迭代工作，优化产品玩法内容；加强与外部公司的合作，积</w:t>
      </w:r>
      <w:r>
        <w:rPr>
          <w:spacing w:val="-85"/>
        </w:rPr>
        <w:t> </w:t>
      </w:r>
      <w:r>
        <w:rPr>
          <w:spacing w:val="-85"/>
        </w:rPr>
      </w:r>
      <w:r>
        <w:rPr/>
        <w:t>极开拓渠道合作，提升产品的市场影响力，从而实现营业收入、净利润稳定增长。</w:t>
      </w:r>
    </w:p>
    <w:p>
      <w:pPr>
        <w:pStyle w:val="BodyText"/>
        <w:spacing w:line="420" w:lineRule="auto" w:before="47"/>
        <w:ind w:right="1130" w:firstLine="420"/>
        <w:jc w:val="both"/>
      </w:pPr>
      <w:r>
        <w:rPr>
          <w:rFonts w:ascii="宋体" w:hAnsi="宋体" w:cs="宋体" w:eastAsia="宋体" w:hint="default"/>
          <w:spacing w:val="-1"/>
        </w:rPr>
        <w:t>11</w:t>
      </w:r>
      <w:r>
        <w:rPr>
          <w:spacing w:val="-1"/>
        </w:rPr>
        <w:t>．海南文旅将做好双创大厦的验收、交接、装修、改造及招商工作，积极布局和参与海南省内文旅</w:t>
      </w:r>
      <w:r>
        <w:rPr/>
        <w:t> </w:t>
      </w:r>
      <w:r>
        <w:rPr>
          <w:spacing w:val="-1"/>
        </w:rPr>
        <w:t>项目的孵化，为公司培育新的利润增长点；新海岸置业推进盘活“新海岸壹号”项目；丰泽投资继续推进</w:t>
      </w:r>
      <w:r>
        <w:rPr>
          <w:spacing w:val="-83"/>
        </w:rPr>
        <w:t> </w:t>
      </w:r>
      <w:r>
        <w:rPr>
          <w:spacing w:val="-83"/>
        </w:rPr>
      </w:r>
      <w:r>
        <w:rPr/>
        <w:t>海南澄迈华侨农场项目土地开发的前期工作。</w:t>
      </w:r>
    </w:p>
    <w:p>
      <w:pPr>
        <w:pStyle w:val="BodyText"/>
        <w:spacing w:line="420" w:lineRule="auto" w:before="47"/>
        <w:ind w:right="1109" w:firstLine="420"/>
        <w:jc w:val="both"/>
      </w:pPr>
      <w:r>
        <w:rPr>
          <w:rFonts w:ascii="宋体" w:hAnsi="宋体" w:cs="宋体" w:eastAsia="宋体" w:hint="default"/>
        </w:rPr>
        <w:t>12.</w:t>
      </w:r>
      <w:r>
        <w:rPr>
          <w:rFonts w:ascii="宋体" w:hAnsi="宋体" w:cs="宋体" w:eastAsia="宋体" w:hint="default"/>
          <w:spacing w:val="-18"/>
        </w:rPr>
        <w:t> </w:t>
      </w:r>
      <w:r>
        <w:rPr/>
        <w:t>上海鸿立、鸿立华享已完成可投资金余额的投资，下一步将把重点转移到已投项目的管理和退出 工作，增加上海鸿立投资资金。将对已投项目实行差异化管理，进行“优、良、中、差”四级分类管理， </w:t>
      </w:r>
      <w:r>
        <w:rPr>
          <w:spacing w:val="-1"/>
        </w:rPr>
        <w:t>将有限的人力资源向“优”和“良”两类项目倾注，确保这些项目安全渡过关键发展期。对发展前景不明</w:t>
      </w:r>
      <w:r>
        <w:rPr>
          <w:spacing w:val="-81"/>
        </w:rPr>
        <w:t> </w:t>
      </w:r>
      <w:r>
        <w:rPr>
          <w:spacing w:val="-81"/>
        </w:rPr>
      </w:r>
      <w:r>
        <w:rPr/>
        <w:t>的“中”类项目，则谋求通过多种途径退出。</w:t>
      </w:r>
    </w:p>
    <w:p>
      <w:pPr>
        <w:spacing w:line="420" w:lineRule="auto" w:before="47"/>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（三）因维持当前业务并完成资产购买公司所需的资金需求</w:t>
      </w:r>
      <w:r>
        <w:rPr>
          <w:rFonts w:ascii="宋体" w:hAnsi="宋体" w:cs="宋体" w:eastAsia="宋体" w:hint="default"/>
          <w:b/>
          <w:bCs/>
          <w:w w:val="99"/>
          <w:sz w:val="21"/>
          <w:szCs w:val="21"/>
        </w:rPr>
        <w:t> </w:t>
      </w:r>
      <w:r>
        <w:rPr>
          <w:rFonts w:ascii="宋体" w:hAnsi="宋体" w:cs="宋体" w:eastAsia="宋体" w:hint="default"/>
          <w:spacing w:val="-1"/>
          <w:sz w:val="21"/>
          <w:szCs w:val="21"/>
        </w:rPr>
        <w:t>2019</w:t>
      </w:r>
      <w:r>
        <w:rPr>
          <w:rFonts w:ascii="宋体" w:hAnsi="宋体" w:cs="宋体" w:eastAsia="宋体" w:hint="default"/>
          <w:spacing w:val="-1"/>
          <w:sz w:val="21"/>
          <w:szCs w:val="21"/>
        </w:rPr>
        <w:t>年，公司资金需求主要为经营管理活动资金需求、投资活动资金需求、中期票据兑付需要的资金</w:t>
      </w:r>
    </w:p>
    <w:p>
      <w:pPr>
        <w:pStyle w:val="BodyText"/>
        <w:spacing w:line="420" w:lineRule="auto" w:before="47"/>
        <w:ind w:right="0"/>
        <w:jc w:val="left"/>
      </w:pPr>
      <w:r>
        <w:rPr>
          <w:spacing w:val="-1"/>
        </w:rPr>
        <w:t>需求。日常经营管理活动资金需求主要为传媒业务所需资金，资金需求约</w:t>
      </w:r>
      <w:r>
        <w:rPr>
          <w:rFonts w:ascii="宋体" w:hAnsi="宋体" w:cs="宋体" w:eastAsia="宋体" w:hint="default"/>
          <w:spacing w:val="-1"/>
        </w:rPr>
        <w:t>150,000.00</w:t>
      </w:r>
      <w:r>
        <w:rPr>
          <w:spacing w:val="-1"/>
        </w:rPr>
        <w:t>万元；投资活动资金</w:t>
      </w:r>
      <w:r>
        <w:rPr>
          <w:spacing w:val="-80"/>
        </w:rPr>
        <w:t> </w:t>
      </w:r>
      <w:r>
        <w:rPr>
          <w:spacing w:val="-80"/>
        </w:rPr>
      </w:r>
      <w:r>
        <w:rPr>
          <w:spacing w:val="-1"/>
        </w:rPr>
        <w:t>需求主要为购买或投资符合公司发展战略的资产等，资金需求约</w:t>
      </w:r>
      <w:r>
        <w:rPr>
          <w:rFonts w:ascii="宋体" w:hAnsi="宋体" w:cs="宋体" w:eastAsia="宋体" w:hint="default"/>
          <w:spacing w:val="-1"/>
        </w:rPr>
        <w:t>100,000.00</w:t>
      </w:r>
      <w:r>
        <w:rPr>
          <w:spacing w:val="-1"/>
        </w:rPr>
        <w:t>万元以上，中期票据本金兑付</w:t>
      </w:r>
      <w:r>
        <w:rPr>
          <w:spacing w:val="-78"/>
        </w:rPr>
        <w:t> </w:t>
      </w:r>
      <w:r>
        <w:rPr>
          <w:spacing w:val="-78"/>
        </w:rPr>
      </w:r>
      <w:r>
        <w:rPr/>
        <w:t>需要的资金需求约</w:t>
      </w:r>
      <w:r>
        <w:rPr>
          <w:rFonts w:ascii="宋体" w:hAnsi="宋体" w:cs="宋体" w:eastAsia="宋体" w:hint="default"/>
        </w:rPr>
        <w:t>70,000.00</w:t>
      </w:r>
      <w:r>
        <w:rPr/>
        <w:t>万元。随着公司业务的迅速发展和公司资产、业务拓展的需要，公司对资金 的需求将会增加。</w:t>
      </w:r>
    </w:p>
    <w:p>
      <w:pPr>
        <w:pStyle w:val="BodyText"/>
        <w:spacing w:line="420" w:lineRule="auto" w:before="87"/>
        <w:ind w:right="1131" w:firstLine="420"/>
        <w:jc w:val="both"/>
      </w:pPr>
      <w:r>
        <w:rPr>
          <w:spacing w:val="-1"/>
        </w:rPr>
        <w:t>公司经营管理活动资金主要来源于经营收入、中期票据发行、金融机构贷款等。公司投资所需要的资</w:t>
      </w:r>
      <w:r>
        <w:rPr/>
        <w:t> 金，除了公司自有资金外，将通过金融机构贷款等渠道筹措。</w:t>
      </w:r>
    </w:p>
    <w:p>
      <w:pPr>
        <w:pStyle w:val="Heading4"/>
        <w:spacing w:line="420" w:lineRule="auto" w:before="88"/>
        <w:ind w:left="576" w:right="7905"/>
        <w:jc w:val="left"/>
        <w:rPr>
          <w:b w:val="0"/>
          <w:bCs w:val="0"/>
        </w:rPr>
      </w:pPr>
      <w:r>
        <w:rPr/>
        <w:t>（四）可能面对的风险</w:t>
      </w:r>
      <w:r>
        <w:rPr>
          <w:w w:val="99"/>
        </w:rPr>
        <w:t> </w:t>
      </w:r>
      <w:r>
        <w:rPr>
          <w:rFonts w:ascii="宋体" w:hAnsi="宋体" w:cs="宋体" w:eastAsia="宋体" w:hint="default"/>
        </w:rPr>
        <w:t>1</w:t>
      </w:r>
      <w:r>
        <w:rPr/>
        <w:t>．财经报刊业务风险因素</w:t>
      </w:r>
      <w:r>
        <w:rPr>
          <w:b w:val="0"/>
          <w:bCs w:val="0"/>
        </w:rPr>
      </w:r>
    </w:p>
    <w:p>
      <w:pPr>
        <w:pStyle w:val="BodyText"/>
        <w:spacing w:line="420" w:lineRule="auto" w:before="48"/>
        <w:ind w:left="574" w:right="1023"/>
        <w:jc w:val="left"/>
      </w:pPr>
      <w:r>
        <w:rPr/>
        <w:t>（</w:t>
      </w:r>
      <w:r>
        <w:rPr>
          <w:rFonts w:ascii="宋体" w:hAnsi="宋体" w:cs="宋体" w:eastAsia="宋体" w:hint="default"/>
        </w:rPr>
        <w:t>1</w:t>
      </w:r>
      <w:r>
        <w:rPr/>
        <w:t>）行业政策风险 </w:t>
      </w:r>
      <w:r>
        <w:rPr>
          <w:spacing w:val="-3"/>
        </w:rPr>
        <w:t>信息披露网络披露化趋势增强，信息披露红利将进一步降低。</w:t>
      </w:r>
      <w:r>
        <w:rPr>
          <w:rFonts w:ascii="宋体" w:hAnsi="宋体" w:cs="宋体" w:eastAsia="宋体" w:hint="default"/>
          <w:spacing w:val="-3"/>
        </w:rPr>
        <w:t>2018</w:t>
      </w:r>
      <w:r>
        <w:rPr>
          <w:spacing w:val="-3"/>
        </w:rPr>
        <w:t>年继缩减上市公司信息披露内容后，</w:t>
      </w:r>
    </w:p>
    <w:p>
      <w:pPr>
        <w:spacing w:after="0" w:line="42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132"/>
        <w:jc w:val="both"/>
      </w:pPr>
      <w:r>
        <w:rPr>
          <w:spacing w:val="-1"/>
        </w:rPr>
        <w:t>监管部门在最近发布的相关文件中明确提出缩减报刊刊发的公募基金披露内容，这将致使基金信息披露内</w:t>
      </w:r>
      <w:r>
        <w:rPr>
          <w:spacing w:val="-81"/>
        </w:rPr>
        <w:t> </w:t>
      </w:r>
      <w:r>
        <w:rPr>
          <w:spacing w:val="-81"/>
        </w:rPr>
      </w:r>
      <w:r>
        <w:rPr/>
        <w:t>容大幅缩减，时报传媒信息披露业务的发展将面临较大挑战和困难。</w:t>
      </w:r>
    </w:p>
    <w:p>
      <w:pPr>
        <w:pStyle w:val="BodyText"/>
        <w:spacing w:line="420" w:lineRule="auto" w:before="47"/>
        <w:ind w:left="574" w:right="0"/>
        <w:jc w:val="left"/>
      </w:pPr>
      <w:r>
        <w:rPr/>
        <w:t>（</w:t>
      </w:r>
      <w:r>
        <w:rPr>
          <w:rFonts w:ascii="宋体" w:hAnsi="宋体" w:cs="宋体" w:eastAsia="宋体" w:hint="default"/>
        </w:rPr>
        <w:t>2</w:t>
      </w:r>
      <w:r>
        <w:rPr/>
        <w:t>）市场风险 </w:t>
      </w:r>
      <w:r>
        <w:rPr>
          <w:rFonts w:ascii="宋体" w:hAnsi="宋体" w:cs="宋体" w:eastAsia="宋体" w:hint="default"/>
          <w:spacing w:val="-1"/>
        </w:rPr>
        <w:t>2018</w:t>
      </w:r>
      <w:r>
        <w:rPr>
          <w:spacing w:val="-1"/>
        </w:rPr>
        <w:t>年，深、沪两市新股发行数量同比下降近七成半，新基金发行数量同比下降近三成，</w:t>
      </w:r>
      <w:r>
        <w:rPr>
          <w:rFonts w:ascii="宋体" w:hAnsi="宋体" w:cs="宋体" w:eastAsia="宋体" w:hint="default"/>
          <w:spacing w:val="-1"/>
        </w:rPr>
        <w:t>2019</w:t>
      </w:r>
      <w:r>
        <w:rPr>
          <w:spacing w:val="-1"/>
        </w:rPr>
        <w:t>年新股</w:t>
      </w:r>
    </w:p>
    <w:p>
      <w:pPr>
        <w:pStyle w:val="BodyText"/>
        <w:spacing w:line="240" w:lineRule="auto" w:before="47"/>
        <w:ind w:right="0"/>
        <w:jc w:val="both"/>
      </w:pPr>
      <w:r>
        <w:rPr/>
        <w:t>及新基金发行数量如持续萎缩，将直接冲击时报传媒信息披露业务增量收入。</w:t>
      </w:r>
    </w:p>
    <w:p>
      <w:pPr>
        <w:spacing w:line="240" w:lineRule="auto" w:before="9"/>
        <w:rPr>
          <w:rFonts w:ascii="宋体" w:hAnsi="宋体" w:cs="宋体" w:eastAsia="宋体" w:hint="default"/>
          <w:sz w:val="15"/>
          <w:szCs w:val="15"/>
        </w:rPr>
      </w:pPr>
    </w:p>
    <w:p>
      <w:pPr>
        <w:pStyle w:val="BodyText"/>
        <w:spacing w:line="420" w:lineRule="auto"/>
        <w:ind w:left="574" w:right="1197"/>
        <w:jc w:val="left"/>
      </w:pPr>
      <w:r>
        <w:rPr/>
        <w:t>（</w:t>
      </w:r>
      <w:r>
        <w:rPr>
          <w:rFonts w:ascii="宋体" w:hAnsi="宋体" w:cs="宋体" w:eastAsia="宋体" w:hint="default"/>
        </w:rPr>
        <w:t>3</w:t>
      </w:r>
      <w:r>
        <w:rPr/>
        <w:t>）经营风险 时报传媒目前仍未摆脱严重依赖信息披露的业务结构，信息披露收入占比仍超过</w:t>
      </w:r>
      <w:r>
        <w:rPr>
          <w:rFonts w:ascii="宋体" w:hAnsi="宋体" w:cs="宋体" w:eastAsia="宋体" w:hint="default"/>
        </w:rPr>
        <w:t>90%</w:t>
      </w:r>
      <w:r>
        <w:rPr/>
        <w:t>，在新股发行数</w:t>
      </w:r>
    </w:p>
    <w:p>
      <w:pPr>
        <w:pStyle w:val="BodyText"/>
        <w:spacing w:line="420" w:lineRule="auto" w:before="47"/>
        <w:ind w:right="1131"/>
        <w:jc w:val="both"/>
      </w:pPr>
      <w:r>
        <w:rPr>
          <w:spacing w:val="-1"/>
        </w:rPr>
        <w:t>量锐减、信息披露改革预期不断增强的背景下，具有较大的经营风险。同时，信息披露制度改革使得时报</w:t>
      </w:r>
      <w:r>
        <w:rPr>
          <w:spacing w:val="-86"/>
        </w:rPr>
        <w:t> </w:t>
      </w:r>
      <w:r>
        <w:rPr>
          <w:spacing w:val="-86"/>
        </w:rPr>
      </w:r>
      <w:r>
        <w:rPr>
          <w:spacing w:val="-1"/>
        </w:rPr>
        <w:t>传媒需要采用外购的方式向证监会指定的网络披露平台采购相关服务，并需要在产品培育、服务手段拓展</w:t>
      </w:r>
      <w:r>
        <w:rPr>
          <w:spacing w:val="-81"/>
        </w:rPr>
        <w:t> </w:t>
      </w:r>
      <w:r>
        <w:rPr>
          <w:spacing w:val="-81"/>
        </w:rPr>
      </w:r>
      <w:r>
        <w:rPr/>
        <w:t>等方面加大投入力度，使得时报传媒经营成本也有所提升。</w:t>
      </w:r>
    </w:p>
    <w:p>
      <w:pPr>
        <w:pStyle w:val="BodyText"/>
        <w:spacing w:line="420" w:lineRule="auto" w:before="47"/>
        <w:ind w:right="0" w:firstLine="420"/>
        <w:jc w:val="left"/>
      </w:pPr>
      <w:r>
        <w:rPr/>
        <w:t>对策：（</w:t>
      </w:r>
      <w:r>
        <w:rPr>
          <w:rFonts w:ascii="宋体" w:hAnsi="宋体" w:cs="宋体" w:eastAsia="宋体" w:hint="default"/>
        </w:rPr>
        <w:t>1</w:t>
      </w:r>
      <w:r>
        <w:rPr/>
        <w:t>）抓住主业不放松，继续跟踪新股发行新变化和趋势，采取有效手段，减少新股发行降速 </w:t>
      </w:r>
      <w:r>
        <w:rPr>
          <w:spacing w:val="-1"/>
        </w:rPr>
        <w:t>及降版所带来的冲击；（</w:t>
      </w:r>
      <w:r>
        <w:rPr>
          <w:rFonts w:ascii="宋体" w:hAnsi="宋体" w:cs="宋体" w:eastAsia="宋体" w:hint="default"/>
          <w:spacing w:val="-1"/>
        </w:rPr>
        <w:t>2</w:t>
      </w:r>
      <w:r>
        <w:rPr>
          <w:spacing w:val="-1"/>
        </w:rPr>
        <w:t>）努力发展增值业务，争取降低由于调低信息披露价格给时报传媒带来的影响，</w:t>
      </w:r>
      <w:r>
        <w:rPr>
          <w:spacing w:val="-83"/>
        </w:rPr>
        <w:t> </w:t>
      </w:r>
      <w:r>
        <w:rPr>
          <w:spacing w:val="-83"/>
        </w:rPr>
      </w:r>
      <w:r>
        <w:rPr/>
        <w:t>通过增值业务介入未合作的上市公司，扩大上市公司合作面，为应对信息披露资格可能的变化作好准备；</w:t>
      </w:r>
    </w:p>
    <w:p>
      <w:pPr>
        <w:pStyle w:val="BodyText"/>
        <w:spacing w:line="420" w:lineRule="auto" w:before="47"/>
        <w:ind w:right="1215"/>
        <w:jc w:val="both"/>
      </w:pPr>
      <w:r>
        <w:rPr/>
        <w:t>（</w:t>
      </w:r>
      <w:r>
        <w:rPr>
          <w:rFonts w:ascii="宋体" w:hAnsi="宋体" w:cs="宋体" w:eastAsia="宋体" w:hint="default"/>
        </w:rPr>
        <w:t>3</w:t>
      </w:r>
      <w:r>
        <w:rPr/>
        <w:t>）扩大存量公司效益，扩大常年客户群体，做大信息披露蓄水池，同时对客户进行分级管理，深入分 析客户的需求，精准服务，最大限度满足客户的需求；（</w:t>
      </w:r>
      <w:r>
        <w:rPr>
          <w:rFonts w:ascii="宋体" w:hAnsi="宋体" w:cs="宋体" w:eastAsia="宋体" w:hint="default"/>
        </w:rPr>
        <w:t>4</w:t>
      </w:r>
      <w:r>
        <w:rPr/>
        <w:t>）与时报传媒其他股东等相关合作方进一步沟 通，加快对相关业务和资源的整合，尽量降低或消除上述风险。</w:t>
      </w:r>
    </w:p>
    <w:p>
      <w:pPr>
        <w:pStyle w:val="Heading4"/>
        <w:spacing w:line="240" w:lineRule="auto" w:before="47"/>
        <w:ind w:left="576" w:right="0"/>
        <w:jc w:val="left"/>
        <w:rPr>
          <w:b w:val="0"/>
          <w:bCs w:val="0"/>
        </w:rPr>
      </w:pPr>
      <w:r>
        <w:rPr>
          <w:rFonts w:ascii="宋体" w:hAnsi="宋体" w:cs="宋体" w:eastAsia="宋体" w:hint="default"/>
        </w:rPr>
        <w:t>2</w:t>
      </w:r>
      <w:r>
        <w:rPr/>
        <w:t>．都市报刊业务风险因素</w:t>
      </w:r>
      <w:r>
        <w:rPr>
          <w:b w:val="0"/>
          <w:bCs w:val="0"/>
        </w:rPr>
      </w:r>
    </w:p>
    <w:p>
      <w:pPr>
        <w:spacing w:line="240" w:lineRule="auto" w:before="9"/>
        <w:rPr>
          <w:rFonts w:ascii="宋体" w:hAnsi="宋体" w:cs="宋体" w:eastAsia="宋体" w:hint="default"/>
          <w:b/>
          <w:bCs/>
          <w:sz w:val="15"/>
          <w:szCs w:val="15"/>
        </w:rPr>
      </w:pPr>
    </w:p>
    <w:p>
      <w:pPr>
        <w:pStyle w:val="BodyText"/>
        <w:spacing w:line="420" w:lineRule="auto"/>
        <w:ind w:left="574" w:right="0"/>
        <w:jc w:val="left"/>
      </w:pPr>
      <w:r>
        <w:rPr/>
        <w:t>（</w:t>
      </w:r>
      <w:r>
        <w:rPr>
          <w:rFonts w:ascii="宋体" w:hAnsi="宋体" w:cs="宋体" w:eastAsia="宋体" w:hint="default"/>
        </w:rPr>
        <w:t>1</w:t>
      </w:r>
      <w:r>
        <w:rPr/>
        <w:t>）行业政策风险 </w:t>
      </w:r>
      <w:r>
        <w:rPr>
          <w:spacing w:val="-1"/>
        </w:rPr>
        <w:t>华商传媒所从事的是文化传媒产业，其中报业产业价值链中的新闻宣传环节（即采编业务）为非经营</w:t>
      </w:r>
    </w:p>
    <w:p>
      <w:pPr>
        <w:pStyle w:val="BodyText"/>
        <w:spacing w:line="420" w:lineRule="auto" w:before="47"/>
        <w:ind w:right="1130"/>
        <w:jc w:val="both"/>
      </w:pPr>
      <w:r>
        <w:rPr>
          <w:spacing w:val="-1"/>
        </w:rPr>
        <w:t>性业务，根据国家有关行业政策精神，采编业务不能纳入华商传媒经营，仍由相应报社负责，形成“经营</w:t>
      </w:r>
      <w:r>
        <w:rPr>
          <w:spacing w:val="-84"/>
        </w:rPr>
        <w:t> </w:t>
      </w:r>
      <w:r>
        <w:rPr>
          <w:spacing w:val="-84"/>
        </w:rPr>
      </w:r>
      <w:r>
        <w:rPr/>
        <w:t>与采编”两分开的业务格局。</w:t>
      </w:r>
    </w:p>
    <w:p>
      <w:pPr>
        <w:pStyle w:val="BodyText"/>
        <w:spacing w:line="420" w:lineRule="auto" w:before="47"/>
        <w:ind w:right="1131" w:firstLine="420"/>
        <w:jc w:val="both"/>
      </w:pPr>
      <w:r>
        <w:rPr>
          <w:spacing w:val="-1"/>
        </w:rPr>
        <w:t>对策：华商传媒将严格遵守有关行业政策，合法经营，并及时跟踪了解行业改革的动态。在目前媒体</w:t>
      </w:r>
      <w:r>
        <w:rPr/>
        <w:t> </w:t>
      </w:r>
      <w:r>
        <w:rPr>
          <w:spacing w:val="-1"/>
        </w:rPr>
        <w:t>政策两分开的条件下，充分利用现有的媒体资源，积极拓展市场空间，进行业务模式创新，打造媒体经营</w:t>
      </w:r>
      <w:r>
        <w:rPr>
          <w:spacing w:val="-86"/>
        </w:rPr>
        <w:t> </w:t>
      </w:r>
      <w:r>
        <w:rPr>
          <w:spacing w:val="-86"/>
        </w:rPr>
      </w:r>
      <w:r>
        <w:rPr>
          <w:spacing w:val="-1"/>
        </w:rPr>
        <w:t>业务的完整产业链，形成媒体综合经营能力的市场竞争优势。如国家行业政策进行相应调整，华商传媒将</w:t>
      </w:r>
      <w:r>
        <w:rPr>
          <w:spacing w:val="-83"/>
        </w:rPr>
        <w:t> </w:t>
      </w:r>
      <w:r>
        <w:rPr>
          <w:spacing w:val="-83"/>
        </w:rPr>
      </w:r>
      <w:r>
        <w:rPr/>
        <w:t>及时对相关业务结构和经营模式做出相应的优化整合。</w:t>
      </w:r>
    </w:p>
    <w:p>
      <w:pPr>
        <w:pStyle w:val="BodyText"/>
        <w:spacing w:line="420" w:lineRule="auto" w:before="47"/>
        <w:ind w:left="574" w:right="0"/>
        <w:jc w:val="left"/>
      </w:pPr>
      <w:r>
        <w:rPr/>
        <w:t>（</w:t>
      </w:r>
      <w:r>
        <w:rPr>
          <w:rFonts w:ascii="宋体" w:hAnsi="宋体" w:cs="宋体" w:eastAsia="宋体" w:hint="default"/>
        </w:rPr>
        <w:t>2</w:t>
      </w:r>
      <w:r>
        <w:rPr/>
        <w:t>）市场风险 </w:t>
      </w:r>
      <w:r>
        <w:rPr>
          <w:spacing w:val="-1"/>
        </w:rPr>
        <w:t>华商传媒目前传媒业务的盈利模式主要来自于报刊平面广告收入，从目前华商传媒所面临的市场情况</w:t>
      </w:r>
    </w:p>
    <w:p>
      <w:pPr>
        <w:pStyle w:val="BodyText"/>
        <w:spacing w:line="420" w:lineRule="auto" w:before="47"/>
        <w:ind w:right="1133"/>
        <w:jc w:val="both"/>
      </w:pPr>
      <w:r>
        <w:rPr>
          <w:spacing w:val="-1"/>
        </w:rPr>
        <w:t>来看，广告业务属于传统的文化传媒产业，经营面临行业趋势性下滑的风险。目前新兴媒体如互联网、手</w:t>
      </w:r>
      <w:r>
        <w:rPr>
          <w:spacing w:val="-85"/>
        </w:rPr>
        <w:t> </w:t>
      </w:r>
      <w:r>
        <w:rPr>
          <w:spacing w:val="-85"/>
        </w:rPr>
      </w:r>
      <w:r>
        <w:rPr>
          <w:spacing w:val="-1"/>
        </w:rPr>
        <w:t>机新闻、移动电视、楼宇电视的兴起为人们提供了新的媒体平台，同时提供了新的广告载体。在互联网等</w:t>
      </w:r>
    </w:p>
    <w:p>
      <w:pPr>
        <w:spacing w:after="0" w:line="420"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0"/>
        <w:jc w:val="left"/>
      </w:pPr>
      <w:r>
        <w:rPr>
          <w:spacing w:val="-1"/>
        </w:rPr>
        <w:t>新兴媒体的广告进入快速增长轨道的同时，报纸广告不得不面临因新兴媒体对传统媒体广告的冲击和分流</w:t>
      </w:r>
      <w:r>
        <w:rPr>
          <w:spacing w:val="-81"/>
        </w:rPr>
        <w:t> </w:t>
      </w:r>
      <w:r>
        <w:rPr>
          <w:spacing w:val="-81"/>
        </w:rPr>
      </w:r>
      <w:r>
        <w:rPr/>
        <w:t>所引致的市场风险。</w:t>
      </w:r>
    </w:p>
    <w:p>
      <w:pPr>
        <w:pStyle w:val="BodyText"/>
        <w:spacing w:line="420" w:lineRule="auto" w:before="47"/>
        <w:ind w:right="1109" w:firstLine="420"/>
        <w:jc w:val="both"/>
      </w:pPr>
      <w:r>
        <w:rPr>
          <w:spacing w:val="-1"/>
        </w:rPr>
        <w:t>对策：尽管面对传统的平面广告市场持续下滑的严峻形势，但是华商传媒目前的广告经营具有明显的</w:t>
      </w:r>
      <w:r>
        <w:rPr/>
        <w:t> 优势，市场占有率较高。华商传媒仍然坚持“利润优先、严控成本”的原则，继续消化成本，深耕区域， </w:t>
      </w:r>
      <w:r>
        <w:rPr>
          <w:spacing w:val="-1"/>
        </w:rPr>
        <w:t>加强移动端内容生产能力，持续强化机构媒体影响力，形成“移动化、区域化、资源化”的商业格局。进</w:t>
      </w:r>
      <w:r>
        <w:rPr>
          <w:spacing w:val="-83"/>
        </w:rPr>
        <w:t> </w:t>
      </w:r>
      <w:r>
        <w:rPr>
          <w:spacing w:val="-83"/>
        </w:rPr>
      </w:r>
      <w:r>
        <w:rPr>
          <w:spacing w:val="-1"/>
        </w:rPr>
        <w:t>一步加快推动传统媒体和新兴媒体在内容、渠道、平台、经营、管理等方面深度融合和一体化发展，以用</w:t>
      </w:r>
      <w:r>
        <w:rPr>
          <w:spacing w:val="-83"/>
        </w:rPr>
        <w:t> </w:t>
      </w:r>
      <w:r>
        <w:rPr>
          <w:spacing w:val="-83"/>
        </w:rPr>
      </w:r>
      <w:r>
        <w:rPr>
          <w:spacing w:val="-1"/>
        </w:rPr>
        <w:t>户为中心，进行垂直领域和区域性的平台化运营；创新经营思路，以品牌活动策划拉动营业收入，千方百</w:t>
      </w:r>
      <w:r>
        <w:rPr>
          <w:spacing w:val="-86"/>
        </w:rPr>
        <w:t> </w:t>
      </w:r>
      <w:r>
        <w:rPr>
          <w:spacing w:val="-86"/>
        </w:rPr>
      </w:r>
      <w:r>
        <w:rPr/>
        <w:t>计挖掘经营潜力，推广行之有效的经营措施和活动经验，从根本上提高华商传媒的运营效率和盈利能力； 积极推动会展、快递、生鲜等新业务规模化发展，成为新的收入增长点。</w:t>
      </w:r>
    </w:p>
    <w:p>
      <w:pPr>
        <w:pStyle w:val="BodyText"/>
        <w:spacing w:line="420" w:lineRule="auto" w:before="47"/>
        <w:ind w:left="574" w:right="1017"/>
        <w:jc w:val="left"/>
      </w:pPr>
      <w:r>
        <w:rPr/>
        <w:t>（</w:t>
      </w:r>
      <w:r>
        <w:rPr>
          <w:rFonts w:ascii="宋体" w:hAnsi="宋体" w:cs="宋体" w:eastAsia="宋体" w:hint="default"/>
        </w:rPr>
        <w:t>3</w:t>
      </w:r>
      <w:r>
        <w:rPr/>
        <w:t>）经营风险 </w:t>
      </w:r>
      <w:r>
        <w:rPr>
          <w:spacing w:val="-3"/>
        </w:rPr>
        <w:t>鉴于报刊经营“两分开”的政策影响，华商传媒在购买报刊广告版面、代理发行、代理印刷等业务中，</w:t>
      </w:r>
    </w:p>
    <w:p>
      <w:pPr>
        <w:pStyle w:val="BodyText"/>
        <w:spacing w:line="420" w:lineRule="auto" w:before="47"/>
        <w:ind w:left="574" w:right="0" w:hanging="420"/>
        <w:jc w:val="left"/>
      </w:pPr>
      <w:r>
        <w:rPr/>
        <w:t>如果出现交易定价等不公平现象，将可能对华商传媒的利益造成影响。 </w:t>
      </w:r>
      <w:r>
        <w:rPr>
          <w:spacing w:val="-1"/>
        </w:rPr>
        <w:t>对策：</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月，华商传媒控股子公司与华商报社调整了经营性协议，华商广告综合考虑历年华商</w:t>
      </w:r>
    </w:p>
    <w:p>
      <w:pPr>
        <w:pStyle w:val="BodyText"/>
        <w:spacing w:line="420" w:lineRule="auto" w:before="47"/>
        <w:ind w:right="1022"/>
        <w:jc w:val="left"/>
      </w:pPr>
      <w:r>
        <w:rPr/>
        <w:t>广告支付给华商报社的广告分成款，华商报社支付给华商数码、陕西黄马甲的印刷、发行业务费，华商报 社报纸内容正常编采发生的人力成本费用及日常运营维护费用，以及华商广告未来的广告收入测算及发展 前景，由交易双方友好协商确定华商广告每一年度向华商报社支付的经营性业务分成款为《华商报》当年 广告营业总额的</w:t>
      </w:r>
      <w:r>
        <w:rPr>
          <w:rFonts w:ascii="宋体" w:hAnsi="宋体" w:cs="宋体" w:eastAsia="宋体" w:hint="default"/>
        </w:rPr>
        <w:t>27%</w:t>
      </w:r>
      <w:r>
        <w:rPr/>
        <w:t>（综合考虑上年广告收入、报纸发行情况、版面扩展及广告市场的发展趋势等因素， 可签署书面补充协议以调整下一年分成比例的增减幅度不超过</w:t>
      </w:r>
      <w:r>
        <w:rPr>
          <w:rFonts w:ascii="宋体" w:hAnsi="宋体" w:cs="宋体" w:eastAsia="宋体" w:hint="default"/>
        </w:rPr>
        <w:t>10%</w:t>
      </w:r>
      <w:r>
        <w:rPr/>
        <w:t>），经营性业务分成款保底额为</w:t>
      </w:r>
      <w:r>
        <w:rPr>
          <w:rFonts w:ascii="宋体" w:hAnsi="宋体" w:cs="宋体" w:eastAsia="宋体" w:hint="default"/>
        </w:rPr>
        <w:t>3,600</w:t>
      </w:r>
      <w:r>
        <w:rPr/>
        <w:t>万 </w:t>
      </w:r>
      <w:r>
        <w:rPr>
          <w:spacing w:val="-5"/>
        </w:rPr>
        <w:t>元（该款项可上下浮动</w:t>
      </w:r>
      <w:r>
        <w:rPr>
          <w:rFonts w:ascii="宋体" w:hAnsi="宋体" w:cs="宋体" w:eastAsia="宋体" w:hint="default"/>
          <w:spacing w:val="-5"/>
        </w:rPr>
        <w:t>30%</w:t>
      </w:r>
      <w:r>
        <w:rPr>
          <w:spacing w:val="-5"/>
        </w:rPr>
        <w:t>，如遇浮动超出上述比例，可根据市场情况和企业现状签署补充协议予以调整）。</w:t>
      </w:r>
    </w:p>
    <w:p>
      <w:pPr>
        <w:spacing w:line="420" w:lineRule="auto" w:before="47"/>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．广播广告业务经营风险</w:t>
      </w:r>
      <w:r>
        <w:rPr>
          <w:rFonts w:ascii="宋体" w:hAnsi="宋体" w:cs="宋体" w:eastAsia="宋体" w:hint="default"/>
          <w:b/>
          <w:bCs/>
          <w:w w:val="99"/>
          <w:sz w:val="21"/>
          <w:szCs w:val="21"/>
        </w:rPr>
        <w:t> </w:t>
      </w:r>
      <w:r>
        <w:rPr>
          <w:rFonts w:ascii="宋体" w:hAnsi="宋体" w:cs="宋体" w:eastAsia="宋体" w:hint="default"/>
          <w:spacing w:val="-1"/>
          <w:sz w:val="21"/>
          <w:szCs w:val="21"/>
        </w:rPr>
        <w:t>国广光荣目前新开发市场面临着残酷的竞争环境，尤其随着国内经济形势增速的放缓和新型互联网传</w:t>
      </w:r>
    </w:p>
    <w:p>
      <w:pPr>
        <w:pStyle w:val="BodyText"/>
        <w:spacing w:line="420" w:lineRule="auto" w:before="47"/>
        <w:ind w:right="0"/>
        <w:jc w:val="left"/>
      </w:pPr>
      <w:r>
        <w:rPr>
          <w:spacing w:val="-1"/>
        </w:rPr>
        <w:t>播媒体的快速发展，媒体生态环境发生深度变革，旧的传统媒体形态、体制机制、传播方式等一一被改变</w:t>
      </w:r>
      <w:r>
        <w:rPr>
          <w:spacing w:val="-84"/>
        </w:rPr>
        <w:t> </w:t>
      </w:r>
      <w:r>
        <w:rPr>
          <w:spacing w:val="-84"/>
        </w:rPr>
      </w:r>
      <w:r>
        <w:rPr/>
        <w:t>甚至被颠覆，传统媒体发展已经进入了瓶颈期。</w:t>
      </w:r>
    </w:p>
    <w:p>
      <w:pPr>
        <w:pStyle w:val="BodyText"/>
        <w:spacing w:line="420" w:lineRule="auto" w:before="47"/>
        <w:ind w:right="1017" w:firstLine="420"/>
        <w:jc w:val="left"/>
      </w:pPr>
      <w:r>
        <w:rPr>
          <w:spacing w:val="-3"/>
        </w:rPr>
        <w:t>对策：国广光荣将积极拓展新媒体业务，创新扩大经营手段；确保签约广播广告合同经营收入的同时，</w:t>
      </w:r>
      <w:r>
        <w:rPr/>
        <w:t> 充分利用广播媒体的品牌影响力、公信力和优质节目资源等优势，扩大与声誉度较高的网络音频媒体资源 进行合作的范围与深度，探索出适合广播媒体与移动互联网音频媒体相互融合的盈利模式。</w:t>
      </w:r>
    </w:p>
    <w:p>
      <w:pPr>
        <w:spacing w:line="420" w:lineRule="auto" w:before="48"/>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．留学咨询服务业务风险</w:t>
      </w:r>
      <w:r>
        <w:rPr>
          <w:rFonts w:ascii="宋体" w:hAnsi="宋体" w:cs="宋体" w:eastAsia="宋体" w:hint="default"/>
          <w:b/>
          <w:bCs/>
          <w:w w:val="99"/>
          <w:sz w:val="21"/>
          <w:szCs w:val="21"/>
        </w:rPr>
        <w:t> </w:t>
      </w:r>
      <w:r>
        <w:rPr>
          <w:rFonts w:ascii="宋体" w:hAnsi="宋体" w:cs="宋体" w:eastAsia="宋体" w:hint="default"/>
          <w:spacing w:val="-1"/>
          <w:sz w:val="21"/>
          <w:szCs w:val="21"/>
        </w:rPr>
        <w:t>由于</w:t>
      </w:r>
      <w:r>
        <w:rPr>
          <w:rFonts w:ascii="宋体" w:hAnsi="宋体" w:cs="宋体" w:eastAsia="宋体" w:hint="default"/>
          <w:spacing w:val="-1"/>
          <w:sz w:val="21"/>
          <w:szCs w:val="21"/>
        </w:rPr>
        <w:t>2018</w:t>
      </w:r>
      <w:r>
        <w:rPr>
          <w:rFonts w:ascii="宋体" w:hAnsi="宋体" w:cs="宋体" w:eastAsia="宋体" w:hint="default"/>
          <w:spacing w:val="-1"/>
          <w:sz w:val="21"/>
          <w:szCs w:val="21"/>
        </w:rPr>
        <w:t>年澄怀科技在美国留学政策收紧、市场竞争压力加剧及市场趋势发生变化的背景下，管理层</w:t>
      </w:r>
    </w:p>
    <w:p>
      <w:pPr>
        <w:pStyle w:val="BodyText"/>
        <w:spacing w:line="240" w:lineRule="auto" w:before="47"/>
        <w:ind w:right="0"/>
        <w:jc w:val="left"/>
      </w:pPr>
      <w:r>
        <w:rPr/>
        <w:t>发生全面变动，加之现金流十分紧缺，导致大量员工纷纷离职，销售及服务能力大幅下降。</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133" w:firstLine="420"/>
        <w:jc w:val="both"/>
      </w:pPr>
      <w:r>
        <w:rPr>
          <w:spacing w:val="-1"/>
        </w:rPr>
        <w:t>对策：公司与澄怀科技原股东及管理层协商、沟通，争取就澄怀科技的现状提出有效的解决方案，尽</w:t>
      </w:r>
      <w:r>
        <w:rPr/>
        <w:t> 量降低或消除上述风险。</w:t>
      </w:r>
    </w:p>
    <w:p>
      <w:pPr>
        <w:pStyle w:val="Heading4"/>
        <w:spacing w:line="240" w:lineRule="auto" w:before="47"/>
        <w:ind w:left="576" w:right="0"/>
        <w:jc w:val="left"/>
        <w:rPr>
          <w:b w:val="0"/>
          <w:bCs w:val="0"/>
        </w:rPr>
      </w:pPr>
      <w:r>
        <w:rPr>
          <w:rFonts w:ascii="宋体" w:hAnsi="宋体" w:cs="宋体" w:eastAsia="宋体" w:hint="default"/>
        </w:rPr>
        <w:t>5</w:t>
      </w:r>
      <w:r>
        <w:rPr/>
        <w:t>．手机视频业务风险</w:t>
      </w:r>
      <w:r>
        <w:rPr>
          <w:b w:val="0"/>
          <w:bCs w:val="0"/>
        </w:rPr>
      </w:r>
    </w:p>
    <w:p>
      <w:pPr>
        <w:spacing w:line="240" w:lineRule="auto" w:before="9"/>
        <w:rPr>
          <w:rFonts w:ascii="宋体" w:hAnsi="宋体" w:cs="宋体" w:eastAsia="宋体" w:hint="default"/>
          <w:b/>
          <w:bCs/>
          <w:sz w:val="15"/>
          <w:szCs w:val="15"/>
        </w:rPr>
      </w:pPr>
    </w:p>
    <w:p>
      <w:pPr>
        <w:pStyle w:val="BodyText"/>
        <w:spacing w:line="420" w:lineRule="auto"/>
        <w:ind w:left="574" w:right="0"/>
        <w:jc w:val="left"/>
      </w:pPr>
      <w:r>
        <w:rPr>
          <w:color w:val="006FC0"/>
        </w:rPr>
        <w:t>（</w:t>
      </w:r>
      <w:r>
        <w:rPr>
          <w:rFonts w:ascii="宋体" w:hAnsi="宋体" w:cs="宋体" w:eastAsia="宋体" w:hint="default"/>
        </w:rPr>
        <w:t>1</w:t>
      </w:r>
      <w:r>
        <w:rPr/>
        <w:t>）国视上海方面 </w:t>
      </w:r>
      <w:r>
        <w:rPr>
          <w:spacing w:val="-1"/>
        </w:rPr>
        <w:t>由于运营商向不利于牌照方合作的方向做市场政策调整的趋势难以改变，加之财务结算周期延长，资</w:t>
      </w:r>
    </w:p>
    <w:p>
      <w:pPr>
        <w:pStyle w:val="BodyText"/>
        <w:spacing w:line="420" w:lineRule="auto" w:before="47"/>
        <w:ind w:right="1110"/>
        <w:jc w:val="both"/>
      </w:pPr>
      <w:r>
        <w:rPr/>
        <w:t>金压力显著增加，导致运营商视频业务严重萎缩。同时转型视频营销业务也面临着需要较多的人力成本、 资金成本，也面临着磨合业务和团队的现实需求。</w:t>
      </w:r>
    </w:p>
    <w:p>
      <w:pPr>
        <w:pStyle w:val="BodyText"/>
        <w:spacing w:line="420" w:lineRule="auto" w:before="47"/>
        <w:ind w:right="1197" w:firstLine="420"/>
        <w:jc w:val="left"/>
      </w:pPr>
      <w:r>
        <w:rPr/>
        <w:t>对策：独家采购内容并进行多渠道分销；针对移动</w:t>
      </w:r>
      <w:r>
        <w:rPr>
          <w:rFonts w:ascii="宋体" w:hAnsi="宋体" w:cs="宋体" w:eastAsia="宋体" w:hint="default"/>
        </w:rPr>
        <w:t>OTT</w:t>
      </w:r>
      <w:r>
        <w:rPr/>
        <w:t>、</w:t>
      </w:r>
      <w:r>
        <w:rPr>
          <w:rFonts w:ascii="宋体" w:hAnsi="宋体" w:cs="宋体" w:eastAsia="宋体" w:hint="default"/>
        </w:rPr>
        <w:t>IPTV</w:t>
      </w:r>
      <w:r>
        <w:rPr/>
        <w:t>等新的业务类型进行尝试；积极开展非 运营商业务，调整人员机构，控制人员投入成本；积极筹划重大合同续期的解决方案，延缓业务压力。</w:t>
      </w:r>
    </w:p>
    <w:p>
      <w:pPr>
        <w:pStyle w:val="BodyText"/>
        <w:spacing w:line="420" w:lineRule="auto" w:before="47"/>
        <w:ind w:left="680" w:right="1196" w:hanging="106"/>
        <w:jc w:val="left"/>
      </w:pPr>
      <w:r>
        <w:rPr/>
        <w:t>（</w:t>
      </w:r>
      <w:r>
        <w:rPr>
          <w:rFonts w:ascii="宋体" w:hAnsi="宋体" w:cs="宋体" w:eastAsia="宋体" w:hint="default"/>
        </w:rPr>
        <w:t>2</w:t>
      </w:r>
      <w:r>
        <w:rPr/>
        <w:t>）掌视亿通方面 运营商业务政策未有好转趋势，运营商业务整体收入存在下降的可能性，而牌照方由于被运营商核</w:t>
      </w:r>
    </w:p>
    <w:p>
      <w:pPr>
        <w:pStyle w:val="BodyText"/>
        <w:spacing w:line="420" w:lineRule="auto" w:before="47"/>
        <w:ind w:right="1131"/>
        <w:jc w:val="both"/>
      </w:pPr>
      <w:r>
        <w:rPr>
          <w:spacing w:val="-1"/>
        </w:rPr>
        <w:t>减的风险依然存在，不排除牌照方被运营商核减后大幅度降低与掌视亿通结算的风险。流量经营业务虽然</w:t>
      </w:r>
      <w:r>
        <w:rPr>
          <w:spacing w:val="-81"/>
        </w:rPr>
        <w:t> </w:t>
      </w:r>
      <w:r>
        <w:rPr>
          <w:spacing w:val="-81"/>
        </w:rPr>
      </w:r>
      <w:r>
        <w:rPr>
          <w:spacing w:val="-1"/>
        </w:rPr>
        <w:t>收入占比逐步增加，但毛利较低，由此可能存在利润下降的风险。由于流量经营业务和内容分销业务对资</w:t>
      </w:r>
      <w:r>
        <w:rPr>
          <w:spacing w:val="-83"/>
        </w:rPr>
        <w:t> </w:t>
      </w:r>
      <w:r>
        <w:rPr>
          <w:spacing w:val="-83"/>
        </w:rPr>
      </w:r>
      <w:r>
        <w:rPr/>
        <w:t>金需求量都比较大，故掌视亿通在</w:t>
      </w:r>
      <w:r>
        <w:rPr>
          <w:rFonts w:ascii="宋体" w:hAnsi="宋体" w:cs="宋体" w:eastAsia="宋体" w:hint="default"/>
        </w:rPr>
        <w:t>2019</w:t>
      </w:r>
      <w:r>
        <w:rPr/>
        <w:t>年现金流方面存在严峻的考验。</w:t>
      </w:r>
    </w:p>
    <w:p>
      <w:pPr>
        <w:pStyle w:val="BodyText"/>
        <w:spacing w:line="420" w:lineRule="auto" w:before="48"/>
        <w:ind w:right="1133" w:firstLine="420"/>
        <w:jc w:val="both"/>
      </w:pPr>
      <w:r>
        <w:rPr>
          <w:spacing w:val="-1"/>
        </w:rPr>
        <w:t>对策：掌视亿通将根据严谨、合理的财务制度，积极做好资金准备工作，同时加强内控流程管理、风</w:t>
      </w:r>
      <w:r>
        <w:rPr/>
        <w:t> 控管理，确保业务持续开展；同时根据运营情况，增加向新业务倾斜的幅度，</w:t>
      </w:r>
      <w:r>
        <w:rPr>
          <w:spacing w:val="-1"/>
        </w:rPr>
        <w:t> </w:t>
      </w:r>
      <w:r>
        <w:rPr/>
        <w:t>以实现整体的盈亏平衡。</w:t>
      </w:r>
    </w:p>
    <w:p>
      <w:pPr>
        <w:pStyle w:val="BodyText"/>
        <w:spacing w:line="420" w:lineRule="auto" w:before="47"/>
        <w:ind w:left="574" w:right="0"/>
        <w:jc w:val="left"/>
      </w:pPr>
      <w:r>
        <w:rPr/>
        <w:t>（</w:t>
      </w:r>
      <w:r>
        <w:rPr>
          <w:rFonts w:ascii="宋体" w:hAnsi="宋体" w:cs="宋体" w:eastAsia="宋体" w:hint="default"/>
        </w:rPr>
        <w:t>3</w:t>
      </w:r>
      <w:r>
        <w:rPr/>
        <w:t>）国广华屏方面 </w:t>
      </w:r>
      <w:r>
        <w:rPr>
          <w:spacing w:val="-1"/>
        </w:rPr>
        <w:t>目前商船市场用户的购买率和复购率不高，市场用户仍有待开发；经考察渔船市场发现前期有卫星电</w:t>
      </w:r>
    </w:p>
    <w:p>
      <w:pPr>
        <w:pStyle w:val="BodyText"/>
        <w:spacing w:line="420" w:lineRule="auto" w:before="47"/>
        <w:ind w:right="1131"/>
        <w:jc w:val="both"/>
      </w:pPr>
      <w:r>
        <w:rPr>
          <w:spacing w:val="-1"/>
        </w:rPr>
        <w:t>视进入市场，由于渔民使用习惯不同等原因，使得国广华屏进入渔船市场仍需要重新评估；随着业务场景</w:t>
      </w:r>
      <w:r>
        <w:rPr>
          <w:spacing w:val="-83"/>
        </w:rPr>
        <w:t> </w:t>
      </w:r>
      <w:r>
        <w:rPr>
          <w:spacing w:val="-83"/>
        </w:rPr>
      </w:r>
      <w:r>
        <w:rPr/>
        <w:t>合作的拓展，对直播、点播内容版权的要求越来越高。</w:t>
      </w:r>
    </w:p>
    <w:p>
      <w:pPr>
        <w:pStyle w:val="BodyText"/>
        <w:spacing w:line="420" w:lineRule="auto" w:before="47"/>
        <w:ind w:right="1109" w:firstLine="420"/>
        <w:jc w:val="both"/>
      </w:pPr>
      <w:r>
        <w:rPr>
          <w:spacing w:val="-1"/>
        </w:rPr>
        <w:t>对策：加强卫星网络运营商合作，促进宣传推广，提高服务曝光度和用户购买率及复购率；重新评估</w:t>
      </w:r>
      <w:r>
        <w:rPr/>
        <w:t> 渔船市场，暂缓推进；在原有商船市场的基础上，开发新市场，寻找新的合作契机；转变版权授权形式， 签署相关合作协议。</w:t>
      </w:r>
    </w:p>
    <w:p>
      <w:pPr>
        <w:pStyle w:val="BodyText"/>
        <w:spacing w:line="420" w:lineRule="auto" w:before="47"/>
        <w:ind w:left="574" w:right="0" w:firstLine="2"/>
        <w:jc w:val="left"/>
      </w:pPr>
      <w:r>
        <w:rPr>
          <w:rFonts w:ascii="宋体" w:hAnsi="宋体" w:cs="宋体" w:eastAsia="宋体" w:hint="default"/>
          <w:b/>
          <w:bCs/>
        </w:rPr>
        <w:t>6</w:t>
      </w:r>
      <w:r>
        <w:rPr>
          <w:rFonts w:ascii="宋体" w:hAnsi="宋体" w:cs="宋体" w:eastAsia="宋体" w:hint="default"/>
          <w:b/>
          <w:bCs/>
        </w:rPr>
        <w:t>．楼宇广告业务风险</w:t>
      </w:r>
      <w:r>
        <w:rPr>
          <w:rFonts w:ascii="宋体" w:hAnsi="宋体" w:cs="宋体" w:eastAsia="宋体" w:hint="default"/>
          <w:b/>
          <w:bCs/>
          <w:w w:val="99"/>
        </w:rPr>
        <w:t> </w:t>
      </w:r>
      <w:r>
        <w:rPr>
          <w:spacing w:val="-1"/>
        </w:rPr>
        <w:t>随着同行业竞争的加剧、行业整合、资本介入等市场变化，导致运营成本上涨，业务缩减或分流，市</w:t>
      </w:r>
    </w:p>
    <w:p>
      <w:pPr>
        <w:pStyle w:val="BodyText"/>
        <w:spacing w:line="420" w:lineRule="auto" w:before="47"/>
        <w:ind w:right="1110"/>
        <w:jc w:val="both"/>
      </w:pPr>
      <w:r>
        <w:rPr/>
        <w:t>场占有率受到影响；国家宏观经济政策调控，重点客户广告投放缩减；国内经济整体不景气，客户缩量、 </w:t>
      </w:r>
      <w:r>
        <w:rPr>
          <w:spacing w:val="-1"/>
        </w:rPr>
        <w:t>分流、压价等因素压缩广告剩余利润；楼宇物业集团化，电梯位租赁将逐渐强强联合和实行高端谈判等因</w:t>
      </w:r>
      <w:r>
        <w:rPr>
          <w:spacing w:val="-83"/>
        </w:rPr>
        <w:t> </w:t>
      </w:r>
      <w:r>
        <w:rPr>
          <w:spacing w:val="-83"/>
        </w:rPr>
      </w:r>
      <w:r>
        <w:rPr/>
        <w:t>素，电梯广告业务将面临新的挑战；个别地区分公司的团队整体离职，面临团队重建的问题。</w:t>
      </w:r>
    </w:p>
    <w:p>
      <w:pPr>
        <w:pStyle w:val="BodyText"/>
        <w:spacing w:line="240" w:lineRule="auto" w:before="47"/>
        <w:ind w:left="574" w:right="0"/>
        <w:jc w:val="left"/>
      </w:pPr>
      <w:r>
        <w:rPr/>
        <w:t>对策：精视文化将做好资金使用规划，保护现有优质资源，重点发展核心资源；创新服务，灵活契合</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131"/>
        <w:jc w:val="both"/>
      </w:pPr>
      <w:r>
        <w:rPr>
          <w:spacing w:val="-1"/>
        </w:rPr>
        <w:t>客户需求；同时加强重点地区、重点资源重建工作，恢复市场占有率及影响力；合理计划广告投放，加强</w:t>
      </w:r>
      <w:r>
        <w:rPr>
          <w:spacing w:val="-83"/>
        </w:rPr>
        <w:t> </w:t>
      </w:r>
      <w:r>
        <w:rPr>
          <w:spacing w:val="-83"/>
        </w:rPr>
      </w:r>
      <w:r>
        <w:rPr>
          <w:spacing w:val="-1"/>
        </w:rPr>
        <w:t>营销管理；与精视文化其他股东等相关合作方进一步沟通，加快对相关业务和资源的整合，尽量降低或消</w:t>
      </w:r>
      <w:r>
        <w:rPr>
          <w:spacing w:val="-83"/>
        </w:rPr>
        <w:t> </w:t>
      </w:r>
      <w:r>
        <w:rPr>
          <w:spacing w:val="-83"/>
        </w:rPr>
      </w:r>
      <w:r>
        <w:rPr/>
        <w:t>除风险。</w:t>
      </w:r>
    </w:p>
    <w:p>
      <w:pPr>
        <w:pStyle w:val="BodyText"/>
        <w:spacing w:line="420" w:lineRule="auto" w:before="48"/>
        <w:ind w:left="574" w:right="1092" w:firstLine="2"/>
        <w:jc w:val="left"/>
      </w:pPr>
      <w:r>
        <w:rPr>
          <w:rFonts w:ascii="宋体" w:hAnsi="宋体" w:cs="宋体" w:eastAsia="宋体" w:hint="default"/>
          <w:b/>
          <w:bCs/>
        </w:rPr>
        <w:t>7</w:t>
      </w:r>
      <w:r>
        <w:rPr>
          <w:rFonts w:ascii="宋体" w:hAnsi="宋体" w:cs="宋体" w:eastAsia="宋体" w:hint="default"/>
          <w:b/>
          <w:bCs/>
        </w:rPr>
        <w:t>．漫画业务发展风险</w:t>
      </w:r>
      <w:r>
        <w:rPr>
          <w:rFonts w:ascii="宋体" w:hAnsi="宋体" w:cs="宋体" w:eastAsia="宋体" w:hint="default"/>
          <w:b/>
          <w:bCs/>
          <w:w w:val="99"/>
        </w:rPr>
        <w:t> </w:t>
      </w:r>
      <w:r>
        <w:rPr/>
        <w:t>快看、腾讯动漫等互联网独角兽基本上一统江山，取代了漫友文化、知音漫客等昔日线下出版龙头，</w:t>
      </w:r>
    </w:p>
    <w:p>
      <w:pPr>
        <w:pStyle w:val="BodyText"/>
        <w:spacing w:line="420" w:lineRule="auto" w:before="47"/>
        <w:ind w:right="1131"/>
        <w:jc w:val="both"/>
      </w:pPr>
      <w:r>
        <w:rPr>
          <w:spacing w:val="-1"/>
        </w:rPr>
        <w:t>互联网漫画兴起导致纸媒漫画吸引力断崖式下；图书出版监控力度的加码、书号供应的紧张、众多纸厂关</w:t>
      </w:r>
      <w:r>
        <w:rPr>
          <w:spacing w:val="-83"/>
        </w:rPr>
        <w:t> </w:t>
      </w:r>
      <w:r>
        <w:rPr>
          <w:spacing w:val="-83"/>
        </w:rPr>
      </w:r>
      <w:r>
        <w:rPr>
          <w:spacing w:val="-1"/>
        </w:rPr>
        <w:t>闭等因素更是导致纸张价格攀升，管理费用大幅度上升，严重吞噬利润；图书监控趋向严格，大比例已发</w:t>
      </w:r>
      <w:r>
        <w:rPr>
          <w:spacing w:val="-86"/>
        </w:rPr>
        <w:t> </w:t>
      </w:r>
      <w:r>
        <w:rPr>
          <w:spacing w:val="-86"/>
        </w:rPr>
      </w:r>
      <w:r>
        <w:rPr>
          <w:spacing w:val="-1"/>
        </w:rPr>
        <w:t>行图书需下架收回；中国国际漫画节市场化后，国家以招投标方式确定承办单位，行业竞争激烈；因近年</w:t>
      </w:r>
      <w:r>
        <w:rPr>
          <w:spacing w:val="-86"/>
        </w:rPr>
        <w:t> </w:t>
      </w:r>
      <w:r>
        <w:rPr>
          <w:spacing w:val="-86"/>
        </w:rPr>
      </w:r>
      <w:r>
        <w:rPr/>
        <w:t>来动漫定制领域利润可观，众多竞争者踏足该领域，竞争压力大。</w:t>
      </w:r>
    </w:p>
    <w:p>
      <w:pPr>
        <w:pStyle w:val="BodyText"/>
        <w:spacing w:line="420" w:lineRule="auto" w:before="47"/>
        <w:ind w:right="1131" w:firstLine="420"/>
        <w:jc w:val="both"/>
      </w:pPr>
      <w:r>
        <w:rPr>
          <w:spacing w:val="-1"/>
        </w:rPr>
        <w:t>对策：积极发挥对内容集聚与分发的强大实力，与行业共享；逐步向内容策划、资源猎取、版权运营</w:t>
      </w:r>
      <w:r>
        <w:rPr/>
        <w:t> </w:t>
      </w:r>
      <w:r>
        <w:rPr>
          <w:spacing w:val="-1"/>
        </w:rPr>
        <w:t>的方向转变；拓展新的业务领域，避免内容匮乏瓶颈问题，巩固核心竞争力；果断停止不盈利项目，减少</w:t>
      </w:r>
      <w:r>
        <w:rPr>
          <w:spacing w:val="-83"/>
        </w:rPr>
        <w:t> </w:t>
      </w:r>
      <w:r>
        <w:rPr>
          <w:spacing w:val="-83"/>
        </w:rPr>
      </w:r>
      <w:r>
        <w:rPr>
          <w:spacing w:val="-1"/>
        </w:rPr>
        <w:t>亏损，将更多的精力与资金投入到发展前景明朗的项目，创造更多收益；与漫友文化其他股东等相关合作</w:t>
      </w:r>
      <w:r>
        <w:rPr>
          <w:spacing w:val="-83"/>
        </w:rPr>
        <w:t> </w:t>
      </w:r>
      <w:r>
        <w:rPr>
          <w:spacing w:val="-83"/>
        </w:rPr>
      </w:r>
      <w:r>
        <w:rPr/>
        <w:t>方进一步沟通，加快对相关业务和资源的整合，尽量降低或消除风险。</w:t>
      </w:r>
    </w:p>
    <w:p>
      <w:pPr>
        <w:pStyle w:val="Heading4"/>
        <w:spacing w:line="240" w:lineRule="auto" w:before="47"/>
        <w:ind w:left="576" w:right="0"/>
        <w:jc w:val="left"/>
        <w:rPr>
          <w:b w:val="0"/>
          <w:bCs w:val="0"/>
        </w:rPr>
      </w:pPr>
      <w:r>
        <w:rPr>
          <w:rFonts w:ascii="宋体" w:hAnsi="宋体" w:cs="宋体" w:eastAsia="宋体" w:hint="default"/>
        </w:rPr>
        <w:t>8</w:t>
      </w:r>
      <w:r>
        <w:rPr/>
        <w:t>．车联网业务风险</w:t>
      </w:r>
      <w:r>
        <w:rPr>
          <w:b w:val="0"/>
          <w:bCs w:val="0"/>
        </w:rPr>
      </w:r>
    </w:p>
    <w:p>
      <w:pPr>
        <w:spacing w:line="240" w:lineRule="auto" w:before="9"/>
        <w:rPr>
          <w:rFonts w:ascii="宋体" w:hAnsi="宋体" w:cs="宋体" w:eastAsia="宋体" w:hint="default"/>
          <w:b/>
          <w:bCs/>
          <w:sz w:val="15"/>
          <w:szCs w:val="15"/>
        </w:rPr>
      </w:pPr>
    </w:p>
    <w:p>
      <w:pPr>
        <w:pStyle w:val="BodyText"/>
        <w:spacing w:line="420" w:lineRule="auto"/>
        <w:ind w:left="574" w:right="0"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）政策调控风险</w:t>
      </w:r>
      <w:r>
        <w:rPr>
          <w:rFonts w:ascii="宋体" w:hAnsi="宋体" w:cs="宋体" w:eastAsia="宋体" w:hint="default"/>
          <w:b/>
          <w:bCs/>
          <w:w w:val="99"/>
        </w:rPr>
        <w:t> </w:t>
      </w:r>
      <w:r>
        <w:rPr>
          <w:spacing w:val="-1"/>
        </w:rPr>
        <w:t>“汽车限购、限号、限行”等一系列限制燃料汽车排放增长的政策的出台在一定程度上影响了汽车行</w:t>
      </w:r>
    </w:p>
    <w:p>
      <w:pPr>
        <w:pStyle w:val="BodyText"/>
        <w:spacing w:line="420" w:lineRule="auto" w:before="47"/>
        <w:ind w:right="1131"/>
        <w:jc w:val="both"/>
      </w:pPr>
      <w:r>
        <w:rPr>
          <w:spacing w:val="-1"/>
        </w:rPr>
        <w:t>业燃料汽车的销售景气度和增长速度，如果汽车企业因此而削减营销支出成本，则未来将使车联网行业受</w:t>
      </w:r>
      <w:r>
        <w:rPr>
          <w:spacing w:val="-81"/>
        </w:rPr>
        <w:t> </w:t>
      </w:r>
      <w:r>
        <w:rPr>
          <w:spacing w:val="-81"/>
        </w:rPr>
      </w:r>
      <w:r>
        <w:rPr/>
        <w:t>到有关政策的间接影响。</w:t>
      </w:r>
    </w:p>
    <w:p>
      <w:pPr>
        <w:pStyle w:val="BodyText"/>
        <w:spacing w:line="420" w:lineRule="auto" w:before="47"/>
        <w:ind w:right="1197" w:firstLine="420"/>
        <w:jc w:val="left"/>
      </w:pPr>
      <w:r>
        <w:rPr/>
        <w:t>对策：车音智能将依托自身优势加大在新能源车企和造车新势力的创新业务布局，并加大力度在</w:t>
      </w:r>
      <w:r>
        <w:rPr>
          <w:rFonts w:ascii="宋体" w:hAnsi="宋体" w:cs="宋体" w:eastAsia="宋体" w:hint="default"/>
        </w:rPr>
        <w:t>toC </w:t>
      </w:r>
      <w:r>
        <w:rPr/>
        <w:t>业务的布局，减少对传统车企和传统业务模式的依赖，探索创新的业务模式和新的行业增长点。</w:t>
      </w:r>
    </w:p>
    <w:p>
      <w:pPr>
        <w:pStyle w:val="BodyText"/>
        <w:spacing w:line="420" w:lineRule="auto" w:before="47"/>
        <w:ind w:left="574" w:right="0" w:firstLine="2"/>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）市场竞争风险</w:t>
      </w:r>
      <w:r>
        <w:rPr>
          <w:rFonts w:ascii="宋体" w:hAnsi="宋体" w:cs="宋体" w:eastAsia="宋体" w:hint="default"/>
          <w:b/>
          <w:bCs/>
          <w:w w:val="99"/>
        </w:rPr>
        <w:t> </w:t>
      </w:r>
      <w:r>
        <w:rPr>
          <w:spacing w:val="-1"/>
        </w:rPr>
        <w:t>随着信息技术不断更新与发展，车联网行业的竞争将进一步加剧，并拉低整体利润水平。在车联网领</w:t>
      </w:r>
    </w:p>
    <w:p>
      <w:pPr>
        <w:pStyle w:val="BodyText"/>
        <w:spacing w:line="420" w:lineRule="auto" w:before="47"/>
        <w:ind w:right="0"/>
        <w:jc w:val="left"/>
      </w:pPr>
      <w:r>
        <w:rPr/>
        <w:t>域，车音智能具有行业先发优势，</w:t>
      </w:r>
      <w:r>
        <w:rPr>
          <w:rFonts w:ascii="宋体" w:hAnsi="宋体" w:cs="宋体" w:eastAsia="宋体" w:hint="default"/>
        </w:rPr>
        <w:t>TSP</w:t>
      </w:r>
      <w:r>
        <w:rPr/>
        <w:t>（内容服务提供者）平台、软件产品、核心技术均在行业内获得了 </w:t>
      </w:r>
      <w:r>
        <w:rPr>
          <w:spacing w:val="-1"/>
        </w:rPr>
        <w:t>广泛的认同，与国内竞争对手相比占据优势。但是，仍不排除其他企业加入竞争，导致市场竞争环境日益</w:t>
      </w:r>
      <w:r>
        <w:rPr>
          <w:spacing w:val="-86"/>
        </w:rPr>
        <w:t> </w:t>
      </w:r>
      <w:r>
        <w:rPr>
          <w:spacing w:val="-86"/>
        </w:rPr>
      </w:r>
      <w:r>
        <w:rPr>
          <w:spacing w:val="-1"/>
        </w:rPr>
        <w:t>激烈的可能。未来如果车音智能不能维持现有优势并不断创新以应对行业竞争，车音智能将存在因市场竞</w:t>
      </w:r>
      <w:r>
        <w:rPr>
          <w:spacing w:val="-81"/>
        </w:rPr>
        <w:t> </w:t>
      </w:r>
      <w:r>
        <w:rPr>
          <w:spacing w:val="-81"/>
        </w:rPr>
      </w:r>
      <w:r>
        <w:rPr/>
        <w:t>争加剧而引发风险的情形。</w:t>
      </w:r>
    </w:p>
    <w:p>
      <w:pPr>
        <w:pStyle w:val="BodyText"/>
        <w:spacing w:line="420" w:lineRule="auto" w:before="48"/>
        <w:ind w:right="1017" w:firstLine="420"/>
        <w:jc w:val="left"/>
      </w:pPr>
      <w:r>
        <w:rPr>
          <w:spacing w:val="-3"/>
        </w:rPr>
        <w:t>对策：车音智能计划单独成立智能网联研究院，加大核心技术及研发投入和专利保护，扩大竞争优势，</w:t>
      </w:r>
      <w:r>
        <w:rPr/>
        <w:t> 提高行业壁垒。同时依托资本优势尽快实现业务快速扩张，尽快确立行业领导地位。</w:t>
      </w:r>
    </w:p>
    <w:p>
      <w:pPr>
        <w:pStyle w:val="Heading4"/>
        <w:spacing w:line="240" w:lineRule="auto" w:before="47"/>
        <w:ind w:left="576" w:right="0"/>
        <w:jc w:val="left"/>
        <w:rPr>
          <w:b w:val="0"/>
          <w:bCs w:val="0"/>
        </w:rPr>
      </w:pPr>
      <w:r>
        <w:rPr/>
        <w:t>（</w:t>
      </w:r>
      <w:r>
        <w:rPr>
          <w:rFonts w:ascii="宋体" w:hAnsi="宋体" w:cs="宋体" w:eastAsia="宋体" w:hint="default"/>
        </w:rPr>
        <w:t>3</w:t>
      </w:r>
      <w:r>
        <w:rPr/>
        <w:t>）客户集中度较高的风险</w:t>
      </w:r>
      <w:r>
        <w:rPr>
          <w:b w:val="0"/>
          <w:bCs w:val="0"/>
        </w:rPr>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420" w:lineRule="auto"/>
        <w:ind w:right="0" w:firstLine="420"/>
        <w:jc w:val="left"/>
      </w:pPr>
      <w:r>
        <w:rPr>
          <w:spacing w:val="-1"/>
        </w:rPr>
        <w:t>车音智能的客户较为集中，近几年车音智能对大客户的销售比例较高，如果重要客户发生流失或需求</w:t>
      </w:r>
      <w:r>
        <w:rPr/>
        <w:t> 变动，将对收入和利润产生较大的影响。</w:t>
      </w:r>
    </w:p>
    <w:p>
      <w:pPr>
        <w:pStyle w:val="BodyText"/>
        <w:spacing w:line="420" w:lineRule="auto" w:before="47"/>
        <w:ind w:right="1197" w:firstLine="420"/>
        <w:jc w:val="left"/>
      </w:pPr>
      <w:r>
        <w:rPr/>
        <w:t>对策：车音智能计划在</w:t>
      </w:r>
      <w:r>
        <w:rPr>
          <w:rFonts w:ascii="宋体" w:hAnsi="宋体" w:cs="宋体" w:eastAsia="宋体" w:hint="default"/>
        </w:rPr>
        <w:t>toC</w:t>
      </w:r>
      <w:r>
        <w:rPr/>
        <w:t>业务加大力度，逐步减少对行业客户依赖，同时通过对创新业务布局，扩 大业务范围，减少对传统行业客户的依赖。</w:t>
      </w:r>
    </w:p>
    <w:p>
      <w:pPr>
        <w:pStyle w:val="BodyText"/>
        <w:spacing w:line="420" w:lineRule="auto" w:before="47"/>
        <w:ind w:left="574" w:right="0" w:firstLine="2"/>
        <w:jc w:val="left"/>
      </w:pPr>
      <w:r>
        <w:rPr>
          <w:rFonts w:ascii="宋体" w:hAnsi="宋体" w:cs="宋体" w:eastAsia="宋体" w:hint="default"/>
          <w:b/>
          <w:bCs/>
        </w:rPr>
        <w:t>9</w:t>
      </w:r>
      <w:r>
        <w:rPr>
          <w:rFonts w:ascii="宋体" w:hAnsi="宋体" w:cs="宋体" w:eastAsia="宋体" w:hint="default"/>
          <w:b/>
          <w:bCs/>
        </w:rPr>
        <w:t>．游戏运营业务风险</w:t>
      </w:r>
      <w:r>
        <w:rPr>
          <w:rFonts w:ascii="宋体" w:hAnsi="宋体" w:cs="宋体" w:eastAsia="宋体" w:hint="default"/>
          <w:b/>
          <w:bCs/>
          <w:w w:val="99"/>
        </w:rPr>
        <w:t> </w:t>
      </w:r>
      <w:r>
        <w:rPr>
          <w:spacing w:val="-1"/>
        </w:rPr>
        <w:t>整个移动游戏行业的发展，游戏产品爆发式的增长，同类产品竞争白炽化，新产品的开发运营存在着</w:t>
      </w:r>
    </w:p>
    <w:p>
      <w:pPr>
        <w:pStyle w:val="BodyText"/>
        <w:spacing w:line="420" w:lineRule="auto" w:before="47"/>
        <w:ind w:right="1131"/>
        <w:jc w:val="both"/>
      </w:pPr>
      <w:r>
        <w:rPr>
          <w:spacing w:val="-1"/>
        </w:rPr>
        <w:t>因无法满足用户需求喜好或市场定位不当而导致业绩不佳的风险；作为新兴互联网行业，国家通过行政许</w:t>
      </w:r>
      <w:r>
        <w:rPr>
          <w:spacing w:val="-81"/>
        </w:rPr>
        <w:t> </w:t>
      </w:r>
      <w:r>
        <w:rPr>
          <w:spacing w:val="-81"/>
        </w:rPr>
      </w:r>
      <w:r>
        <w:rPr>
          <w:spacing w:val="-1"/>
        </w:rPr>
        <w:t>可进入、产品前置审批、后续运营监管等方式加强对于游戏和产品资质的审查，行业监管政策的变化可能</w:t>
      </w:r>
      <w:r>
        <w:rPr>
          <w:spacing w:val="-83"/>
        </w:rPr>
        <w:t> </w:t>
      </w:r>
      <w:r>
        <w:rPr>
          <w:spacing w:val="-83"/>
        </w:rPr>
      </w:r>
      <w:r>
        <w:rPr/>
        <w:t>致使竞争激化；重要技术或运营人员紧缺或外流导致的产品维护研发效率低下的风险。</w:t>
      </w:r>
    </w:p>
    <w:p>
      <w:pPr>
        <w:pStyle w:val="BodyText"/>
        <w:spacing w:line="420" w:lineRule="auto" w:before="47"/>
        <w:ind w:right="1131" w:firstLine="420"/>
        <w:jc w:val="both"/>
      </w:pPr>
      <w:r>
        <w:rPr>
          <w:spacing w:val="-1"/>
        </w:rPr>
        <w:t>对策：麦游互动将在自主研发过程中依据大量的市场调研数据准确地判断用户的游戏喜好并根据反馈</w:t>
      </w:r>
      <w:r>
        <w:rPr/>
        <w:t> </w:t>
      </w:r>
      <w:r>
        <w:rPr>
          <w:spacing w:val="-1"/>
        </w:rPr>
        <w:t>及时调整，同时布局多款不同模式的游戏产品，降低单款游戏被复制后收益下降的风险；密切关注行业政</w:t>
      </w:r>
      <w:r>
        <w:rPr>
          <w:spacing w:val="-83"/>
        </w:rPr>
        <w:t> </w:t>
      </w:r>
      <w:r>
        <w:rPr>
          <w:spacing w:val="-83"/>
        </w:rPr>
      </w:r>
      <w:r>
        <w:rPr>
          <w:spacing w:val="-1"/>
        </w:rPr>
        <w:t>策的调整和变更，与监管部门保持良好沟通；制定有竞争力的薪酬体系，开展员工培训，加强企业文化建</w:t>
      </w:r>
      <w:r>
        <w:rPr>
          <w:spacing w:val="-86"/>
        </w:rPr>
        <w:t> </w:t>
      </w:r>
      <w:r>
        <w:rPr>
          <w:spacing w:val="-86"/>
        </w:rPr>
      </w:r>
      <w:r>
        <w:rPr/>
        <w:t>设工作，增强员工的凝聚力。</w:t>
      </w:r>
    </w:p>
    <w:p>
      <w:pPr>
        <w:pStyle w:val="BodyText"/>
        <w:spacing w:line="420" w:lineRule="auto" w:before="47"/>
        <w:ind w:left="574" w:right="0" w:firstLine="2"/>
        <w:jc w:val="left"/>
      </w:pPr>
      <w:r>
        <w:rPr>
          <w:rFonts w:ascii="宋体" w:hAnsi="宋体" w:cs="宋体" w:eastAsia="宋体" w:hint="default"/>
          <w:b/>
          <w:bCs/>
        </w:rPr>
        <w:t>10</w:t>
      </w:r>
      <w:r>
        <w:rPr>
          <w:rFonts w:ascii="宋体" w:hAnsi="宋体" w:cs="宋体" w:eastAsia="宋体" w:hint="default"/>
          <w:b/>
          <w:bCs/>
        </w:rPr>
        <w:t>．管理风险</w:t>
      </w:r>
      <w:r>
        <w:rPr>
          <w:rFonts w:ascii="宋体" w:hAnsi="宋体" w:cs="宋体" w:eastAsia="宋体" w:hint="default"/>
          <w:b/>
          <w:bCs/>
          <w:w w:val="99"/>
        </w:rPr>
        <w:t> </w:t>
      </w:r>
      <w:r>
        <w:rPr>
          <w:spacing w:val="-1"/>
        </w:rPr>
        <w:t>公司介入传媒产业，实现战略转型，重组后不同产业、媒体、地域、机构及人员、管理方式之间面临</w:t>
      </w:r>
    </w:p>
    <w:p>
      <w:pPr>
        <w:pStyle w:val="BodyText"/>
        <w:spacing w:line="420" w:lineRule="auto" w:before="47"/>
        <w:ind w:left="574" w:right="0" w:hanging="420"/>
        <w:jc w:val="left"/>
      </w:pPr>
      <w:r>
        <w:rPr/>
        <w:t>整合与磨合，增加了公司管理难度，内部控制上存在一定的风险。 </w:t>
      </w:r>
      <w:r>
        <w:rPr>
          <w:spacing w:val="-1"/>
        </w:rPr>
        <w:t>对策：公司通过多种方式，加强不同地域、不同板块人员的沟通交流和良好互动，使不同子公司的文</w:t>
      </w:r>
    </w:p>
    <w:p>
      <w:pPr>
        <w:pStyle w:val="BodyText"/>
        <w:spacing w:line="420" w:lineRule="auto" w:before="47"/>
        <w:ind w:right="1133"/>
        <w:jc w:val="both"/>
      </w:pPr>
      <w:r>
        <w:rPr>
          <w:spacing w:val="-1"/>
        </w:rPr>
        <w:t>化与理念找到接口，促进了解，增进合作，达到融合。公司按照《控股子公司管理办法》，增强对控股子</w:t>
      </w:r>
      <w:r>
        <w:rPr>
          <w:spacing w:val="-85"/>
        </w:rPr>
        <w:t> </w:t>
      </w:r>
      <w:r>
        <w:rPr>
          <w:spacing w:val="-85"/>
        </w:rPr>
      </w:r>
      <w:r>
        <w:rPr/>
        <w:t>公司的财务监管、内部控制和管理。对于涉嫌违法乱纪的人员，公司将严肃查处。</w:t>
      </w:r>
    </w:p>
    <w:p>
      <w:pPr>
        <w:pStyle w:val="BodyText"/>
        <w:spacing w:line="420" w:lineRule="auto" w:before="47"/>
        <w:ind w:left="574" w:right="1092" w:firstLine="2"/>
        <w:jc w:val="left"/>
      </w:pPr>
      <w:r>
        <w:rPr>
          <w:rFonts w:ascii="宋体" w:hAnsi="宋体" w:cs="宋体" w:eastAsia="宋体" w:hint="default"/>
          <w:b/>
          <w:bCs/>
        </w:rPr>
        <w:t>11</w:t>
      </w:r>
      <w:r>
        <w:rPr>
          <w:rFonts w:ascii="宋体" w:hAnsi="宋体" w:cs="宋体" w:eastAsia="宋体" w:hint="default"/>
          <w:b/>
          <w:bCs/>
        </w:rPr>
        <w:t>．商誉减值的风险</w:t>
      </w:r>
      <w:r>
        <w:rPr>
          <w:rFonts w:ascii="宋体" w:hAnsi="宋体" w:cs="宋体" w:eastAsia="宋体" w:hint="default"/>
          <w:b/>
          <w:bCs/>
          <w:w w:val="99"/>
        </w:rPr>
        <w:t> </w:t>
      </w:r>
      <w:r>
        <w:rPr/>
        <w:t>公司</w:t>
      </w:r>
      <w:r>
        <w:rPr>
          <w:rFonts w:ascii="宋体" w:hAnsi="宋体" w:cs="宋体" w:eastAsia="宋体" w:hint="default"/>
        </w:rPr>
        <w:t>2013</w:t>
      </w:r>
      <w:r>
        <w:rPr/>
        <w:t>年以来通过重大资产重组并购的标的资产在公司合并资产负债表中增加了较大金额的商誉。</w:t>
      </w:r>
    </w:p>
    <w:p>
      <w:pPr>
        <w:pStyle w:val="BodyText"/>
        <w:spacing w:line="420" w:lineRule="auto" w:before="47"/>
        <w:ind w:right="1110"/>
        <w:jc w:val="both"/>
      </w:pPr>
      <w:r>
        <w:rPr/>
        <w:t>根据相关会计准则的规定，重组交易形成的商誉不作摊销处理，但需在未来每年年度终了进行减值测试。 </w:t>
      </w:r>
      <w:r>
        <w:rPr>
          <w:spacing w:val="-1"/>
        </w:rPr>
        <w:t>受近年来的经济形势严峻、行业竞争激烈、政策法规趋紧、行业变化趋势、管理层变动等因素的影响，部</w:t>
      </w:r>
      <w:r>
        <w:rPr>
          <w:spacing w:val="-83"/>
        </w:rPr>
        <w:t> </w:t>
      </w:r>
      <w:r>
        <w:rPr>
          <w:spacing w:val="-83"/>
        </w:rPr>
      </w:r>
      <w:r>
        <w:rPr/>
        <w:t>分标的公司的经营业绩不佳，存在计提商誉减值的风险。</w:t>
      </w:r>
    </w:p>
    <w:p>
      <w:pPr>
        <w:pStyle w:val="BodyText"/>
        <w:spacing w:line="420" w:lineRule="auto" w:before="47"/>
        <w:ind w:right="1023" w:firstLine="420"/>
        <w:jc w:val="left"/>
      </w:pPr>
      <w:r>
        <w:rPr/>
        <w:t>对策：一方面，公司将进一步强化对各子公司的经营管理工作，通过创新手段，实现内部整合、内生 </w:t>
      </w:r>
      <w:r>
        <w:rPr>
          <w:spacing w:val="-3"/>
        </w:rPr>
        <w:t>发展，使得现有的子公司持续盈利；另一方面，公司将围绕战略发展的总体思路，紧抓并购、孵化的机会，</w:t>
      </w:r>
      <w:r>
        <w:rPr>
          <w:spacing w:val="-94"/>
        </w:rPr>
        <w:t> </w:t>
      </w:r>
      <w:r>
        <w:rPr>
          <w:spacing w:val="-94"/>
        </w:rPr>
      </w:r>
      <w:r>
        <w:rPr/>
        <w:t>打造新的利润增长点。</w:t>
      </w:r>
    </w:p>
    <w:p>
      <w:pPr>
        <w:pStyle w:val="Heading4"/>
        <w:spacing w:line="240" w:lineRule="auto" w:before="47"/>
        <w:ind w:left="576" w:right="0"/>
        <w:jc w:val="left"/>
        <w:rPr>
          <w:b w:val="0"/>
          <w:bCs w:val="0"/>
        </w:rPr>
      </w:pPr>
      <w:r>
        <w:rPr>
          <w:rFonts w:ascii="宋体" w:hAnsi="宋体" w:cs="宋体" w:eastAsia="宋体" w:hint="default"/>
        </w:rPr>
        <w:t>12</w:t>
      </w:r>
      <w:r>
        <w:rPr/>
        <w:t>．投资款遭受损失的风险</w:t>
      </w:r>
      <w:r>
        <w:rPr>
          <w:b w:val="0"/>
          <w:bCs w:val="0"/>
        </w:rPr>
      </w:r>
    </w:p>
    <w:p>
      <w:pPr>
        <w:spacing w:line="240" w:lineRule="auto" w:before="9"/>
        <w:rPr>
          <w:rFonts w:ascii="宋体" w:hAnsi="宋体" w:cs="宋体" w:eastAsia="宋体" w:hint="default"/>
          <w:b/>
          <w:bCs/>
          <w:sz w:val="15"/>
          <w:szCs w:val="15"/>
        </w:rPr>
      </w:pPr>
    </w:p>
    <w:p>
      <w:pPr>
        <w:pStyle w:val="BodyText"/>
        <w:spacing w:line="240" w:lineRule="auto"/>
        <w:ind w:left="574" w:right="0"/>
        <w:jc w:val="left"/>
      </w:pPr>
      <w:r>
        <w:rPr>
          <w:rFonts w:ascii="宋体" w:hAnsi="宋体" w:cs="宋体" w:eastAsia="宋体" w:hint="default"/>
          <w:spacing w:val="-5"/>
        </w:rPr>
        <w:t>2018</w:t>
      </w:r>
      <w:r>
        <w:rPr>
          <w:spacing w:val="-5"/>
        </w:rPr>
        <w:t>年，公司在跟进各项目的投后进展情况过程中，发现所投资的海南国文文化旅游产业投资基金（有</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026" w:hanging="106"/>
        <w:jc w:val="center"/>
      </w:pPr>
      <w:r>
        <w:rPr/>
        <w:t>限合伙）购买的债权资产包项目中，交易对方常州恒琪资产管理有限公司存在违约情况，并可能涉嫌刑事 犯罪，债权资产包的原始债权人上海青联宝力实业有限公司及债务人吉林省经济贸易发展（集团）公司可 能涉嫌共同犯罪，有可能间接导致公司</w:t>
      </w:r>
      <w:r>
        <w:rPr>
          <w:rFonts w:ascii="宋体" w:hAnsi="宋体" w:cs="宋体" w:eastAsia="宋体" w:hint="default"/>
        </w:rPr>
        <w:t>10</w:t>
      </w:r>
      <w:r>
        <w:rPr/>
        <w:t>亿元投资款无法收回；此外，公司还发现所投资的义乌商阜创赢 </w:t>
      </w:r>
      <w:r>
        <w:rPr>
          <w:spacing w:val="-3"/>
        </w:rPr>
        <w:t>投资中心（有限合伙）的其他合伙人可能涉嫌挪用公司作为有限合伙人向商阜创赢支付的投资款</w:t>
      </w:r>
      <w:r>
        <w:rPr>
          <w:rFonts w:ascii="宋体" w:hAnsi="宋体" w:cs="宋体" w:eastAsia="宋体" w:hint="default"/>
          <w:spacing w:val="-3"/>
        </w:rPr>
        <w:t>3.33</w:t>
      </w:r>
      <w:r>
        <w:rPr>
          <w:spacing w:val="-3"/>
        </w:rPr>
        <w:t>亿元。</w:t>
      </w:r>
      <w:r>
        <w:rPr/>
        <w:t> 对策：华闻传媒已向海南省公安厅经济犯罪侦查总队报案并已受理；公司积极配合推进侦查工作。</w:t>
      </w:r>
    </w:p>
    <w:p>
      <w:pPr>
        <w:pStyle w:val="Heading2"/>
        <w:spacing w:line="240" w:lineRule="auto" w:before="172"/>
        <w:ind w:right="0"/>
        <w:jc w:val="left"/>
        <w:rPr>
          <w:b w:val="0"/>
          <w:bCs w:val="0"/>
        </w:rPr>
      </w:pPr>
      <w:bookmarkStart w:name="十、接待调研、沟通、采访等活动情况" w:id="58"/>
      <w:bookmarkEnd w:id="58"/>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接待调研、沟通、采访等活动登记表" w:id="59"/>
      <w:bookmarkEnd w:id="59"/>
      <w:r>
        <w:rPr>
          <w:b w:val="0"/>
          <w:bCs w:val="0"/>
        </w:rPr>
      </w:r>
      <w:r>
        <w:rPr>
          <w:rFonts w:ascii="宋体" w:hAnsi="宋体" w:cs="宋体" w:eastAsia="宋体" w:hint="default"/>
        </w:rPr>
        <w:t>1</w:t>
      </w:r>
      <w:r>
        <w:rPr/>
        <w:t>、报告期内接待调研、沟通、采访等活动登记表</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2"/>
        <w:gridCol w:w="992"/>
        <w:gridCol w:w="1276"/>
        <w:gridCol w:w="5600"/>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5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公司股东所持限售股解除限售的情况</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年业绩预减的原因</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截至公司</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日股东人数及公司重大事项停牌的原因</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受让新疆华商盈通股权投资有限公司股权的情况</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公司实际控制关系变更筹划的情况</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公司重大资产重组停牌的进展情况</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公司重大资产重组停牌的进展情况</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公司未来的战略方向、公司实际控制关系变更筹划的情况、投融资情况</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等</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麦游互动的业绩承诺情况</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截至公司</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日股东人数</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公司重大资产重组停牌的进展情况</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公司向国际台转让注册商标的原因</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购买车音智能股权的工作进展情况</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公司分红派息的途径</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公司实际控制人权益变动的目的以及是否要更换董事会成员</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公司预告</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年上半年业绩下滑的主要原因</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5"/>
              <w:jc w:val="left"/>
              <w:rPr>
                <w:rFonts w:ascii="宋体" w:hAnsi="宋体" w:cs="宋体" w:eastAsia="宋体" w:hint="default"/>
                <w:sz w:val="18"/>
                <w:szCs w:val="18"/>
              </w:rPr>
            </w:pPr>
            <w:r>
              <w:rPr>
                <w:rFonts w:ascii="宋体" w:hAnsi="宋体" w:cs="宋体" w:eastAsia="宋体" w:hint="default"/>
                <w:sz w:val="18"/>
                <w:szCs w:val="18"/>
              </w:rPr>
              <w:t>公司终止重大资产重组的原因、公司实际控制人拟增持公司股份的情 况、公司实际控制人权益变动的目的</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车音智能</w:t>
            </w:r>
            <w:r>
              <w:rPr>
                <w:rFonts w:ascii="宋体" w:hAnsi="宋体" w:cs="宋体" w:eastAsia="宋体" w:hint="default"/>
                <w:spacing w:val="-46"/>
                <w:sz w:val="18"/>
                <w:szCs w:val="18"/>
              </w:rPr>
              <w:t> </w:t>
            </w:r>
            <w:r>
              <w:rPr>
                <w:rFonts w:ascii="宋体" w:hAnsi="宋体" w:cs="宋体" w:eastAsia="宋体" w:hint="default"/>
                <w:sz w:val="18"/>
                <w:szCs w:val="18"/>
              </w:rPr>
              <w:t>60%</w:t>
            </w:r>
            <w:r>
              <w:rPr>
                <w:rFonts w:ascii="宋体" w:hAnsi="宋体" w:cs="宋体" w:eastAsia="宋体" w:hint="default"/>
                <w:sz w:val="18"/>
                <w:szCs w:val="18"/>
              </w:rPr>
              <w:t>股权的交易情况以及公司股票价格持续下跌的原因</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车音智能</w:t>
            </w:r>
            <w:r>
              <w:rPr>
                <w:rFonts w:ascii="宋体" w:hAnsi="宋体" w:cs="宋体" w:eastAsia="宋体" w:hint="default"/>
                <w:spacing w:val="-46"/>
                <w:sz w:val="18"/>
                <w:szCs w:val="18"/>
              </w:rPr>
              <w:t> </w:t>
            </w:r>
            <w:r>
              <w:rPr>
                <w:rFonts w:ascii="宋体" w:hAnsi="宋体" w:cs="宋体" w:eastAsia="宋体" w:hint="default"/>
                <w:sz w:val="18"/>
                <w:szCs w:val="18"/>
              </w:rPr>
              <w:t>60%</w:t>
            </w:r>
            <w:r>
              <w:rPr>
                <w:rFonts w:ascii="宋体" w:hAnsi="宋体" w:cs="宋体" w:eastAsia="宋体" w:hint="default"/>
                <w:sz w:val="18"/>
                <w:szCs w:val="18"/>
              </w:rPr>
              <w:t>股权的交易情况</w:t>
            </w:r>
          </w:p>
        </w:tc>
      </w:tr>
      <w:tr>
        <w:trPr>
          <w:trHeight w:val="98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公司在全景网</w:t>
            </w:r>
            <w:r>
              <w:rPr>
                <w:rFonts w:ascii="宋体" w:hAnsi="宋体" w:cs="宋体" w:eastAsia="宋体" w:hint="default"/>
                <w:sz w:val="18"/>
                <w:szCs w:val="18"/>
              </w:rPr>
              <w:t>"</w:t>
            </w:r>
            <w:r>
              <w:rPr>
                <w:rFonts w:ascii="宋体" w:hAnsi="宋体" w:cs="宋体" w:eastAsia="宋体" w:hint="default"/>
                <w:sz w:val="18"/>
                <w:szCs w:val="18"/>
              </w:rPr>
              <w:t>全景·路演天下</w:t>
            </w:r>
            <w:r>
              <w:rPr>
                <w:rFonts w:ascii="宋体" w:hAnsi="宋体" w:cs="宋体" w:eastAsia="宋体" w:hint="default"/>
                <w:sz w:val="18"/>
                <w:szCs w:val="18"/>
              </w:rPr>
              <w:t>"</w:t>
            </w:r>
            <w:r>
              <w:rPr>
                <w:rFonts w:ascii="宋体" w:hAnsi="宋体" w:cs="宋体" w:eastAsia="宋体" w:hint="default"/>
                <w:sz w:val="18"/>
                <w:szCs w:val="18"/>
              </w:rPr>
              <w:t>（</w:t>
            </w:r>
            <w:hyperlink r:id="rId18">
              <w:r>
                <w:rPr>
                  <w:rFonts w:ascii="宋体" w:hAnsi="宋体" w:cs="宋体" w:eastAsia="宋体" w:hint="default"/>
                  <w:sz w:val="18"/>
                  <w:szCs w:val="18"/>
                </w:rPr>
                <w:t>http://rs.p5w.net</w:t>
              </w:r>
            </w:hyperlink>
            <w:r>
              <w:rPr>
                <w:rFonts w:ascii="宋体" w:hAnsi="宋体" w:cs="宋体" w:eastAsia="宋体" w:hint="default"/>
                <w:sz w:val="18"/>
                <w:szCs w:val="18"/>
              </w:rPr>
              <w:t>）通过网络远程 方式召开了关于终止筹划重大资产重组事项暨继续推进现金收购事项 的投资者说明会，详见公司于</w:t>
            </w:r>
            <w:r>
              <w:rPr>
                <w:rFonts w:ascii="宋体" w:hAnsi="宋体" w:cs="宋体" w:eastAsia="宋体" w:hint="default"/>
                <w:spacing w:val="-52"/>
                <w:sz w:val="18"/>
                <w:szCs w:val="18"/>
              </w:rPr>
              <w:t> </w:t>
            </w:r>
            <w:r>
              <w:rPr>
                <w:rFonts w:ascii="宋体" w:hAnsi="宋体" w:cs="宋体" w:eastAsia="宋体" w:hint="default"/>
                <w:sz w:val="18"/>
                <w:szCs w:val="18"/>
              </w:rPr>
              <w:t>2018</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7</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18</w:t>
            </w:r>
            <w:r>
              <w:rPr>
                <w:rFonts w:ascii="宋体" w:hAnsi="宋体" w:cs="宋体" w:eastAsia="宋体" w:hint="default"/>
                <w:spacing w:val="-52"/>
                <w:sz w:val="18"/>
                <w:szCs w:val="18"/>
              </w:rPr>
              <w:t> </w:t>
            </w:r>
            <w:r>
              <w:rPr>
                <w:rFonts w:ascii="宋体" w:hAnsi="宋体" w:cs="宋体" w:eastAsia="宋体" w:hint="default"/>
                <w:sz w:val="18"/>
                <w:szCs w:val="18"/>
              </w:rPr>
              <w:t>日在巨潮网上披露的《关</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02"/>
        <w:gridCol w:w="992"/>
        <w:gridCol w:w="1276"/>
        <w:gridCol w:w="5600"/>
      </w:tblGrid>
      <w:tr>
        <w:trPr>
          <w:trHeight w:val="674"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5"/>
              <w:jc w:val="left"/>
              <w:rPr>
                <w:rFonts w:ascii="宋体" w:hAnsi="宋体" w:cs="宋体" w:eastAsia="宋体" w:hint="default"/>
                <w:sz w:val="18"/>
                <w:szCs w:val="18"/>
              </w:rPr>
            </w:pPr>
            <w:r>
              <w:rPr>
                <w:rFonts w:ascii="宋体" w:hAnsi="宋体" w:cs="宋体" w:eastAsia="宋体" w:hint="default"/>
                <w:sz w:val="18"/>
                <w:szCs w:val="18"/>
              </w:rPr>
              <w:t>于终止筹划重大资产重组事项暨继续推进现金收购事项投资者说明会 </w:t>
            </w:r>
            <w:r>
              <w:rPr>
                <w:rFonts w:ascii="宋体" w:hAnsi="宋体" w:cs="宋体" w:eastAsia="宋体" w:hint="default"/>
                <w:spacing w:val="-4"/>
                <w:sz w:val="18"/>
                <w:szCs w:val="18"/>
              </w:rPr>
              <w:t>召开情况的公告》（公告编号：</w:t>
            </w:r>
            <w:r>
              <w:rPr>
                <w:rFonts w:ascii="宋体" w:hAnsi="宋体" w:cs="宋体" w:eastAsia="宋体" w:hint="default"/>
                <w:spacing w:val="-4"/>
                <w:sz w:val="18"/>
                <w:szCs w:val="18"/>
              </w:rPr>
              <w:t>2018-081</w:t>
            </w:r>
            <w:r>
              <w:rPr>
                <w:rFonts w:ascii="宋体" w:hAnsi="宋体" w:cs="宋体" w:eastAsia="宋体" w:hint="default"/>
                <w:spacing w:val="-4"/>
                <w:sz w:val="18"/>
                <w:szCs w:val="18"/>
              </w:rPr>
              <w:t>）</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公司维护股价的举措</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国广资产持有公司的股份被司法冻结的原因，国广资产通过信托计划持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有的公司股份以及已质押的公司股份是否存在被平仓的风险</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公司运作是否正常，截至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日公司的股东人数</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国广资产已质押的公司股份被强制平仓的原因，建议公司敦促国广资产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维护股价</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公司董监事辞职的原因</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国广资产持有公司的股份被司法冻结的原因，车音智能</w:t>
            </w:r>
            <w:r>
              <w:rPr>
                <w:rFonts w:ascii="宋体" w:hAnsi="宋体" w:cs="宋体" w:eastAsia="宋体" w:hint="default"/>
                <w:spacing w:val="-46"/>
                <w:sz w:val="18"/>
                <w:szCs w:val="18"/>
              </w:rPr>
              <w:t> </w:t>
            </w:r>
            <w:r>
              <w:rPr>
                <w:rFonts w:ascii="宋体" w:hAnsi="宋体" w:cs="宋体" w:eastAsia="宋体" w:hint="default"/>
                <w:sz w:val="18"/>
                <w:szCs w:val="18"/>
              </w:rPr>
              <w:t>60%</w:t>
            </w:r>
            <w:r>
              <w:rPr>
                <w:rFonts w:ascii="宋体" w:hAnsi="宋体" w:cs="宋体" w:eastAsia="宋体" w:hint="default"/>
                <w:sz w:val="18"/>
                <w:szCs w:val="18"/>
              </w:rPr>
              <w:t>股权转让的 交易进度</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日公司的股东人数</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向公司反映爱达财富的状况，希望公司关注此事</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日公司的股东人数</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公司有无再重组计划以及车音智能的情况</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敦促承诺增持的实际控制人及交易对方执行增持计划，给予中小投资者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信心</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公司股价下跌的原因</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日公司的股东人数</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国广资产持有的公司股份被冻结的原因、公司持有的东海证券股份被冻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结的原因</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国广控股及车音智能原股东的增持计划是否会履行，董事会是否会换届</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国广资产的国有成分情况及其持有的公司股份被冻结的原因、公司提振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股价的举措</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海南自贸区政策对公司是否利好、公司生产经营是否正常</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针对</w:t>
            </w:r>
            <w:r>
              <w:rPr>
                <w:rFonts w:ascii="宋体" w:hAnsi="宋体" w:cs="宋体" w:eastAsia="宋体" w:hint="default"/>
                <w:spacing w:val="-46"/>
                <w:sz w:val="18"/>
                <w:szCs w:val="18"/>
              </w:rPr>
              <w:t> </w:t>
            </w:r>
            <w:r>
              <w:rPr>
                <w:rFonts w:ascii="宋体" w:hAnsi="宋体" w:cs="宋体" w:eastAsia="宋体" w:hint="default"/>
                <w:sz w:val="18"/>
                <w:szCs w:val="18"/>
              </w:rPr>
              <w:t>13.33</w:t>
            </w:r>
            <w:r>
              <w:rPr>
                <w:rFonts w:ascii="宋体" w:hAnsi="宋体" w:cs="宋体" w:eastAsia="宋体" w:hint="default"/>
                <w:spacing w:val="-46"/>
                <w:sz w:val="18"/>
                <w:szCs w:val="18"/>
              </w:rPr>
              <w:t> </w:t>
            </w:r>
            <w:r>
              <w:rPr>
                <w:rFonts w:ascii="宋体" w:hAnsi="宋体" w:cs="宋体" w:eastAsia="宋体" w:hint="default"/>
                <w:sz w:val="18"/>
                <w:szCs w:val="18"/>
              </w:rPr>
              <w:t>亿元的投资款，公司如何维权</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公司主要的业务情况及资产情况</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公司核查对外投资的频次和时间，有关损失是否能追回</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浙江草根网络科技有限公司（以下简称“草根网络”）</w:t>
            </w:r>
            <w:r>
              <w:rPr>
                <w:rFonts w:ascii="宋体" w:hAnsi="宋体" w:cs="宋体" w:eastAsia="宋体" w:hint="default"/>
                <w:spacing w:val="-7"/>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亿元投资款如何 追回；</w:t>
            </w:r>
            <w:r>
              <w:rPr>
                <w:rFonts w:ascii="宋体" w:hAnsi="宋体" w:cs="宋体" w:eastAsia="宋体" w:hint="default"/>
                <w:sz w:val="18"/>
                <w:szCs w:val="18"/>
              </w:rPr>
              <w:t>13.33</w:t>
            </w:r>
            <w:r>
              <w:rPr>
                <w:rFonts w:ascii="宋体" w:hAnsi="宋体" w:cs="宋体" w:eastAsia="宋体" w:hint="default"/>
                <w:spacing w:val="-46"/>
                <w:sz w:val="18"/>
                <w:szCs w:val="18"/>
              </w:rPr>
              <w:t> </w:t>
            </w:r>
            <w:r>
              <w:rPr>
                <w:rFonts w:ascii="宋体" w:hAnsi="宋体" w:cs="宋体" w:eastAsia="宋体" w:hint="default"/>
                <w:sz w:val="18"/>
                <w:szCs w:val="18"/>
              </w:rPr>
              <w:t>亿元的投资款是否会计提，是否会通过诉讼方式追回</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国际台和中国广电的有关资产注入公司的可能性，建议车音智能加快发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展</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传媒行业整体下滑，为何公司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年度实现盈利；公司控股股东目前 </w:t>
            </w:r>
            <w:r>
              <w:rPr>
                <w:rFonts w:ascii="宋体" w:hAnsi="宋体" w:cs="宋体" w:eastAsia="宋体" w:hint="default"/>
                <w:spacing w:val="-2"/>
                <w:sz w:val="18"/>
                <w:szCs w:val="18"/>
              </w:rPr>
              <w:t>是否发生新的变化；公司生产经营是否正常，现金流状况何如；公司持</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有的东海证券股份被冻结对公司经营是否有影响</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日公司的股东人数</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2"/>
                <w:sz w:val="18"/>
                <w:szCs w:val="18"/>
              </w:rPr>
              <w:t>和平财富转让国广控股股权的原因；公司总裁辞职的原因，是否有新的</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02"/>
        <w:gridCol w:w="992"/>
        <w:gridCol w:w="1276"/>
        <w:gridCol w:w="5600"/>
      </w:tblGrid>
      <w:tr>
        <w:trPr>
          <w:trHeight w:val="362"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人选；公司投资草根网络的最初目的</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日公司的股东人数</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国广控股</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股权暂时无法过户的具体原因</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个人</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公司是否已经回复深交所的关注函</w:t>
            </w:r>
          </w:p>
        </w:tc>
      </w:tr>
      <w:tr>
        <w:trPr>
          <w:trHeight w:val="402" w:hRule="exact"/>
        </w:trPr>
        <w:tc>
          <w:tcPr>
            <w:tcW w:w="39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w:t>
            </w:r>
          </w:p>
        </w:tc>
      </w:tr>
      <w:tr>
        <w:trPr>
          <w:trHeight w:val="402" w:hRule="exact"/>
        </w:trPr>
        <w:tc>
          <w:tcPr>
            <w:tcW w:w="39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w:t>
            </w:r>
          </w:p>
        </w:tc>
      </w:tr>
      <w:tr>
        <w:trPr>
          <w:trHeight w:val="402" w:hRule="exact"/>
        </w:trPr>
        <w:tc>
          <w:tcPr>
            <w:tcW w:w="39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w:t>
            </w:r>
          </w:p>
        </w:tc>
      </w:tr>
      <w:tr>
        <w:trPr>
          <w:trHeight w:val="402" w:hRule="exact"/>
        </w:trPr>
        <w:tc>
          <w:tcPr>
            <w:tcW w:w="39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w:t>
            </w:r>
          </w:p>
        </w:tc>
      </w:tr>
      <w:tr>
        <w:trPr>
          <w:trHeight w:val="402" w:hRule="exact"/>
        </w:trPr>
        <w:tc>
          <w:tcPr>
            <w:tcW w:w="39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right="1217"/>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before="0"/>
        <w:ind w:right="0"/>
        <w:jc w:val="both"/>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0"/>
        <w:ind w:right="0"/>
        <w:jc w:val="both"/>
      </w:pPr>
      <w:r>
        <w:rPr/>
        <w:t>报告期内普通股利润分配政策，特别是现金分红政策的制定、执行或调整情况</w:t>
      </w:r>
    </w:p>
    <w:p>
      <w:pPr>
        <w:spacing w:line="240" w:lineRule="auto" w:before="10"/>
        <w:rPr>
          <w:rFonts w:ascii="宋体" w:hAnsi="宋体" w:cs="宋体" w:eastAsia="宋体" w:hint="default"/>
          <w:sz w:val="18"/>
          <w:szCs w:val="18"/>
        </w:rPr>
      </w:pPr>
    </w:p>
    <w:p>
      <w:pPr>
        <w:pStyle w:val="BodyText"/>
        <w:spacing w:line="453" w:lineRule="auto"/>
        <w:ind w:left="574" w:right="0" w:hanging="420"/>
        <w:jc w:val="left"/>
        <w:rPr>
          <w:rFonts w:ascii="宋体" w:hAnsi="宋体" w:cs="宋体" w:eastAsia="宋体" w:hint="default"/>
        </w:rPr>
      </w:pPr>
      <w:r>
        <w:rPr/>
        <w:t>√ 适用 □</w:t>
      </w:r>
      <w:r>
        <w:rPr>
          <w:spacing w:val="-1"/>
        </w:rPr>
        <w:t> </w:t>
      </w:r>
      <w:r>
        <w:rPr/>
        <w:t>不适用</w:t>
      </w:r>
      <w:r>
        <w:rPr/>
        <w:t> </w:t>
      </w:r>
      <w:r>
        <w:rPr>
          <w:rFonts w:ascii="宋体" w:hAnsi="宋体" w:cs="宋体" w:eastAsia="宋体" w:hint="default"/>
          <w:spacing w:val="-5"/>
        </w:rPr>
        <w:t>2014</w:t>
      </w:r>
      <w:r>
        <w:rPr>
          <w:spacing w:val="-5"/>
        </w:rPr>
        <w:t>年</w:t>
      </w:r>
      <w:r>
        <w:rPr>
          <w:rFonts w:ascii="宋体" w:hAnsi="宋体" w:cs="宋体" w:eastAsia="宋体" w:hint="default"/>
          <w:spacing w:val="-5"/>
        </w:rPr>
        <w:t>5</w:t>
      </w:r>
      <w:r>
        <w:rPr>
          <w:spacing w:val="-5"/>
        </w:rPr>
        <w:t>月，根据中国证监会《上市公司监管指引第</w:t>
      </w:r>
      <w:r>
        <w:rPr>
          <w:rFonts w:ascii="宋体" w:hAnsi="宋体" w:cs="宋体" w:eastAsia="宋体" w:hint="default"/>
          <w:spacing w:val="-5"/>
        </w:rPr>
        <w:t>3</w:t>
      </w:r>
      <w:r>
        <w:rPr>
          <w:spacing w:val="-5"/>
        </w:rPr>
        <w:t>号——上市公司现金分红》（证监会公告</w:t>
      </w:r>
      <w:r>
        <w:rPr>
          <w:rFonts w:ascii="宋体" w:hAnsi="宋体" w:cs="宋体" w:eastAsia="宋体" w:hint="default"/>
          <w:spacing w:val="-5"/>
        </w:rPr>
        <w:t>[2013]43</w:t>
      </w:r>
    </w:p>
    <w:p>
      <w:pPr>
        <w:pStyle w:val="BodyText"/>
        <w:spacing w:line="420" w:lineRule="auto" w:before="18"/>
        <w:ind w:right="1131"/>
        <w:jc w:val="both"/>
      </w:pPr>
      <w:r>
        <w:rPr/>
        <w:pict>
          <v:group style="position:absolute;margin-left:56.459999pt;margin-top:65.723663pt;width:487.9pt;height:172.9pt;mso-position-horizontal-relative:page;mso-position-vertical-relative:paragraph;z-index:-1492312" coordorigin="1129,1314" coordsize="9758,3458">
            <v:group style="position:absolute;left:1150;top:1329;width:2;height:393" coordorigin="1150,1329" coordsize="2,393">
              <v:shape style="position:absolute;left:1150;top:1329;width:2;height:393" coordorigin="1150,1329" coordsize="0,393" path="m1150,1329l1150,1721e" filled="false" stroked="true" strokeweight="1.140pt" strokecolor="#d2d2d2">
                <v:path arrowok="t"/>
              </v:shape>
            </v:group>
            <v:group style="position:absolute;left:10865;top:1329;width:2;height:393" coordorigin="10865,1329" coordsize="2,393">
              <v:shape style="position:absolute;left:10865;top:1329;width:2;height:393" coordorigin="10865,1329" coordsize="0,393" path="m10865,1329l10865,1721e" filled="false" stroked="true" strokeweight="1.2pt" strokecolor="#d2d2d2">
                <v:path arrowok="t"/>
              </v:shape>
            </v:group>
            <v:group style="position:absolute;left:1162;top:1329;width:9692;height:393" coordorigin="1162,1329" coordsize="9692,393">
              <v:shape style="position:absolute;left:1162;top:1329;width:9692;height:393" coordorigin="1162,1329" coordsize="9692,393" path="m1162,1721l10853,1721,10853,1329,1162,1329,1162,1721xe" filled="true" fillcolor="#d2d2d2" stroked="false">
                <v:path arrowok="t"/>
                <v:fill type="solid"/>
              </v:shape>
            </v:group>
            <v:group style="position:absolute;left:1139;top:1324;width:9738;height:2" coordorigin="1139,1324" coordsize="9738,2">
              <v:shape style="position:absolute;left:1139;top:1324;width:9738;height:2" coordorigin="1139,1324" coordsize="9738,0" path="m1139,1324l10877,1324e" filled="false" stroked="true" strokeweight=".48001pt" strokecolor="#000000">
                <v:path arrowok="t"/>
              </v:shape>
            </v:group>
            <v:group style="position:absolute;left:1150;top:1731;width:2;height:393" coordorigin="1150,1731" coordsize="2,393">
              <v:shape style="position:absolute;left:1150;top:1731;width:2;height:393" coordorigin="1150,1731" coordsize="0,393" path="m1150,1731l1150,2123e" filled="false" stroked="true" strokeweight="1.140pt" strokecolor="#d2d2d2">
                <v:path arrowok="t"/>
              </v:shape>
            </v:group>
            <v:group style="position:absolute;left:6081;top:1731;width:2;height:393" coordorigin="6081,1731" coordsize="2,393">
              <v:shape style="position:absolute;left:6081;top:1731;width:2;height:393" coordorigin="6081,1731" coordsize="0,393" path="m6081,1731l6081,2123e" filled="false" stroked="true" strokeweight="1.140pt" strokecolor="#d2d2d2">
                <v:path arrowok="t"/>
              </v:shape>
            </v:group>
            <v:group style="position:absolute;left:1162;top:1731;width:4908;height:393" coordorigin="1162,1731" coordsize="4908,393">
              <v:shape style="position:absolute;left:1162;top:1731;width:4908;height:393" coordorigin="1162,1731" coordsize="4908,393" path="m1162,2123l6069,2123,6069,1731,1162,1731,1162,2123xe" filled="true" fillcolor="#d2d2d2" stroked="false">
                <v:path arrowok="t"/>
                <v:fill type="solid"/>
              </v:shape>
            </v:group>
            <v:group style="position:absolute;left:1139;top:1726;width:4954;height:2" coordorigin="1139,1726" coordsize="4954,2">
              <v:shape style="position:absolute;left:1139;top:1726;width:4954;height:2" coordorigin="1139,1726" coordsize="4954,0" path="m1139,1726l6092,1726e" filled="false" stroked="true" strokeweight=".48001pt" strokecolor="#000000">
                <v:path arrowok="t"/>
              </v:shape>
            </v:group>
            <v:group style="position:absolute;left:6102;top:1726;width:4776;height:2" coordorigin="6102,1726" coordsize="4776,2">
              <v:shape style="position:absolute;left:6102;top:1726;width:4776;height:2" coordorigin="6102,1726" coordsize="4776,0" path="m6102,1726l10877,1726e" filled="false" stroked="true" strokeweight=".48001pt" strokecolor="#000000">
                <v:path arrowok="t"/>
              </v:shape>
            </v:group>
            <v:group style="position:absolute;left:1150;top:2133;width:2;height:393" coordorigin="1150,2133" coordsize="2,393">
              <v:shape style="position:absolute;left:1150;top:2133;width:2;height:393" coordorigin="1150,2133" coordsize="0,393" path="m1150,2133l1150,2525e" filled="false" stroked="true" strokeweight="1.140pt" strokecolor="#d2d2d2">
                <v:path arrowok="t"/>
              </v:shape>
            </v:group>
            <v:group style="position:absolute;left:6081;top:2133;width:2;height:393" coordorigin="6081,2133" coordsize="2,393">
              <v:shape style="position:absolute;left:6081;top:2133;width:2;height:393" coordorigin="6081,2133" coordsize="0,393" path="m6081,2133l6081,2525e" filled="false" stroked="true" strokeweight="1.140pt" strokecolor="#d2d2d2">
                <v:path arrowok="t"/>
              </v:shape>
            </v:group>
            <v:group style="position:absolute;left:1162;top:2133;width:4908;height:393" coordorigin="1162,2133" coordsize="4908,393">
              <v:shape style="position:absolute;left:1162;top:2133;width:4908;height:393" coordorigin="1162,2133" coordsize="4908,393" path="m1162,2525l6069,2525,6069,2133,1162,2133,1162,2525xe" filled="true" fillcolor="#d2d2d2" stroked="false">
                <v:path arrowok="t"/>
                <v:fill type="solid"/>
              </v:shape>
            </v:group>
            <v:group style="position:absolute;left:1139;top:2128;width:4954;height:2" coordorigin="1139,2128" coordsize="4954,2">
              <v:shape style="position:absolute;left:1139;top:2128;width:4954;height:2" coordorigin="1139,2128" coordsize="4954,0" path="m1139,2128l6092,2128e" filled="false" stroked="true" strokeweight=".48001pt" strokecolor="#000000">
                <v:path arrowok="t"/>
              </v:shape>
            </v:group>
            <v:group style="position:absolute;left:6102;top:2128;width:4776;height:2" coordorigin="6102,2128" coordsize="4776,2">
              <v:shape style="position:absolute;left:6102;top:2128;width:4776;height:2" coordorigin="6102,2128" coordsize="4776,0" path="m6102,2128l10877,2128e" filled="false" stroked="true" strokeweight=".48001pt" strokecolor="#000000">
                <v:path arrowok="t"/>
              </v:shape>
            </v:group>
            <v:group style="position:absolute;left:1150;top:2535;width:2;height:393" coordorigin="1150,2535" coordsize="2,393">
              <v:shape style="position:absolute;left:1150;top:2535;width:2;height:393" coordorigin="1150,2535" coordsize="0,393" path="m1150,2535l1150,2927e" filled="false" stroked="true" strokeweight="1.140pt" strokecolor="#d2d2d2">
                <v:path arrowok="t"/>
              </v:shape>
            </v:group>
            <v:group style="position:absolute;left:6081;top:2535;width:2;height:393" coordorigin="6081,2535" coordsize="2,393">
              <v:shape style="position:absolute;left:6081;top:2535;width:2;height:393" coordorigin="6081,2535" coordsize="0,393" path="m6081,2535l6081,2927e" filled="false" stroked="true" strokeweight="1.140pt" strokecolor="#d2d2d2">
                <v:path arrowok="t"/>
              </v:shape>
            </v:group>
            <v:group style="position:absolute;left:1162;top:2535;width:4908;height:393" coordorigin="1162,2535" coordsize="4908,393">
              <v:shape style="position:absolute;left:1162;top:2535;width:4908;height:393" coordorigin="1162,2535" coordsize="4908,393" path="m1162,2927l6069,2927,6069,2535,1162,2535,1162,2927xe" filled="true" fillcolor="#d2d2d2" stroked="false">
                <v:path arrowok="t"/>
                <v:fill type="solid"/>
              </v:shape>
            </v:group>
            <v:group style="position:absolute;left:1139;top:2530;width:4954;height:2" coordorigin="1139,2530" coordsize="4954,2">
              <v:shape style="position:absolute;left:1139;top:2530;width:4954;height:2" coordorigin="1139,2530" coordsize="4954,0" path="m1139,2530l6092,2530e" filled="false" stroked="true" strokeweight=".47998pt" strokecolor="#000000">
                <v:path arrowok="t"/>
              </v:shape>
            </v:group>
            <v:group style="position:absolute;left:6102;top:2530;width:4776;height:2" coordorigin="6102,2530" coordsize="4776,2">
              <v:shape style="position:absolute;left:6102;top:2530;width:4776;height:2" coordorigin="6102,2530" coordsize="4776,0" path="m6102,2530l10877,2530e" filled="false" stroked="true" strokeweight=".47998pt" strokecolor="#000000">
                <v:path arrowok="t"/>
              </v:shape>
            </v:group>
            <v:group style="position:absolute;left:1150;top:2937;width:2;height:393" coordorigin="1150,2937" coordsize="2,393">
              <v:shape style="position:absolute;left:1150;top:2937;width:2;height:393" coordorigin="1150,2937" coordsize="0,393" path="m1150,2937l1150,3329e" filled="false" stroked="true" strokeweight="1.140pt" strokecolor="#d2d2d2">
                <v:path arrowok="t"/>
              </v:shape>
            </v:group>
            <v:group style="position:absolute;left:6081;top:2937;width:2;height:393" coordorigin="6081,2937" coordsize="2,393">
              <v:shape style="position:absolute;left:6081;top:2937;width:2;height:393" coordorigin="6081,2937" coordsize="0,393" path="m6081,2937l6081,3329e" filled="false" stroked="true" strokeweight="1.140pt" strokecolor="#d2d2d2">
                <v:path arrowok="t"/>
              </v:shape>
            </v:group>
            <v:group style="position:absolute;left:1162;top:2937;width:4908;height:393" coordorigin="1162,2937" coordsize="4908,393">
              <v:shape style="position:absolute;left:1162;top:2937;width:4908;height:393" coordorigin="1162,2937" coordsize="4908,393" path="m1162,3329l6069,3329,6069,2937,1162,2937,1162,3329xe" filled="true" fillcolor="#d2d2d2" stroked="false">
                <v:path arrowok="t"/>
                <v:fill type="solid"/>
              </v:shape>
            </v:group>
            <v:group style="position:absolute;left:1139;top:2932;width:4954;height:2" coordorigin="1139,2932" coordsize="4954,2">
              <v:shape style="position:absolute;left:1139;top:2932;width:4954;height:2" coordorigin="1139,2932" coordsize="4954,0" path="m1139,2932l6092,2932e" filled="false" stroked="true" strokeweight=".47998pt" strokecolor="#000000">
                <v:path arrowok="t"/>
              </v:shape>
            </v:group>
            <v:group style="position:absolute;left:6102;top:2932;width:4776;height:2" coordorigin="6102,2932" coordsize="4776,2">
              <v:shape style="position:absolute;left:6102;top:2932;width:4776;height:2" coordorigin="6102,2932" coordsize="4776,0" path="m6102,2932l10877,2932e" filled="false" stroked="true" strokeweight=".47998pt" strokecolor="#000000">
                <v:path arrowok="t"/>
              </v:shape>
            </v:group>
            <v:group style="position:absolute;left:1150;top:3339;width:2;height:705" coordorigin="1150,3339" coordsize="2,705">
              <v:shape style="position:absolute;left:1150;top:3339;width:2;height:705" coordorigin="1150,3339" coordsize="0,705" path="m1150,3339l1150,4044e" filled="false" stroked="true" strokeweight="1.140pt" strokecolor="#d2d2d2">
                <v:path arrowok="t"/>
              </v:shape>
            </v:group>
            <v:group style="position:absolute;left:6081;top:3339;width:2;height:705" coordorigin="6081,3339" coordsize="2,705">
              <v:shape style="position:absolute;left:6081;top:3339;width:2;height:705" coordorigin="6081,3339" coordsize="0,705" path="m6081,3339l6081,4044e" filled="false" stroked="true" strokeweight="1.140pt" strokecolor="#d2d2d2">
                <v:path arrowok="t"/>
              </v:shape>
            </v:group>
            <v:group style="position:absolute;left:1162;top:3339;width:4908;height:353" coordorigin="1162,3339" coordsize="4908,353">
              <v:shape style="position:absolute;left:1162;top:3339;width:4908;height:353" coordorigin="1162,3339" coordsize="4908,353" path="m1162,3692l6069,3692,6069,3339,1162,3339,1162,3692xe" filled="true" fillcolor="#d2d2d2" stroked="false">
                <v:path arrowok="t"/>
                <v:fill type="solid"/>
              </v:shape>
            </v:group>
            <v:group style="position:absolute;left:1162;top:3692;width:4908;height:352" coordorigin="1162,3692" coordsize="4908,352">
              <v:shape style="position:absolute;left:1162;top:3692;width:4908;height:352" coordorigin="1162,3692" coordsize="4908,352" path="m1162,4044l6069,4044,6069,3692,1162,3692,1162,4044xe" filled="true" fillcolor="#d2d2d2" stroked="false">
                <v:path arrowok="t"/>
                <v:fill type="solid"/>
              </v:shape>
            </v:group>
            <v:group style="position:absolute;left:1139;top:3334;width:4954;height:2" coordorigin="1139,3334" coordsize="4954,2">
              <v:shape style="position:absolute;left:1139;top:3334;width:4954;height:2" coordorigin="1139,3334" coordsize="4954,0" path="m1139,3334l6092,3334e" filled="false" stroked="true" strokeweight=".5pt" strokecolor="#000000">
                <v:path arrowok="t"/>
              </v:shape>
            </v:group>
            <v:group style="position:absolute;left:6102;top:3334;width:4776;height:2" coordorigin="6102,3334" coordsize="4776,2">
              <v:shape style="position:absolute;left:6102;top:3334;width:4776;height:2" coordorigin="6102,3334" coordsize="4776,0" path="m6102,3334l10877,3334e" filled="false" stroked="true" strokeweight=".5pt" strokecolor="#000000">
                <v:path arrowok="t"/>
              </v:shape>
            </v:group>
            <v:group style="position:absolute;left:1139;top:4053;width:4954;height:156" coordorigin="1139,4053" coordsize="4954,156">
              <v:shape style="position:absolute;left:1139;top:4053;width:4954;height:156" coordorigin="1139,4053" coordsize="4954,156" path="m1139,4209l6092,4209,6092,4053,1139,4053,1139,4209xe" filled="true" fillcolor="#d2d2d2" stroked="false">
                <v:path arrowok="t"/>
                <v:fill type="solid"/>
              </v:shape>
            </v:group>
            <v:group style="position:absolute;left:1150;top:4209;width:2;height:393" coordorigin="1150,4209" coordsize="2,393">
              <v:shape style="position:absolute;left:1150;top:4209;width:2;height:393" coordorigin="1150,4209" coordsize="0,393" path="m1150,4209l1150,4602e" filled="false" stroked="true" strokeweight="1.140pt" strokecolor="#d2d2d2">
                <v:path arrowok="t"/>
              </v:shape>
            </v:group>
            <v:group style="position:absolute;left:6081;top:4209;width:2;height:393" coordorigin="6081,4209" coordsize="2,393">
              <v:shape style="position:absolute;left:6081;top:4209;width:2;height:393" coordorigin="6081,4209" coordsize="0,393" path="m6081,4209l6081,4602e" filled="false" stroked="true" strokeweight="1.140pt" strokecolor="#d2d2d2">
                <v:path arrowok="t"/>
              </v:shape>
            </v:group>
            <v:group style="position:absolute;left:1139;top:4602;width:4954;height:156" coordorigin="1139,4602" coordsize="4954,156">
              <v:shape style="position:absolute;left:1139;top:4602;width:4954;height:156" coordorigin="1139,4602" coordsize="4954,156" path="m1139,4758l6092,4758,6092,4602,1139,4602,1139,4758xe" filled="true" fillcolor="#d2d2d2" stroked="false">
                <v:path arrowok="t"/>
                <v:fill type="solid"/>
              </v:shape>
            </v:group>
            <v:group style="position:absolute;left:1162;top:4209;width:4908;height:393" coordorigin="1162,4209" coordsize="4908,393">
              <v:shape style="position:absolute;left:1162;top:4209;width:4908;height:393" coordorigin="1162,4209" coordsize="4908,393" path="m1162,4602l6069,4602,6069,4209,1162,4209,1162,4602xe" filled="true" fillcolor="#d2d2d2" stroked="false">
                <v:path arrowok="t"/>
                <v:fill type="solid"/>
              </v:shape>
            </v:group>
            <v:group style="position:absolute;left:6113;top:4053;width:2;height:705" coordorigin="6113,4053" coordsize="2,705">
              <v:shape style="position:absolute;left:6113;top:4053;width:2;height:705" coordorigin="6113,4053" coordsize="0,705" path="m6113,4053l6113,4758e" filled="false" stroked="true" strokeweight="1.140pt" strokecolor="#ffffff">
                <v:path arrowok="t"/>
              </v:shape>
            </v:group>
            <v:group style="position:absolute;left:6124;top:4053;width:4729;height:353" coordorigin="6124,4053" coordsize="4729,353">
              <v:shape style="position:absolute;left:6124;top:4053;width:4729;height:353" coordorigin="6124,4053" coordsize="4729,353" path="m6124,4406l10853,4406,10853,4053,6124,4053,6124,4406xe" filled="true" fillcolor="#ffffff" stroked="false">
                <v:path arrowok="t"/>
                <v:fill type="solid"/>
              </v:shape>
            </v:group>
            <v:group style="position:absolute;left:6124;top:4406;width:4729;height:352" coordorigin="6124,4406" coordsize="4729,352">
              <v:shape style="position:absolute;left:6124;top:4406;width:4729;height:352" coordorigin="6124,4406" coordsize="4729,352" path="m6124,4758l10853,4758,10853,4406,6124,4406,6124,4758xe" filled="true" fillcolor="#ffffff" stroked="false">
                <v:path arrowok="t"/>
                <v:fill type="solid"/>
              </v:shape>
            </v:group>
            <v:group style="position:absolute;left:1139;top:4048;width:4954;height:2" coordorigin="1139,4048" coordsize="4954,2">
              <v:shape style="position:absolute;left:1139;top:4048;width:4954;height:2" coordorigin="1139,4048" coordsize="4954,0" path="m1139,4048l6092,4048e" filled="false" stroked="true" strokeweight=".48001pt" strokecolor="#000000">
                <v:path arrowok="t"/>
              </v:shape>
            </v:group>
            <v:group style="position:absolute;left:6102;top:4048;width:4776;height:2" coordorigin="6102,4048" coordsize="4776,2">
              <v:shape style="position:absolute;left:6102;top:4048;width:4776;height:2" coordorigin="6102,4048" coordsize="4776,0" path="m6102,4048l10877,4048e" filled="false" stroked="true" strokeweight=".48001pt" strokecolor="#000000">
                <v:path arrowok="t"/>
              </v:shape>
            </v:group>
            <v:group style="position:absolute;left:1134;top:1319;width:2;height:3448" coordorigin="1134,1319" coordsize="2,3448">
              <v:shape style="position:absolute;left:1134;top:1319;width:2;height:3448" coordorigin="1134,1319" coordsize="0,3448" path="m1134,1319l1134,4767e" filled="false" stroked="true" strokeweight=".48pt" strokecolor="#000000">
                <v:path arrowok="t"/>
              </v:shape>
            </v:group>
            <v:group style="position:absolute;left:1139;top:4762;width:4954;height:2" coordorigin="1139,4762" coordsize="4954,2">
              <v:shape style="position:absolute;left:1139;top:4762;width:4954;height:2" coordorigin="1139,4762" coordsize="4954,0" path="m1139,4762l6092,4762e" filled="false" stroked="true" strokeweight=".48001pt" strokecolor="#000000">
                <v:path arrowok="t"/>
              </v:shape>
            </v:group>
            <v:group style="position:absolute;left:6097;top:1721;width:2;height:3046" coordorigin="6097,1721" coordsize="2,3046">
              <v:shape style="position:absolute;left:6097;top:1721;width:2;height:3046" coordorigin="6097,1721" coordsize="0,3046" path="m6097,1721l6097,4767e" filled="false" stroked="true" strokeweight=".47998pt" strokecolor="#000000">
                <v:path arrowok="t"/>
              </v:shape>
            </v:group>
            <v:group style="position:absolute;left:6102;top:4762;width:4776;height:2" coordorigin="6102,4762" coordsize="4776,2">
              <v:shape style="position:absolute;left:6102;top:4762;width:4776;height:2" coordorigin="6102,4762" coordsize="4776,0" path="m6102,4762l10877,4762e" filled="false" stroked="true" strokeweight=".48001pt" strokecolor="#000000">
                <v:path arrowok="t"/>
              </v:shape>
            </v:group>
            <v:group style="position:absolute;left:10882;top:1319;width:2;height:3448" coordorigin="10882,1319" coordsize="2,3448">
              <v:shape style="position:absolute;left:10882;top:1319;width:2;height:3448" coordorigin="10882,1319" coordsize="0,3448" path="m10882,1319l10882,4767e" filled="false" stroked="true" strokeweight=".48004pt" strokecolor="#000000">
                <v:path arrowok="t"/>
              </v:shape>
              <v:shape style="position:absolute;left:1145;top:1324;width:9737;height:398" type="#_x0000_t202" filled="false" stroked="false">
                <v:textbox inset="0,0,0,0">
                  <w:txbxContent>
                    <w:p>
                      <w:pPr>
                        <w:spacing w:before="56"/>
                        <w:ind w:left="0" w:right="11" w:firstLine="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xbxContent>
                </v:textbox>
                <w10:wrap type="none"/>
              </v:shape>
              <v:shape style="position:absolute;left:1145;top:1721;width:4940;height:407" type="#_x0000_t202" filled="false" stroked="false">
                <v:textbox inset="0,0,0,0">
                  <w:txbxContent>
                    <w:p>
                      <w:pPr>
                        <w:spacing w:before="61"/>
                        <w:ind w:left="16" w:right="0" w:firstLine="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xbxContent>
                </v:textbox>
                <w10:wrap type="none"/>
              </v:shape>
              <v:shape style="position:absolute;left:6124;top:183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1145;top:2128;width:4940;height:402" type="#_x0000_t202" filled="false" stroked="false">
                <v:textbox inset="0,0,0,0">
                  <w:txbxContent>
                    <w:p>
                      <w:pPr>
                        <w:spacing w:before="56"/>
                        <w:ind w:left="16" w:right="0" w:firstLine="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xbxContent>
                </v:textbox>
                <w10:wrap type="none"/>
              </v:shape>
              <v:shape style="position:absolute;left:6124;top:224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1145;top:2530;width:4940;height:402" type="#_x0000_t202" filled="false" stroked="false">
                <v:textbox inset="0,0,0,0">
                  <w:txbxContent>
                    <w:p>
                      <w:pPr>
                        <w:spacing w:before="56"/>
                        <w:ind w:left="16" w:right="0" w:firstLine="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xbxContent>
                </v:textbox>
                <w10:wrap type="none"/>
              </v:shape>
              <v:shape style="position:absolute;left:6124;top:264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1145;top:2932;width:4940;height:403" type="#_x0000_t202" filled="false" stroked="false">
                <v:textbox inset="0,0,0,0">
                  <w:txbxContent>
                    <w:p>
                      <w:pPr>
                        <w:spacing w:before="56"/>
                        <w:ind w:left="16" w:right="0" w:firstLine="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xbxContent>
                </v:textbox>
                <w10:wrap type="none"/>
              </v:shape>
              <v:shape style="position:absolute;left:6124;top:3044;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1145;top:3334;width:4940;height:715" type="#_x0000_t202" filled="false" stroked="false">
                <v:textbox inset="0,0,0,0">
                  <w:txbxContent>
                    <w:p>
                      <w:pPr>
                        <w:spacing w:line="319" w:lineRule="auto" w:before="56"/>
                        <w:ind w:left="16" w:right="61" w:firstLine="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 得到了充分保护：</w:t>
                      </w:r>
                    </w:p>
                  </w:txbxContent>
                </v:textbox>
                <w10:wrap type="none"/>
              </v:shape>
              <v:shape style="position:absolute;left:6124;top:360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是</w:t>
                      </w:r>
                    </w:p>
                  </w:txbxContent>
                </v:textbox>
                <w10:wrap type="none"/>
              </v:shape>
              <v:shape style="position:absolute;left:1129;top:1314;width:9758;height:345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spacing w:line="158" w:lineRule="auto" w:before="0"/>
                        <w:ind w:left="32" w:right="80" w:firstLine="4962"/>
                        <w:jc w:val="left"/>
                        <w:rPr>
                          <w:rFonts w:ascii="宋体" w:hAnsi="宋体" w:cs="宋体" w:eastAsia="宋体" w:hint="default"/>
                          <w:sz w:val="18"/>
                          <w:szCs w:val="18"/>
                        </w:rPr>
                      </w:pPr>
                      <w:r>
                        <w:rPr>
                          <w:rFonts w:ascii="宋体" w:hAnsi="宋体" w:cs="宋体" w:eastAsia="宋体" w:hint="default"/>
                          <w:sz w:val="18"/>
                          <w:szCs w:val="18"/>
                        </w:rPr>
                        <w:t>报告期内，公司严格执行现金分红政策，现金分红政策没有 现金分红政策进行调整或变更的，条件及程序是否合规、透明：</w:t>
                      </w:r>
                    </w:p>
                    <w:p>
                      <w:pPr>
                        <w:spacing w:line="166" w:lineRule="exact" w:before="0"/>
                        <w:ind w:left="1133" w:right="0" w:firstLine="0"/>
                        <w:jc w:val="center"/>
                        <w:rPr>
                          <w:rFonts w:ascii="宋体" w:hAnsi="宋体" w:cs="宋体" w:eastAsia="宋体" w:hint="default"/>
                          <w:sz w:val="18"/>
                          <w:szCs w:val="18"/>
                        </w:rPr>
                      </w:pPr>
                      <w:r>
                        <w:rPr>
                          <w:rFonts w:ascii="宋体" w:hAnsi="宋体" w:cs="宋体" w:eastAsia="宋体" w:hint="default"/>
                          <w:sz w:val="18"/>
                          <w:szCs w:val="18"/>
                        </w:rPr>
                        <w:t>发生调整。</w:t>
                      </w:r>
                    </w:p>
                  </w:txbxContent>
                </v:textbox>
                <w10:wrap type="none"/>
              </v:shape>
            </v:group>
            <w10:wrap type="none"/>
          </v:group>
        </w:pict>
      </w:r>
      <w:r>
        <w:rPr>
          <w:spacing w:val="-1"/>
        </w:rPr>
        <w:t>号）等规定的相关内容，公司修订了《公司章程》中的现金分红政策等内容，报经董事会、监事会审议批</w:t>
      </w:r>
      <w:r>
        <w:rPr>
          <w:spacing w:val="-83"/>
        </w:rPr>
        <w:t> </w:t>
      </w:r>
      <w:r>
        <w:rPr>
          <w:spacing w:val="-83"/>
        </w:rPr>
      </w:r>
      <w:r>
        <w:rPr>
          <w:spacing w:val="-1"/>
        </w:rPr>
        <w:t>准，全体独立董事发表独立意见，</w:t>
      </w:r>
      <w:r>
        <w:rPr>
          <w:rFonts w:ascii="宋体" w:hAnsi="宋体" w:cs="宋体" w:eastAsia="宋体" w:hint="default"/>
          <w:spacing w:val="-1"/>
        </w:rPr>
        <w:t>2014</w:t>
      </w:r>
      <w:r>
        <w:rPr>
          <w:spacing w:val="-1"/>
        </w:rPr>
        <w:t>年第二次临时股东大会审议通过后执行。报告期内，公司严格执行</w:t>
      </w:r>
      <w:r>
        <w:rPr>
          <w:spacing w:val="-84"/>
        </w:rPr>
        <w:t> </w:t>
      </w:r>
      <w:r>
        <w:rPr>
          <w:spacing w:val="-84"/>
        </w:rPr>
      </w:r>
      <w:r>
        <w:rPr/>
        <w:t>现金分红政策，现金分红政策没有发生调整。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436" w:lineRule="auto" w:before="35"/>
        <w:ind w:left="574" w:right="0" w:hanging="420"/>
        <w:jc w:val="left"/>
      </w:pPr>
      <w:r>
        <w:rPr/>
        <w:t>公司近</w:t>
      </w:r>
      <w:r>
        <w:rPr>
          <w:spacing w:val="-51"/>
        </w:rPr>
        <w:t> </w:t>
      </w:r>
      <w:r>
        <w:rPr>
          <w:rFonts w:ascii="宋体" w:hAnsi="宋体" w:cs="宋体" w:eastAsia="宋体" w:hint="default"/>
        </w:rPr>
        <w:t>3</w:t>
      </w:r>
      <w:r>
        <w:rPr>
          <w:rFonts w:ascii="宋体" w:hAnsi="宋体" w:cs="宋体" w:eastAsia="宋体" w:hint="default"/>
          <w:spacing w:val="-51"/>
        </w:rPr>
        <w:t> </w:t>
      </w:r>
      <w:r>
        <w:rPr>
          <w:spacing w:val="-3"/>
        </w:rPr>
        <w:t>年（包括本报告期）的普通股股利分配方案（预案）、资本公积金转增股本方案（预案）情况</w:t>
      </w:r>
      <w:r>
        <w:rPr>
          <w:spacing w:val="-95"/>
        </w:rPr>
        <w:t> </w:t>
      </w:r>
      <w:r>
        <w:rPr>
          <w:spacing w:val="-95"/>
        </w:rPr>
      </w:r>
      <w:r>
        <w:rPr/>
        <w:t>公司计划</w:t>
      </w:r>
      <w:r>
        <w:rPr>
          <w:rFonts w:ascii="宋体" w:hAnsi="宋体" w:cs="宋体" w:eastAsia="宋体" w:hint="default"/>
        </w:rPr>
        <w:t>2018</w:t>
      </w:r>
      <w:r>
        <w:rPr/>
        <w:t>年度不派发现金红利，不送红股，不以公积金转增股本。 </w:t>
      </w:r>
      <w:r>
        <w:rPr>
          <w:spacing w:val="-1"/>
        </w:rPr>
        <w:t>公司</w:t>
      </w:r>
      <w:r>
        <w:rPr>
          <w:rFonts w:ascii="宋体" w:hAnsi="宋体" w:cs="宋体" w:eastAsia="宋体" w:hint="default"/>
          <w:spacing w:val="-1"/>
        </w:rPr>
        <w:t>2017</w:t>
      </w:r>
      <w:r>
        <w:rPr>
          <w:spacing w:val="-1"/>
        </w:rPr>
        <w:t>年度的利润分配预案为：以公司</w:t>
      </w:r>
      <w:r>
        <w:rPr>
          <w:rFonts w:ascii="宋体" w:hAnsi="宋体" w:cs="宋体" w:eastAsia="宋体" w:hint="default"/>
          <w:spacing w:val="-1"/>
        </w:rPr>
        <w:t>2018</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21</w:t>
      </w:r>
      <w:r>
        <w:rPr>
          <w:spacing w:val="-1"/>
        </w:rPr>
        <w:t>日股份总数</w:t>
      </w:r>
      <w:r>
        <w:rPr>
          <w:rFonts w:ascii="宋体" w:hAnsi="宋体" w:cs="宋体" w:eastAsia="宋体" w:hint="default"/>
          <w:spacing w:val="-1"/>
        </w:rPr>
        <w:t>2,001,294,740</w:t>
      </w:r>
      <w:r>
        <w:rPr>
          <w:spacing w:val="-1"/>
        </w:rPr>
        <w:t>股为基数，向全体股</w:t>
      </w:r>
    </w:p>
    <w:p>
      <w:pPr>
        <w:pStyle w:val="BodyText"/>
        <w:spacing w:line="420" w:lineRule="auto" w:before="33"/>
        <w:ind w:right="0"/>
        <w:jc w:val="left"/>
      </w:pPr>
      <w:r>
        <w:rPr>
          <w:spacing w:val="-3"/>
        </w:rPr>
        <w:t>东每</w:t>
      </w:r>
      <w:r>
        <w:rPr>
          <w:rFonts w:ascii="宋体" w:hAnsi="宋体" w:cs="宋体" w:eastAsia="宋体" w:hint="default"/>
          <w:spacing w:val="-3"/>
        </w:rPr>
        <w:t>10</w:t>
      </w:r>
      <w:r>
        <w:rPr>
          <w:spacing w:val="-3"/>
        </w:rPr>
        <w:t>股派发现金</w:t>
      </w:r>
      <w:r>
        <w:rPr>
          <w:rFonts w:ascii="宋体" w:hAnsi="宋体" w:cs="宋体" w:eastAsia="宋体" w:hint="default"/>
          <w:spacing w:val="-3"/>
        </w:rPr>
        <w:t>0.15</w:t>
      </w:r>
      <w:r>
        <w:rPr>
          <w:spacing w:val="-3"/>
        </w:rPr>
        <w:t>元（含税）。该方案经</w:t>
      </w:r>
      <w:r>
        <w:rPr>
          <w:rFonts w:ascii="宋体" w:hAnsi="宋体" w:cs="宋体" w:eastAsia="宋体" w:hint="default"/>
          <w:spacing w:val="-3"/>
        </w:rPr>
        <w:t>2018</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21</w:t>
      </w:r>
      <w:r>
        <w:rPr>
          <w:spacing w:val="-3"/>
        </w:rPr>
        <w:t>日召开的</w:t>
      </w:r>
      <w:r>
        <w:rPr>
          <w:rFonts w:ascii="宋体" w:hAnsi="宋体" w:cs="宋体" w:eastAsia="宋体" w:hint="default"/>
          <w:spacing w:val="-3"/>
        </w:rPr>
        <w:t>2017</w:t>
      </w:r>
      <w:r>
        <w:rPr>
          <w:spacing w:val="-3"/>
        </w:rPr>
        <w:t>年度股东大会审议通过后，于</w:t>
      </w:r>
      <w:r>
        <w:rPr>
          <w:rFonts w:ascii="宋体" w:hAnsi="宋体" w:cs="宋体" w:eastAsia="宋体" w:hint="default"/>
          <w:spacing w:val="-3"/>
        </w:rPr>
        <w:t>2018</w:t>
      </w:r>
      <w:r>
        <w:rPr>
          <w:rFonts w:ascii="宋体" w:hAnsi="宋体" w:cs="宋体" w:eastAsia="宋体" w:hint="default"/>
          <w:spacing w:val="-68"/>
        </w:rPr>
        <w:t> </w:t>
      </w:r>
      <w:r>
        <w:rPr/>
        <w:t>年</w:t>
      </w:r>
      <w:r>
        <w:rPr>
          <w:rFonts w:ascii="宋体" w:hAnsi="宋体" w:cs="宋体" w:eastAsia="宋体" w:hint="default"/>
        </w:rPr>
        <w:t>7</w:t>
      </w:r>
      <w:r>
        <w:rPr/>
        <w:t>月</w:t>
      </w:r>
      <w:r>
        <w:rPr>
          <w:rFonts w:ascii="宋体" w:hAnsi="宋体" w:cs="宋体" w:eastAsia="宋体" w:hint="default"/>
        </w:rPr>
        <w:t>17</w:t>
      </w:r>
      <w:r>
        <w:rPr/>
        <w:t>日实施完毕，充分保护了中小投资者的合法权益，符合《公司章程》的规定。</w:t>
      </w:r>
    </w:p>
    <w:p>
      <w:pPr>
        <w:pStyle w:val="BodyText"/>
        <w:spacing w:line="420" w:lineRule="auto" w:before="47"/>
        <w:ind w:right="1130" w:firstLine="420"/>
        <w:jc w:val="both"/>
      </w:pPr>
      <w:r>
        <w:rPr>
          <w:spacing w:val="-1"/>
        </w:rPr>
        <w:t>公司</w:t>
      </w:r>
      <w:r>
        <w:rPr>
          <w:rFonts w:ascii="宋体" w:hAnsi="宋体" w:cs="宋体" w:eastAsia="宋体" w:hint="default"/>
          <w:spacing w:val="-1"/>
        </w:rPr>
        <w:t>2016</w:t>
      </w:r>
      <w:r>
        <w:rPr>
          <w:spacing w:val="-1"/>
        </w:rPr>
        <w:t>年度的利润分配预案为：以公司</w:t>
      </w:r>
      <w:r>
        <w:rPr>
          <w:rFonts w:ascii="宋体" w:hAnsi="宋体" w:cs="宋体" w:eastAsia="宋体" w:hint="default"/>
          <w:spacing w:val="-1"/>
        </w:rPr>
        <w:t>2017</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23</w:t>
      </w:r>
      <w:r>
        <w:rPr>
          <w:spacing w:val="-1"/>
        </w:rPr>
        <w:t>日股份总数</w:t>
      </w:r>
      <w:r>
        <w:rPr>
          <w:rFonts w:ascii="宋体" w:hAnsi="宋体" w:cs="宋体" w:eastAsia="宋体" w:hint="default"/>
          <w:spacing w:val="-1"/>
        </w:rPr>
        <w:t>2,017,365,965</w:t>
      </w:r>
      <w:r>
        <w:rPr>
          <w:spacing w:val="-1"/>
        </w:rPr>
        <w:t>股为基数，向全体股</w:t>
      </w:r>
      <w:r>
        <w:rPr/>
        <w:t> </w:t>
      </w:r>
      <w:r>
        <w:rPr>
          <w:spacing w:val="-3"/>
        </w:rPr>
        <w:t>东每</w:t>
      </w:r>
      <w:r>
        <w:rPr>
          <w:rFonts w:ascii="宋体" w:hAnsi="宋体" w:cs="宋体" w:eastAsia="宋体" w:hint="default"/>
          <w:spacing w:val="-3"/>
        </w:rPr>
        <w:t>10</w:t>
      </w:r>
      <w:r>
        <w:rPr>
          <w:spacing w:val="-3"/>
        </w:rPr>
        <w:t>股派发现金</w:t>
      </w:r>
      <w:r>
        <w:rPr>
          <w:rFonts w:ascii="宋体" w:hAnsi="宋体" w:cs="宋体" w:eastAsia="宋体" w:hint="default"/>
          <w:spacing w:val="-3"/>
        </w:rPr>
        <w:t>0.45</w:t>
      </w:r>
      <w:r>
        <w:rPr>
          <w:spacing w:val="-3"/>
        </w:rPr>
        <w:t>元（含税）。该方案经</w:t>
      </w:r>
      <w:r>
        <w:rPr>
          <w:rFonts w:ascii="宋体" w:hAnsi="宋体" w:cs="宋体" w:eastAsia="宋体" w:hint="default"/>
          <w:spacing w:val="-3"/>
        </w:rPr>
        <w:t>2017</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23</w:t>
      </w:r>
      <w:r>
        <w:rPr>
          <w:spacing w:val="-3"/>
        </w:rPr>
        <w:t>日召开的</w:t>
      </w:r>
      <w:r>
        <w:rPr>
          <w:rFonts w:ascii="宋体" w:hAnsi="宋体" w:cs="宋体" w:eastAsia="宋体" w:hint="default"/>
          <w:spacing w:val="-3"/>
        </w:rPr>
        <w:t>2016</w:t>
      </w:r>
      <w:r>
        <w:rPr>
          <w:spacing w:val="-3"/>
        </w:rPr>
        <w:t>年度股东大会审议通过后，于</w:t>
      </w:r>
      <w:r>
        <w:rPr>
          <w:rFonts w:ascii="宋体" w:hAnsi="宋体" w:cs="宋体" w:eastAsia="宋体" w:hint="default"/>
          <w:spacing w:val="-3"/>
        </w:rPr>
        <w:t>2017</w:t>
      </w:r>
      <w:r>
        <w:rPr>
          <w:rFonts w:ascii="宋体" w:hAnsi="宋体" w:cs="宋体" w:eastAsia="宋体" w:hint="default"/>
          <w:spacing w:val="-68"/>
        </w:rPr>
        <w:t> </w:t>
      </w:r>
      <w:r>
        <w:rPr/>
        <w:t>年</w:t>
      </w:r>
      <w:r>
        <w:rPr>
          <w:rFonts w:ascii="宋体" w:hAnsi="宋体" w:cs="宋体" w:eastAsia="宋体" w:hint="default"/>
        </w:rPr>
        <w:t>8</w:t>
      </w:r>
      <w:r>
        <w:rPr/>
        <w:t>月</w:t>
      </w:r>
      <w:r>
        <w:rPr>
          <w:rFonts w:ascii="宋体" w:hAnsi="宋体" w:cs="宋体" w:eastAsia="宋体" w:hint="default"/>
        </w:rPr>
        <w:t>9</w:t>
      </w:r>
      <w:r>
        <w:rPr/>
        <w:t>日实施完毕，充分保护了中小投资者的合法权益，符合《公司章程》的规定。</w:t>
      </w:r>
    </w:p>
    <w:p>
      <w:pPr>
        <w:spacing w:after="0" w:line="420"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79" w:top="1100" w:bottom="1160" w:left="980" w:right="0"/>
        </w:sectPr>
      </w:pPr>
    </w:p>
    <w:p>
      <w:pPr>
        <w:spacing w:line="240" w:lineRule="auto" w:before="1"/>
        <w:rPr>
          <w:rFonts w:ascii="宋体" w:hAnsi="宋体" w:cs="宋体" w:eastAsia="宋体" w:hint="default"/>
          <w:sz w:val="15"/>
          <w:szCs w:val="15"/>
        </w:rPr>
      </w:pPr>
    </w:p>
    <w:p>
      <w:pPr>
        <w:pStyle w:val="BodyText"/>
        <w:spacing w:line="240" w:lineRule="auto"/>
        <w:ind w:right="-20"/>
        <w:jc w:val="left"/>
      </w:pPr>
      <w:r>
        <w:rPr/>
        <w:t>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19"/>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985" w:space="3935"/>
            <w:col w:w="201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83"/>
        <w:gridCol w:w="1274"/>
        <w:gridCol w:w="1702"/>
        <w:gridCol w:w="1195"/>
        <w:gridCol w:w="931"/>
        <w:gridCol w:w="1276"/>
        <w:gridCol w:w="1381"/>
        <w:gridCol w:w="1184"/>
      </w:tblGrid>
      <w:tr>
        <w:trPr>
          <w:trHeight w:val="161" w:hRule="exact"/>
        </w:trPr>
        <w:tc>
          <w:tcPr>
            <w:tcW w:w="983"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702"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1"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2" w:right="41"/>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46" w:hRule="exact"/>
        </w:trPr>
        <w:tc>
          <w:tcPr>
            <w:tcW w:w="98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931"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92" w:right="93"/>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381"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479" w:hRule="exact"/>
        </w:trPr>
        <w:tc>
          <w:tcPr>
            <w:tcW w:w="98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1"/>
              <w:ind w:left="34" w:right="35"/>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p>
            <w:pPr>
              <w:pStyle w:val="TableParagraph"/>
              <w:spacing w:line="319" w:lineRule="auto" w:before="55"/>
              <w:ind w:left="22" w:right="23"/>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pacing w:val="-11"/>
                <w:sz w:val="18"/>
                <w:szCs w:val="18"/>
              </w:rPr>
              <w:t>年、</w:t>
            </w:r>
            <w:r>
              <w:rPr>
                <w:rFonts w:ascii="宋体" w:hAnsi="宋体" w:cs="宋体" w:eastAsia="宋体" w:hint="default"/>
                <w:spacing w:val="-11"/>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年为 调整后）</w:t>
            </w:r>
          </w:p>
        </w:tc>
        <w:tc>
          <w:tcPr>
            <w:tcW w:w="1195" w:type="dxa"/>
            <w:vMerge/>
            <w:tcBorders>
              <w:left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22" w:right="23" w:hanging="2"/>
              <w:jc w:val="center"/>
              <w:rPr>
                <w:rFonts w:ascii="宋体" w:hAnsi="宋体" w:cs="宋体" w:eastAsia="宋体" w:hint="default"/>
                <w:sz w:val="18"/>
                <w:szCs w:val="18"/>
              </w:rPr>
            </w:pPr>
            <w:r>
              <w:rPr>
                <w:rFonts w:ascii="宋体" w:hAnsi="宋体" w:cs="宋体" w:eastAsia="宋体" w:hint="default"/>
                <w:sz w:val="18"/>
                <w:szCs w:val="18"/>
              </w:rPr>
              <w:t>以其他方 </w:t>
            </w:r>
            <w:r>
              <w:rPr>
                <w:rFonts w:ascii="宋体" w:hAnsi="宋体" w:cs="宋体" w:eastAsia="宋体" w:hint="default"/>
                <w:spacing w:val="-6"/>
                <w:sz w:val="18"/>
                <w:szCs w:val="18"/>
              </w:rPr>
              <w:t>式（如回购</w:t>
            </w:r>
            <w:r>
              <w:rPr>
                <w:rFonts w:ascii="宋体" w:hAnsi="宋体" w:cs="宋体" w:eastAsia="宋体" w:hint="default"/>
                <w:sz w:val="18"/>
                <w:szCs w:val="18"/>
              </w:rPr>
              <w:t> </w:t>
            </w:r>
            <w:r>
              <w:rPr>
                <w:rFonts w:ascii="宋体" w:hAnsi="宋体" w:cs="宋体" w:eastAsia="宋体" w:hint="default"/>
                <w:spacing w:val="-6"/>
                <w:sz w:val="18"/>
                <w:szCs w:val="18"/>
              </w:rPr>
              <w:t>股份）现金</w:t>
            </w:r>
            <w:r>
              <w:rPr>
                <w:rFonts w:ascii="宋体" w:hAnsi="宋体" w:cs="宋体" w:eastAsia="宋体" w:hint="default"/>
                <w:sz w:val="18"/>
                <w:szCs w:val="18"/>
              </w:rPr>
              <w:t> 分红的金 额</w:t>
            </w:r>
          </w:p>
        </w:tc>
        <w:tc>
          <w:tcPr>
            <w:tcW w:w="1276" w:type="dxa"/>
            <w:vMerge/>
            <w:tcBorders>
              <w:left w:val="single" w:sz="4" w:space="0" w:color="000000"/>
              <w:right w:val="single" w:sz="4" w:space="0" w:color="000000"/>
            </w:tcBorders>
            <w:shd w:val="clear" w:color="auto" w:fill="D2D2D2"/>
          </w:tcPr>
          <w:p>
            <w:pPr/>
          </w:p>
        </w:tc>
        <w:tc>
          <w:tcPr>
            <w:tcW w:w="1381"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983"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702"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40" w:lineRule="auto" w:before="76"/>
              <w:ind w:left="55" w:right="0"/>
              <w:jc w:val="left"/>
              <w:rPr>
                <w:rFonts w:ascii="宋体" w:hAnsi="宋体" w:cs="宋体" w:eastAsia="宋体" w:hint="default"/>
                <w:sz w:val="18"/>
                <w:szCs w:val="18"/>
              </w:rPr>
            </w:pPr>
            <w:r>
              <w:rPr>
                <w:rFonts w:ascii="宋体" w:hAnsi="宋体" w:cs="宋体" w:eastAsia="宋体" w:hint="default"/>
                <w:sz w:val="18"/>
                <w:szCs w:val="18"/>
              </w:rPr>
              <w:t>（含其他方式）</w:t>
            </w: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分红年度</w:t>
            </w:r>
          </w:p>
        </w:tc>
        <w:tc>
          <w:tcPr>
            <w:tcW w:w="1274"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381"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983" w:type="dxa"/>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381"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478" w:hRule="exact"/>
        </w:trPr>
        <w:tc>
          <w:tcPr>
            <w:tcW w:w="983"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381"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46" w:hRule="exact"/>
        </w:trPr>
        <w:tc>
          <w:tcPr>
            <w:tcW w:w="98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702"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381"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983"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1"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-4,990,610,136.34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0.00%</w:t>
            </w:r>
          </w:p>
        </w:tc>
      </w:tr>
      <w:tr>
        <w:trPr>
          <w:trHeight w:val="402"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30,019,421.10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277,104,888.34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30,019,421.10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10.83%</w:t>
            </w:r>
          </w:p>
        </w:tc>
      </w:tr>
      <w:tr>
        <w:trPr>
          <w:trHeight w:val="402"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90,781,456.60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858,596,572.73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90,781,456.60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10.57%</w:t>
            </w:r>
          </w:p>
        </w:tc>
      </w:tr>
    </w:tbl>
    <w:p>
      <w:pPr>
        <w:spacing w:line="240" w:lineRule="auto" w:before="12"/>
        <w:rPr>
          <w:rFonts w:ascii="宋体" w:hAnsi="宋体" w:cs="宋体" w:eastAsia="宋体" w:hint="default"/>
          <w:sz w:val="10"/>
          <w:szCs w:val="10"/>
        </w:rPr>
      </w:pPr>
    </w:p>
    <w:p>
      <w:pPr>
        <w:pStyle w:val="BodyText"/>
        <w:spacing w:line="240" w:lineRule="auto" w:before="35"/>
        <w:ind w:right="0"/>
        <w:jc w:val="left"/>
      </w:pPr>
      <w:r>
        <w:rPr/>
        <w:t>公司报告期内盈利且母公司可供普通股股东分配利润为正但未提出普通股现金红利分配预案</w:t>
      </w:r>
    </w:p>
    <w:p>
      <w:pPr>
        <w:spacing w:line="240" w:lineRule="auto" w:before="10"/>
        <w:rPr>
          <w:rFonts w:ascii="宋体" w:hAnsi="宋体" w:cs="宋体" w:eastAsia="宋体" w:hint="default"/>
          <w:sz w:val="18"/>
          <w:szCs w:val="18"/>
        </w:rPr>
      </w:pPr>
    </w:p>
    <w:p>
      <w:pPr>
        <w:pStyle w:val="BodyText"/>
        <w:spacing w:line="240" w:lineRule="auto"/>
        <w:ind w:right="0"/>
        <w:jc w:val="left"/>
      </w:pPr>
      <w:r>
        <w:rPr/>
        <w:t>□ 适用 √</w:t>
      </w:r>
      <w:r>
        <w:rPr>
          <w:spacing w:val="-1"/>
        </w:rPr>
        <w:t> </w:t>
      </w:r>
      <w:r>
        <w:rPr/>
        <w:t>不适用</w:t>
      </w:r>
    </w:p>
    <w:p>
      <w:pPr>
        <w:spacing w:line="240" w:lineRule="auto" w:before="1"/>
        <w:rPr>
          <w:rFonts w:ascii="宋体" w:hAnsi="宋体" w:cs="宋体" w:eastAsia="宋体" w:hint="default"/>
          <w:sz w:val="25"/>
          <w:szCs w:val="25"/>
        </w:rPr>
      </w:pPr>
    </w:p>
    <w:p>
      <w:pPr>
        <w:pStyle w:val="Heading2"/>
        <w:spacing w:line="240" w:lineRule="auto" w:before="0"/>
        <w:ind w:right="0"/>
        <w:jc w:val="left"/>
        <w:rPr>
          <w:b w:val="0"/>
          <w:bCs w:val="0"/>
        </w:rPr>
      </w:pPr>
      <w:bookmarkStart w:name="二、本报告期利润分配及资本公积金转增股本情况" w:id="63"/>
      <w:bookmarkEnd w:id="63"/>
      <w:r>
        <w:rPr>
          <w:b w:val="0"/>
          <w:bCs w:val="0"/>
        </w:rPr>
      </w:r>
      <w:r>
        <w:rPr/>
        <w:t>二、本报告期利润分配及资本公积金转增股本情况</w:t>
      </w:r>
      <w:r>
        <w:rPr>
          <w:b w:val="0"/>
          <w:bCs w:val="0"/>
        </w:rPr>
      </w:r>
    </w:p>
    <w:p>
      <w:pPr>
        <w:spacing w:line="240" w:lineRule="auto" w:before="0"/>
        <w:rPr>
          <w:rFonts w:ascii="宋体" w:hAnsi="宋体" w:cs="宋体" w:eastAsia="宋体" w:hint="default"/>
          <w:b/>
          <w:bCs/>
          <w:sz w:val="24"/>
          <w:szCs w:val="24"/>
        </w:rPr>
      </w:pPr>
    </w:p>
    <w:p>
      <w:pPr>
        <w:pStyle w:val="BodyText"/>
        <w:spacing w:line="453" w:lineRule="auto" w:before="161"/>
        <w:ind w:right="4662"/>
        <w:jc w:val="left"/>
      </w:pPr>
      <w:r>
        <w:rPr/>
        <w:t>□ 适用 √</w:t>
      </w:r>
      <w:r>
        <w:rPr>
          <w:spacing w:val="-1"/>
        </w:rPr>
        <w:t> </w:t>
      </w:r>
      <w:r>
        <w:rPr/>
        <w:t>不适用</w:t>
      </w:r>
      <w:r>
        <w:rPr/>
        <w:t> 公司计划年度不派发现金红利，不送红股，不以公积金转增股本。</w:t>
      </w:r>
    </w:p>
    <w:p>
      <w:pPr>
        <w:spacing w:after="0" w:line="453" w:lineRule="auto"/>
        <w:jc w:val="left"/>
        <w:sectPr>
          <w:type w:val="continuous"/>
          <w:pgSz w:w="11910" w:h="16840"/>
          <w:pgMar w:top="1060" w:bottom="1160" w:left="980" w:right="0"/>
        </w:sectPr>
      </w:pPr>
    </w:p>
    <w:p>
      <w:pPr>
        <w:pStyle w:val="Heading2"/>
        <w:spacing w:line="240" w:lineRule="auto" w:before="30"/>
        <w:ind w:left="540" w:right="0"/>
        <w:jc w:val="left"/>
        <w:rPr>
          <w:b w:val="0"/>
          <w:bCs w:val="0"/>
        </w:rPr>
      </w:pPr>
      <w:r>
        <w:rPr/>
        <w:pict>
          <v:group style="position:absolute;margin-left:70.5pt;margin-top:2.255627pt;width:701pt;height:.1pt;mso-position-horizontal-relative:page;mso-position-vertical-relative:paragraph;z-index:-1492264"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三、承诺事项履行情况" w:id="64"/>
      <w:bookmarkEnd w:id="64"/>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540" w:right="0"/>
        <w:jc w:val="left"/>
        <w:rPr>
          <w:b w:val="0"/>
          <w:bCs w:val="0"/>
        </w:rPr>
      </w:pPr>
      <w:bookmarkStart w:name="1、公司实际控制人、股东、关联方、收购人以及公司等承诺相关方在报告期内履行完毕及" w:id="65"/>
      <w:bookmarkEnd w:id="65"/>
      <w:r>
        <w:rPr>
          <w:b w:val="0"/>
          <w:bCs w:val="0"/>
        </w:rPr>
      </w:r>
      <w:r>
        <w:rPr>
          <w:rFonts w:ascii="宋体" w:hAnsi="宋体" w:cs="宋体" w:eastAsia="宋体"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left="540" w:right="0"/>
        <w:jc w:val="left"/>
      </w:pPr>
      <w:r>
        <w:rPr/>
        <w:t>√ 适用 □</w:t>
      </w:r>
      <w:r>
        <w:rPr>
          <w:spacing w:val="-2"/>
        </w:rPr>
        <w:t> </w:t>
      </w:r>
      <w:r>
        <w:rPr/>
        <w:t>不适用</w:t>
      </w:r>
    </w:p>
    <w:p>
      <w:pPr>
        <w:spacing w:line="240" w:lineRule="auto" w:before="6"/>
        <w:rPr>
          <w:rFonts w:ascii="宋体" w:hAnsi="宋体" w:cs="宋体" w:eastAsia="宋体" w:hint="default"/>
          <w:sz w:val="9"/>
          <w:szCs w:val="9"/>
        </w:rPr>
      </w:pPr>
    </w:p>
    <w:p>
      <w:pPr>
        <w:tabs>
          <w:tab w:pos="2821" w:val="left" w:leader="none"/>
          <w:tab w:pos="4147" w:val="left" w:leader="none"/>
          <w:tab w:pos="6344" w:val="left" w:leader="none"/>
          <w:tab w:pos="8755" w:val="left" w:leader="none"/>
          <w:tab w:pos="10457" w:val="left" w:leader="none"/>
          <w:tab w:pos="12867" w:val="left" w:leader="none"/>
        </w:tabs>
        <w:spacing w:before="44"/>
        <w:ind w:left="817" w:right="0" w:firstLine="0"/>
        <w:jc w:val="left"/>
        <w:rPr>
          <w:rFonts w:ascii="宋体" w:hAnsi="宋体" w:cs="宋体" w:eastAsia="宋体" w:hint="default"/>
          <w:sz w:val="18"/>
          <w:szCs w:val="18"/>
        </w:rPr>
      </w:pPr>
      <w:r>
        <w:rPr/>
        <w:pict>
          <v:group style="position:absolute;margin-left:50.459999pt;margin-top:-1.148309pt;width:730.65pt;height:391.4pt;mso-position-horizontal-relative:page;mso-position-vertical-relative:paragraph;z-index:-1492240" coordorigin="1009,-23" coordsize="14613,7828">
            <v:group style="position:absolute;left:1030;top:-7;width:2;height:392" coordorigin="1030,-7" coordsize="2,392">
              <v:shape style="position:absolute;left:1030;top:-7;width:2;height:392" coordorigin="1030,-7" coordsize="0,392" path="m1030,-7l1030,384e" filled="false" stroked="true" strokeweight="1.140pt" strokecolor="#d2d2d2">
                <v:path arrowok="t"/>
              </v:shape>
            </v:group>
            <v:group style="position:absolute;left:3125;top:-7;width:2;height:392" coordorigin="3125,-7" coordsize="2,392">
              <v:shape style="position:absolute;left:3125;top:-7;width:2;height:392" coordorigin="3125,-7" coordsize="0,392" path="m3125,-7l3125,384e" filled="false" stroked="true" strokeweight="1.140pt" strokecolor="#d2d2d2">
                <v:path arrowok="t"/>
              </v:shape>
            </v:group>
            <v:group style="position:absolute;left:1042;top:-7;width:2072;height:392" coordorigin="1042,-7" coordsize="2072,392">
              <v:shape style="position:absolute;left:1042;top:-7;width:2072;height:392" coordorigin="1042,-7" coordsize="2072,392" path="m1042,384l3113,384,3113,-7,1042,-7,1042,384xe" filled="true" fillcolor="#d2d2d2" stroked="false">
                <v:path arrowok="t"/>
                <v:fill type="solid"/>
              </v:shape>
            </v:group>
            <v:group style="position:absolute;left:3158;top:-7;width:2;height:392" coordorigin="3158,-7" coordsize="2,392">
              <v:shape style="position:absolute;left:3158;top:-7;width:2;height:392" coordorigin="3158,-7" coordsize="0,392" path="m3158,-7l3158,384e" filled="false" stroked="true" strokeweight="1.140pt" strokecolor="#d2d2d2">
                <v:path arrowok="t"/>
              </v:shape>
            </v:group>
            <v:group style="position:absolute;left:4825;top:-7;width:2;height:392" coordorigin="4825,-7" coordsize="2,392">
              <v:shape style="position:absolute;left:4825;top:-7;width:2;height:392" coordorigin="4825,-7" coordsize="0,392" path="m4825,-7l4825,384e" filled="false" stroked="true" strokeweight="1.140pt" strokecolor="#d2d2d2">
                <v:path arrowok="t"/>
              </v:shape>
            </v:group>
            <v:group style="position:absolute;left:3170;top:-7;width:1644;height:392" coordorigin="3170,-7" coordsize="1644,392">
              <v:shape style="position:absolute;left:3170;top:-7;width:1644;height:392" coordorigin="3170,-7" coordsize="1644,392" path="m3170,384l4814,384,4814,-7,3170,-7,3170,384xe" filled="true" fillcolor="#d2d2d2" stroked="false">
                <v:path arrowok="t"/>
                <v:fill type="solid"/>
              </v:shape>
            </v:group>
            <v:group style="position:absolute;left:4857;top:-7;width:2;height:392" coordorigin="4857,-7" coordsize="2,392">
              <v:shape style="position:absolute;left:4857;top:-7;width:2;height:392" coordorigin="4857,-7" coordsize="0,392" path="m4857,-7l4857,384e" filled="false" stroked="true" strokeweight="1.140pt" strokecolor="#d2d2d2">
                <v:path arrowok="t"/>
              </v:shape>
            </v:group>
            <v:group style="position:absolute;left:5959;top:-7;width:2;height:392" coordorigin="5959,-7" coordsize="2,392">
              <v:shape style="position:absolute;left:5959;top:-7;width:2;height:392" coordorigin="5959,-7" coordsize="0,392" path="m5959,-7l5959,384e" filled="false" stroked="true" strokeweight="1.140pt" strokecolor="#d2d2d2">
                <v:path arrowok="t"/>
              </v:shape>
            </v:group>
            <v:group style="position:absolute;left:4869;top:-7;width:1079;height:392" coordorigin="4869,-7" coordsize="1079,392">
              <v:shape style="position:absolute;left:4869;top:-7;width:1079;height:392" coordorigin="4869,-7" coordsize="1079,392" path="m4869,384l5948,384,5948,-7,4869,-7,4869,384xe" filled="true" fillcolor="#d2d2d2" stroked="false">
                <v:path arrowok="t"/>
                <v:fill type="solid"/>
              </v:shape>
            </v:group>
            <v:group style="position:absolute;left:5991;top:-7;width:2;height:392" coordorigin="5991,-7" coordsize="2,392">
              <v:shape style="position:absolute;left:5991;top:-7;width:2;height:392" coordorigin="5991,-7" coordsize="0,392" path="m5991,-7l5991,384e" filled="false" stroked="true" strokeweight="1.140pt" strokecolor="#d2d2d2">
                <v:path arrowok="t"/>
              </v:shape>
            </v:group>
            <v:group style="position:absolute;left:9220;top:-7;width:2;height:392" coordorigin="9220,-7" coordsize="2,392">
              <v:shape style="position:absolute;left:9220;top:-7;width:2;height:392" coordorigin="9220,-7" coordsize="0,392" path="m9220,-7l9220,384e" filled="false" stroked="true" strokeweight="1.2pt" strokecolor="#d2d2d2">
                <v:path arrowok="t"/>
              </v:shape>
            </v:group>
            <v:group style="position:absolute;left:6003;top:-7;width:3206;height:392" coordorigin="6003,-7" coordsize="3206,392">
              <v:shape style="position:absolute;left:6003;top:-7;width:3206;height:392" coordorigin="6003,-7" coordsize="3206,392" path="m6003,384l9208,384,9208,-7,6003,-7,6003,384xe" filled="true" fillcolor="#d2d2d2" stroked="false">
                <v:path arrowok="t"/>
                <v:fill type="solid"/>
              </v:shape>
            </v:group>
            <v:group style="position:absolute;left:9253;top:-7;width:2;height:392" coordorigin="9253,-7" coordsize="2,392">
              <v:shape style="position:absolute;left:9253;top:-7;width:2;height:392" coordorigin="9253,-7" coordsize="0,392" path="m9253,-7l9253,384e" filled="false" stroked="true" strokeweight="1.140pt" strokecolor="#d2d2d2">
                <v:path arrowok="t"/>
              </v:shape>
            </v:group>
            <v:group style="position:absolute;left:10780;top:-7;width:2;height:392" coordorigin="10780,-7" coordsize="2,392">
              <v:shape style="position:absolute;left:10780;top:-7;width:2;height:392" coordorigin="10780,-7" coordsize="0,392" path="m10780,-7l10780,384e" filled="false" stroked="true" strokeweight="1.2pt" strokecolor="#d2d2d2">
                <v:path arrowok="t"/>
              </v:shape>
            </v:group>
            <v:group style="position:absolute;left:9265;top:-7;width:1504;height:392" coordorigin="9265,-7" coordsize="1504,392">
              <v:shape style="position:absolute;left:9265;top:-7;width:1504;height:392" coordorigin="9265,-7" coordsize="1504,392" path="m9265,384l10768,384,10768,-7,9265,-7,9265,384xe" filled="true" fillcolor="#d2d2d2" stroked="false">
                <v:path arrowok="t"/>
                <v:fill type="solid"/>
              </v:shape>
            </v:group>
            <v:group style="position:absolute;left:10813;top:-7;width:2;height:392" coordorigin="10813,-7" coordsize="2,392">
              <v:shape style="position:absolute;left:10813;top:-7;width:2;height:392" coordorigin="10813,-7" coordsize="0,392" path="m10813,-7l10813,384e" filled="false" stroked="true" strokeweight="1.140pt" strokecolor="#d2d2d2">
                <v:path arrowok="t"/>
              </v:shape>
            </v:group>
            <v:group style="position:absolute;left:12622;top:-7;width:2;height:392" coordorigin="12622,-7" coordsize="2,392">
              <v:shape style="position:absolute;left:12622;top:-7;width:2;height:392" coordorigin="12622,-7" coordsize="0,392" path="m12622,-7l12622,384e" filled="false" stroked="true" strokeweight="1.2pt" strokecolor="#d2d2d2">
                <v:path arrowok="t"/>
              </v:shape>
            </v:group>
            <v:group style="position:absolute;left:10825;top:-7;width:1786;height:392" coordorigin="10825,-7" coordsize="1786,392">
              <v:shape style="position:absolute;left:10825;top:-7;width:1786;height:392" coordorigin="10825,-7" coordsize="1786,392" path="m10825,384l12610,384,12610,-7,10825,-7,10825,384xe" filled="true" fillcolor="#d2d2d2" stroked="false">
                <v:path arrowok="t"/>
                <v:fill type="solid"/>
              </v:shape>
            </v:group>
            <v:group style="position:absolute;left:12655;top:-7;width:2;height:392" coordorigin="12655,-7" coordsize="2,392">
              <v:shape style="position:absolute;left:12655;top:-7;width:2;height:392" coordorigin="12655,-7" coordsize="0,392" path="m12655,-7l12655,384e" filled="false" stroked="true" strokeweight="1.140pt" strokecolor="#d2d2d2">
                <v:path arrowok="t"/>
              </v:shape>
            </v:group>
            <v:group style="position:absolute;left:15599;top:-7;width:2;height:392" coordorigin="15599,-7" coordsize="2,392">
              <v:shape style="position:absolute;left:15599;top:-7;width:2;height:392" coordorigin="15599,-7" coordsize="0,392" path="m15599,-7l15599,384e" filled="false" stroked="true" strokeweight="1.140pt" strokecolor="#d2d2d2">
                <v:path arrowok="t"/>
              </v:shape>
            </v:group>
            <v:group style="position:absolute;left:12667;top:-7;width:2922;height:392" coordorigin="12667,-7" coordsize="2922,392">
              <v:shape style="position:absolute;left:12667;top:-7;width:2922;height:392" coordorigin="12667,-7" coordsize="2922,392" path="m12667,384l15588,384,15588,-7,12667,-7,12667,384xe" filled="true" fillcolor="#d2d2d2" stroked="false">
                <v:path arrowok="t"/>
                <v:fill type="solid"/>
              </v:shape>
            </v:group>
            <v:group style="position:absolute;left:1019;top:-13;width:2119;height:2" coordorigin="1019,-13" coordsize="2119,2">
              <v:shape style="position:absolute;left:1019;top:-13;width:2119;height:2" coordorigin="1019,-13" coordsize="2119,0" path="m1019,-13l3137,-13e" filled="false" stroked="true" strokeweight=".48pt" strokecolor="#000000">
                <v:path arrowok="t"/>
              </v:shape>
            </v:group>
            <v:group style="position:absolute;left:3147;top:-13;width:1690;height:2" coordorigin="3147,-13" coordsize="1690,2">
              <v:shape style="position:absolute;left:3147;top:-13;width:1690;height:2" coordorigin="3147,-13" coordsize="1690,0" path="m3147,-13l4836,-13e" filled="false" stroked="true" strokeweight=".48pt" strokecolor="#000000">
                <v:path arrowok="t"/>
              </v:shape>
            </v:group>
            <v:group style="position:absolute;left:4846;top:-13;width:1125;height:2" coordorigin="4846,-13" coordsize="1125,2">
              <v:shape style="position:absolute;left:4846;top:-13;width:1125;height:2" coordorigin="4846,-13" coordsize="1125,0" path="m4846,-13l5970,-13e" filled="false" stroked="true" strokeweight=".48pt" strokecolor="#000000">
                <v:path arrowok="t"/>
              </v:shape>
            </v:group>
            <v:group style="position:absolute;left:5980;top:-13;width:3253;height:2" coordorigin="5980,-13" coordsize="3253,2">
              <v:shape style="position:absolute;left:5980;top:-13;width:3253;height:2" coordorigin="5980,-13" coordsize="3253,0" path="m5980,-13l9232,-13e" filled="false" stroked="true" strokeweight=".48pt" strokecolor="#000000">
                <v:path arrowok="t"/>
              </v:shape>
            </v:group>
            <v:group style="position:absolute;left:9242;top:-13;width:1551;height:2" coordorigin="9242,-13" coordsize="1551,2">
              <v:shape style="position:absolute;left:9242;top:-13;width:1551;height:2" coordorigin="9242,-13" coordsize="1551,0" path="m9242,-13l10792,-13e" filled="false" stroked="true" strokeweight=".48pt" strokecolor="#000000">
                <v:path arrowok="t"/>
              </v:shape>
            </v:group>
            <v:group style="position:absolute;left:10802;top:-13;width:1833;height:2" coordorigin="10802,-13" coordsize="1833,2">
              <v:shape style="position:absolute;left:10802;top:-13;width:1833;height:2" coordorigin="10802,-13" coordsize="1833,0" path="m10802,-13l12634,-13e" filled="false" stroked="true" strokeweight=".48pt" strokecolor="#000000">
                <v:path arrowok="t"/>
              </v:shape>
            </v:group>
            <v:group style="position:absolute;left:12644;top:-13;width:2968;height:2" coordorigin="12644,-13" coordsize="2968,2">
              <v:shape style="position:absolute;left:12644;top:-13;width:2968;height:2" coordorigin="12644,-13" coordsize="2968,0" path="m12644,-13l15612,-13e" filled="false" stroked="true" strokeweight=".48pt" strokecolor="#000000">
                <v:path arrowok="t"/>
              </v:shape>
            </v:group>
            <v:group style="position:absolute;left:1030;top:395;width:2;height:392" coordorigin="1030,395" coordsize="2,392">
              <v:shape style="position:absolute;left:1030;top:395;width:2;height:392" coordorigin="1030,395" coordsize="0,392" path="m1030,395l1030,786e" filled="false" stroked="true" strokeweight="1.140pt" strokecolor="#d2d2d2">
                <v:path arrowok="t"/>
              </v:shape>
            </v:group>
            <v:group style="position:absolute;left:3125;top:395;width:2;height:392" coordorigin="3125,395" coordsize="2,392">
              <v:shape style="position:absolute;left:3125;top:395;width:2;height:392" coordorigin="3125,395" coordsize="0,392" path="m3125,395l3125,786e" filled="false" stroked="true" strokeweight="1.140pt" strokecolor="#d2d2d2">
                <v:path arrowok="t"/>
              </v:shape>
            </v:group>
            <v:group style="position:absolute;left:1042;top:395;width:2072;height:392" coordorigin="1042,395" coordsize="2072,392">
              <v:shape style="position:absolute;left:1042;top:395;width:2072;height:392" coordorigin="1042,395" coordsize="2072,392" path="m1042,786l3113,786,3113,395,1042,395,1042,786xe" filled="true" fillcolor="#d2d2d2" stroked="false">
                <v:path arrowok="t"/>
                <v:fill type="solid"/>
              </v:shape>
            </v:group>
            <v:group style="position:absolute;left:1019;top:389;width:2119;height:2" coordorigin="1019,389" coordsize="2119,2">
              <v:shape style="position:absolute;left:1019;top:389;width:2119;height:2" coordorigin="1019,389" coordsize="2119,0" path="m1019,389l3137,389e" filled="false" stroked="true" strokeweight=".48pt" strokecolor="#000000">
                <v:path arrowok="t"/>
              </v:shape>
            </v:group>
            <v:group style="position:absolute;left:3147;top:389;width:1690;height:2" coordorigin="3147,389" coordsize="1690,2">
              <v:shape style="position:absolute;left:3147;top:389;width:1690;height:2" coordorigin="3147,389" coordsize="1690,0" path="m3147,389l4836,389e" filled="false" stroked="true" strokeweight=".48pt" strokecolor="#000000">
                <v:path arrowok="t"/>
              </v:shape>
            </v:group>
            <v:group style="position:absolute;left:4846;top:389;width:1125;height:2" coordorigin="4846,389" coordsize="1125,2">
              <v:shape style="position:absolute;left:4846;top:389;width:1125;height:2" coordorigin="4846,389" coordsize="1125,0" path="m4846,389l5970,389e" filled="false" stroked="true" strokeweight=".48pt" strokecolor="#000000">
                <v:path arrowok="t"/>
              </v:shape>
            </v:group>
            <v:group style="position:absolute;left:5980;top:389;width:3253;height:2" coordorigin="5980,389" coordsize="3253,2">
              <v:shape style="position:absolute;left:5980;top:389;width:3253;height:2" coordorigin="5980,389" coordsize="3253,0" path="m5980,389l9232,389e" filled="false" stroked="true" strokeweight=".48pt" strokecolor="#000000">
                <v:path arrowok="t"/>
              </v:shape>
            </v:group>
            <v:group style="position:absolute;left:9242;top:389;width:1551;height:2" coordorigin="9242,389" coordsize="1551,2">
              <v:shape style="position:absolute;left:9242;top:389;width:1551;height:2" coordorigin="9242,389" coordsize="1551,0" path="m9242,389l10792,389e" filled="false" stroked="true" strokeweight=".48pt" strokecolor="#000000">
                <v:path arrowok="t"/>
              </v:shape>
            </v:group>
            <v:group style="position:absolute;left:10802;top:389;width:1833;height:2" coordorigin="10802,389" coordsize="1833,2">
              <v:shape style="position:absolute;left:10802;top:389;width:1833;height:2" coordorigin="10802,389" coordsize="1833,0" path="m10802,389l12634,389e" filled="false" stroked="true" strokeweight=".48pt" strokecolor="#000000">
                <v:path arrowok="t"/>
              </v:shape>
            </v:group>
            <v:group style="position:absolute;left:12644;top:389;width:2968;height:2" coordorigin="12644,389" coordsize="2968,2">
              <v:shape style="position:absolute;left:12644;top:389;width:2968;height:2" coordorigin="12644,389" coordsize="2968,0" path="m12644,389l15612,389e" filled="false" stroked="true" strokeweight=".48pt" strokecolor="#000000">
                <v:path arrowok="t"/>
              </v:shape>
            </v:group>
            <v:group style="position:absolute;left:1019;top:797;width:2118;height:3145" coordorigin="1019,797" coordsize="2118,3145">
              <v:shape style="position:absolute;left:1019;top:797;width:2118;height:3145" coordorigin="1019,797" coordsize="2118,3145" path="m1019,3941l3136,3941,3136,797,1019,797,1019,3941xe" filled="true" fillcolor="#d2d2d2" stroked="false">
                <v:path arrowok="t"/>
                <v:fill type="solid"/>
              </v:shape>
            </v:group>
            <v:group style="position:absolute;left:1030;top:3941;width:2;height:704" coordorigin="1030,3941" coordsize="2,704">
              <v:shape style="position:absolute;left:1030;top:3941;width:2;height:704" coordorigin="1030,3941" coordsize="0,704" path="m1030,3941l1030,4644e" filled="false" stroked="true" strokeweight="1.140pt" strokecolor="#d2d2d2">
                <v:path arrowok="t"/>
              </v:shape>
            </v:group>
            <v:group style="position:absolute;left:3125;top:3941;width:2;height:704" coordorigin="3125,3941" coordsize="2,704">
              <v:shape style="position:absolute;left:3125;top:3941;width:2;height:704" coordorigin="3125,3941" coordsize="0,704" path="m3125,3941l3125,4644e" filled="false" stroked="true" strokeweight="1.140pt" strokecolor="#d2d2d2">
                <v:path arrowok="t"/>
              </v:shape>
            </v:group>
            <v:group style="position:absolute;left:1019;top:4644;width:2118;height:3145" coordorigin="1019,4644" coordsize="2118,3145">
              <v:shape style="position:absolute;left:1019;top:4644;width:2118;height:3145" coordorigin="1019,4644" coordsize="2118,3145" path="m1019,7789l3136,7789,3136,4644,1019,4644,1019,7789xe" filled="true" fillcolor="#d2d2d2" stroked="false">
                <v:path arrowok="t"/>
                <v:fill type="solid"/>
              </v:shape>
            </v:group>
            <v:group style="position:absolute;left:1042;top:3941;width:2072;height:352" coordorigin="1042,3941" coordsize="2072,352">
              <v:shape style="position:absolute;left:1042;top:3941;width:2072;height:352" coordorigin="1042,3941" coordsize="2072,352" path="m1042,4293l3113,4293,3113,3941,1042,3941,1042,4293xe" filled="true" fillcolor="#d2d2d2" stroked="false">
                <v:path arrowok="t"/>
                <v:fill type="solid"/>
              </v:shape>
            </v:group>
            <v:group style="position:absolute;left:1042;top:4293;width:2072;height:352" coordorigin="1042,4293" coordsize="2072,352">
              <v:shape style="position:absolute;left:1042;top:4293;width:2072;height:352" coordorigin="1042,4293" coordsize="2072,352" path="m1042,4644l3113,4644,3113,4293,1042,4293,1042,4644xe" filled="true" fillcolor="#d2d2d2" stroked="false">
                <v:path arrowok="t"/>
                <v:fill type="solid"/>
              </v:shape>
            </v:group>
            <v:group style="position:absolute;left:9242;top:797;width:1551;height:936" coordorigin="9242,797" coordsize="1551,936">
              <v:shape style="position:absolute;left:9242;top:797;width:1551;height:936" coordorigin="9242,797" coordsize="1551,936" path="m9242,1733l10792,1733,10792,797,9242,797,9242,1733xe" filled="true" fillcolor="#ffffff" stroked="false">
                <v:path arrowok="t"/>
                <v:fill type="solid"/>
              </v:shape>
            </v:group>
            <v:group style="position:absolute;left:12644;top:797;width:2967;height:936" coordorigin="12644,797" coordsize="2967,936">
              <v:shape style="position:absolute;left:12644;top:797;width:2967;height:936" coordorigin="12644,797" coordsize="2967,936" path="m12644,1733l15611,1733,15611,797,12644,797,12644,1733xe" filled="true" fillcolor="#ffffff" stroked="false">
                <v:path arrowok="t"/>
                <v:fill type="solid"/>
              </v:shape>
            </v:group>
            <v:group style="position:absolute;left:12655;top:1733;width:2;height:392" coordorigin="12655,1733" coordsize="2,392">
              <v:shape style="position:absolute;left:12655;top:1733;width:2;height:392" coordorigin="12655,1733" coordsize="0,392" path="m12655,1733l12655,2124e" filled="false" stroked="true" strokeweight="1.140pt" strokecolor="#ffffff">
                <v:path arrowok="t"/>
              </v:shape>
            </v:group>
            <v:group style="position:absolute;left:12667;top:1733;width:2922;height:392" coordorigin="12667,1733" coordsize="2922,392">
              <v:shape style="position:absolute;left:12667;top:1733;width:2922;height:392" coordorigin="12667,1733" coordsize="2922,392" path="m12667,2124l15588,2124,15588,1733,12667,1733,12667,2124xe" filled="true" fillcolor="#ffffff" stroked="false">
                <v:path arrowok="t"/>
                <v:fill type="solid"/>
              </v:shape>
            </v:group>
            <v:group style="position:absolute;left:1019;top:791;width:2119;height:2" coordorigin="1019,791" coordsize="2119,2">
              <v:shape style="position:absolute;left:1019;top:791;width:2119;height:2" coordorigin="1019,791" coordsize="2119,0" path="m1019,791l3137,791e" filled="false" stroked="true" strokeweight=".48pt" strokecolor="#000000">
                <v:path arrowok="t"/>
              </v:shape>
            </v:group>
            <v:group style="position:absolute;left:3147;top:791;width:1690;height:2" coordorigin="3147,791" coordsize="1690,2">
              <v:shape style="position:absolute;left:3147;top:791;width:1690;height:2" coordorigin="3147,791" coordsize="1690,0" path="m3147,791l4836,791e" filled="false" stroked="true" strokeweight=".48pt" strokecolor="#000000">
                <v:path arrowok="t"/>
              </v:shape>
            </v:group>
            <v:group style="position:absolute;left:4846;top:791;width:1125;height:2" coordorigin="4846,791" coordsize="1125,2">
              <v:shape style="position:absolute;left:4846;top:791;width:1125;height:2" coordorigin="4846,791" coordsize="1125,0" path="m4846,791l5970,791e" filled="false" stroked="true" strokeweight=".48pt" strokecolor="#000000">
                <v:path arrowok="t"/>
              </v:shape>
            </v:group>
            <v:group style="position:absolute;left:5980;top:791;width:3253;height:2" coordorigin="5980,791" coordsize="3253,2">
              <v:shape style="position:absolute;left:5980;top:791;width:3253;height:2" coordorigin="5980,791" coordsize="3253,0" path="m5980,791l9232,791e" filled="false" stroked="true" strokeweight=".48pt" strokecolor="#000000">
                <v:path arrowok="t"/>
              </v:shape>
            </v:group>
            <v:group style="position:absolute;left:9242;top:791;width:1551;height:2" coordorigin="9242,791" coordsize="1551,2">
              <v:shape style="position:absolute;left:9242;top:791;width:1551;height:2" coordorigin="9242,791" coordsize="1551,0" path="m9242,791l10792,791e" filled="false" stroked="true" strokeweight=".48pt" strokecolor="#000000">
                <v:path arrowok="t"/>
              </v:shape>
            </v:group>
            <v:group style="position:absolute;left:10802;top:791;width:1833;height:2" coordorigin="10802,791" coordsize="1833,2">
              <v:shape style="position:absolute;left:10802;top:791;width:1833;height:2" coordorigin="10802,791" coordsize="1833,0" path="m10802,791l12634,791e" filled="false" stroked="true" strokeweight=".48pt" strokecolor="#000000">
                <v:path arrowok="t"/>
              </v:shape>
            </v:group>
            <v:group style="position:absolute;left:12644;top:791;width:2968;height:2" coordorigin="12644,791" coordsize="2968,2">
              <v:shape style="position:absolute;left:12644;top:791;width:2968;height:2" coordorigin="12644,791" coordsize="2968,0" path="m12644,791l15612,791e" filled="false" stroked="true" strokeweight=".48pt" strokecolor="#000000">
                <v:path arrowok="t"/>
              </v:shape>
            </v:group>
            <v:group style="position:absolute;left:12655;top:3071;width:2;height:1328" coordorigin="12655,3071" coordsize="2,1328">
              <v:shape style="position:absolute;left:12655;top:3071;width:2;height:1328" coordorigin="12655,3071" coordsize="0,1328" path="m12655,3071l12655,4398e" filled="false" stroked="true" strokeweight="1.140pt" strokecolor="#ffffff">
                <v:path arrowok="t"/>
              </v:shape>
            </v:group>
            <v:group style="position:absolute;left:12667;top:3423;width:2922;height:312" coordorigin="12667,3423" coordsize="2922,312">
              <v:shape style="position:absolute;left:12667;top:3423;width:2922;height:312" coordorigin="12667,3423" coordsize="2922,312" path="m12667,3735l15588,3735,15588,3423,12667,3423,12667,3735xe" filled="true" fillcolor="#ffffff" stroked="false">
                <v:path arrowok="t"/>
                <v:fill type="solid"/>
              </v:shape>
            </v:group>
            <v:group style="position:absolute;left:3147;top:3065;width:1690;height:2" coordorigin="3147,3065" coordsize="1690,2">
              <v:shape style="position:absolute;left:3147;top:3065;width:1690;height:2" coordorigin="3147,3065" coordsize="1690,0" path="m3147,3065l4836,3065e" filled="false" stroked="true" strokeweight=".47998pt" strokecolor="#000000">
                <v:path arrowok="t"/>
              </v:shape>
            </v:group>
            <v:group style="position:absolute;left:4846;top:3065;width:1125;height:2" coordorigin="4846,3065" coordsize="1125,2">
              <v:shape style="position:absolute;left:4846;top:3065;width:1125;height:2" coordorigin="4846,3065" coordsize="1125,0" path="m4846,3065l5970,3065e" filled="false" stroked="true" strokeweight=".47998pt" strokecolor="#000000">
                <v:path arrowok="t"/>
              </v:shape>
            </v:group>
            <v:group style="position:absolute;left:5980;top:3065;width:3253;height:2" coordorigin="5980,3065" coordsize="3253,2">
              <v:shape style="position:absolute;left:5980;top:3065;width:3253;height:2" coordorigin="5980,3065" coordsize="3253,0" path="m5980,3065l9232,3065e" filled="false" stroked="true" strokeweight=".47998pt" strokecolor="#000000">
                <v:path arrowok="t"/>
              </v:shape>
            </v:group>
            <v:group style="position:absolute;left:9242;top:3065;width:1551;height:2" coordorigin="9242,3065" coordsize="1551,2">
              <v:shape style="position:absolute;left:9242;top:3065;width:1551;height:2" coordorigin="9242,3065" coordsize="1551,0" path="m9242,3065l10792,3065e" filled="false" stroked="true" strokeweight=".47998pt" strokecolor="#000000">
                <v:path arrowok="t"/>
              </v:shape>
            </v:group>
            <v:group style="position:absolute;left:10802;top:3065;width:1833;height:2" coordorigin="10802,3065" coordsize="1833,2">
              <v:shape style="position:absolute;left:10802;top:3065;width:1833;height:2" coordorigin="10802,3065" coordsize="1833,0" path="m10802,3065l12634,3065e" filled="false" stroked="true" strokeweight=".47998pt" strokecolor="#000000">
                <v:path arrowok="t"/>
              </v:shape>
            </v:group>
            <v:group style="position:absolute;left:12644;top:3065;width:2968;height:2" coordorigin="12644,3065" coordsize="2968,2">
              <v:shape style="position:absolute;left:12644;top:3065;width:2968;height:2" coordorigin="12644,3065" coordsize="2968,0" path="m12644,3065l15612,3065e" filled="false" stroked="true" strokeweight=".47998pt" strokecolor="#000000">
                <v:path arrowok="t"/>
              </v:shape>
            </v:group>
            <v:group style="position:absolute;left:12644;top:4409;width:2967;height:468" coordorigin="12644,4409" coordsize="2967,468">
              <v:shape style="position:absolute;left:12644;top:4409;width:2967;height:468" coordorigin="12644,4409" coordsize="2967,468" path="m12644,4877l15611,4877,15611,4409,12644,4409,12644,4877xe" filled="true" fillcolor="#ffffff" stroked="false">
                <v:path arrowok="t"/>
                <v:fill type="solid"/>
              </v:shape>
            </v:group>
            <v:group style="position:absolute;left:12655;top:4877;width:2;height:392" coordorigin="12655,4877" coordsize="2,392">
              <v:shape style="position:absolute;left:12655;top:4877;width:2;height:392" coordorigin="12655,4877" coordsize="0,392" path="m12655,4877l12655,5269e" filled="false" stroked="true" strokeweight="1.140pt" strokecolor="#ffffff">
                <v:path arrowok="t"/>
              </v:shape>
            </v:group>
            <v:group style="position:absolute;left:12667;top:4877;width:2922;height:392" coordorigin="12667,4877" coordsize="2922,392">
              <v:shape style="position:absolute;left:12667;top:4877;width:2922;height:392" coordorigin="12667,4877" coordsize="2922,392" path="m12667,5269l15588,5269,15588,4877,12667,4877,12667,5269xe" filled="true" fillcolor="#ffffff" stroked="false">
                <v:path arrowok="t"/>
                <v:fill type="solid"/>
              </v:shape>
            </v:group>
            <v:group style="position:absolute;left:3147;top:4403;width:1690;height:2" coordorigin="3147,4403" coordsize="1690,2">
              <v:shape style="position:absolute;left:3147;top:4403;width:1690;height:2" coordorigin="3147,4403" coordsize="1690,0" path="m3147,4403l4836,4403e" filled="false" stroked="true" strokeweight=".47998pt" strokecolor="#000000">
                <v:path arrowok="t"/>
              </v:shape>
            </v:group>
            <v:group style="position:absolute;left:4846;top:4403;width:1125;height:2" coordorigin="4846,4403" coordsize="1125,2">
              <v:shape style="position:absolute;left:4846;top:4403;width:1125;height:2" coordorigin="4846,4403" coordsize="1125,0" path="m4846,4403l5970,4403e" filled="false" stroked="true" strokeweight=".47998pt" strokecolor="#000000">
                <v:path arrowok="t"/>
              </v:shape>
            </v:group>
            <v:group style="position:absolute;left:5980;top:4403;width:3253;height:2" coordorigin="5980,4403" coordsize="3253,2">
              <v:shape style="position:absolute;left:5980;top:4403;width:3253;height:2" coordorigin="5980,4403" coordsize="3253,0" path="m5980,4403l9232,4403e" filled="false" stroked="true" strokeweight=".47998pt" strokecolor="#000000">
                <v:path arrowok="t"/>
              </v:shape>
            </v:group>
            <v:group style="position:absolute;left:9242;top:4403;width:1551;height:2" coordorigin="9242,4403" coordsize="1551,2">
              <v:shape style="position:absolute;left:9242;top:4403;width:1551;height:2" coordorigin="9242,4403" coordsize="1551,0" path="m9242,4403l10792,4403e" filled="false" stroked="true" strokeweight=".47998pt" strokecolor="#000000">
                <v:path arrowok="t"/>
              </v:shape>
            </v:group>
            <v:group style="position:absolute;left:10802;top:4403;width:1833;height:2" coordorigin="10802,4403" coordsize="1833,2">
              <v:shape style="position:absolute;left:10802;top:4403;width:1833;height:2" coordorigin="10802,4403" coordsize="1833,0" path="m10802,4403l12634,4403e" filled="false" stroked="true" strokeweight=".47998pt" strokecolor="#000000">
                <v:path arrowok="t"/>
              </v:shape>
            </v:group>
            <v:group style="position:absolute;left:12644;top:4403;width:2968;height:2" coordorigin="12644,4403" coordsize="2968,2">
              <v:shape style="position:absolute;left:12644;top:4403;width:2968;height:2" coordorigin="12644,4403" coordsize="2968,0" path="m12644,4403l15612,4403e" filled="false" stroked="true" strokeweight=".47998pt" strokecolor="#000000">
                <v:path arrowok="t"/>
              </v:shape>
            </v:group>
            <v:group style="position:absolute;left:9253;top:5903;width:2;height:392" coordorigin="9253,5903" coordsize="2,392">
              <v:shape style="position:absolute;left:9253;top:5903;width:2;height:392" coordorigin="9253,5903" coordsize="0,392" path="m9253,5903l9253,6295e" filled="false" stroked="true" strokeweight="1.140pt" strokecolor="#ffffff">
                <v:path arrowok="t"/>
              </v:shape>
            </v:group>
            <v:group style="position:absolute;left:9242;top:6295;width:1551;height:156" coordorigin="9242,6295" coordsize="1551,156">
              <v:shape style="position:absolute;left:9242;top:6295;width:1551;height:156" coordorigin="9242,6295" coordsize="1551,156" path="m9242,6451l10792,6451,10792,6295,9242,6295,9242,6451xe" filled="true" fillcolor="#ffffff" stroked="false">
                <v:path arrowok="t"/>
                <v:fill type="solid"/>
              </v:shape>
            </v:group>
            <v:group style="position:absolute;left:9265;top:5903;width:1504;height:392" coordorigin="9265,5903" coordsize="1504,392">
              <v:shape style="position:absolute;left:9265;top:5903;width:1504;height:392" coordorigin="9265,5903" coordsize="1504,392" path="m9265,6295l10768,6295,10768,5903,9265,5903,9265,6295xe" filled="true" fillcolor="#ffffff" stroked="false">
                <v:path arrowok="t"/>
                <v:fill type="solid"/>
              </v:shape>
            </v:group>
            <v:group style="position:absolute;left:12644;top:5747;width:2967;height:156" coordorigin="12644,5747" coordsize="2967,156">
              <v:shape style="position:absolute;left:12644;top:5747;width:2967;height:156" coordorigin="12644,5747" coordsize="2967,156" path="m12644,5903l15611,5903,15611,5747,12644,5747,12644,5903xe" filled="true" fillcolor="#ffffff" stroked="false">
                <v:path arrowok="t"/>
                <v:fill type="solid"/>
              </v:shape>
            </v:group>
            <v:group style="position:absolute;left:12655;top:5903;width:2;height:392" coordorigin="12655,5903" coordsize="2,392">
              <v:shape style="position:absolute;left:12655;top:5903;width:2;height:392" coordorigin="12655,5903" coordsize="0,392" path="m12655,5903l12655,6295e" filled="false" stroked="true" strokeweight="1.140pt" strokecolor="#ffffff">
                <v:path arrowok="t"/>
              </v:shape>
            </v:group>
            <v:group style="position:absolute;left:12667;top:5903;width:2922;height:392" coordorigin="12667,5903" coordsize="2922,392">
              <v:shape style="position:absolute;left:12667;top:5903;width:2922;height:392" coordorigin="12667,5903" coordsize="2922,392" path="m12667,6295l15588,6295,15588,5903,12667,5903,12667,6295xe" filled="true" fillcolor="#ffffff" stroked="false">
                <v:path arrowok="t"/>
                <v:fill type="solid"/>
              </v:shape>
            </v:group>
            <v:group style="position:absolute;left:3147;top:5741;width:1690;height:2" coordorigin="3147,5741" coordsize="1690,2">
              <v:shape style="position:absolute;left:3147;top:5741;width:1690;height:2" coordorigin="3147,5741" coordsize="1690,0" path="m3147,5741l4836,5741e" filled="false" stroked="true" strokeweight=".48001pt" strokecolor="#000000">
                <v:path arrowok="t"/>
              </v:shape>
            </v:group>
            <v:group style="position:absolute;left:4846;top:5741;width:1125;height:2" coordorigin="4846,5741" coordsize="1125,2">
              <v:shape style="position:absolute;left:4846;top:5741;width:1125;height:2" coordorigin="4846,5741" coordsize="1125,0" path="m4846,5741l5970,5741e" filled="false" stroked="true" strokeweight=".48001pt" strokecolor="#000000">
                <v:path arrowok="t"/>
              </v:shape>
            </v:group>
            <v:group style="position:absolute;left:5980;top:5741;width:3253;height:2" coordorigin="5980,5741" coordsize="3253,2">
              <v:shape style="position:absolute;left:5980;top:5741;width:3253;height:2" coordorigin="5980,5741" coordsize="3253,0" path="m5980,5741l9232,5741e" filled="false" stroked="true" strokeweight=".48001pt" strokecolor="#000000">
                <v:path arrowok="t"/>
              </v:shape>
            </v:group>
            <v:group style="position:absolute;left:9242;top:5741;width:1551;height:2" coordorigin="9242,5741" coordsize="1551,2">
              <v:shape style="position:absolute;left:9242;top:5741;width:1551;height:2" coordorigin="9242,5741" coordsize="1551,0" path="m9242,5741l10792,5741e" filled="false" stroked="true" strokeweight=".48001pt" strokecolor="#000000">
                <v:path arrowok="t"/>
              </v:shape>
            </v:group>
            <v:group style="position:absolute;left:10802;top:5741;width:1833;height:2" coordorigin="10802,5741" coordsize="1833,2">
              <v:shape style="position:absolute;left:10802;top:5741;width:1833;height:2" coordorigin="10802,5741" coordsize="1833,0" path="m10802,5741l12634,5741e" filled="false" stroked="true" strokeweight=".48001pt" strokecolor="#000000">
                <v:path arrowok="t"/>
              </v:shape>
            </v:group>
            <v:group style="position:absolute;left:12644;top:5741;width:2968;height:2" coordorigin="12644,5741" coordsize="2968,2">
              <v:shape style="position:absolute;left:12644;top:5741;width:2968;height:2" coordorigin="12644,5741" coordsize="2968,0" path="m12644,5741l15612,5741e" filled="false" stroked="true" strokeweight=".48001pt" strokecolor="#000000">
                <v:path arrowok="t"/>
              </v:shape>
            </v:group>
            <v:group style="position:absolute;left:3147;top:6455;width:1690;height:2" coordorigin="3147,6455" coordsize="1690,2">
              <v:shape style="position:absolute;left:3147;top:6455;width:1690;height:2" coordorigin="3147,6455" coordsize="1690,0" path="m3147,6455l4836,6455e" filled="false" stroked="true" strokeweight=".48001pt" strokecolor="#000000">
                <v:path arrowok="t"/>
              </v:shape>
            </v:group>
            <v:group style="position:absolute;left:4846;top:6455;width:1125;height:2" coordorigin="4846,6455" coordsize="1125,2">
              <v:shape style="position:absolute;left:4846;top:6455;width:1125;height:2" coordorigin="4846,6455" coordsize="1125,0" path="m4846,6455l5970,6455e" filled="false" stroked="true" strokeweight=".48001pt" strokecolor="#000000">
                <v:path arrowok="t"/>
              </v:shape>
            </v:group>
            <v:group style="position:absolute;left:5980;top:6455;width:3253;height:2" coordorigin="5980,6455" coordsize="3253,2">
              <v:shape style="position:absolute;left:5980;top:6455;width:3253;height:2" coordorigin="5980,6455" coordsize="3253,0" path="m5980,6455l9232,6455e" filled="false" stroked="true" strokeweight=".48001pt" strokecolor="#000000">
                <v:path arrowok="t"/>
              </v:shape>
            </v:group>
            <v:group style="position:absolute;left:9242;top:6455;width:1551;height:2" coordorigin="9242,6455" coordsize="1551,2">
              <v:shape style="position:absolute;left:9242;top:6455;width:1551;height:2" coordorigin="9242,6455" coordsize="1551,0" path="m9242,6455l10792,6455e" filled="false" stroked="true" strokeweight=".48001pt" strokecolor="#000000">
                <v:path arrowok="t"/>
              </v:shape>
            </v:group>
            <v:group style="position:absolute;left:10802;top:6455;width:1833;height:2" coordorigin="10802,6455" coordsize="1833,2">
              <v:shape style="position:absolute;left:10802;top:6455;width:1833;height:2" coordorigin="10802,6455" coordsize="1833,0" path="m10802,6455l12634,6455e" filled="false" stroked="true" strokeweight=".48001pt" strokecolor="#000000">
                <v:path arrowok="t"/>
              </v:shape>
            </v:group>
            <v:group style="position:absolute;left:12644;top:6455;width:2968;height:2" coordorigin="12644,6455" coordsize="2968,2">
              <v:shape style="position:absolute;left:12644;top:6455;width:2968;height:2" coordorigin="12644,6455" coordsize="2968,0" path="m12644,6455l15612,6455e" filled="false" stroked="true" strokeweight=".48001pt" strokecolor="#000000">
                <v:path arrowok="t"/>
              </v:shape>
            </v:group>
            <v:group style="position:absolute;left:1014;top:-18;width:2;height:7818" coordorigin="1014,-18" coordsize="2,7818">
              <v:shape style="position:absolute;left:1014;top:-18;width:2;height:7818" coordorigin="1014,-18" coordsize="0,7818" path="m1014,-18l1014,7799e" filled="false" stroked="true" strokeweight=".48pt" strokecolor="#000000">
                <v:path arrowok="t"/>
              </v:shape>
            </v:group>
            <v:group style="position:absolute;left:1019;top:7795;width:2119;height:2" coordorigin="1019,7795" coordsize="2119,2">
              <v:shape style="position:absolute;left:1019;top:7795;width:2119;height:2" coordorigin="1019,7795" coordsize="2119,0" path="m1019,7795l3137,7795e" filled="false" stroked="true" strokeweight=".47998pt" strokecolor="#000000">
                <v:path arrowok="t"/>
              </v:shape>
            </v:group>
            <v:group style="position:absolute;left:3142;top:-18;width:2;height:7818" coordorigin="3142,-18" coordsize="2,7818">
              <v:shape style="position:absolute;left:3142;top:-18;width:2;height:7818" coordorigin="3142,-18" coordsize="0,7818" path="m3142,-18l3142,7799e" filled="false" stroked="true" strokeweight=".48pt" strokecolor="#000000">
                <v:path arrowok="t"/>
              </v:shape>
            </v:group>
            <v:group style="position:absolute;left:3147;top:7795;width:1690;height:2" coordorigin="3147,7795" coordsize="1690,2">
              <v:shape style="position:absolute;left:3147;top:7795;width:1690;height:2" coordorigin="3147,7795" coordsize="1690,0" path="m3147,7795l4836,7795e" filled="false" stroked="true" strokeweight=".47998pt" strokecolor="#000000">
                <v:path arrowok="t"/>
              </v:shape>
            </v:group>
            <v:group style="position:absolute;left:4841;top:-18;width:2;height:7818" coordorigin="4841,-18" coordsize="2,7818">
              <v:shape style="position:absolute;left:4841;top:-18;width:2;height:7818" coordorigin="4841,-18" coordsize="0,7818" path="m4841,-18l4841,7799e" filled="false" stroked="true" strokeweight=".48pt" strokecolor="#000000">
                <v:path arrowok="t"/>
              </v:shape>
            </v:group>
            <v:group style="position:absolute;left:4846;top:7795;width:1125;height:2" coordorigin="4846,7795" coordsize="1125,2">
              <v:shape style="position:absolute;left:4846;top:7795;width:1125;height:2" coordorigin="4846,7795" coordsize="1125,0" path="m4846,7795l5970,7795e" filled="false" stroked="true" strokeweight=".47998pt" strokecolor="#000000">
                <v:path arrowok="t"/>
              </v:shape>
            </v:group>
            <v:group style="position:absolute;left:5975;top:-18;width:2;height:7818" coordorigin="5975,-18" coordsize="2,7818">
              <v:shape style="position:absolute;left:5975;top:-18;width:2;height:7818" coordorigin="5975,-18" coordsize="0,7818" path="m5975,-18l5975,7799e" filled="false" stroked="true" strokeweight=".48001pt" strokecolor="#000000">
                <v:path arrowok="t"/>
              </v:shape>
            </v:group>
            <v:group style="position:absolute;left:5980;top:7795;width:3253;height:2" coordorigin="5980,7795" coordsize="3253,2">
              <v:shape style="position:absolute;left:5980;top:7795;width:3253;height:2" coordorigin="5980,7795" coordsize="3253,0" path="m5980,7795l9232,7795e" filled="false" stroked="true" strokeweight=".47998pt" strokecolor="#000000">
                <v:path arrowok="t"/>
              </v:shape>
            </v:group>
            <v:group style="position:absolute;left:9237;top:-18;width:2;height:7818" coordorigin="9237,-18" coordsize="2,7818">
              <v:shape style="position:absolute;left:9237;top:-18;width:2;height:7818" coordorigin="9237,-18" coordsize="0,7818" path="m9237,-18l9237,7799e" filled="false" stroked="true" strokeweight=".47998pt" strokecolor="#000000">
                <v:path arrowok="t"/>
              </v:shape>
            </v:group>
            <v:group style="position:absolute;left:9242;top:7795;width:1551;height:2" coordorigin="9242,7795" coordsize="1551,2">
              <v:shape style="position:absolute;left:9242;top:7795;width:1551;height:2" coordorigin="9242,7795" coordsize="1551,0" path="m9242,7795l10792,7795e" filled="false" stroked="true" strokeweight=".47998pt" strokecolor="#000000">
                <v:path arrowok="t"/>
              </v:shape>
            </v:group>
            <v:group style="position:absolute;left:10797;top:-18;width:2;height:7818" coordorigin="10797,-18" coordsize="2,7818">
              <v:shape style="position:absolute;left:10797;top:-18;width:2;height:7818" coordorigin="10797,-18" coordsize="0,7818" path="m10797,-18l10797,7799e" filled="false" stroked="true" strokeweight=".47998pt" strokecolor="#000000">
                <v:path arrowok="t"/>
              </v:shape>
            </v:group>
            <v:group style="position:absolute;left:10802;top:7795;width:1833;height:2" coordorigin="10802,7795" coordsize="1833,2">
              <v:shape style="position:absolute;left:10802;top:7795;width:1833;height:2" coordorigin="10802,7795" coordsize="1833,0" path="m10802,7795l12634,7795e" filled="false" stroked="true" strokeweight=".47998pt" strokecolor="#000000">
                <v:path arrowok="t"/>
              </v:shape>
            </v:group>
            <v:group style="position:absolute;left:12639;top:-18;width:2;height:7818" coordorigin="12639,-18" coordsize="2,7818">
              <v:shape style="position:absolute;left:12639;top:-18;width:2;height:7818" coordorigin="12639,-18" coordsize="0,7818" path="m12639,-18l12639,7799e" filled="false" stroked="true" strokeweight=".48004pt" strokecolor="#000000">
                <v:path arrowok="t"/>
              </v:shape>
            </v:group>
            <v:group style="position:absolute;left:12644;top:7795;width:2968;height:2" coordorigin="12644,7795" coordsize="2968,2">
              <v:shape style="position:absolute;left:12644;top:7795;width:2968;height:2" coordorigin="12644,7795" coordsize="2968,0" path="m12644,7795l15612,7795e" filled="false" stroked="true" strokeweight=".47998pt" strokecolor="#000000">
                <v:path arrowok="t"/>
              </v:shape>
            </v:group>
            <v:group style="position:absolute;left:15617;top:-18;width:2;height:7818" coordorigin="15617,-18" coordsize="2,7818">
              <v:shape style="position:absolute;left:15617;top:-18;width:2;height:7818" coordorigin="15617,-18" coordsize="0,7818" path="m15617,-18l15617,7799e" filled="false" stroked="true" strokeweight=".47998pt" strokecolor="#000000">
                <v:path arrowok="t"/>
              </v:shape>
            </v:group>
            <w10:wrap type="none"/>
          </v:group>
        </w:pict>
      </w:r>
      <w:r>
        <w:rPr>
          <w:rFonts w:ascii="宋体" w:hAnsi="宋体" w:cs="宋体" w:eastAsia="宋体" w:hint="default"/>
          <w:sz w:val="18"/>
          <w:szCs w:val="18"/>
        </w:rPr>
        <w:t>承诺事由</w:t>
        <w:tab/>
        <w:t>承诺方</w:t>
        <w:tab/>
        <w:t>承诺类型</w:t>
        <w:tab/>
        <w:t>承诺内容</w:t>
        <w:tab/>
        <w:t>承诺时间</w:t>
        <w:tab/>
        <w:t>承诺期限</w:t>
        <w:tab/>
        <w:t>履行情况</w:t>
      </w:r>
    </w:p>
    <w:p>
      <w:pPr>
        <w:spacing w:line="240" w:lineRule="auto" w:before="4"/>
        <w:rPr>
          <w:rFonts w:ascii="宋体" w:hAnsi="宋体" w:cs="宋体" w:eastAsia="宋体" w:hint="default"/>
          <w:sz w:val="9"/>
          <w:szCs w:val="9"/>
        </w:rPr>
      </w:pPr>
    </w:p>
    <w:p>
      <w:pPr>
        <w:spacing w:before="44"/>
        <w:ind w:left="141" w:right="0" w:firstLine="0"/>
        <w:jc w:val="left"/>
        <w:rPr>
          <w:rFonts w:ascii="宋体" w:hAnsi="宋体" w:cs="宋体" w:eastAsia="宋体" w:hint="default"/>
          <w:sz w:val="18"/>
          <w:szCs w:val="18"/>
        </w:rPr>
      </w:pPr>
      <w:r>
        <w:rPr>
          <w:rFonts w:ascii="宋体" w:hAnsi="宋体" w:cs="宋体" w:eastAsia="宋体" w:hint="default"/>
          <w:sz w:val="18"/>
          <w:szCs w:val="18"/>
        </w:rPr>
        <w:t>股改承诺</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headerReference w:type="default" r:id="rId19"/>
          <w:footerReference w:type="default" r:id="rId20"/>
          <w:pgSz w:w="16840" w:h="11910" w:orient="landscape"/>
          <w:pgMar w:header="867" w:footer="979" w:top="1060" w:bottom="1160" w:left="900" w:right="1100"/>
          <w:pgNumType w:start="6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tabs>
          <w:tab w:pos="3968" w:val="left" w:leader="none"/>
        </w:tabs>
        <w:spacing w:before="0"/>
        <w:ind w:left="2269" w:right="-20" w:firstLine="0"/>
        <w:jc w:val="left"/>
        <w:rPr>
          <w:rFonts w:ascii="宋体" w:hAnsi="宋体" w:cs="宋体" w:eastAsia="宋体" w:hint="default"/>
          <w:sz w:val="18"/>
          <w:szCs w:val="18"/>
        </w:rPr>
      </w:pPr>
      <w:r>
        <w:rPr>
          <w:rFonts w:ascii="宋体" w:hAnsi="宋体" w:cs="宋体" w:eastAsia="宋体" w:hint="default"/>
          <w:sz w:val="18"/>
          <w:szCs w:val="18"/>
        </w:rPr>
        <w:t>汇垠澳丰</w:t>
        <w:tab/>
        <w:t>其他承诺</w:t>
      </w:r>
    </w:p>
    <w:p>
      <w:pPr>
        <w:spacing w:line="316" w:lineRule="auto" w:before="44"/>
        <w:ind w:left="373" w:right="1623" w:firstLine="0"/>
        <w:jc w:val="left"/>
        <w:rPr>
          <w:rFonts w:ascii="宋体" w:hAnsi="宋体" w:cs="宋体" w:eastAsia="宋体" w:hint="default"/>
          <w:sz w:val="18"/>
          <w:szCs w:val="18"/>
        </w:rPr>
      </w:pPr>
      <w:r>
        <w:rPr>
          <w:spacing w:val="-6"/>
        </w:rPr>
        <w:br w:type="column"/>
      </w:r>
      <w:r>
        <w:rPr>
          <w:rFonts w:ascii="宋体" w:hAnsi="宋体" w:cs="宋体" w:eastAsia="宋体" w:hint="default"/>
          <w:spacing w:val="-6"/>
          <w:sz w:val="18"/>
          <w:szCs w:val="18"/>
        </w:rPr>
        <w:t>汇垠澳丰承诺连续五年（</w:t>
      </w:r>
      <w:r>
        <w:rPr>
          <w:rFonts w:ascii="宋体" w:hAnsi="宋体" w:cs="宋体" w:eastAsia="宋体" w:hint="default"/>
          <w:spacing w:val="-6"/>
          <w:sz w:val="18"/>
          <w:szCs w:val="18"/>
        </w:rPr>
        <w:t>2015</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z w:val="18"/>
          <w:szCs w:val="18"/>
        </w:rPr>
        <w:t>-2019 </w:t>
      </w:r>
      <w:r>
        <w:rPr>
          <w:rFonts w:ascii="宋体" w:hAnsi="宋体" w:cs="宋体" w:eastAsia="宋体" w:hint="default"/>
          <w:sz w:val="18"/>
          <w:szCs w:val="18"/>
        </w:rPr>
        <w:t>之内任何时点汇垠澳丰及其指定方所持 华闻传媒股份数量合计不低于</w:t>
      </w:r>
      <w:r>
        <w:rPr>
          <w:rFonts w:ascii="宋体" w:hAnsi="宋体" w:cs="宋体" w:eastAsia="宋体" w:hint="default"/>
          <w:spacing w:val="-46"/>
          <w:sz w:val="18"/>
          <w:szCs w:val="18"/>
        </w:rPr>
        <w:t> </w:t>
      </w:r>
      <w:r>
        <w:rPr>
          <w:rFonts w:ascii="宋体" w:hAnsi="宋体" w:cs="宋体" w:eastAsia="宋体" w:hint="default"/>
          <w:sz w:val="18"/>
          <w:szCs w:val="18"/>
        </w:rPr>
        <w:t>9,000.00</w:t>
      </w:r>
    </w:p>
    <w:p>
      <w:pPr>
        <w:spacing w:line="316" w:lineRule="auto" w:before="20"/>
        <w:ind w:left="373" w:right="-13" w:firstLine="0"/>
        <w:jc w:val="left"/>
        <w:rPr>
          <w:rFonts w:ascii="宋体" w:hAnsi="宋体" w:cs="宋体" w:eastAsia="宋体" w:hint="default"/>
          <w:sz w:val="18"/>
          <w:szCs w:val="18"/>
        </w:rPr>
      </w:pPr>
      <w:r>
        <w:rPr/>
        <w:pict>
          <v:shape style="position:absolute;margin-left:446.920013pt;margin-top:-48.388279pt;width:92.7pt;height:46.8pt;mso-position-horizontal-relative:page;mso-position-vertical-relative:paragraph;z-index:-149228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年）</w:t>
                  </w:r>
                </w:p>
              </w:txbxContent>
            </v:textbox>
            <w10:wrap type="none"/>
          </v:shape>
        </w:pict>
      </w:r>
      <w:r>
        <w:rPr>
          <w:rFonts w:ascii="宋体" w:hAnsi="宋体" w:cs="宋体" w:eastAsia="宋体" w:hint="default"/>
          <w:sz w:val="18"/>
          <w:szCs w:val="18"/>
        </w:rPr>
        <w:t>万股，且汇垠澳丰及其指定方在持有华闻</w:t>
      </w:r>
      <w:r>
        <w:rPr>
          <w:rFonts w:ascii="宋体" w:hAnsi="宋体" w:cs="宋体" w:eastAsia="宋体" w:hint="default"/>
          <w:spacing w:val="-41"/>
          <w:sz w:val="18"/>
          <w:szCs w:val="18"/>
        </w:rPr>
        <w:t> </w:t>
      </w:r>
      <w:r>
        <w:rPr>
          <w:rFonts w:ascii="宋体" w:hAnsi="宋体" w:cs="宋体" w:eastAsia="宋体" w:hint="default"/>
          <w:sz w:val="18"/>
          <w:szCs w:val="18"/>
        </w:rPr>
        <w:t>2015</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12</w:t>
      </w:r>
      <w:r>
        <w:rPr>
          <w:rFonts w:ascii="宋体" w:hAnsi="宋体" w:cs="宋体" w:eastAsia="宋体" w:hint="default"/>
          <w:spacing w:val="-52"/>
          <w:sz w:val="18"/>
          <w:szCs w:val="18"/>
        </w:rPr>
        <w:t> </w:t>
      </w:r>
      <w:r>
        <w:rPr>
          <w:rFonts w:ascii="宋体" w:hAnsi="宋体" w:cs="宋体" w:eastAsia="宋体" w:hint="default"/>
          <w:sz w:val="18"/>
          <w:szCs w:val="18"/>
        </w:rPr>
        <w:t>日 传媒股份期间如果减持华闻传媒股份，减 持前需优先征求国广资产意见，国广资产</w:t>
      </w:r>
    </w:p>
    <w:p>
      <w:pPr>
        <w:spacing w:before="20"/>
        <w:ind w:left="373" w:right="1623" w:firstLine="0"/>
        <w:jc w:val="left"/>
        <w:rPr>
          <w:rFonts w:ascii="宋体" w:hAnsi="宋体" w:cs="宋体" w:eastAsia="宋体" w:hint="default"/>
          <w:sz w:val="18"/>
          <w:szCs w:val="18"/>
        </w:rPr>
      </w:pPr>
      <w:r>
        <w:rPr>
          <w:rFonts w:ascii="宋体" w:hAnsi="宋体" w:cs="宋体" w:eastAsia="宋体" w:hint="default"/>
          <w:sz w:val="18"/>
          <w:szCs w:val="18"/>
        </w:rPr>
        <w:t>有优先购买权。</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196" w:lineRule="exact" w:before="118"/>
        <w:ind w:left="35" w:right="0" w:firstLine="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3"/>
          <w:sz w:val="18"/>
          <w:szCs w:val="18"/>
        </w:rPr>
        <w:t> </w:t>
      </w:r>
      <w:r>
        <w:rPr>
          <w:rFonts w:ascii="宋体" w:hAnsi="宋体" w:cs="宋体" w:eastAsia="宋体" w:hint="default"/>
          <w:sz w:val="18"/>
          <w:szCs w:val="18"/>
        </w:rPr>
        <w:t>2015</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6</w:t>
      </w:r>
      <w:r>
        <w:rPr>
          <w:rFonts w:ascii="宋体" w:hAnsi="宋体" w:cs="宋体" w:eastAsia="宋体" w:hint="default"/>
          <w:spacing w:val="-6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宋体" w:hAnsi="宋体" w:cs="宋体" w:eastAsia="宋体" w:hint="default"/>
          <w:sz w:val="18"/>
          <w:szCs w:val="18"/>
        </w:rPr>
        <w:t>12</w:t>
      </w:r>
      <w:r>
        <w:rPr>
          <w:rFonts w:ascii="宋体" w:hAnsi="宋体" w:cs="宋体" w:eastAsia="宋体" w:hint="default"/>
          <w:spacing w:val="-63"/>
          <w:sz w:val="18"/>
          <w:szCs w:val="18"/>
        </w:rPr>
        <w:t> </w:t>
      </w:r>
      <w:r>
        <w:rPr>
          <w:rFonts w:ascii="宋体" w:hAnsi="宋体" w:cs="宋体" w:eastAsia="宋体" w:hint="default"/>
          <w:sz w:val="18"/>
          <w:szCs w:val="18"/>
        </w:rPr>
        <w:t>日起，</w:t>
      </w:r>
    </w:p>
    <w:p>
      <w:pPr>
        <w:spacing w:line="156" w:lineRule="exact" w:before="0"/>
        <w:ind w:left="1858" w:right="1971" w:firstLine="0"/>
        <w:jc w:val="center"/>
        <w:rPr>
          <w:rFonts w:ascii="宋体" w:hAnsi="宋体" w:cs="宋体" w:eastAsia="宋体" w:hint="default"/>
          <w:sz w:val="18"/>
          <w:szCs w:val="18"/>
        </w:rPr>
      </w:pPr>
      <w:r>
        <w:rPr>
          <w:rFonts w:ascii="宋体" w:hAnsi="宋体" w:cs="宋体" w:eastAsia="宋体" w:hint="default"/>
          <w:sz w:val="18"/>
          <w:szCs w:val="18"/>
        </w:rPr>
        <w:t>正在履行之中</w:t>
      </w:r>
    </w:p>
    <w:p>
      <w:pPr>
        <w:spacing w:line="196" w:lineRule="exact" w:before="0"/>
        <w:ind w:left="35" w:right="0"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p>
      <w:pPr>
        <w:spacing w:after="0" w:line="196" w:lineRule="exact"/>
        <w:jc w:val="left"/>
        <w:rPr>
          <w:rFonts w:ascii="宋体" w:hAnsi="宋体" w:cs="宋体" w:eastAsia="宋体" w:hint="default"/>
          <w:sz w:val="18"/>
          <w:szCs w:val="18"/>
        </w:rPr>
        <w:sectPr>
          <w:type w:val="continuous"/>
          <w:pgSz w:w="16840" w:h="11910" w:orient="landscape"/>
          <w:pgMar w:top="1060" w:bottom="1160" w:left="900" w:right="1100"/>
          <w:cols w:num="3" w:equalWidth="0">
            <w:col w:w="4689" w:space="40"/>
            <w:col w:w="5121" w:space="40"/>
            <w:col w:w="4950"/>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6840" w:h="11910" w:orient="landscape"/>
          <w:pgMar w:top="1060" w:bottom="1160" w:left="900" w:right="110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tabs>
          <w:tab w:pos="3968" w:val="left" w:leader="none"/>
        </w:tabs>
        <w:spacing w:line="210" w:lineRule="exact" w:before="0"/>
        <w:ind w:left="2269" w:right="-20" w:firstLine="0"/>
        <w:jc w:val="left"/>
        <w:rPr>
          <w:rFonts w:ascii="宋体" w:hAnsi="宋体" w:cs="宋体" w:eastAsia="宋体" w:hint="default"/>
          <w:sz w:val="18"/>
          <w:szCs w:val="18"/>
        </w:rPr>
      </w:pPr>
      <w:r>
        <w:rPr>
          <w:rFonts w:ascii="宋体" w:hAnsi="宋体" w:cs="宋体" w:eastAsia="宋体" w:hint="default"/>
          <w:sz w:val="18"/>
          <w:szCs w:val="18"/>
        </w:rPr>
        <w:t>孙景龙、和平财富</w:t>
        <w:tab/>
        <w:t>其他承诺</w:t>
      </w:r>
    </w:p>
    <w:p>
      <w:pPr>
        <w:spacing w:before="44"/>
        <w:ind w:left="373" w:right="-16" w:firstLine="0"/>
        <w:jc w:val="left"/>
        <w:rPr>
          <w:rFonts w:ascii="宋体" w:hAnsi="宋体" w:cs="宋体" w:eastAsia="宋体" w:hint="default"/>
          <w:sz w:val="18"/>
          <w:szCs w:val="18"/>
        </w:rPr>
      </w:pPr>
      <w:r>
        <w:rPr/>
        <w:br w:type="column"/>
      </w:r>
      <w:r>
        <w:rPr>
          <w:rFonts w:ascii="宋体" w:hAnsi="宋体" w:cs="宋体" w:eastAsia="宋体" w:hint="default"/>
          <w:sz w:val="18"/>
          <w:szCs w:val="18"/>
        </w:rPr>
        <w:t>自</w:t>
      </w:r>
      <w:r>
        <w:rPr>
          <w:rFonts w:ascii="宋体" w:hAnsi="宋体" w:cs="宋体" w:eastAsia="宋体" w:hint="default"/>
          <w:spacing w:val="-51"/>
          <w:sz w:val="18"/>
          <w:szCs w:val="18"/>
        </w:rPr>
        <w:t> </w:t>
      </w:r>
      <w:r>
        <w:rPr>
          <w:rFonts w:ascii="宋体" w:hAnsi="宋体" w:cs="宋体" w:eastAsia="宋体" w:hint="default"/>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7</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13</w:t>
      </w:r>
      <w:r>
        <w:rPr>
          <w:rFonts w:ascii="宋体" w:hAnsi="宋体" w:cs="宋体" w:eastAsia="宋体" w:hint="default"/>
          <w:spacing w:val="-51"/>
          <w:sz w:val="18"/>
          <w:szCs w:val="18"/>
        </w:rPr>
        <w:t> </w:t>
      </w:r>
      <w:r>
        <w:rPr>
          <w:rFonts w:ascii="宋体" w:hAnsi="宋体" w:cs="宋体" w:eastAsia="宋体" w:hint="default"/>
          <w:sz w:val="18"/>
          <w:szCs w:val="18"/>
        </w:rPr>
        <w:t>日工商登记完成之日起</w:t>
      </w:r>
    </w:p>
    <w:p>
      <w:pPr>
        <w:spacing w:before="75"/>
        <w:ind w:left="373" w:right="-16" w:firstLine="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个月内不转让持有的国广控股</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spacing w:line="210" w:lineRule="exact" w:before="0"/>
        <w:ind w:left="16" w:right="-16"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before="44"/>
        <w:ind w:left="187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19</w:t>
      </w:r>
      <w:r>
        <w:rPr>
          <w:rFonts w:ascii="宋体" w:hAnsi="宋体" w:cs="宋体" w:eastAsia="宋体" w:hint="default"/>
          <w:spacing w:val="-47"/>
          <w:sz w:val="18"/>
          <w:szCs w:val="18"/>
        </w:rPr>
        <w:t> </w:t>
      </w:r>
      <w:r>
        <w:rPr>
          <w:rFonts w:ascii="宋体" w:hAnsi="宋体" w:cs="宋体" w:eastAsia="宋体" w:hint="default"/>
          <w:sz w:val="18"/>
          <w:szCs w:val="18"/>
        </w:rPr>
        <w:t>日，和融浙联全资子</w:t>
      </w:r>
    </w:p>
    <w:p>
      <w:pPr>
        <w:spacing w:before="76"/>
        <w:ind w:left="35" w:right="0" w:firstLine="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9"/>
          <w:sz w:val="18"/>
          <w:szCs w:val="18"/>
        </w:rPr>
        <w:t> </w:t>
      </w:r>
      <w:r>
        <w:rPr>
          <w:rFonts w:ascii="宋体" w:hAnsi="宋体" w:cs="宋体" w:eastAsia="宋体" w:hint="default"/>
          <w:sz w:val="18"/>
          <w:szCs w:val="18"/>
        </w:rPr>
        <w:t>2018</w:t>
      </w:r>
      <w:r>
        <w:rPr>
          <w:rFonts w:ascii="宋体" w:hAnsi="宋体" w:cs="宋体" w:eastAsia="宋体" w:hint="default"/>
          <w:spacing w:val="-69"/>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宋体" w:hAnsi="宋体" w:cs="宋体" w:eastAsia="宋体" w:hint="default"/>
          <w:sz w:val="18"/>
          <w:szCs w:val="18"/>
        </w:rPr>
        <w:t>7</w:t>
      </w:r>
      <w:r>
        <w:rPr>
          <w:rFonts w:ascii="宋体" w:hAnsi="宋体" w:cs="宋体" w:eastAsia="宋体" w:hint="default"/>
          <w:spacing w:val="-69"/>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宋体" w:hAnsi="宋体" w:cs="宋体" w:eastAsia="宋体" w:hint="default"/>
          <w:sz w:val="18"/>
          <w:szCs w:val="18"/>
        </w:rPr>
        <w:t>13</w:t>
      </w:r>
      <w:r>
        <w:rPr>
          <w:rFonts w:ascii="宋体" w:hAnsi="宋体" w:cs="宋体" w:eastAsia="宋体" w:hint="default"/>
          <w:spacing w:val="-69"/>
          <w:sz w:val="18"/>
          <w:szCs w:val="18"/>
        </w:rPr>
        <w:t> </w:t>
      </w:r>
      <w:r>
        <w:rPr>
          <w:rFonts w:ascii="宋体" w:hAnsi="宋体" w:cs="宋体" w:eastAsia="宋体" w:hint="default"/>
          <w:sz w:val="18"/>
          <w:szCs w:val="18"/>
        </w:rPr>
        <w:t>日起，拉萨融威通过协议受让和平财富持有</w:t>
      </w:r>
    </w:p>
    <w:p>
      <w:pPr>
        <w:spacing w:after="0"/>
        <w:jc w:val="left"/>
        <w:rPr>
          <w:rFonts w:ascii="宋体" w:hAnsi="宋体" w:cs="宋体" w:eastAsia="宋体" w:hint="default"/>
          <w:sz w:val="18"/>
          <w:szCs w:val="18"/>
        </w:rPr>
        <w:sectPr>
          <w:type w:val="continuous"/>
          <w:pgSz w:w="16840" w:h="11910" w:orient="landscape"/>
          <w:pgMar w:top="1060" w:bottom="1160" w:left="900" w:right="1100"/>
          <w:cols w:num="4" w:equalWidth="0">
            <w:col w:w="4689" w:space="40"/>
            <w:col w:w="3580" w:space="40"/>
            <w:col w:w="1502" w:space="40"/>
            <w:col w:w="4949"/>
          </w:cols>
        </w:sectPr>
      </w:pPr>
    </w:p>
    <w:p>
      <w:pPr>
        <w:spacing w:line="240" w:lineRule="auto" w:before="8"/>
        <w:rPr>
          <w:rFonts w:ascii="宋体" w:hAnsi="宋体" w:cs="宋体" w:eastAsia="宋体" w:hint="default"/>
          <w:sz w:val="14"/>
          <w:szCs w:val="14"/>
        </w:rPr>
      </w:pPr>
    </w:p>
    <w:p>
      <w:pPr>
        <w:spacing w:line="316" w:lineRule="auto" w:before="0"/>
        <w:ind w:left="141" w:right="-20" w:firstLine="0"/>
        <w:jc w:val="left"/>
        <w:rPr>
          <w:rFonts w:ascii="宋体" w:hAnsi="宋体" w:cs="宋体" w:eastAsia="宋体" w:hint="default"/>
          <w:sz w:val="18"/>
          <w:szCs w:val="18"/>
        </w:rPr>
      </w:pPr>
      <w:r>
        <w:rPr>
          <w:rFonts w:ascii="宋体" w:hAnsi="宋体" w:cs="宋体" w:eastAsia="宋体" w:hint="default"/>
          <w:sz w:val="18"/>
          <w:szCs w:val="18"/>
        </w:rPr>
        <w:t>收购报告书或权益变动报 告书中所作承诺</w:t>
      </w:r>
    </w:p>
    <w:p>
      <w:pPr>
        <w:spacing w:line="180" w:lineRule="exact" w:before="0"/>
        <w:ind w:left="141" w:right="-19"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权，也不通过国广控股间接转让拥有权益</w:t>
      </w:r>
    </w:p>
    <w:p>
      <w:pPr>
        <w:spacing w:before="77"/>
        <w:ind w:left="141" w:right="-19" w:firstLine="0"/>
        <w:jc w:val="left"/>
        <w:rPr>
          <w:rFonts w:ascii="宋体" w:hAnsi="宋体" w:cs="宋体" w:eastAsia="宋体" w:hint="default"/>
          <w:sz w:val="18"/>
          <w:szCs w:val="18"/>
        </w:rPr>
      </w:pPr>
      <w:r>
        <w:rPr>
          <w:rFonts w:ascii="宋体" w:hAnsi="宋体" w:cs="宋体" w:eastAsia="宋体" w:hint="default"/>
          <w:sz w:val="18"/>
          <w:szCs w:val="18"/>
        </w:rPr>
        <w:t>的华闻传媒的股份。</w:t>
      </w:r>
    </w:p>
    <w:p>
      <w:pPr>
        <w:spacing w:line="240" w:lineRule="auto" w:before="9"/>
        <w:rPr>
          <w:rFonts w:ascii="宋体" w:hAnsi="宋体" w:cs="宋体" w:eastAsia="宋体" w:hint="default"/>
          <w:sz w:val="12"/>
          <w:szCs w:val="12"/>
        </w:rPr>
      </w:pPr>
    </w:p>
    <w:p>
      <w:pPr>
        <w:spacing w:before="0"/>
        <w:ind w:left="141" w:right="-17" w:firstLine="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1"/>
          <w:sz w:val="18"/>
          <w:szCs w:val="18"/>
        </w:rPr>
        <w:t> </w:t>
      </w:r>
      <w:r>
        <w:rPr>
          <w:rFonts w:ascii="宋体" w:hAnsi="宋体" w:cs="宋体" w:eastAsia="宋体" w:hint="default"/>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7</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13</w:t>
      </w:r>
      <w:r>
        <w:rPr>
          <w:rFonts w:ascii="宋体" w:hAnsi="宋体" w:cs="宋体" w:eastAsia="宋体" w:hint="default"/>
          <w:spacing w:val="-51"/>
          <w:sz w:val="18"/>
          <w:szCs w:val="18"/>
        </w:rPr>
        <w:t> </w:t>
      </w:r>
      <w:r>
        <w:rPr>
          <w:rFonts w:ascii="宋体" w:hAnsi="宋体" w:cs="宋体" w:eastAsia="宋体" w:hint="default"/>
          <w:sz w:val="18"/>
          <w:szCs w:val="18"/>
        </w:rPr>
        <w:t>日工商登记完成之日起</w:t>
      </w:r>
    </w:p>
    <w:p>
      <w:pPr>
        <w:spacing w:line="181" w:lineRule="exact" w:before="0"/>
        <w:ind w:left="14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w:t>
      </w:r>
    </w:p>
    <w:p>
      <w:pPr>
        <w:spacing w:line="180" w:lineRule="exact" w:before="0"/>
        <w:ind w:left="14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的国广控股</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股权，截至目前，工</w:t>
      </w:r>
    </w:p>
    <w:p>
      <w:pPr>
        <w:spacing w:before="77"/>
        <w:ind w:left="141" w:right="0" w:firstLine="0"/>
        <w:jc w:val="left"/>
        <w:rPr>
          <w:rFonts w:ascii="宋体" w:hAnsi="宋体" w:cs="宋体" w:eastAsia="宋体" w:hint="default"/>
          <w:sz w:val="18"/>
          <w:szCs w:val="18"/>
        </w:rPr>
      </w:pPr>
      <w:r>
        <w:rPr>
          <w:rFonts w:ascii="宋体" w:hAnsi="宋体" w:cs="宋体" w:eastAsia="宋体" w:hint="default"/>
          <w:sz w:val="18"/>
          <w:szCs w:val="18"/>
        </w:rPr>
        <w:t>商变更登记手续尚未办理完毕</w:t>
      </w:r>
    </w:p>
    <w:p>
      <w:pPr>
        <w:spacing w:after="0"/>
        <w:jc w:val="left"/>
        <w:rPr>
          <w:rFonts w:ascii="宋体" w:hAnsi="宋体" w:cs="宋体" w:eastAsia="宋体" w:hint="default"/>
          <w:sz w:val="18"/>
          <w:szCs w:val="18"/>
        </w:rPr>
        <w:sectPr>
          <w:type w:val="continuous"/>
          <w:pgSz w:w="16840" w:h="11910" w:orient="landscape"/>
          <w:pgMar w:top="1060" w:bottom="1160" w:left="900" w:right="1100"/>
          <w:cols w:num="4" w:equalWidth="0">
            <w:col w:w="2122" w:space="2839"/>
            <w:col w:w="3347" w:space="1475"/>
            <w:col w:w="907" w:space="935"/>
            <w:col w:w="3215"/>
          </w:cols>
        </w:sectPr>
      </w:pPr>
    </w:p>
    <w:p>
      <w:pPr>
        <w:spacing w:line="240" w:lineRule="auto" w:before="10"/>
        <w:rPr>
          <w:rFonts w:ascii="宋体" w:hAnsi="宋体" w:cs="宋体" w:eastAsia="宋体" w:hint="default"/>
          <w:sz w:val="17"/>
          <w:szCs w:val="17"/>
        </w:rPr>
      </w:pPr>
    </w:p>
    <w:p>
      <w:pPr>
        <w:tabs>
          <w:tab w:pos="3968" w:val="left" w:leader="none"/>
        </w:tabs>
        <w:spacing w:before="0"/>
        <w:ind w:left="2269" w:right="-20" w:firstLine="0"/>
        <w:jc w:val="left"/>
        <w:rPr>
          <w:rFonts w:ascii="宋体" w:hAnsi="宋体" w:cs="宋体" w:eastAsia="宋体" w:hint="default"/>
          <w:sz w:val="18"/>
          <w:szCs w:val="18"/>
        </w:rPr>
      </w:pPr>
      <w:r>
        <w:rPr>
          <w:rFonts w:ascii="宋体" w:hAnsi="宋体" w:cs="宋体" w:eastAsia="宋体" w:hint="default"/>
          <w:sz w:val="18"/>
          <w:szCs w:val="18"/>
        </w:rPr>
        <w:t>国广控股</w:t>
        <w:tab/>
        <w:t>其他承诺</w:t>
      </w:r>
    </w:p>
    <w:p>
      <w:pPr>
        <w:spacing w:before="75"/>
        <w:ind w:left="373" w:right="-10" w:firstLine="0"/>
        <w:jc w:val="left"/>
        <w:rPr>
          <w:rFonts w:ascii="宋体" w:hAnsi="宋体" w:cs="宋体" w:eastAsia="宋体" w:hint="default"/>
          <w:sz w:val="18"/>
          <w:szCs w:val="18"/>
        </w:rPr>
      </w:pPr>
      <w:r>
        <w:rPr/>
        <w:br w:type="column"/>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个月内不转让持有的国广资产</w:t>
      </w:r>
    </w:p>
    <w:p>
      <w:pPr>
        <w:spacing w:line="319" w:lineRule="auto" w:before="77"/>
        <w:ind w:left="373" w:right="-10" w:firstLine="0"/>
        <w:jc w:val="left"/>
        <w:rPr>
          <w:rFonts w:ascii="宋体" w:hAnsi="宋体" w:cs="宋体" w:eastAsia="宋体" w:hint="default"/>
          <w:sz w:val="18"/>
          <w:szCs w:val="18"/>
        </w:rPr>
      </w:pPr>
      <w:r>
        <w:rPr>
          <w:rFonts w:ascii="宋体" w:hAnsi="宋体" w:cs="宋体" w:eastAsia="宋体" w:hint="default"/>
          <w:spacing w:val="-2"/>
          <w:sz w:val="18"/>
          <w:szCs w:val="18"/>
        </w:rPr>
        <w:t>58.0344%</w:t>
      </w:r>
      <w:r>
        <w:rPr>
          <w:rFonts w:ascii="宋体" w:hAnsi="宋体" w:cs="宋体" w:eastAsia="宋体" w:hint="default"/>
          <w:spacing w:val="-2"/>
          <w:sz w:val="18"/>
          <w:szCs w:val="18"/>
        </w:rPr>
        <w:t>股权，也不通过国广资产间接转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让拥有权益的华闻传媒的股份。</w:t>
      </w:r>
    </w:p>
    <w:p>
      <w:pPr>
        <w:spacing w:line="240" w:lineRule="auto" w:before="10"/>
        <w:rPr>
          <w:rFonts w:ascii="宋体" w:hAnsi="宋体" w:cs="宋体" w:eastAsia="宋体" w:hint="default"/>
          <w:sz w:val="17"/>
          <w:szCs w:val="17"/>
        </w:rPr>
      </w:pPr>
      <w:r>
        <w:rPr/>
        <w:br w:type="column"/>
      </w:r>
      <w:r>
        <w:rPr>
          <w:rFonts w:ascii="宋体"/>
          <w:sz w:val="17"/>
        </w:rPr>
      </w:r>
    </w:p>
    <w:p>
      <w:pPr>
        <w:spacing w:before="0"/>
        <w:ind w:left="16" w:right="-16"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196" w:lineRule="exact" w:before="76"/>
        <w:ind w:left="3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自</w:t>
      </w:r>
      <w:r>
        <w:rPr>
          <w:rFonts w:ascii="宋体" w:hAnsi="宋体" w:cs="宋体" w:eastAsia="宋体" w:hint="default"/>
          <w:spacing w:val="-63"/>
          <w:sz w:val="18"/>
          <w:szCs w:val="18"/>
        </w:rPr>
        <w:t> </w:t>
      </w:r>
      <w:r>
        <w:rPr>
          <w:rFonts w:ascii="宋体" w:hAnsi="宋体" w:cs="宋体" w:eastAsia="宋体" w:hint="default"/>
          <w:sz w:val="18"/>
          <w:szCs w:val="18"/>
        </w:rPr>
        <w:t>2018</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7</w:t>
      </w:r>
      <w:r>
        <w:rPr>
          <w:rFonts w:ascii="宋体" w:hAnsi="宋体" w:cs="宋体" w:eastAsia="宋体" w:hint="default"/>
          <w:spacing w:val="-6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宋体" w:hAnsi="宋体" w:cs="宋体" w:eastAsia="宋体" w:hint="default"/>
          <w:sz w:val="18"/>
          <w:szCs w:val="18"/>
        </w:rPr>
        <w:t>13</w:t>
      </w:r>
      <w:r>
        <w:rPr>
          <w:rFonts w:ascii="宋体" w:hAnsi="宋体" w:cs="宋体" w:eastAsia="宋体" w:hint="default"/>
          <w:spacing w:val="-63"/>
          <w:sz w:val="18"/>
          <w:szCs w:val="18"/>
        </w:rPr>
        <w:t> </w:t>
      </w:r>
      <w:r>
        <w:rPr>
          <w:rFonts w:ascii="宋体" w:hAnsi="宋体" w:cs="宋体" w:eastAsia="宋体" w:hint="default"/>
          <w:sz w:val="18"/>
          <w:szCs w:val="18"/>
        </w:rPr>
        <w:t>日起，</w:t>
      </w:r>
    </w:p>
    <w:p>
      <w:pPr>
        <w:spacing w:line="156" w:lineRule="exact" w:before="0"/>
        <w:ind w:left="1858" w:right="1971" w:firstLine="0"/>
        <w:jc w:val="center"/>
        <w:rPr>
          <w:rFonts w:ascii="宋体" w:hAnsi="宋体" w:cs="宋体" w:eastAsia="宋体" w:hint="default"/>
          <w:sz w:val="18"/>
          <w:szCs w:val="18"/>
        </w:rPr>
      </w:pPr>
      <w:r>
        <w:rPr>
          <w:rFonts w:ascii="宋体" w:hAnsi="宋体" w:cs="宋体" w:eastAsia="宋体" w:hint="default"/>
          <w:sz w:val="18"/>
          <w:szCs w:val="18"/>
        </w:rPr>
        <w:t>正在履行之中</w:t>
      </w:r>
    </w:p>
    <w:p>
      <w:pPr>
        <w:spacing w:line="196" w:lineRule="exact" w:before="0"/>
        <w:ind w:left="35" w:right="0" w:firstLine="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w:t>
      </w:r>
    </w:p>
    <w:p>
      <w:pPr>
        <w:spacing w:after="0" w:line="196" w:lineRule="exact"/>
        <w:jc w:val="left"/>
        <w:rPr>
          <w:rFonts w:ascii="宋体" w:hAnsi="宋体" w:cs="宋体" w:eastAsia="宋体" w:hint="default"/>
          <w:sz w:val="18"/>
          <w:szCs w:val="18"/>
        </w:rPr>
        <w:sectPr>
          <w:type w:val="continuous"/>
          <w:pgSz w:w="16840" w:h="11910" w:orient="landscape"/>
          <w:pgMar w:top="1060" w:bottom="1160" w:left="900" w:right="1100"/>
          <w:cols w:num="4" w:equalWidth="0">
            <w:col w:w="4689" w:space="40"/>
            <w:col w:w="3580" w:space="40"/>
            <w:col w:w="1502" w:space="40"/>
            <w:col w:w="4949"/>
          </w:cols>
        </w:sectPr>
      </w:pPr>
    </w:p>
    <w:p>
      <w:pPr>
        <w:spacing w:line="240" w:lineRule="auto" w:before="1"/>
        <w:rPr>
          <w:rFonts w:ascii="宋体" w:hAnsi="宋体" w:cs="宋体" w:eastAsia="宋体" w:hint="default"/>
          <w:sz w:val="20"/>
          <w:szCs w:val="20"/>
        </w:rPr>
      </w:pPr>
    </w:p>
    <w:p>
      <w:pPr>
        <w:tabs>
          <w:tab w:pos="3968" w:val="left" w:leader="none"/>
        </w:tabs>
        <w:spacing w:line="212" w:lineRule="exact" w:before="0"/>
        <w:ind w:left="2269" w:right="-20" w:firstLine="0"/>
        <w:jc w:val="left"/>
        <w:rPr>
          <w:rFonts w:ascii="宋体" w:hAnsi="宋体" w:cs="宋体" w:eastAsia="宋体" w:hint="default"/>
          <w:sz w:val="18"/>
          <w:szCs w:val="18"/>
        </w:rPr>
      </w:pPr>
      <w:r>
        <w:rPr>
          <w:rFonts w:ascii="宋体" w:hAnsi="宋体" w:cs="宋体" w:eastAsia="宋体" w:hint="default"/>
          <w:sz w:val="18"/>
          <w:szCs w:val="18"/>
        </w:rPr>
        <w:t>国广资产</w:t>
        <w:tab/>
        <w:t>其他承诺</w:t>
      </w:r>
    </w:p>
    <w:p>
      <w:pPr>
        <w:spacing w:before="107"/>
        <w:ind w:left="373" w:right="-16" w:firstLine="0"/>
        <w:jc w:val="left"/>
        <w:rPr>
          <w:rFonts w:ascii="宋体" w:hAnsi="宋体" w:cs="宋体" w:eastAsia="宋体" w:hint="default"/>
          <w:sz w:val="18"/>
          <w:szCs w:val="18"/>
        </w:rPr>
      </w:pPr>
      <w:r>
        <w:rPr/>
        <w:br w:type="column"/>
      </w:r>
      <w:r>
        <w:rPr>
          <w:rFonts w:ascii="宋体" w:hAnsi="宋体" w:cs="宋体" w:eastAsia="宋体" w:hint="default"/>
          <w:sz w:val="18"/>
          <w:szCs w:val="18"/>
        </w:rPr>
        <w:t>自</w:t>
      </w:r>
      <w:r>
        <w:rPr>
          <w:rFonts w:ascii="宋体" w:hAnsi="宋体" w:cs="宋体" w:eastAsia="宋体" w:hint="default"/>
          <w:spacing w:val="-51"/>
          <w:sz w:val="18"/>
          <w:szCs w:val="18"/>
        </w:rPr>
        <w:t> </w:t>
      </w:r>
      <w:r>
        <w:rPr>
          <w:rFonts w:ascii="宋体" w:hAnsi="宋体" w:cs="宋体" w:eastAsia="宋体" w:hint="default"/>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7</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13</w:t>
      </w:r>
      <w:r>
        <w:rPr>
          <w:rFonts w:ascii="宋体" w:hAnsi="宋体" w:cs="宋体" w:eastAsia="宋体" w:hint="default"/>
          <w:spacing w:val="-51"/>
          <w:sz w:val="18"/>
          <w:szCs w:val="18"/>
        </w:rPr>
        <w:t> </w:t>
      </w:r>
      <w:r>
        <w:rPr>
          <w:rFonts w:ascii="宋体" w:hAnsi="宋体" w:cs="宋体" w:eastAsia="宋体" w:hint="default"/>
          <w:sz w:val="18"/>
          <w:szCs w:val="18"/>
        </w:rPr>
        <w:t>日工商登记完成之日起</w:t>
      </w:r>
    </w:p>
    <w:p>
      <w:pPr>
        <w:spacing w:line="240" w:lineRule="auto" w:before="1"/>
        <w:rPr>
          <w:rFonts w:ascii="宋体" w:hAnsi="宋体" w:cs="宋体" w:eastAsia="宋体" w:hint="default"/>
          <w:sz w:val="20"/>
          <w:szCs w:val="20"/>
        </w:rPr>
      </w:pPr>
      <w:r>
        <w:rPr/>
        <w:br w:type="column"/>
      </w:r>
      <w:r>
        <w:rPr>
          <w:rFonts w:ascii="宋体"/>
          <w:sz w:val="20"/>
        </w:rPr>
      </w:r>
    </w:p>
    <w:p>
      <w:pPr>
        <w:spacing w:line="212" w:lineRule="exact" w:before="0"/>
        <w:ind w:left="16" w:right="-16"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196" w:lineRule="exact" w:before="107"/>
        <w:ind w:left="3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自</w:t>
      </w:r>
      <w:r>
        <w:rPr>
          <w:rFonts w:ascii="宋体" w:hAnsi="宋体" w:cs="宋体" w:eastAsia="宋体" w:hint="default"/>
          <w:spacing w:val="-63"/>
          <w:sz w:val="18"/>
          <w:szCs w:val="18"/>
        </w:rPr>
        <w:t> </w:t>
      </w:r>
      <w:r>
        <w:rPr>
          <w:rFonts w:ascii="宋体" w:hAnsi="宋体" w:cs="宋体" w:eastAsia="宋体" w:hint="default"/>
          <w:sz w:val="18"/>
          <w:szCs w:val="18"/>
        </w:rPr>
        <w:t>2018</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7</w:t>
      </w:r>
      <w:r>
        <w:rPr>
          <w:rFonts w:ascii="宋体" w:hAnsi="宋体" w:cs="宋体" w:eastAsia="宋体" w:hint="default"/>
          <w:spacing w:val="-6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宋体" w:hAnsi="宋体" w:cs="宋体" w:eastAsia="宋体" w:hint="default"/>
          <w:sz w:val="18"/>
          <w:szCs w:val="18"/>
        </w:rPr>
        <w:t>13</w:t>
      </w:r>
      <w:r>
        <w:rPr>
          <w:rFonts w:ascii="宋体" w:hAnsi="宋体" w:cs="宋体" w:eastAsia="宋体" w:hint="default"/>
          <w:spacing w:val="-63"/>
          <w:sz w:val="18"/>
          <w:szCs w:val="18"/>
        </w:rPr>
        <w:t> </w:t>
      </w:r>
      <w:r>
        <w:rPr>
          <w:rFonts w:ascii="宋体" w:hAnsi="宋体" w:cs="宋体" w:eastAsia="宋体" w:hint="default"/>
          <w:sz w:val="18"/>
          <w:szCs w:val="18"/>
        </w:rPr>
        <w:t>日起，</w:t>
      </w:r>
    </w:p>
    <w:p>
      <w:pPr>
        <w:spacing w:line="172" w:lineRule="exact" w:before="0"/>
        <w:ind w:left="1858" w:right="1971" w:firstLine="0"/>
        <w:jc w:val="center"/>
        <w:rPr>
          <w:rFonts w:ascii="宋体" w:hAnsi="宋体" w:cs="宋体" w:eastAsia="宋体" w:hint="default"/>
          <w:sz w:val="18"/>
          <w:szCs w:val="18"/>
        </w:rPr>
      </w:pPr>
      <w:r>
        <w:rPr>
          <w:rFonts w:ascii="宋体" w:hAnsi="宋体" w:cs="宋体" w:eastAsia="宋体" w:hint="default"/>
          <w:sz w:val="18"/>
          <w:szCs w:val="18"/>
        </w:rPr>
        <w:t>正在履行之中</w:t>
      </w:r>
    </w:p>
    <w:p>
      <w:pPr>
        <w:spacing w:after="0" w:line="172" w:lineRule="exact"/>
        <w:jc w:val="center"/>
        <w:rPr>
          <w:rFonts w:ascii="宋体" w:hAnsi="宋体" w:cs="宋体" w:eastAsia="宋体" w:hint="default"/>
          <w:sz w:val="18"/>
          <w:szCs w:val="18"/>
        </w:rPr>
        <w:sectPr>
          <w:type w:val="continuous"/>
          <w:pgSz w:w="16840" w:h="11910" w:orient="landscape"/>
          <w:pgMar w:top="1060" w:bottom="1160" w:left="900" w:right="1100"/>
          <w:cols w:num="4" w:equalWidth="0">
            <w:col w:w="4689" w:space="40"/>
            <w:col w:w="3580" w:space="40"/>
            <w:col w:w="1502" w:space="40"/>
            <w:col w:w="4949"/>
          </w:cols>
        </w:sectPr>
      </w:pPr>
    </w:p>
    <w:p>
      <w:pPr>
        <w:tabs>
          <w:tab w:pos="9924" w:val="left" w:leader="none"/>
        </w:tabs>
        <w:spacing w:line="180" w:lineRule="exact" w:before="0"/>
        <w:ind w:left="5102" w:right="0" w:firstLine="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个月内不转让持有的华闻传媒的股份。</w:t>
        <w:tab/>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6840" w:h="11910" w:orient="landscape"/>
          <w:pgMar w:top="1060" w:bottom="1160" w:left="900" w:right="110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tabs>
          <w:tab w:pos="3968" w:val="left" w:leader="none"/>
        </w:tabs>
        <w:spacing w:before="0"/>
        <w:ind w:left="2269" w:right="-20" w:firstLine="0"/>
        <w:jc w:val="left"/>
        <w:rPr>
          <w:rFonts w:ascii="宋体" w:hAnsi="宋体" w:cs="宋体" w:eastAsia="宋体" w:hint="default"/>
          <w:sz w:val="18"/>
          <w:szCs w:val="18"/>
        </w:rPr>
      </w:pPr>
      <w:r>
        <w:rPr>
          <w:rFonts w:ascii="宋体" w:hAnsi="宋体" w:cs="宋体" w:eastAsia="宋体" w:hint="default"/>
          <w:sz w:val="18"/>
          <w:szCs w:val="18"/>
        </w:rPr>
        <w:t>拉萨融威</w:t>
        <w:tab/>
        <w:t>其他承诺</w:t>
      </w:r>
    </w:p>
    <w:p>
      <w:pPr>
        <w:spacing w:line="316" w:lineRule="auto" w:before="44"/>
        <w:ind w:left="373"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自国广控股</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股权转让的工商变更登记 完成之日起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个月内不转让持有的国广 控股</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股权，也不通过国广控股间接转 让拥有权益的华闻传媒的股份。</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spacing w:before="0"/>
        <w:ind w:left="27" w:right="-16"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316" w:lineRule="auto" w:before="44"/>
        <w:ind w:left="35"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自国广控股</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股权转 让的工商变更登记完 成之日（目前尚未完 成）起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spacing w:before="0"/>
        <w:ind w:left="47" w:right="0" w:firstLine="0"/>
        <w:jc w:val="left"/>
        <w:rPr>
          <w:rFonts w:ascii="宋体" w:hAnsi="宋体" w:cs="宋体" w:eastAsia="宋体" w:hint="default"/>
          <w:sz w:val="18"/>
          <w:szCs w:val="18"/>
        </w:rPr>
      </w:pPr>
      <w:r>
        <w:rPr>
          <w:rFonts w:ascii="宋体" w:hAnsi="宋体" w:cs="宋体" w:eastAsia="宋体" w:hint="default"/>
          <w:sz w:val="18"/>
          <w:szCs w:val="18"/>
        </w:rPr>
        <w:t>正在履行之中</w:t>
      </w:r>
    </w:p>
    <w:p>
      <w:pPr>
        <w:spacing w:after="0"/>
        <w:jc w:val="left"/>
        <w:rPr>
          <w:rFonts w:ascii="宋体" w:hAnsi="宋体" w:cs="宋体" w:eastAsia="宋体" w:hint="default"/>
          <w:sz w:val="18"/>
          <w:szCs w:val="18"/>
        </w:rPr>
        <w:sectPr>
          <w:type w:val="continuous"/>
          <w:pgSz w:w="16840" w:h="11910" w:orient="landscape"/>
          <w:pgMar w:top="1060" w:bottom="1160" w:left="900" w:right="1100"/>
          <w:cols w:num="5" w:equalWidth="0">
            <w:col w:w="4689" w:space="40"/>
            <w:col w:w="3569" w:space="40"/>
            <w:col w:w="1512" w:space="40"/>
            <w:col w:w="1791" w:space="40"/>
            <w:col w:w="3119"/>
          </w:cols>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127"/>
        <w:gridCol w:w="1700"/>
        <w:gridCol w:w="1134"/>
        <w:gridCol w:w="3262"/>
        <w:gridCol w:w="1560"/>
        <w:gridCol w:w="1842"/>
        <w:gridCol w:w="2978"/>
      </w:tblGrid>
      <w:tr>
        <w:trPr>
          <w:trHeight w:val="1977" w:hRule="exact"/>
        </w:trPr>
        <w:tc>
          <w:tcPr>
            <w:tcW w:w="2127" w:type="dxa"/>
            <w:vMerge w:val="restart"/>
            <w:tcBorders>
              <w:top w:val="single" w:sz="15" w:space="0" w:color="000000"/>
              <w:left w:val="single" w:sz="4" w:space="0" w:color="000000"/>
              <w:right w:val="single" w:sz="4" w:space="0" w:color="000000"/>
            </w:tcBorders>
            <w:shd w:val="clear" w:color="auto" w:fill="D2D2D2"/>
          </w:tcPr>
          <w:p>
            <w:pPr/>
          </w:p>
        </w:tc>
        <w:tc>
          <w:tcPr>
            <w:tcW w:w="17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262"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自国广控股股东由和平财富变更为拉萨 </w:t>
            </w:r>
            <w:r>
              <w:rPr>
                <w:rFonts w:ascii="宋体" w:hAnsi="宋体" w:cs="宋体" w:eastAsia="宋体" w:hint="default"/>
                <w:spacing w:val="-2"/>
                <w:sz w:val="18"/>
                <w:szCs w:val="18"/>
              </w:rPr>
              <w:t>融威之日（即国广控股本次股东变更的工</w:t>
            </w:r>
            <w:r>
              <w:rPr>
                <w:rFonts w:ascii="宋体" w:hAnsi="宋体" w:cs="宋体" w:eastAsia="宋体" w:hint="default"/>
                <w:sz w:val="18"/>
                <w:szCs w:val="18"/>
              </w:rPr>
              <w:t> 商登记完成之日）起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个月内不转让截 至本承诺出具之日持有的国广资产股权， 也不通过国广资产间接转让拥有权益的 华闻传媒的股份。</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自国广控股股东由和 平财富变更为拉萨融 </w:t>
            </w:r>
            <w:r>
              <w:rPr>
                <w:rFonts w:ascii="宋体" w:hAnsi="宋体" w:cs="宋体" w:eastAsia="宋体" w:hint="default"/>
                <w:spacing w:val="-2"/>
                <w:sz w:val="18"/>
                <w:szCs w:val="18"/>
              </w:rPr>
              <w:t>威之日〔即国广控股本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次股东变更的工商登 </w:t>
            </w:r>
            <w:r>
              <w:rPr>
                <w:rFonts w:ascii="宋体" w:hAnsi="宋体" w:cs="宋体" w:eastAsia="宋体" w:hint="default"/>
                <w:spacing w:val="-2"/>
                <w:sz w:val="18"/>
                <w:szCs w:val="18"/>
              </w:rPr>
              <w:t>记完成之日（目前尚未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8"/>
                <w:sz w:val="18"/>
                <w:szCs w:val="18"/>
              </w:rPr>
              <w:t>完成）〕起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个月内</w:t>
            </w:r>
          </w:p>
        </w:tc>
        <w:tc>
          <w:tcPr>
            <w:tcW w:w="29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正在履行之中</w:t>
            </w:r>
          </w:p>
        </w:tc>
      </w:tr>
      <w:tr>
        <w:trPr>
          <w:trHeight w:val="2274"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国广资产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22"/>
              <w:jc w:val="left"/>
              <w:rPr>
                <w:rFonts w:ascii="宋体" w:hAnsi="宋体" w:cs="宋体" w:eastAsia="宋体" w:hint="default"/>
                <w:sz w:val="18"/>
                <w:szCs w:val="18"/>
              </w:rPr>
            </w:pPr>
            <w:r>
              <w:rPr>
                <w:rFonts w:ascii="宋体" w:hAnsi="宋体" w:cs="宋体" w:eastAsia="宋体" w:hint="default"/>
                <w:sz w:val="18"/>
                <w:szCs w:val="18"/>
              </w:rPr>
              <w:t>自国广资产控股股东国广控股的共同控 </w:t>
            </w:r>
            <w:r>
              <w:rPr>
                <w:rFonts w:ascii="宋体" w:hAnsi="宋体" w:cs="宋体" w:eastAsia="宋体" w:hint="default"/>
                <w:spacing w:val="-2"/>
                <w:sz w:val="18"/>
                <w:szCs w:val="18"/>
              </w:rPr>
              <w:t>制人发生变更之日（即国广控股本次股东</w:t>
            </w:r>
            <w:r>
              <w:rPr>
                <w:rFonts w:ascii="宋体" w:hAnsi="宋体" w:cs="宋体" w:eastAsia="宋体" w:hint="default"/>
                <w:sz w:val="18"/>
                <w:szCs w:val="18"/>
              </w:rPr>
              <w:t> 变更的工商登记完成之日）起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 不转让持有的华闻传媒的股份。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自国广资产控股股东 国广控股的共同控制 </w:t>
            </w:r>
            <w:r>
              <w:rPr>
                <w:rFonts w:ascii="宋体" w:hAnsi="宋体" w:cs="宋体" w:eastAsia="宋体" w:hint="default"/>
                <w:spacing w:val="-2"/>
                <w:sz w:val="18"/>
                <w:szCs w:val="18"/>
              </w:rPr>
              <w:t>人发生变更之日〔即国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广控股本次股东变更 的工商登记完成之日</w:t>
            </w:r>
          </w:p>
          <w:p>
            <w:pPr>
              <w:pStyle w:val="TableParagraph"/>
              <w:spacing w:line="319" w:lineRule="auto" w:before="19"/>
              <w:ind w:left="22" w:right="97"/>
              <w:jc w:val="left"/>
              <w:rPr>
                <w:rFonts w:ascii="宋体" w:hAnsi="宋体" w:cs="宋体" w:eastAsia="宋体" w:hint="default"/>
                <w:sz w:val="18"/>
                <w:szCs w:val="18"/>
              </w:rPr>
            </w:pPr>
            <w:r>
              <w:rPr>
                <w:rFonts w:ascii="宋体" w:hAnsi="宋体" w:cs="宋体" w:eastAsia="宋体" w:hint="default"/>
                <w:spacing w:val="-9"/>
                <w:sz w:val="18"/>
                <w:szCs w:val="18"/>
              </w:rPr>
              <w:t>（目前尚未完成）〕起</w:t>
            </w:r>
            <w:r>
              <w:rPr>
                <w:rFonts w:ascii="宋体" w:hAnsi="宋体" w:cs="宋体" w:eastAsia="宋体" w:hint="default"/>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正在履行之中</w:t>
            </w:r>
          </w:p>
        </w:tc>
      </w:tr>
      <w:tr>
        <w:trPr>
          <w:trHeight w:val="4770"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70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3" w:right="-39"/>
              <w:jc w:val="left"/>
              <w:rPr>
                <w:rFonts w:ascii="宋体" w:hAnsi="宋体" w:cs="宋体" w:eastAsia="宋体" w:hint="default"/>
                <w:sz w:val="18"/>
                <w:szCs w:val="18"/>
              </w:rPr>
            </w:pPr>
            <w:r>
              <w:rPr>
                <w:rFonts w:ascii="宋体" w:hAnsi="宋体" w:cs="宋体" w:eastAsia="宋体" w:hint="default"/>
                <w:spacing w:val="-11"/>
                <w:sz w:val="18"/>
                <w:szCs w:val="18"/>
              </w:rPr>
              <w:t>华路新材、新疆锐盈、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拉萨澄怀、拉萨观道</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16" w:right="199"/>
              <w:jc w:val="left"/>
              <w:rPr>
                <w:rFonts w:ascii="宋体" w:hAnsi="宋体" w:cs="宋体" w:eastAsia="宋体" w:hint="default"/>
                <w:sz w:val="18"/>
                <w:szCs w:val="18"/>
              </w:rPr>
            </w:pPr>
            <w:r>
              <w:rPr>
                <w:rFonts w:ascii="宋体" w:hAnsi="宋体" w:cs="宋体" w:eastAsia="宋体" w:hint="default"/>
                <w:sz w:val="18"/>
                <w:szCs w:val="18"/>
              </w:rPr>
              <w:t>股份限售承 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52" w:lineRule="exact"/>
              <w:ind w:left="16"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53.95pt;height:17.650pt;mso-position-horizontal-relative:char;mso-position-vertical-relative:line" coordorigin="0,0" coordsize="1079,353">
                  <v:group style="position:absolute;left:0;top:0;width:1079;height:353" coordorigin="0,0" coordsize="1079,353">
                    <v:shape style="position:absolute;left:0;top:0;width:1079;height:353" coordorigin="0,0" coordsize="1079,353" path="m0,353l1079,353,1079,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2"/>
                <w:sz w:val="18"/>
                <w:szCs w:val="18"/>
              </w:rPr>
              <w:t>关于股份锁定的承诺：华路新材、新疆锐</w:t>
            </w:r>
            <w:r>
              <w:rPr>
                <w:rFonts w:ascii="宋体" w:hAnsi="宋体" w:cs="宋体" w:eastAsia="宋体" w:hint="default"/>
                <w:sz w:val="18"/>
                <w:szCs w:val="18"/>
              </w:rPr>
              <w:t> </w:t>
            </w:r>
            <w:r>
              <w:rPr>
                <w:rFonts w:ascii="宋体" w:hAnsi="宋体" w:cs="宋体" w:eastAsia="宋体" w:hint="default"/>
                <w:spacing w:val="-2"/>
                <w:sz w:val="18"/>
                <w:szCs w:val="18"/>
              </w:rPr>
              <w:t>盈、拉萨澄怀、拉萨观道认购的所有股份</w:t>
            </w:r>
          </w:p>
          <w:p>
            <w:pPr>
              <w:pStyle w:val="TableParagraph"/>
              <w:spacing w:line="316" w:lineRule="auto" w:before="19"/>
              <w:ind w:left="22" w:right="22"/>
              <w:jc w:val="both"/>
              <w:rPr>
                <w:rFonts w:ascii="宋体" w:hAnsi="宋体" w:cs="宋体" w:eastAsia="宋体" w:hint="default"/>
                <w:sz w:val="18"/>
                <w:szCs w:val="18"/>
              </w:rPr>
            </w:pPr>
            <w:r>
              <w:rPr>
                <w:rFonts w:ascii="宋体" w:hAnsi="宋体" w:cs="宋体" w:eastAsia="宋体" w:hint="default"/>
                <w:spacing w:val="-2"/>
                <w:sz w:val="18"/>
                <w:szCs w:val="18"/>
              </w:rPr>
              <w:t>（包括但不限于送红股、转增股本等原因</w:t>
            </w:r>
            <w:r>
              <w:rPr>
                <w:rFonts w:ascii="宋体" w:hAnsi="宋体" w:cs="宋体" w:eastAsia="宋体" w:hint="default"/>
                <w:sz w:val="18"/>
                <w:szCs w:val="18"/>
              </w:rPr>
              <w:t> </w:t>
            </w:r>
            <w:r>
              <w:rPr>
                <w:rFonts w:ascii="宋体" w:hAnsi="宋体" w:cs="宋体" w:eastAsia="宋体" w:hint="default"/>
                <w:spacing w:val="-2"/>
                <w:sz w:val="18"/>
                <w:szCs w:val="18"/>
              </w:rPr>
              <w:t>增持的股份）自本次股份上市之日（</w:t>
            </w:r>
            <w:r>
              <w:rPr>
                <w:rFonts w:ascii="宋体" w:hAnsi="宋体" w:cs="宋体" w:eastAsia="宋体" w:hint="default"/>
                <w:spacing w:val="-2"/>
                <w:sz w:val="18"/>
                <w:szCs w:val="18"/>
              </w:rPr>
              <w:t>2014</w:t>
            </w:r>
            <w:r>
              <w:rPr>
                <w:rFonts w:ascii="宋体" w:hAnsi="宋体" w:cs="宋体" w:eastAsia="宋体" w:hint="default"/>
                <w:spacing w:val="-8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个月内不进行转让，</w:t>
            </w:r>
          </w:p>
          <w:p>
            <w:pPr>
              <w:pStyle w:val="TableParagraph"/>
              <w:spacing w:line="319"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个月内转让股份数量不超过其本次认 购股份总数的</w:t>
            </w:r>
            <w:r>
              <w:rPr>
                <w:rFonts w:ascii="宋体" w:hAnsi="宋体" w:cs="宋体" w:eastAsia="宋体" w:hint="default"/>
                <w:spacing w:val="-46"/>
                <w:sz w:val="18"/>
                <w:szCs w:val="18"/>
              </w:rPr>
              <w:t> </w:t>
            </w:r>
            <w:r>
              <w:rPr>
                <w:rFonts w:ascii="宋体" w:hAnsi="宋体" w:cs="宋体" w:eastAsia="宋体" w:hint="default"/>
                <w:spacing w:val="-6"/>
                <w:sz w:val="18"/>
                <w:szCs w:val="18"/>
              </w:rPr>
              <w:t>40%</w:t>
            </w:r>
            <w:r>
              <w:rPr>
                <w:rFonts w:ascii="宋体" w:hAnsi="宋体" w:cs="宋体" w:eastAsia="宋体" w:hint="default"/>
                <w:spacing w:val="-6"/>
                <w:sz w:val="18"/>
                <w:szCs w:val="18"/>
              </w:rPr>
              <w:t>，</w:t>
            </w:r>
            <w:r>
              <w:rPr>
                <w:rFonts w:ascii="宋体" w:hAnsi="宋体" w:cs="宋体" w:eastAsia="宋体" w:hint="default"/>
                <w:spacing w:val="-6"/>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个月内转让股份数 量不超过其本次认购股份总数的</w:t>
            </w:r>
            <w:r>
              <w:rPr>
                <w:rFonts w:ascii="宋体" w:hAnsi="宋体" w:cs="宋体" w:eastAsia="宋体" w:hint="default"/>
                <w:spacing w:val="-46"/>
                <w:sz w:val="18"/>
                <w:szCs w:val="18"/>
              </w:rPr>
              <w:t> </w:t>
            </w:r>
            <w:r>
              <w:rPr>
                <w:rFonts w:ascii="宋体" w:hAnsi="宋体" w:cs="宋体" w:eastAsia="宋体" w:hint="default"/>
                <w:sz w:val="18"/>
                <w:szCs w:val="18"/>
              </w:rPr>
              <w:t>60%</w:t>
            </w:r>
            <w:r>
              <w:rPr>
                <w:rFonts w:ascii="宋体" w:hAnsi="宋体" w:cs="宋体" w:eastAsia="宋体" w:hint="default"/>
                <w:sz w:val="18"/>
                <w:szCs w:val="18"/>
              </w:rPr>
              <w:t>，</w:t>
            </w:r>
            <w:r>
              <w:rPr>
                <w:rFonts w:ascii="宋体" w:hAnsi="宋体" w:cs="宋体" w:eastAsia="宋体" w:hint="default"/>
                <w:sz w:val="18"/>
                <w:szCs w:val="18"/>
              </w:rPr>
              <w:t>48 </w:t>
            </w:r>
            <w:r>
              <w:rPr>
                <w:rFonts w:ascii="宋体" w:hAnsi="宋体" w:cs="宋体" w:eastAsia="宋体" w:hint="default"/>
                <w:sz w:val="18"/>
                <w:szCs w:val="18"/>
              </w:rPr>
              <w:t>个月内转让股份数量不超过其本次认购 股份总数的</w:t>
            </w:r>
            <w:r>
              <w:rPr>
                <w:rFonts w:ascii="宋体" w:hAnsi="宋体" w:cs="宋体" w:eastAsia="宋体" w:hint="default"/>
                <w:spacing w:val="-46"/>
                <w:sz w:val="18"/>
                <w:szCs w:val="18"/>
              </w:rPr>
              <w:t> </w:t>
            </w:r>
            <w:r>
              <w:rPr>
                <w:rFonts w:ascii="宋体" w:hAnsi="宋体" w:cs="宋体" w:eastAsia="宋体" w:hint="default"/>
                <w:spacing w:val="-6"/>
                <w:sz w:val="18"/>
                <w:szCs w:val="18"/>
              </w:rPr>
              <w:t>80%</w:t>
            </w:r>
            <w:r>
              <w:rPr>
                <w:rFonts w:ascii="宋体" w:hAnsi="宋体" w:cs="宋体" w:eastAsia="宋体" w:hint="default"/>
                <w:spacing w:val="-6"/>
                <w:sz w:val="18"/>
                <w:szCs w:val="18"/>
              </w:rPr>
              <w:t>，</w:t>
            </w:r>
            <w:r>
              <w:rPr>
                <w:rFonts w:ascii="宋体" w:hAnsi="宋体" w:cs="宋体" w:eastAsia="宋体" w:hint="default"/>
                <w:spacing w:val="-6"/>
                <w:sz w:val="18"/>
                <w:szCs w:val="18"/>
              </w:rPr>
              <w:t>60</w:t>
            </w:r>
            <w:r>
              <w:rPr>
                <w:rFonts w:ascii="宋体" w:hAnsi="宋体" w:cs="宋体" w:eastAsia="宋体" w:hint="default"/>
                <w:spacing w:val="-46"/>
                <w:sz w:val="18"/>
                <w:szCs w:val="18"/>
              </w:rPr>
              <w:t> </w:t>
            </w:r>
            <w:r>
              <w:rPr>
                <w:rFonts w:ascii="宋体" w:hAnsi="宋体" w:cs="宋体" w:eastAsia="宋体" w:hint="default"/>
                <w:sz w:val="18"/>
                <w:szCs w:val="18"/>
              </w:rPr>
              <w:t>个月内转让股份数量 不超过其本次认购股份总数的</w:t>
            </w:r>
            <w:r>
              <w:rPr>
                <w:rFonts w:ascii="宋体" w:hAnsi="宋体" w:cs="宋体" w:eastAsia="宋体" w:hint="default"/>
                <w:spacing w:val="-46"/>
                <w:sz w:val="18"/>
                <w:szCs w:val="18"/>
              </w:rPr>
              <w:t> </w:t>
            </w:r>
            <w:r>
              <w:rPr>
                <w:rFonts w:ascii="宋体" w:hAnsi="宋体" w:cs="宋体" w:eastAsia="宋体" w:hint="default"/>
                <w:sz w:val="18"/>
                <w:szCs w:val="18"/>
              </w:rPr>
              <w:t>90%</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日起</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978"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1"/>
              <w:ind w:left="16" w:right="22"/>
              <w:jc w:val="both"/>
              <w:rPr>
                <w:rFonts w:ascii="宋体" w:hAnsi="宋体" w:cs="宋体" w:eastAsia="宋体" w:hint="default"/>
                <w:sz w:val="18"/>
                <w:szCs w:val="18"/>
              </w:rPr>
            </w:pPr>
            <w:r>
              <w:rPr>
                <w:rFonts w:ascii="宋体" w:hAnsi="宋体" w:cs="宋体" w:eastAsia="宋体" w:hint="default"/>
                <w:sz w:val="18"/>
                <w:szCs w:val="18"/>
              </w:rPr>
              <w:t>正在履行之中，华路新材、新疆锐盈 所认购股份总数的</w:t>
            </w:r>
            <w:r>
              <w:rPr>
                <w:rFonts w:ascii="宋体" w:hAnsi="宋体" w:cs="宋体" w:eastAsia="宋体" w:hint="default"/>
                <w:spacing w:val="-46"/>
                <w:sz w:val="18"/>
                <w:szCs w:val="18"/>
              </w:rPr>
              <w:t> </w:t>
            </w:r>
            <w:r>
              <w:rPr>
                <w:rFonts w:ascii="宋体" w:hAnsi="宋体" w:cs="宋体" w:eastAsia="宋体" w:hint="default"/>
                <w:sz w:val="18"/>
                <w:szCs w:val="18"/>
              </w:rPr>
              <w:t>40%</w:t>
            </w:r>
            <w:r>
              <w:rPr>
                <w:rFonts w:ascii="宋体" w:hAnsi="宋体" w:cs="宋体" w:eastAsia="宋体" w:hint="default"/>
                <w:sz w:val="18"/>
                <w:szCs w:val="18"/>
              </w:rPr>
              <w:t>已解除限售并 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pacing w:val="-6"/>
                <w:sz w:val="18"/>
                <w:szCs w:val="18"/>
              </w:rPr>
              <w:t>日上市流通，所认购</w:t>
            </w:r>
          </w:p>
          <w:p>
            <w:pPr>
              <w:pStyle w:val="TableParagraph"/>
              <w:spacing w:line="240" w:lineRule="auto" w:before="19"/>
              <w:ind w:left="16" w:right="0"/>
              <w:jc w:val="left"/>
              <w:rPr>
                <w:rFonts w:ascii="宋体" w:hAnsi="宋体" w:cs="宋体" w:eastAsia="宋体" w:hint="default"/>
                <w:sz w:val="18"/>
                <w:szCs w:val="18"/>
              </w:rPr>
            </w:pPr>
            <w:r>
              <w:rPr>
                <w:rFonts w:ascii="宋体" w:hAnsi="宋体" w:cs="宋体" w:eastAsia="宋体" w:hint="default"/>
                <w:sz w:val="18"/>
                <w:szCs w:val="18"/>
              </w:rPr>
              <w:t>股份总数的</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z w:val="18"/>
                <w:szCs w:val="18"/>
              </w:rPr>
              <w:t>已解除限售并于</w:t>
            </w:r>
            <w:r>
              <w:rPr>
                <w:rFonts w:ascii="宋体" w:hAnsi="宋体" w:cs="宋体" w:eastAsia="宋体" w:hint="default"/>
                <w:spacing w:val="-46"/>
                <w:sz w:val="18"/>
                <w:szCs w:val="18"/>
              </w:rPr>
              <w:t> </w:t>
            </w:r>
            <w:r>
              <w:rPr>
                <w:rFonts w:ascii="宋体" w:hAnsi="宋体" w:cs="宋体" w:eastAsia="宋体" w:hint="default"/>
                <w:sz w:val="18"/>
                <w:szCs w:val="18"/>
              </w:rPr>
              <w:t>2016</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pacing w:val="-5"/>
                <w:sz w:val="18"/>
                <w:szCs w:val="18"/>
              </w:rPr>
              <w:t>日上市流通，保留其认购股</w:t>
            </w:r>
          </w:p>
          <w:p>
            <w:pPr>
              <w:pStyle w:val="TableParagraph"/>
              <w:spacing w:line="310" w:lineRule="atLeast" w:before="2"/>
              <w:ind w:left="16" w:right="64"/>
              <w:jc w:val="left"/>
              <w:rPr>
                <w:rFonts w:ascii="宋体" w:hAnsi="宋体" w:cs="宋体" w:eastAsia="宋体" w:hint="default"/>
                <w:sz w:val="18"/>
                <w:szCs w:val="18"/>
              </w:rPr>
            </w:pPr>
            <w:r>
              <w:rPr>
                <w:rFonts w:ascii="宋体" w:hAnsi="宋体" w:cs="宋体" w:eastAsia="宋体" w:hint="default"/>
                <w:sz w:val="18"/>
                <w:szCs w:val="18"/>
              </w:rPr>
              <w:t>份总数扣除</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年公司无 偿回购部分后的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之后剩余的限售</w:t>
            </w:r>
          </w:p>
          <w:p>
            <w:pPr>
              <w:pStyle w:val="TableParagraph"/>
              <w:spacing w:line="11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股份已解除限售并于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p>
          <w:p>
            <w:pPr>
              <w:pStyle w:val="TableParagraph"/>
              <w:spacing w:line="319" w:lineRule="auto" w:before="77"/>
              <w:ind w:left="16" w:right="-26"/>
              <w:jc w:val="left"/>
              <w:rPr>
                <w:rFonts w:ascii="宋体" w:hAnsi="宋体" w:cs="宋体" w:eastAsia="宋体" w:hint="default"/>
                <w:sz w:val="18"/>
                <w:szCs w:val="18"/>
              </w:rPr>
            </w:pPr>
            <w:r>
              <w:rPr>
                <w:rFonts w:ascii="宋体" w:hAnsi="宋体" w:cs="宋体" w:eastAsia="宋体" w:hint="default"/>
                <w:sz w:val="18"/>
                <w:szCs w:val="18"/>
              </w:rPr>
              <w:t>日上市流通，剩余的限售股份已解除 限售并于</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日上市流通； 拉萨澄怀、拉萨观道所认购股份总数 的</w:t>
            </w:r>
            <w:r>
              <w:rPr>
                <w:rFonts w:ascii="宋体" w:hAnsi="宋体" w:cs="宋体" w:eastAsia="宋体" w:hint="default"/>
                <w:spacing w:val="-46"/>
                <w:sz w:val="18"/>
                <w:szCs w:val="18"/>
              </w:rPr>
              <w:t> </w:t>
            </w:r>
            <w:r>
              <w:rPr>
                <w:rFonts w:ascii="宋体" w:hAnsi="宋体" w:cs="宋体" w:eastAsia="宋体" w:hint="default"/>
                <w:sz w:val="18"/>
                <w:szCs w:val="18"/>
              </w:rPr>
              <w:t>40%</w:t>
            </w:r>
            <w:r>
              <w:rPr>
                <w:rFonts w:ascii="宋体" w:hAnsi="宋体" w:cs="宋体" w:eastAsia="宋体" w:hint="default"/>
                <w:sz w:val="18"/>
                <w:szCs w:val="18"/>
              </w:rPr>
              <w:t>已解除限售并于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 </w:t>
            </w:r>
            <w:r>
              <w:rPr>
                <w:rFonts w:ascii="宋体" w:hAnsi="宋体" w:cs="宋体" w:eastAsia="宋体" w:hint="default"/>
                <w:sz w:val="18"/>
                <w:szCs w:val="18"/>
              </w:rPr>
              <w:t>日上市流通，所认购股份总数扣除公 司无偿回购部分后的</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z w:val="18"/>
                <w:szCs w:val="18"/>
              </w:rPr>
              <w:t>已解除限售 并于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624"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146.1pt;height:31.2pt;mso-position-horizontal-relative:char;mso-position-vertical-relative:line" coordorigin="0,0" coordsize="2922,624">
                  <v:group style="position:absolute;left:0;top:0;width:2922;height:312" coordorigin="0,0" coordsize="2922,312">
                    <v:shape style="position:absolute;left:0;top:0;width:2922;height:312" coordorigin="0,0" coordsize="2922,312" path="m0,312l2921,312,2921,0,0,0,0,312xe" filled="true" fillcolor="#ffffff" stroked="false">
                      <v:path arrowok="t"/>
                      <v:fill type="solid"/>
                    </v:shape>
                  </v:group>
                  <v:group style="position:absolute;left:0;top:312;width:2922;height:312" coordorigin="0,312" coordsize="2922,312">
                    <v:shape style="position:absolute;left:0;top:312;width:2922;height:312" coordorigin="0,312" coordsize="2922,312" path="m0,624l2921,624,2921,312,0,312,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r>
      <w:tr>
        <w:trPr>
          <w:trHeight w:val="402"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西藏风网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股份限售承</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2"/>
                <w:sz w:val="18"/>
                <w:szCs w:val="18"/>
              </w:rPr>
              <w:t>关于股份锁定的承诺：西藏风网承诺其所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正在履行之中，所持认购股份总数的</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900" w:right="1100"/>
        </w:sectPr>
      </w:pPr>
    </w:p>
    <w:p>
      <w:pPr>
        <w:spacing w:line="240" w:lineRule="auto" w:before="4"/>
        <w:rPr>
          <w:rFonts w:ascii="Times New Roman" w:hAnsi="Times New Roman" w:cs="Times New Roman" w:eastAsia="Times New Roman" w:hint="default"/>
          <w:sz w:val="3"/>
          <w:szCs w:val="3"/>
        </w:rPr>
      </w:pPr>
      <w:r>
        <w:rPr/>
        <w:pict>
          <v:shape style="position:absolute;margin-left:437.837006pt;margin-top:345.040009pt;width:101.8pt;height:84.8pt;mso-position-horizontal-relative:page;mso-position-vertical-relative:page;z-index:-14921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此外，</w:t>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2127"/>
        <w:gridCol w:w="1700"/>
        <w:gridCol w:w="1134"/>
        <w:gridCol w:w="3262"/>
        <w:gridCol w:w="1560"/>
        <w:gridCol w:w="1842"/>
        <w:gridCol w:w="2987"/>
      </w:tblGrid>
      <w:tr>
        <w:trPr>
          <w:trHeight w:val="2249" w:hRule="exact"/>
        </w:trPr>
        <w:tc>
          <w:tcPr>
            <w:tcW w:w="2127" w:type="dxa"/>
            <w:vMerge w:val="restart"/>
            <w:tcBorders>
              <w:top w:val="single" w:sz="15" w:space="0" w:color="000000"/>
              <w:left w:val="single" w:sz="4" w:space="0" w:color="000000"/>
              <w:right w:val="single" w:sz="4" w:space="0" w:color="000000"/>
            </w:tcBorders>
            <w:shd w:val="clear" w:color="auto" w:fill="D2D2D2"/>
          </w:tcPr>
          <w:p>
            <w:pPr/>
          </w:p>
        </w:tc>
        <w:tc>
          <w:tcPr>
            <w:tcW w:w="1700"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262"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pacing w:val="-2"/>
                <w:sz w:val="18"/>
                <w:szCs w:val="18"/>
              </w:rPr>
              <w:t>认购的股份（包括但不限于，限售期内送</w:t>
            </w:r>
            <w:r>
              <w:rPr>
                <w:rFonts w:ascii="宋体" w:hAnsi="宋体" w:cs="宋体" w:eastAsia="宋体" w:hint="default"/>
                <w:sz w:val="18"/>
                <w:szCs w:val="18"/>
              </w:rPr>
              <w:t> </w:t>
            </w:r>
            <w:r>
              <w:rPr>
                <w:rFonts w:ascii="宋体" w:hAnsi="宋体" w:cs="宋体" w:eastAsia="宋体" w:hint="default"/>
                <w:spacing w:val="-5"/>
                <w:sz w:val="18"/>
                <w:szCs w:val="18"/>
              </w:rPr>
              <w:t>红股、转增股本等原因所增持的股份），</w:t>
            </w:r>
            <w:r>
              <w:rPr>
                <w:rFonts w:ascii="宋体" w:hAnsi="宋体" w:cs="宋体" w:eastAsia="宋体" w:hint="default"/>
                <w:sz w:val="18"/>
                <w:szCs w:val="18"/>
              </w:rPr>
              <w:t> </w:t>
            </w:r>
            <w:r>
              <w:rPr>
                <w:rFonts w:ascii="宋体" w:hAnsi="宋体" w:cs="宋体" w:eastAsia="宋体" w:hint="default"/>
                <w:spacing w:val="-4"/>
                <w:sz w:val="18"/>
                <w:szCs w:val="18"/>
              </w:rPr>
              <w:t>自股份上市之日（</w:t>
            </w:r>
            <w:r>
              <w:rPr>
                <w:rFonts w:ascii="宋体" w:hAnsi="宋体" w:cs="宋体" w:eastAsia="宋体" w:hint="default"/>
                <w:spacing w:val="-4"/>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pacing w:val="-14"/>
                <w:sz w:val="18"/>
                <w:szCs w:val="18"/>
              </w:rPr>
              <w:t>日）起</w:t>
            </w:r>
          </w:p>
          <w:p>
            <w:pPr>
              <w:pStyle w:val="TableParagraph"/>
              <w:spacing w:line="319" w:lineRule="auto" w:before="17"/>
              <w:ind w:left="22" w:right="32"/>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个月内不得转让；</w:t>
            </w:r>
            <w:r>
              <w:rPr>
                <w:rFonts w:ascii="宋体" w:hAnsi="宋体" w:cs="宋体" w:eastAsia="宋体" w:hint="default"/>
                <w:sz w:val="18"/>
                <w:szCs w:val="18"/>
              </w:rPr>
              <w:t>48</w:t>
            </w:r>
            <w:r>
              <w:rPr>
                <w:rFonts w:ascii="宋体" w:hAnsi="宋体" w:cs="宋体" w:eastAsia="宋体" w:hint="default"/>
                <w:spacing w:val="-46"/>
                <w:sz w:val="18"/>
                <w:szCs w:val="18"/>
              </w:rPr>
              <w:t> </w:t>
            </w:r>
            <w:r>
              <w:rPr>
                <w:rFonts w:ascii="宋体" w:hAnsi="宋体" w:cs="宋体" w:eastAsia="宋体" w:hint="default"/>
                <w:sz w:val="18"/>
                <w:szCs w:val="18"/>
              </w:rPr>
              <w:t>个月内转让股份 数量不超过其本次认购股份总数的</w:t>
            </w:r>
            <w:r>
              <w:rPr>
                <w:rFonts w:ascii="宋体" w:hAnsi="宋体" w:cs="宋体" w:eastAsia="宋体" w:hint="default"/>
                <w:spacing w:val="-46"/>
                <w:sz w:val="18"/>
                <w:szCs w:val="18"/>
              </w:rPr>
              <w:t> </w:t>
            </w:r>
            <w:r>
              <w:rPr>
                <w:rFonts w:ascii="宋体" w:hAnsi="宋体" w:cs="宋体" w:eastAsia="宋体" w:hint="default"/>
                <w:sz w:val="18"/>
                <w:szCs w:val="18"/>
              </w:rPr>
              <w:t>40%</w:t>
            </w:r>
            <w:r>
              <w:rPr>
                <w:rFonts w:ascii="宋体" w:hAnsi="宋体" w:cs="宋体" w:eastAsia="宋体" w:hint="default"/>
                <w:sz w:val="18"/>
                <w:szCs w:val="18"/>
              </w:rPr>
              <w:t>； </w:t>
            </w:r>
            <w:r>
              <w:rPr>
                <w:rFonts w:ascii="宋体" w:hAnsi="宋体" w:cs="宋体" w:eastAsia="宋体" w:hint="default"/>
                <w:sz w:val="18"/>
                <w:szCs w:val="18"/>
              </w:rPr>
              <w:t>60</w:t>
            </w:r>
            <w:r>
              <w:rPr>
                <w:rFonts w:ascii="宋体" w:hAnsi="宋体" w:cs="宋体" w:eastAsia="宋体" w:hint="default"/>
                <w:spacing w:val="-46"/>
                <w:sz w:val="18"/>
                <w:szCs w:val="18"/>
              </w:rPr>
              <w:t> </w:t>
            </w:r>
            <w:r>
              <w:rPr>
                <w:rFonts w:ascii="宋体" w:hAnsi="宋体" w:cs="宋体" w:eastAsia="宋体" w:hint="default"/>
                <w:sz w:val="18"/>
                <w:szCs w:val="18"/>
              </w:rPr>
              <w:t>个月内转让股份数量不超过其本次认 购股份总数的</w:t>
            </w:r>
            <w:r>
              <w:rPr>
                <w:rFonts w:ascii="宋体" w:hAnsi="宋体" w:cs="宋体" w:eastAsia="宋体" w:hint="default"/>
                <w:spacing w:val="-46"/>
                <w:sz w:val="18"/>
                <w:szCs w:val="18"/>
              </w:rPr>
              <w:t> </w:t>
            </w:r>
            <w:r>
              <w:rPr>
                <w:rFonts w:ascii="宋体" w:hAnsi="宋体" w:cs="宋体" w:eastAsia="宋体" w:hint="default"/>
                <w:sz w:val="18"/>
                <w:szCs w:val="18"/>
              </w:rPr>
              <w:t>70%</w:t>
            </w:r>
            <w:r>
              <w:rPr>
                <w:rFonts w:ascii="宋体" w:hAnsi="宋体" w:cs="宋体" w:eastAsia="宋体" w:hint="default"/>
                <w:sz w:val="18"/>
                <w:szCs w:val="18"/>
              </w:rPr>
              <w:t>。</w:t>
            </w:r>
          </w:p>
        </w:tc>
        <w:tc>
          <w:tcPr>
            <w:tcW w:w="1560" w:type="dxa"/>
            <w:tcBorders>
              <w:top w:val="single" w:sz="15" w:space="0" w:color="000000"/>
              <w:left w:val="single" w:sz="4" w:space="0" w:color="000000"/>
              <w:bottom w:val="single" w:sz="4" w:space="0" w:color="000000"/>
              <w:right w:val="single" w:sz="4" w:space="0" w:color="000000"/>
            </w:tcBorders>
          </w:tcPr>
          <w:p>
            <w:pPr/>
          </w:p>
        </w:tc>
        <w:tc>
          <w:tcPr>
            <w:tcW w:w="184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987"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40%</w:t>
            </w:r>
            <w:r>
              <w:rPr>
                <w:rFonts w:ascii="宋体" w:hAnsi="宋体" w:cs="宋体" w:eastAsia="宋体" w:hint="default"/>
                <w:sz w:val="18"/>
                <w:szCs w:val="18"/>
              </w:rPr>
              <w:t>已解除限售并于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 </w:t>
            </w:r>
            <w:r>
              <w:rPr>
                <w:rFonts w:ascii="宋体" w:hAnsi="宋体" w:cs="宋体" w:eastAsia="宋体" w:hint="default"/>
                <w:sz w:val="18"/>
                <w:szCs w:val="18"/>
              </w:rPr>
              <w:t>日上市流通</w:t>
            </w:r>
          </w:p>
        </w:tc>
      </w:tr>
      <w:tr>
        <w:trPr>
          <w:trHeight w:val="3522" w:hRule="exact"/>
        </w:trPr>
        <w:tc>
          <w:tcPr>
            <w:tcW w:w="2127" w:type="dxa"/>
            <w:vMerge/>
            <w:tcBorders>
              <w:left w:val="single" w:sz="4" w:space="0" w:color="000000"/>
              <w:right w:val="single" w:sz="4" w:space="0" w:color="000000"/>
            </w:tcBorders>
            <w:shd w:val="clear" w:color="auto" w:fill="D2D2D2"/>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44"/>
              <w:jc w:val="left"/>
              <w:rPr>
                <w:rFonts w:ascii="宋体" w:hAnsi="宋体" w:cs="宋体" w:eastAsia="宋体" w:hint="default"/>
                <w:sz w:val="18"/>
                <w:szCs w:val="18"/>
              </w:rPr>
            </w:pPr>
            <w:r>
              <w:rPr>
                <w:rFonts w:ascii="宋体" w:hAnsi="宋体" w:cs="宋体" w:eastAsia="宋体" w:hint="default"/>
                <w:sz w:val="18"/>
                <w:szCs w:val="18"/>
              </w:rPr>
              <w:t>程顺玲、李菊莲、曾 子帆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关于股份锁定的承诺</w:t>
            </w:r>
            <w:r>
              <w:rPr>
                <w:rFonts w:ascii="宋体" w:hAnsi="宋体" w:cs="宋体" w:eastAsia="宋体" w:hint="default"/>
                <w:sz w:val="18"/>
                <w:szCs w:val="18"/>
              </w:rPr>
              <w:t>:</w:t>
            </w:r>
            <w:r>
              <w:rPr>
                <w:rFonts w:ascii="宋体" w:hAnsi="宋体" w:cs="宋体" w:eastAsia="宋体" w:hint="default"/>
                <w:sz w:val="18"/>
                <w:szCs w:val="18"/>
              </w:rPr>
              <w:t>程顺玲、李菊莲、 </w:t>
            </w:r>
            <w:r>
              <w:rPr>
                <w:rFonts w:ascii="宋体" w:hAnsi="宋体" w:cs="宋体" w:eastAsia="宋体" w:hint="default"/>
                <w:spacing w:val="-2"/>
                <w:sz w:val="18"/>
                <w:szCs w:val="18"/>
              </w:rPr>
              <w:t>曾子帆承诺其所认购的股份（包括但不限</w:t>
            </w:r>
            <w:r>
              <w:rPr>
                <w:rFonts w:ascii="宋体" w:hAnsi="宋体" w:cs="宋体" w:eastAsia="宋体" w:hint="default"/>
                <w:sz w:val="18"/>
                <w:szCs w:val="18"/>
              </w:rPr>
              <w:t> </w:t>
            </w:r>
            <w:r>
              <w:rPr>
                <w:rFonts w:ascii="宋体" w:hAnsi="宋体" w:cs="宋体" w:eastAsia="宋体" w:hint="default"/>
                <w:spacing w:val="-2"/>
                <w:sz w:val="18"/>
                <w:szCs w:val="18"/>
              </w:rPr>
              <w:t>于，限售期内送红股、转增股本等原因所</w:t>
            </w:r>
            <w:r>
              <w:rPr>
                <w:rFonts w:ascii="宋体" w:hAnsi="宋体" w:cs="宋体" w:eastAsia="宋体" w:hint="default"/>
                <w:sz w:val="18"/>
                <w:szCs w:val="18"/>
              </w:rPr>
              <w:t> </w:t>
            </w:r>
            <w:r>
              <w:rPr>
                <w:rFonts w:ascii="宋体" w:hAnsi="宋体" w:cs="宋体" w:eastAsia="宋体" w:hint="default"/>
                <w:spacing w:val="-5"/>
                <w:sz w:val="18"/>
                <w:szCs w:val="18"/>
              </w:rPr>
              <w:t>增持的股份），自股份上市之日</w:t>
            </w:r>
            <w:r>
              <w:rPr>
                <w:rFonts w:ascii="宋体" w:hAnsi="宋体" w:cs="宋体" w:eastAsia="宋体" w:hint="default"/>
                <w:spacing w:val="-5"/>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8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个月内不得转让，</w:t>
            </w:r>
            <w:r>
              <w:rPr>
                <w:rFonts w:ascii="宋体" w:hAnsi="宋体" w:cs="宋体" w:eastAsia="宋体" w:hint="default"/>
                <w:sz w:val="18"/>
                <w:szCs w:val="18"/>
              </w:rPr>
              <w:t>24 </w:t>
            </w:r>
            <w:r>
              <w:rPr>
                <w:rFonts w:ascii="宋体" w:hAnsi="宋体" w:cs="宋体" w:eastAsia="宋体" w:hint="default"/>
                <w:sz w:val="18"/>
                <w:szCs w:val="18"/>
              </w:rPr>
              <w:t>个月内转让股份数量不超过其本次认购 股份总数的</w:t>
            </w:r>
            <w:r>
              <w:rPr>
                <w:rFonts w:ascii="宋体" w:hAnsi="宋体" w:cs="宋体" w:eastAsia="宋体" w:hint="default"/>
                <w:spacing w:val="-46"/>
                <w:sz w:val="18"/>
                <w:szCs w:val="18"/>
              </w:rPr>
              <w:t> </w:t>
            </w:r>
            <w:r>
              <w:rPr>
                <w:rFonts w:ascii="宋体" w:hAnsi="宋体" w:cs="宋体" w:eastAsia="宋体" w:hint="default"/>
                <w:spacing w:val="-6"/>
                <w:sz w:val="18"/>
                <w:szCs w:val="18"/>
              </w:rPr>
              <w:t>30%</w:t>
            </w:r>
            <w:r>
              <w:rPr>
                <w:rFonts w:ascii="宋体" w:hAnsi="宋体" w:cs="宋体" w:eastAsia="宋体" w:hint="default"/>
                <w:spacing w:val="-6"/>
                <w:sz w:val="18"/>
                <w:szCs w:val="18"/>
              </w:rPr>
              <w:t>，</w:t>
            </w:r>
            <w:r>
              <w:rPr>
                <w:rFonts w:ascii="宋体" w:hAnsi="宋体" w:cs="宋体" w:eastAsia="宋体" w:hint="default"/>
                <w:spacing w:val="-6"/>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个月内转让股份数量 不超过其本次认购股份总数的</w:t>
            </w:r>
            <w:r>
              <w:rPr>
                <w:rFonts w:ascii="宋体" w:hAnsi="宋体" w:cs="宋体" w:eastAsia="宋体" w:hint="default"/>
                <w:spacing w:val="-46"/>
                <w:sz w:val="18"/>
                <w:szCs w:val="18"/>
              </w:rPr>
              <w:t> </w:t>
            </w:r>
            <w:r>
              <w:rPr>
                <w:rFonts w:ascii="宋体" w:hAnsi="宋体" w:cs="宋体" w:eastAsia="宋体" w:hint="default"/>
                <w:spacing w:val="-6"/>
                <w:sz w:val="18"/>
                <w:szCs w:val="18"/>
              </w:rPr>
              <w:t>60%</w:t>
            </w:r>
            <w:r>
              <w:rPr>
                <w:rFonts w:ascii="宋体" w:hAnsi="宋体" w:cs="宋体" w:eastAsia="宋体" w:hint="default"/>
                <w:spacing w:val="-6"/>
                <w:sz w:val="18"/>
                <w:szCs w:val="18"/>
              </w:rPr>
              <w:t>，</w:t>
            </w:r>
            <w:r>
              <w:rPr>
                <w:rFonts w:ascii="宋体" w:hAnsi="宋体" w:cs="宋体" w:eastAsia="宋体" w:hint="default"/>
                <w:spacing w:val="-6"/>
                <w:sz w:val="18"/>
                <w:szCs w:val="18"/>
              </w:rPr>
              <w:t>48</w:t>
            </w:r>
            <w:r>
              <w:rPr>
                <w:rFonts w:ascii="宋体" w:hAnsi="宋体" w:cs="宋体" w:eastAsia="宋体" w:hint="default"/>
                <w:spacing w:val="-46"/>
                <w:sz w:val="18"/>
                <w:szCs w:val="18"/>
              </w:rPr>
              <w:t> </w:t>
            </w:r>
            <w:r>
              <w:rPr>
                <w:rFonts w:ascii="宋体" w:hAnsi="宋体" w:cs="宋体" w:eastAsia="宋体" w:hint="default"/>
                <w:sz w:val="18"/>
                <w:szCs w:val="18"/>
              </w:rPr>
              <w:t>个 月内转让股份数量不超过其本次认购股 份总数的</w:t>
            </w:r>
            <w:r>
              <w:rPr>
                <w:rFonts w:ascii="宋体" w:hAnsi="宋体" w:cs="宋体" w:eastAsia="宋体" w:hint="default"/>
                <w:spacing w:val="-46"/>
                <w:sz w:val="18"/>
                <w:szCs w:val="18"/>
              </w:rPr>
              <w:t> </w:t>
            </w:r>
            <w:r>
              <w:rPr>
                <w:rFonts w:ascii="宋体" w:hAnsi="宋体" w:cs="宋体" w:eastAsia="宋体" w:hint="default"/>
                <w:spacing w:val="-6"/>
                <w:sz w:val="18"/>
                <w:szCs w:val="18"/>
              </w:rPr>
              <w:t>80%</w:t>
            </w:r>
            <w:r>
              <w:rPr>
                <w:rFonts w:ascii="宋体" w:hAnsi="宋体" w:cs="宋体" w:eastAsia="宋体" w:hint="default"/>
                <w:spacing w:val="-6"/>
                <w:sz w:val="18"/>
                <w:szCs w:val="18"/>
              </w:rPr>
              <w:t>，</w:t>
            </w:r>
            <w:r>
              <w:rPr>
                <w:rFonts w:ascii="宋体" w:hAnsi="宋体" w:cs="宋体" w:eastAsia="宋体" w:hint="default"/>
                <w:spacing w:val="-6"/>
                <w:sz w:val="18"/>
                <w:szCs w:val="18"/>
              </w:rPr>
              <w:t>60</w:t>
            </w:r>
            <w:r>
              <w:rPr>
                <w:rFonts w:ascii="宋体" w:hAnsi="宋体" w:cs="宋体" w:eastAsia="宋体" w:hint="default"/>
                <w:spacing w:val="-46"/>
                <w:sz w:val="18"/>
                <w:szCs w:val="18"/>
              </w:rPr>
              <w:t> </w:t>
            </w:r>
            <w:r>
              <w:rPr>
                <w:rFonts w:ascii="宋体" w:hAnsi="宋体" w:cs="宋体" w:eastAsia="宋体" w:hint="default"/>
                <w:sz w:val="18"/>
                <w:szCs w:val="18"/>
              </w:rPr>
              <w:t>个月内转让股份数量不 超过其本次认购股份总数的</w:t>
            </w:r>
            <w:r>
              <w:rPr>
                <w:rFonts w:ascii="宋体" w:hAnsi="宋体" w:cs="宋体" w:eastAsia="宋体" w:hint="default"/>
                <w:spacing w:val="-46"/>
                <w:sz w:val="18"/>
                <w:szCs w:val="18"/>
              </w:rPr>
              <w:t> </w:t>
            </w:r>
            <w:r>
              <w:rPr>
                <w:rFonts w:ascii="宋体" w:hAnsi="宋体" w:cs="宋体" w:eastAsia="宋体" w:hint="default"/>
                <w:sz w:val="18"/>
                <w:szCs w:val="18"/>
              </w:rPr>
              <w:t>90%</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 起，</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正在履行之中</w:t>
            </w:r>
            <w:r>
              <w:rPr>
                <w:rFonts w:ascii="宋体" w:hAnsi="宋体" w:cs="宋体" w:eastAsia="宋体" w:hint="default"/>
                <w:spacing w:val="-90"/>
                <w:sz w:val="18"/>
                <w:szCs w:val="18"/>
              </w:rPr>
              <w:t>，</w:t>
            </w:r>
            <w:r>
              <w:rPr>
                <w:rFonts w:ascii="宋体" w:hAnsi="宋体" w:cs="宋体" w:eastAsia="宋体" w:hint="default"/>
                <w:sz w:val="18"/>
                <w:szCs w:val="18"/>
              </w:rPr>
              <w:t>所认购股份总数的</w:t>
            </w:r>
            <w:r>
              <w:rPr>
                <w:rFonts w:ascii="宋体" w:hAnsi="宋体" w:cs="宋体" w:eastAsia="宋体" w:hint="default"/>
                <w:spacing w:val="-49"/>
                <w:sz w:val="18"/>
                <w:szCs w:val="18"/>
              </w:rPr>
              <w:t> </w:t>
            </w:r>
            <w:r>
              <w:rPr>
                <w:rFonts w:ascii="宋体" w:hAnsi="宋体" w:cs="宋体" w:eastAsia="宋体" w:hint="default"/>
                <w:sz w:val="18"/>
                <w:szCs w:val="18"/>
              </w:rPr>
              <w:t>30%</w:t>
            </w:r>
          </w:p>
          <w:p>
            <w:pPr>
              <w:pStyle w:val="TableParagraph"/>
              <w:spacing w:line="319" w:lineRule="auto" w:before="75"/>
              <w:ind w:left="22" w:right="-15"/>
              <w:jc w:val="left"/>
              <w:rPr>
                <w:rFonts w:ascii="宋体" w:hAnsi="宋体" w:cs="宋体" w:eastAsia="宋体" w:hint="default"/>
                <w:sz w:val="18"/>
                <w:szCs w:val="18"/>
              </w:rPr>
            </w:pPr>
            <w:r>
              <w:rPr>
                <w:rFonts w:ascii="宋体" w:hAnsi="宋体" w:cs="宋体" w:eastAsia="宋体" w:hint="default"/>
                <w:sz w:val="18"/>
                <w:szCs w:val="18"/>
              </w:rPr>
              <w:t>已解除限售并于</w:t>
            </w:r>
            <w:r>
              <w:rPr>
                <w:rFonts w:ascii="宋体" w:hAnsi="宋体" w:cs="宋体" w:eastAsia="宋体" w:hint="default"/>
                <w:spacing w:val="-53"/>
                <w:sz w:val="18"/>
                <w:szCs w:val="18"/>
              </w:rPr>
              <w:t> </w:t>
            </w: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27</w:t>
            </w:r>
            <w:r>
              <w:rPr>
                <w:rFonts w:ascii="宋体" w:hAnsi="宋体" w:cs="宋体" w:eastAsia="宋体" w:hint="default"/>
                <w:spacing w:val="-53"/>
                <w:sz w:val="18"/>
                <w:szCs w:val="18"/>
              </w:rPr>
              <w:t> </w:t>
            </w:r>
            <w:r>
              <w:rPr>
                <w:rFonts w:ascii="宋体" w:hAnsi="宋体" w:cs="宋体" w:eastAsia="宋体" w:hint="default"/>
                <w:sz w:val="18"/>
                <w:szCs w:val="18"/>
              </w:rPr>
              <w:t>日上 市流通，所认购股份总数的</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z w:val="18"/>
                <w:szCs w:val="18"/>
              </w:rPr>
              <w:t>已解 除限售并于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日上市流 通，所认购股份总数的</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z w:val="18"/>
                <w:szCs w:val="18"/>
              </w:rPr>
              <w:t>已解除限 售并于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日上市流通，</w:t>
            </w:r>
          </w:p>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保留其认购股份总数扣除公司</w:t>
            </w:r>
            <w:r>
              <w:rPr>
                <w:rFonts w:ascii="宋体" w:hAnsi="宋体" w:cs="宋体" w:eastAsia="宋体" w:hint="default"/>
                <w:spacing w:val="-46"/>
                <w:sz w:val="18"/>
                <w:szCs w:val="18"/>
              </w:rPr>
              <w:t> </w:t>
            </w:r>
            <w:r>
              <w:rPr>
                <w:rFonts w:ascii="宋体" w:hAnsi="宋体" w:cs="宋体" w:eastAsia="宋体" w:hint="default"/>
                <w:sz w:val="18"/>
                <w:szCs w:val="18"/>
              </w:rPr>
              <w:t>2018</w:t>
            </w:r>
          </w:p>
          <w:p>
            <w:pPr>
              <w:pStyle w:val="TableParagraph"/>
              <w:spacing w:line="319" w:lineRule="auto" w:before="76"/>
              <w:ind w:left="22" w:right="118"/>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月无偿回购部分中的限售股份 后的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的剩余股份已解除限售并于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日上市流通</w:t>
            </w:r>
          </w:p>
        </w:tc>
      </w:tr>
      <w:tr>
        <w:trPr>
          <w:trHeight w:val="3795"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西藏风网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99"/>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关于标的公司利润的承诺：掌视亿通于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pacing w:val="-5"/>
                <w:sz w:val="18"/>
                <w:szCs w:val="18"/>
              </w:rPr>
              <w:t>年度、</w:t>
            </w:r>
            <w:r>
              <w:rPr>
                <w:rFonts w:ascii="宋体" w:hAnsi="宋体" w:cs="宋体" w:eastAsia="宋体" w:hint="default"/>
                <w:spacing w:val="-5"/>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年度和</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年度实现的 扣除非经常性损益后归属于母公司所有 者的净利润分别不低于</w:t>
            </w:r>
            <w:r>
              <w:rPr>
                <w:rFonts w:ascii="宋体" w:hAnsi="宋体" w:cs="宋体" w:eastAsia="宋体" w:hint="default"/>
                <w:spacing w:val="-46"/>
                <w:sz w:val="18"/>
                <w:szCs w:val="18"/>
              </w:rPr>
              <w:t> </w:t>
            </w:r>
            <w:r>
              <w:rPr>
                <w:rFonts w:ascii="宋体" w:hAnsi="宋体" w:cs="宋体" w:eastAsia="宋体" w:hint="default"/>
                <w:sz w:val="18"/>
                <w:szCs w:val="18"/>
              </w:rPr>
              <w:t>9,035.00</w:t>
            </w:r>
            <w:r>
              <w:rPr>
                <w:rFonts w:ascii="宋体" w:hAnsi="宋体" w:cs="宋体" w:eastAsia="宋体" w:hint="default"/>
                <w:spacing w:val="-46"/>
                <w:sz w:val="18"/>
                <w:szCs w:val="18"/>
              </w:rPr>
              <w:t> </w:t>
            </w:r>
            <w:r>
              <w:rPr>
                <w:rFonts w:ascii="宋体" w:hAnsi="宋体" w:cs="宋体" w:eastAsia="宋体" w:hint="default"/>
                <w:sz w:val="18"/>
                <w:szCs w:val="18"/>
              </w:rPr>
              <w:t>万元、</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11,700.00</w:t>
            </w:r>
            <w:r>
              <w:rPr>
                <w:rFonts w:ascii="宋体" w:hAnsi="宋体" w:cs="宋体" w:eastAsia="宋体" w:hint="default"/>
                <w:spacing w:val="-46"/>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宋体" w:hAnsi="宋体" w:cs="宋体" w:eastAsia="宋体" w:hint="default"/>
                <w:sz w:val="18"/>
                <w:szCs w:val="18"/>
              </w:rPr>
              <w:t>15,900.00</w:t>
            </w:r>
            <w:r>
              <w:rPr>
                <w:rFonts w:ascii="宋体" w:hAnsi="宋体" w:cs="宋体" w:eastAsia="宋体" w:hint="default"/>
                <w:spacing w:val="-45"/>
                <w:sz w:val="18"/>
                <w:szCs w:val="18"/>
              </w:rPr>
              <w:t> </w:t>
            </w:r>
            <w:r>
              <w:rPr>
                <w:rFonts w:ascii="宋体" w:hAnsi="宋体" w:cs="宋体" w:eastAsia="宋体" w:hint="default"/>
                <w:sz w:val="18"/>
                <w:szCs w:val="18"/>
              </w:rPr>
              <w:t>万元。</w:t>
            </w:r>
          </w:p>
          <w:p>
            <w:pPr>
              <w:pStyle w:val="TableParagraph"/>
              <w:spacing w:line="316" w:lineRule="auto" w:before="76"/>
              <w:ind w:left="22" w:right="23"/>
              <w:jc w:val="left"/>
              <w:rPr>
                <w:rFonts w:ascii="宋体" w:hAnsi="宋体" w:cs="宋体" w:eastAsia="宋体" w:hint="default"/>
                <w:sz w:val="18"/>
                <w:szCs w:val="18"/>
              </w:rPr>
            </w:pPr>
            <w:r>
              <w:rPr>
                <w:rFonts w:ascii="宋体" w:hAnsi="宋体" w:cs="宋体" w:eastAsia="宋体" w:hint="default"/>
                <w:spacing w:val="-6"/>
                <w:sz w:val="18"/>
                <w:szCs w:val="18"/>
              </w:rPr>
              <w:t>西藏风网向华闻传媒承诺：掌视亿通</w:t>
            </w:r>
            <w:r>
              <w:rPr>
                <w:rFonts w:ascii="宋体" w:hAnsi="宋体" w:cs="宋体" w:eastAsia="宋体" w:hint="default"/>
                <w:spacing w:val="-35"/>
                <w:sz w:val="18"/>
                <w:szCs w:val="18"/>
              </w:rPr>
              <w:t> </w:t>
            </w:r>
            <w:r>
              <w:rPr>
                <w:rFonts w:ascii="宋体" w:hAnsi="宋体" w:cs="宋体" w:eastAsia="宋体" w:hint="default"/>
                <w:sz w:val="18"/>
                <w:szCs w:val="18"/>
              </w:rPr>
              <w:t>2015</w:t>
            </w:r>
            <w:r>
              <w:rPr>
                <w:rFonts w:ascii="宋体" w:hAnsi="宋体" w:cs="宋体" w:eastAsia="宋体" w:hint="default"/>
                <w:spacing w:val="-87"/>
                <w:sz w:val="18"/>
                <w:szCs w:val="18"/>
              </w:rPr>
              <w:t> </w:t>
            </w:r>
            <w:r>
              <w:rPr>
                <w:rFonts w:ascii="宋体" w:hAnsi="宋体" w:cs="宋体" w:eastAsia="宋体" w:hint="default"/>
                <w:sz w:val="18"/>
                <w:szCs w:val="18"/>
              </w:rPr>
              <w:t>年、</w:t>
            </w:r>
            <w:r>
              <w:rPr>
                <w:rFonts w:ascii="宋体" w:hAnsi="宋体" w:cs="宋体" w:eastAsia="宋体" w:hint="default"/>
                <w:sz w:val="18"/>
                <w:szCs w:val="18"/>
              </w:rPr>
              <w:t>2016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z w:val="18"/>
                <w:szCs w:val="18"/>
              </w:rPr>
              <w:t>2017</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z w:val="18"/>
                <w:szCs w:val="18"/>
              </w:rPr>
              <w:t>2018</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z w:val="18"/>
                <w:szCs w:val="18"/>
              </w:rPr>
              <w:t>2019</w:t>
            </w:r>
            <w:r>
              <w:rPr>
                <w:rFonts w:ascii="宋体" w:hAnsi="宋体" w:cs="宋体" w:eastAsia="宋体" w:hint="default"/>
                <w:spacing w:val="-54"/>
                <w:sz w:val="18"/>
                <w:szCs w:val="18"/>
              </w:rPr>
              <w:t> </w:t>
            </w:r>
            <w:r>
              <w:rPr>
                <w:rFonts w:ascii="宋体" w:hAnsi="宋体" w:cs="宋体" w:eastAsia="宋体" w:hint="default"/>
                <w:sz w:val="18"/>
                <w:szCs w:val="18"/>
              </w:rPr>
              <w:t>年 </w:t>
            </w:r>
            <w:r>
              <w:rPr>
                <w:rFonts w:ascii="宋体" w:hAnsi="宋体" w:cs="宋体" w:eastAsia="宋体" w:hint="default"/>
                <w:spacing w:val="-2"/>
                <w:sz w:val="18"/>
                <w:szCs w:val="18"/>
              </w:rPr>
              <w:t>获得的政府补贴等非经常性收益（补偿期</w:t>
            </w:r>
            <w:r>
              <w:rPr>
                <w:rFonts w:ascii="宋体" w:hAnsi="宋体" w:cs="宋体" w:eastAsia="宋体" w:hint="default"/>
                <w:sz w:val="18"/>
                <w:szCs w:val="18"/>
              </w:rPr>
              <w:t> </w:t>
            </w:r>
            <w:r>
              <w:rPr>
                <w:rFonts w:ascii="宋体" w:hAnsi="宋体" w:cs="宋体" w:eastAsia="宋体" w:hint="default"/>
                <w:spacing w:val="-2"/>
                <w:sz w:val="18"/>
                <w:szCs w:val="18"/>
              </w:rPr>
              <w:t>结束后，掌视亿通因为双软认证、高新技</w:t>
            </w:r>
            <w:r>
              <w:rPr>
                <w:rFonts w:ascii="宋体" w:hAnsi="宋体" w:cs="宋体" w:eastAsia="宋体" w:hint="default"/>
                <w:sz w:val="18"/>
                <w:szCs w:val="18"/>
              </w:rPr>
              <w:t> 术企业认证等所享受的税收优惠可视同 为掌视亿通实际获得的政府补贴等非经 常性收益）分别不低于</w:t>
            </w:r>
            <w:r>
              <w:rPr>
                <w:rFonts w:ascii="宋体" w:hAnsi="宋体" w:cs="宋体" w:eastAsia="宋体" w:hint="default"/>
                <w:spacing w:val="-46"/>
                <w:sz w:val="18"/>
                <w:szCs w:val="18"/>
              </w:rPr>
              <w:t> </w:t>
            </w:r>
            <w:r>
              <w:rPr>
                <w:rFonts w:ascii="宋体" w:hAnsi="宋体" w:cs="宋体" w:eastAsia="宋体" w:hint="default"/>
                <w:sz w:val="18"/>
                <w:szCs w:val="18"/>
              </w:rPr>
              <w:t>1,600.00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69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pict>
                <v:group style="width:77.55pt;height:84.8pt;mso-position-horizontal-relative:char;mso-position-vertical-relative:line" coordorigin="0,0" coordsize="1551,1696">
                  <v:group style="position:absolute;left:0;top:0;width:1551;height:1696" coordorigin="0,0" coordsize="1551,1696">
                    <v:shape style="position:absolute;left:0;top:0;width:1551;height:1696" coordorigin="0,0" coordsize="1551,1696" path="m0,1696l1550,1696,1550,0,0,0,0,1696xe" filled="true" fillcolor="#ffffff" stroked="false">
                      <v:path arrowok="t"/>
                      <v:fill type="solid"/>
                    </v:shape>
                  </v:group>
                </v:group>
              </w:pict>
            </w:r>
            <w:r>
              <w:rPr>
                <w:rFonts w:ascii="Times New Roman" w:hAnsi="Times New Roman" w:cs="Times New Roman" w:eastAsia="Times New Roman" w:hint="default"/>
                <w:position w:val="-33"/>
                <w:sz w:val="20"/>
                <w:szCs w:val="20"/>
              </w:rPr>
            </w:r>
          </w:p>
          <w:p>
            <w:pPr>
              <w:pStyle w:val="TableParagraph"/>
              <w:spacing w:line="240" w:lineRule="auto" w:before="51"/>
              <w:ind w:right="1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23"/>
              <w:jc w:val="both"/>
              <w:rPr>
                <w:rFonts w:ascii="宋体" w:hAnsi="宋体" w:cs="宋体" w:eastAsia="宋体" w:hint="default"/>
                <w:sz w:val="18"/>
                <w:szCs w:val="18"/>
              </w:rPr>
            </w:pPr>
            <w:r>
              <w:rPr>
                <w:rFonts w:ascii="宋体" w:hAnsi="宋体" w:cs="宋体" w:eastAsia="宋体" w:hint="default"/>
                <w:sz w:val="18"/>
                <w:szCs w:val="18"/>
              </w:rPr>
              <w:t>净利润承诺自</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 起，</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年；非经常性收 益承诺自</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pacing w:val="-4"/>
                <w:sz w:val="18"/>
                <w:szCs w:val="18"/>
              </w:rPr>
              <w:t>年起，</w:t>
            </w:r>
            <w:r>
              <w:rPr>
                <w:rFonts w:ascii="宋体" w:hAnsi="宋体" w:cs="宋体" w:eastAsia="宋体" w:hint="default"/>
                <w:spacing w:val="-4"/>
                <w:sz w:val="18"/>
                <w:szCs w:val="18"/>
              </w:rPr>
              <w:t>5</w:t>
            </w:r>
            <w:r>
              <w:rPr>
                <w:rFonts w:ascii="宋体" w:hAnsi="宋体" w:cs="宋体" w:eastAsia="宋体" w:hint="default"/>
                <w:sz w:val="18"/>
                <w:szCs w:val="18"/>
              </w:rPr>
              <w:t> </w:t>
            </w:r>
            <w:r>
              <w:rPr>
                <w:rFonts w:ascii="宋体" w:hAnsi="宋体" w:cs="宋体" w:eastAsia="宋体" w:hint="default"/>
                <w:sz w:val="18"/>
                <w:szCs w:val="18"/>
              </w:rPr>
              <w:t>年</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pacing w:val="-3"/>
                <w:sz w:val="18"/>
                <w:szCs w:val="18"/>
              </w:rPr>
              <w:t>正在履行之中。</w:t>
            </w:r>
            <w:r>
              <w:rPr>
                <w:rFonts w:ascii="宋体" w:hAnsi="宋体" w:cs="宋体" w:eastAsia="宋体" w:hint="default"/>
                <w:spacing w:val="-3"/>
                <w:sz w:val="18"/>
                <w:szCs w:val="18"/>
              </w:rPr>
              <w:t>2014</w:t>
            </w:r>
            <w:r>
              <w:rPr>
                <w:rFonts w:ascii="宋体" w:hAnsi="宋体" w:cs="宋体" w:eastAsia="宋体" w:hint="default"/>
                <w:spacing w:val="-41"/>
                <w:sz w:val="18"/>
                <w:szCs w:val="18"/>
              </w:rPr>
              <w:t> </w:t>
            </w:r>
            <w:r>
              <w:rPr>
                <w:rFonts w:ascii="宋体" w:hAnsi="宋体" w:cs="宋体" w:eastAsia="宋体" w:hint="default"/>
                <w:spacing w:val="-4"/>
                <w:sz w:val="18"/>
                <w:szCs w:val="18"/>
              </w:rPr>
              <w:t>年度、</w:t>
            </w:r>
            <w:r>
              <w:rPr>
                <w:rFonts w:ascii="宋体" w:hAnsi="宋体" w:cs="宋体" w:eastAsia="宋体" w:hint="default"/>
                <w:spacing w:val="-4"/>
                <w:sz w:val="18"/>
                <w:szCs w:val="18"/>
              </w:rPr>
              <w:t>2015</w:t>
            </w:r>
            <w:r>
              <w:rPr>
                <w:rFonts w:ascii="宋体" w:hAnsi="宋体" w:cs="宋体" w:eastAsia="宋体" w:hint="default"/>
                <w:spacing w:val="-41"/>
                <w:sz w:val="18"/>
                <w:szCs w:val="18"/>
              </w:rPr>
              <w:t> </w:t>
            </w:r>
            <w:r>
              <w:rPr>
                <w:rFonts w:ascii="宋体" w:hAnsi="宋体" w:cs="宋体" w:eastAsia="宋体" w:hint="default"/>
                <w:sz w:val="18"/>
                <w:szCs w:val="18"/>
              </w:rPr>
              <w:t>年度 及</w:t>
            </w:r>
            <w:r>
              <w:rPr>
                <w:rFonts w:ascii="宋体" w:hAnsi="宋体" w:cs="宋体" w:eastAsia="宋体" w:hint="default"/>
                <w:spacing w:val="-41"/>
                <w:sz w:val="18"/>
                <w:szCs w:val="18"/>
              </w:rPr>
              <w:t> </w:t>
            </w:r>
            <w:r>
              <w:rPr>
                <w:rFonts w:ascii="宋体" w:hAnsi="宋体" w:cs="宋体" w:eastAsia="宋体" w:hint="default"/>
                <w:sz w:val="18"/>
                <w:szCs w:val="18"/>
              </w:rPr>
              <w:t>2016</w:t>
            </w:r>
            <w:r>
              <w:rPr>
                <w:rFonts w:ascii="宋体" w:hAnsi="宋体" w:cs="宋体" w:eastAsia="宋体" w:hint="default"/>
                <w:spacing w:val="-41"/>
                <w:sz w:val="18"/>
                <w:szCs w:val="18"/>
              </w:rPr>
              <w:t> </w:t>
            </w:r>
            <w:r>
              <w:rPr>
                <w:rFonts w:ascii="宋体" w:hAnsi="宋体" w:cs="宋体" w:eastAsia="宋体" w:hint="default"/>
                <w:spacing w:val="-4"/>
                <w:sz w:val="18"/>
                <w:szCs w:val="18"/>
              </w:rPr>
              <w:t>年度的业绩承诺已实现。</w:t>
            </w:r>
            <w:r>
              <w:rPr>
                <w:rFonts w:ascii="宋体" w:hAnsi="宋体" w:cs="宋体" w:eastAsia="宋体" w:hint="default"/>
                <w:spacing w:val="-4"/>
                <w:sz w:val="18"/>
                <w:szCs w:val="18"/>
              </w:rPr>
              <w:t>2015</w:t>
            </w:r>
            <w:r>
              <w:rPr>
                <w:rFonts w:ascii="宋体" w:hAnsi="宋体" w:cs="宋体" w:eastAsia="宋体" w:hint="default"/>
                <w:sz w:val="18"/>
                <w:szCs w:val="18"/>
              </w:rPr>
              <w:t> </w:t>
            </w:r>
            <w:r>
              <w:rPr>
                <w:rFonts w:ascii="宋体" w:hAnsi="宋体" w:cs="宋体" w:eastAsia="宋体" w:hint="default"/>
                <w:sz w:val="18"/>
                <w:szCs w:val="18"/>
              </w:rPr>
              <w:t>年的非经常性收益承诺已实现；</w:t>
            </w:r>
            <w:r>
              <w:rPr>
                <w:rFonts w:ascii="宋体" w:hAnsi="宋体" w:cs="宋体" w:eastAsia="宋体" w:hint="default"/>
                <w:sz w:val="18"/>
                <w:szCs w:val="18"/>
              </w:rPr>
              <w:t>2016 </w:t>
            </w:r>
            <w:r>
              <w:rPr>
                <w:rFonts w:ascii="宋体" w:hAnsi="宋体" w:cs="宋体" w:eastAsia="宋体" w:hint="default"/>
                <w:sz w:val="18"/>
                <w:szCs w:val="18"/>
              </w:rPr>
              <w:t>年的非经常性收益承诺未实现，西藏 风网已向掌视亿通予以现金补偿 </w:t>
            </w:r>
            <w:r>
              <w:rPr>
                <w:rFonts w:ascii="宋体" w:hAnsi="宋体" w:cs="宋体" w:eastAsia="宋体" w:hint="default"/>
                <w:sz w:val="18"/>
                <w:szCs w:val="18"/>
              </w:rPr>
              <w:t>797.52</w:t>
            </w:r>
            <w:r>
              <w:rPr>
                <w:rFonts w:ascii="宋体" w:hAnsi="宋体" w:cs="宋体" w:eastAsia="宋体" w:hint="default"/>
                <w:spacing w:val="-46"/>
                <w:sz w:val="18"/>
                <w:szCs w:val="18"/>
              </w:rPr>
              <w:t> </w:t>
            </w:r>
            <w:r>
              <w:rPr>
                <w:rFonts w:ascii="宋体" w:hAnsi="宋体" w:cs="宋体" w:eastAsia="宋体" w:hint="default"/>
                <w:spacing w:val="-7"/>
                <w:sz w:val="18"/>
                <w:szCs w:val="18"/>
              </w:rPr>
              <w:t>万元；</w:t>
            </w:r>
            <w:r>
              <w:rPr>
                <w:rFonts w:ascii="宋体" w:hAnsi="宋体" w:cs="宋体" w:eastAsia="宋体" w:hint="default"/>
                <w:spacing w:val="-7"/>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年实现非经常性收</w:t>
            </w:r>
          </w:p>
          <w:p>
            <w:pPr>
              <w:pStyle w:val="TableParagraph"/>
              <w:spacing w:line="316" w:lineRule="auto" w:before="19"/>
              <w:ind w:left="22" w:right="30"/>
              <w:jc w:val="both"/>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44"/>
                <w:sz w:val="18"/>
                <w:szCs w:val="18"/>
              </w:rPr>
              <w:t> </w:t>
            </w:r>
            <w:r>
              <w:rPr>
                <w:rFonts w:ascii="宋体" w:hAnsi="宋体" w:cs="宋体" w:eastAsia="宋体" w:hint="default"/>
                <w:sz w:val="18"/>
                <w:szCs w:val="18"/>
              </w:rPr>
              <w:t>1,078.70</w:t>
            </w:r>
            <w:r>
              <w:rPr>
                <w:rFonts w:ascii="宋体" w:hAnsi="宋体" w:cs="宋体" w:eastAsia="宋体" w:hint="default"/>
                <w:spacing w:val="-44"/>
                <w:sz w:val="18"/>
                <w:szCs w:val="18"/>
              </w:rPr>
              <w:t> </w:t>
            </w:r>
            <w:r>
              <w:rPr>
                <w:rFonts w:ascii="宋体" w:hAnsi="宋体" w:cs="宋体" w:eastAsia="宋体" w:hint="default"/>
                <w:spacing w:val="-5"/>
                <w:sz w:val="18"/>
                <w:szCs w:val="18"/>
              </w:rPr>
              <w:t>万元，未达到收益承诺水</w:t>
            </w:r>
            <w:r>
              <w:rPr>
                <w:rFonts w:ascii="宋体" w:hAnsi="宋体" w:cs="宋体" w:eastAsia="宋体" w:hint="default"/>
                <w:sz w:val="18"/>
                <w:szCs w:val="18"/>
              </w:rPr>
              <w:t> 平，西藏风网应向掌视亿通予以现金 补偿</w:t>
            </w:r>
            <w:r>
              <w:rPr>
                <w:rFonts w:ascii="宋体" w:hAnsi="宋体" w:cs="宋体" w:eastAsia="宋体" w:hint="default"/>
                <w:spacing w:val="-46"/>
                <w:sz w:val="18"/>
                <w:szCs w:val="18"/>
              </w:rPr>
              <w:t> </w:t>
            </w:r>
            <w:r>
              <w:rPr>
                <w:rFonts w:ascii="宋体" w:hAnsi="宋体" w:cs="宋体" w:eastAsia="宋体" w:hint="default"/>
                <w:sz w:val="18"/>
                <w:szCs w:val="18"/>
              </w:rPr>
              <w:t>1,971.30</w:t>
            </w:r>
            <w:r>
              <w:rPr>
                <w:rFonts w:ascii="宋体" w:hAnsi="宋体" w:cs="宋体" w:eastAsia="宋体" w:hint="default"/>
                <w:spacing w:val="-45"/>
                <w:sz w:val="18"/>
                <w:szCs w:val="18"/>
              </w:rPr>
              <w:t> </w:t>
            </w:r>
            <w:r>
              <w:rPr>
                <w:rFonts w:ascii="宋体" w:hAnsi="宋体" w:cs="宋体" w:eastAsia="宋体" w:hint="default"/>
                <w:spacing w:val="-5"/>
                <w:sz w:val="18"/>
                <w:szCs w:val="18"/>
              </w:rPr>
              <w:t>万元，截至目前，本次</w:t>
            </w:r>
            <w:r>
              <w:rPr>
                <w:rFonts w:ascii="宋体" w:hAnsi="宋体" w:cs="宋体" w:eastAsia="宋体" w:hint="default"/>
                <w:sz w:val="18"/>
                <w:szCs w:val="18"/>
              </w:rPr>
              <w:t> 现金补偿尚未履行；</w:t>
            </w:r>
            <w:r>
              <w:rPr>
                <w:rFonts w:ascii="宋体" w:hAnsi="宋体" w:cs="宋体" w:eastAsia="宋体" w:hint="default"/>
                <w:sz w:val="18"/>
                <w:szCs w:val="18"/>
              </w:rPr>
              <w:t>2018</w:t>
            </w:r>
            <w:r>
              <w:rPr>
                <w:rFonts w:ascii="宋体" w:hAnsi="宋体" w:cs="宋体" w:eastAsia="宋体" w:hint="default"/>
                <w:spacing w:val="-49"/>
                <w:sz w:val="18"/>
                <w:szCs w:val="18"/>
              </w:rPr>
              <w:t> </w:t>
            </w:r>
            <w:r>
              <w:rPr>
                <w:rFonts w:ascii="宋体" w:hAnsi="宋体" w:cs="宋体" w:eastAsia="宋体" w:hint="default"/>
                <w:sz w:val="18"/>
                <w:szCs w:val="18"/>
              </w:rPr>
              <w:t>年实现非经 常性收益</w:t>
            </w:r>
            <w:r>
              <w:rPr>
                <w:rFonts w:ascii="宋体" w:hAnsi="宋体" w:cs="宋体" w:eastAsia="宋体" w:hint="default"/>
                <w:spacing w:val="-44"/>
                <w:sz w:val="18"/>
                <w:szCs w:val="18"/>
              </w:rPr>
              <w:t> </w:t>
            </w:r>
            <w:r>
              <w:rPr>
                <w:rFonts w:ascii="黑体" w:hAnsi="黑体" w:cs="黑体" w:eastAsia="黑体" w:hint="default"/>
                <w:b/>
                <w:bCs/>
                <w:sz w:val="18"/>
                <w:szCs w:val="18"/>
              </w:rPr>
              <w:t>725.67</w:t>
            </w:r>
            <w:r>
              <w:rPr>
                <w:rFonts w:ascii="黑体" w:hAnsi="黑体" w:cs="黑体" w:eastAsia="黑体" w:hint="default"/>
                <w:b/>
                <w:bCs/>
                <w:spacing w:val="-42"/>
                <w:sz w:val="18"/>
                <w:szCs w:val="18"/>
              </w:rPr>
              <w:t> </w:t>
            </w:r>
            <w:r>
              <w:rPr>
                <w:rFonts w:ascii="宋体" w:hAnsi="宋体" w:cs="宋体" w:eastAsia="宋体" w:hint="default"/>
                <w:spacing w:val="-7"/>
                <w:sz w:val="18"/>
                <w:szCs w:val="18"/>
              </w:rPr>
              <w:t>万元，未达到收益承</w:t>
            </w:r>
            <w:r>
              <w:rPr>
                <w:rFonts w:ascii="宋体" w:hAnsi="宋体" w:cs="宋体" w:eastAsia="宋体" w:hint="default"/>
                <w:sz w:val="18"/>
                <w:szCs w:val="18"/>
              </w:rPr>
              <w:t> 诺水平，西藏风网应向掌视亿通予以</w:t>
            </w:r>
          </w:p>
        </w:tc>
      </w:tr>
    </w:tbl>
    <w:p>
      <w:pPr>
        <w:spacing w:after="0" w:line="316" w:lineRule="auto"/>
        <w:jc w:val="both"/>
        <w:rPr>
          <w:rFonts w:ascii="宋体" w:hAnsi="宋体" w:cs="宋体" w:eastAsia="宋体" w:hint="default"/>
          <w:sz w:val="18"/>
          <w:szCs w:val="18"/>
        </w:rPr>
        <w:sectPr>
          <w:pgSz w:w="16840" w:h="11910" w:orient="landscape"/>
          <w:pgMar w:header="867" w:footer="979" w:top="1060" w:bottom="1200" w:left="900" w:right="1100"/>
        </w:sectPr>
      </w:pPr>
    </w:p>
    <w:p>
      <w:pPr>
        <w:spacing w:line="240" w:lineRule="auto" w:before="4"/>
        <w:rPr>
          <w:rFonts w:ascii="Times New Roman" w:hAnsi="Times New Roman" w:cs="Times New Roman" w:eastAsia="Times New Roman" w:hint="default"/>
          <w:sz w:val="3"/>
          <w:szCs w:val="3"/>
        </w:rPr>
      </w:pPr>
      <w:r>
        <w:rPr/>
        <w:pict>
          <v:shape style="position:absolute;margin-left:200.177002pt;margin-top:146.720001pt;width:98.35pt;height:109.25pt;mso-position-horizontal-relative:page;mso-position-vertical-relative:page;z-index:-14920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凯普投资、</w:t>
                  </w:r>
                </w:p>
              </w:txbxContent>
            </v:textbox>
            <w10:wrap type="none"/>
          </v:shape>
        </w:pict>
      </w:r>
      <w:r>
        <w:rPr/>
        <w:pict>
          <v:shape style="position:absolute;margin-left:446.899994pt;margin-top:146.720001pt;width:92.75pt;height:117.05pt;mso-position-horizontal-relative:page;mso-position-vertical-relative:page;z-index:-14920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1"/>
                    <w:ind w:left="0" w:right="0" w:firstLine="0"/>
                    <w:jc w:val="left"/>
                    <w:rPr>
                      <w:rFonts w:ascii="宋体" w:hAnsi="宋体" w:cs="宋体" w:eastAsia="宋体" w:hint="default"/>
                      <w:sz w:val="18"/>
                      <w:szCs w:val="18"/>
                    </w:rPr>
                  </w:pPr>
                  <w:r>
                    <w:rPr>
                      <w:rFonts w:ascii="宋体" w:hAnsi="宋体" w:cs="宋体" w:eastAsia="宋体" w:hint="default"/>
                      <w:sz w:val="18"/>
                      <w:szCs w:val="18"/>
                    </w:rPr>
                    <w:t>的，</w:t>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2127"/>
        <w:gridCol w:w="1700"/>
        <w:gridCol w:w="1134"/>
        <w:gridCol w:w="3262"/>
        <w:gridCol w:w="1560"/>
        <w:gridCol w:w="1842"/>
        <w:gridCol w:w="2978"/>
      </w:tblGrid>
      <w:tr>
        <w:trPr>
          <w:trHeight w:val="689" w:hRule="exact"/>
        </w:trPr>
        <w:tc>
          <w:tcPr>
            <w:tcW w:w="2127"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700"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326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2,270.00</w:t>
            </w:r>
            <w:r>
              <w:rPr>
                <w:rFonts w:ascii="宋体" w:hAnsi="宋体" w:cs="宋体" w:eastAsia="宋体" w:hint="default"/>
                <w:spacing w:val="-43"/>
                <w:sz w:val="18"/>
                <w:szCs w:val="18"/>
              </w:rPr>
              <w:t> </w:t>
            </w:r>
            <w:r>
              <w:rPr>
                <w:rFonts w:ascii="宋体" w:hAnsi="宋体" w:cs="宋体" w:eastAsia="宋体" w:hint="default"/>
                <w:spacing w:val="-6"/>
                <w:sz w:val="18"/>
                <w:szCs w:val="18"/>
              </w:rPr>
              <w:t>万元、</w:t>
            </w:r>
            <w:r>
              <w:rPr>
                <w:rFonts w:ascii="宋体" w:hAnsi="宋体" w:cs="宋体" w:eastAsia="宋体" w:hint="default"/>
                <w:spacing w:val="-6"/>
                <w:sz w:val="18"/>
                <w:szCs w:val="18"/>
              </w:rPr>
              <w:t>3,050.00</w:t>
            </w:r>
            <w:r>
              <w:rPr>
                <w:rFonts w:ascii="宋体" w:hAnsi="宋体" w:cs="宋体" w:eastAsia="宋体" w:hint="default"/>
                <w:spacing w:val="-43"/>
                <w:sz w:val="18"/>
                <w:szCs w:val="18"/>
              </w:rPr>
              <w:t> </w:t>
            </w:r>
            <w:r>
              <w:rPr>
                <w:rFonts w:ascii="宋体" w:hAnsi="宋体" w:cs="宋体" w:eastAsia="宋体" w:hint="default"/>
                <w:spacing w:val="-6"/>
                <w:sz w:val="18"/>
                <w:szCs w:val="18"/>
              </w:rPr>
              <w:t>万元、</w:t>
            </w:r>
            <w:r>
              <w:rPr>
                <w:rFonts w:ascii="宋体" w:hAnsi="宋体" w:cs="宋体" w:eastAsia="宋体" w:hint="default"/>
                <w:spacing w:val="-6"/>
                <w:sz w:val="18"/>
                <w:szCs w:val="18"/>
              </w:rPr>
              <w:t>1,090.00</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z w:val="18"/>
                <w:szCs w:val="18"/>
              </w:rPr>
              <w:t>1,090.00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60" w:type="dxa"/>
            <w:tcBorders>
              <w:top w:val="single" w:sz="15" w:space="0" w:color="000000"/>
              <w:left w:val="single" w:sz="4" w:space="0" w:color="000000"/>
              <w:bottom w:val="single" w:sz="4" w:space="0" w:color="000000"/>
              <w:right w:val="single" w:sz="4" w:space="0" w:color="000000"/>
            </w:tcBorders>
          </w:tcPr>
          <w:p>
            <w:pPr/>
          </w:p>
        </w:tc>
        <w:tc>
          <w:tcPr>
            <w:tcW w:w="1842" w:type="dxa"/>
            <w:tcBorders>
              <w:top w:val="single" w:sz="15" w:space="0" w:color="000000"/>
              <w:left w:val="single" w:sz="4" w:space="0" w:color="000000"/>
              <w:bottom w:val="single" w:sz="4" w:space="0" w:color="000000"/>
              <w:right w:val="single" w:sz="4" w:space="0" w:color="000000"/>
            </w:tcBorders>
          </w:tcPr>
          <w:p>
            <w:pPr/>
          </w:p>
        </w:tc>
        <w:tc>
          <w:tcPr>
            <w:tcW w:w="29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现金补偿</w:t>
            </w:r>
            <w:r>
              <w:rPr>
                <w:rFonts w:ascii="宋体" w:hAnsi="宋体" w:cs="宋体" w:eastAsia="宋体" w:hint="default"/>
                <w:spacing w:val="-47"/>
                <w:sz w:val="18"/>
                <w:szCs w:val="18"/>
              </w:rPr>
              <w:t> </w:t>
            </w:r>
            <w:r>
              <w:rPr>
                <w:rFonts w:ascii="黑体" w:hAnsi="黑体" w:cs="黑体" w:eastAsia="黑体" w:hint="default"/>
                <w:b/>
                <w:bCs/>
                <w:sz w:val="18"/>
                <w:szCs w:val="18"/>
              </w:rPr>
              <w:t>364.33</w:t>
            </w:r>
            <w:r>
              <w:rPr>
                <w:rFonts w:ascii="黑体" w:hAnsi="黑体" w:cs="黑体" w:eastAsia="黑体" w:hint="default"/>
                <w:b/>
                <w:bCs/>
                <w:spacing w:val="-45"/>
                <w:sz w:val="18"/>
                <w:szCs w:val="18"/>
              </w:rPr>
              <w:t> </w:t>
            </w:r>
            <w:r>
              <w:rPr>
                <w:rFonts w:ascii="宋体" w:hAnsi="宋体" w:cs="宋体" w:eastAsia="宋体" w:hint="default"/>
                <w:sz w:val="18"/>
                <w:szCs w:val="18"/>
              </w:rPr>
              <w:t>万元</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首次公开发行或再融资时 所作承诺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2" w:right="114"/>
              <w:jc w:val="left"/>
              <w:rPr>
                <w:rFonts w:ascii="宋体" w:hAnsi="宋体" w:cs="宋体" w:eastAsia="宋体" w:hint="default"/>
                <w:sz w:val="18"/>
                <w:szCs w:val="18"/>
              </w:rPr>
            </w:pPr>
            <w:r>
              <w:rPr>
                <w:rFonts w:ascii="宋体" w:hAnsi="宋体" w:cs="宋体" w:eastAsia="宋体" w:hint="default"/>
                <w:sz w:val="18"/>
                <w:szCs w:val="18"/>
              </w:rPr>
              <w:t>其他对公司中小股东所作 承诺</w:t>
            </w:r>
          </w:p>
        </w:tc>
        <w:tc>
          <w:tcPr>
            <w:tcW w:w="170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39"/>
              <w:jc w:val="left"/>
              <w:rPr>
                <w:rFonts w:ascii="宋体" w:hAnsi="宋体" w:cs="宋体" w:eastAsia="宋体" w:hint="default"/>
                <w:sz w:val="18"/>
                <w:szCs w:val="18"/>
              </w:rPr>
            </w:pPr>
            <w:r>
              <w:rPr>
                <w:rFonts w:ascii="宋体" w:hAnsi="宋体" w:cs="宋体" w:eastAsia="宋体" w:hint="default"/>
                <w:sz w:val="18"/>
                <w:szCs w:val="18"/>
              </w:rPr>
              <w:t>遵义米麦、 陈虹、廖明祯、李坚 </w:t>
            </w:r>
            <w:r>
              <w:rPr>
                <w:rFonts w:ascii="宋体" w:hAnsi="宋体" w:cs="宋体" w:eastAsia="宋体" w:hint="default"/>
                <w:spacing w:val="-11"/>
                <w:sz w:val="18"/>
                <w:szCs w:val="18"/>
              </w:rPr>
              <w:t>文、张丽娜、陈丛山、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许军声、王涛、彭亮</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184"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pict>
                <v:group style="width:56.25pt;height:109.25pt;mso-position-horizontal-relative:char;mso-position-vertical-relative:line" coordorigin="0,0" coordsize="1125,2185">
                  <v:group style="position:absolute;left:0;top:0;width:1125;height:2185" coordorigin="0,0" coordsize="1125,2185">
                    <v:shape style="position:absolute;left:0;top:0;width:1125;height:2185" coordorigin="0,0" coordsize="1125,2185" path="m0,2184l1124,2184,1124,0,0,0,0,2184xe" filled="true" fillcolor="#ffffff" stroked="false">
                      <v:path arrowok="t"/>
                      <v:fill type="solid"/>
                    </v:shape>
                  </v:group>
                </v:group>
              </w:pict>
            </w:r>
            <w:r>
              <w:rPr>
                <w:rFonts w:ascii="Times New Roman" w:hAnsi="Times New Roman" w:cs="Times New Roman" w:eastAsia="Times New Roman" w:hint="default"/>
                <w:position w:val="-43"/>
                <w:sz w:val="20"/>
                <w:szCs w:val="20"/>
              </w:rPr>
            </w:r>
          </w:p>
          <w:p>
            <w:pPr>
              <w:pStyle w:val="TableParagraph"/>
              <w:spacing w:line="316" w:lineRule="auto" w:before="51"/>
              <w:ind w:left="16" w:right="199"/>
              <w:jc w:val="left"/>
              <w:rPr>
                <w:rFonts w:ascii="宋体" w:hAnsi="宋体" w:cs="宋体" w:eastAsia="宋体" w:hint="default"/>
                <w:sz w:val="18"/>
                <w:szCs w:val="18"/>
              </w:rPr>
            </w:pPr>
            <w:r>
              <w:rPr>
                <w:rFonts w:ascii="宋体" w:hAnsi="宋体" w:cs="宋体" w:eastAsia="宋体" w:hint="default"/>
                <w:sz w:val="18"/>
                <w:szCs w:val="18"/>
              </w:rPr>
              <w:t>业绩承诺及 补偿安排</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52" w:lineRule="exact"/>
              <w:ind w:left="16"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53.95pt;height:17.650pt;mso-position-horizontal-relative:char;mso-position-vertical-relative:line" coordorigin="0,0" coordsize="1079,353">
                  <v:group style="position:absolute;left:0;top:0;width:1079;height:353" coordorigin="0,0" coordsize="1079,353">
                    <v:shape style="position:absolute;left:0;top:0;width:1079;height:353" coordorigin="0,0" coordsize="1079,353" path="m0,353l1079,353,1079,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6"/>
                <w:sz w:val="18"/>
                <w:szCs w:val="18"/>
              </w:rPr>
              <w:t>关于标的公司利润的承诺：麦游互动</w:t>
            </w:r>
            <w:r>
              <w:rPr>
                <w:rFonts w:ascii="宋体" w:hAnsi="宋体" w:cs="宋体" w:eastAsia="宋体" w:hint="default"/>
                <w:spacing w:val="-35"/>
                <w:sz w:val="18"/>
                <w:szCs w:val="18"/>
              </w:rPr>
              <w:t> </w:t>
            </w:r>
            <w:r>
              <w:rPr>
                <w:rFonts w:ascii="宋体" w:hAnsi="宋体" w:cs="宋体" w:eastAsia="宋体" w:hint="default"/>
                <w:sz w:val="18"/>
                <w:szCs w:val="18"/>
              </w:rPr>
              <w:t>2018</w:t>
            </w:r>
            <w:r>
              <w:rPr>
                <w:rFonts w:ascii="宋体" w:hAnsi="宋体" w:cs="宋体" w:eastAsia="宋体" w:hint="default"/>
                <w:spacing w:val="-87"/>
                <w:sz w:val="18"/>
                <w:szCs w:val="18"/>
              </w:rPr>
              <w:t> </w:t>
            </w:r>
            <w:r>
              <w:rPr>
                <w:rFonts w:ascii="宋体" w:hAnsi="宋体" w:cs="宋体" w:eastAsia="宋体" w:hint="default"/>
                <w:sz w:val="18"/>
                <w:szCs w:val="18"/>
              </w:rPr>
              <w:t>年、</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年以及</w:t>
            </w:r>
            <w:r>
              <w:rPr>
                <w:rFonts w:ascii="宋体" w:hAnsi="宋体" w:cs="宋体" w:eastAsia="宋体" w:hint="default"/>
                <w:spacing w:val="-46"/>
                <w:sz w:val="18"/>
                <w:szCs w:val="18"/>
              </w:rPr>
              <w:t> </w:t>
            </w: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年的经审计的净利 </w:t>
            </w:r>
            <w:r>
              <w:rPr>
                <w:rFonts w:ascii="宋体" w:hAnsi="宋体" w:cs="宋体" w:eastAsia="宋体" w:hint="default"/>
                <w:spacing w:val="-2"/>
                <w:sz w:val="18"/>
                <w:szCs w:val="18"/>
              </w:rPr>
              <w:t>润（以扣除非经常性损益前后的净利润孰</w:t>
            </w:r>
            <w:r>
              <w:rPr>
                <w:rFonts w:ascii="宋体" w:hAnsi="宋体" w:cs="宋体" w:eastAsia="宋体" w:hint="default"/>
                <w:sz w:val="18"/>
                <w:szCs w:val="18"/>
              </w:rPr>
              <w:t> </w:t>
            </w:r>
            <w:r>
              <w:rPr>
                <w:rFonts w:ascii="宋体" w:hAnsi="宋体" w:cs="宋体" w:eastAsia="宋体" w:hint="default"/>
                <w:spacing w:val="-7"/>
                <w:sz w:val="18"/>
                <w:szCs w:val="18"/>
              </w:rPr>
              <w:t>低者为准）分别不少于</w:t>
            </w:r>
            <w:r>
              <w:rPr>
                <w:rFonts w:ascii="宋体" w:hAnsi="宋体" w:cs="宋体" w:eastAsia="宋体" w:hint="default"/>
                <w:spacing w:val="-43"/>
                <w:sz w:val="18"/>
                <w:szCs w:val="18"/>
              </w:rPr>
              <w:t> </w:t>
            </w:r>
            <w:r>
              <w:rPr>
                <w:rFonts w:ascii="宋体" w:hAnsi="宋体" w:cs="宋体" w:eastAsia="宋体" w:hint="default"/>
                <w:sz w:val="18"/>
                <w:szCs w:val="18"/>
              </w:rPr>
              <w:t>4,000</w:t>
            </w:r>
            <w:r>
              <w:rPr>
                <w:rFonts w:ascii="宋体" w:hAnsi="宋体" w:cs="宋体" w:eastAsia="宋体" w:hint="default"/>
                <w:spacing w:val="-42"/>
                <w:sz w:val="18"/>
                <w:szCs w:val="18"/>
              </w:rPr>
              <w:t> </w:t>
            </w:r>
            <w:r>
              <w:rPr>
                <w:rFonts w:ascii="宋体" w:hAnsi="宋体" w:cs="宋体" w:eastAsia="宋体" w:hint="default"/>
                <w:spacing w:val="-8"/>
                <w:sz w:val="18"/>
                <w:szCs w:val="18"/>
              </w:rPr>
              <w:t>万元、</w:t>
            </w:r>
            <w:r>
              <w:rPr>
                <w:rFonts w:ascii="宋体" w:hAnsi="宋体" w:cs="宋体" w:eastAsia="宋体" w:hint="default"/>
                <w:spacing w:val="-8"/>
                <w:sz w:val="18"/>
                <w:szCs w:val="18"/>
              </w:rPr>
              <w:t>5,000</w:t>
            </w:r>
            <w:r>
              <w:rPr>
                <w:rFonts w:ascii="宋体" w:hAnsi="宋体" w:cs="宋体" w:eastAsia="宋体" w:hint="default"/>
                <w:sz w:val="18"/>
                <w:szCs w:val="18"/>
              </w:rPr>
              <w:t> </w:t>
            </w:r>
            <w:r>
              <w:rPr>
                <w:rFonts w:ascii="宋体" w:hAnsi="宋体" w:cs="宋体" w:eastAsia="宋体" w:hint="default"/>
                <w:sz w:val="18"/>
                <w:szCs w:val="18"/>
              </w:rPr>
              <w:t>万元、</w:t>
            </w:r>
            <w:r>
              <w:rPr>
                <w:rFonts w:ascii="宋体" w:hAnsi="宋体" w:cs="宋体" w:eastAsia="宋体" w:hint="default"/>
                <w:sz w:val="18"/>
                <w:szCs w:val="18"/>
              </w:rPr>
              <w:t>6,000</w:t>
            </w:r>
            <w:r>
              <w:rPr>
                <w:rFonts w:ascii="宋体" w:hAnsi="宋体" w:cs="宋体" w:eastAsia="宋体" w:hint="default"/>
                <w:spacing w:val="-46"/>
                <w:sz w:val="18"/>
                <w:szCs w:val="18"/>
              </w:rPr>
              <w:t> </w:t>
            </w:r>
            <w:r>
              <w:rPr>
                <w:rFonts w:ascii="宋体" w:hAnsi="宋体" w:cs="宋体" w:eastAsia="宋体" w:hint="default"/>
                <w:sz w:val="18"/>
                <w:szCs w:val="18"/>
              </w:rPr>
              <w:t>万元。业绩承诺期内，若当 年度业绩承诺完成</w:t>
            </w:r>
            <w:r>
              <w:rPr>
                <w:rFonts w:ascii="宋体" w:hAnsi="宋体" w:cs="宋体" w:eastAsia="宋体" w:hint="default"/>
                <w:spacing w:val="-46"/>
                <w:sz w:val="18"/>
                <w:szCs w:val="18"/>
              </w:rPr>
              <w:t> </w:t>
            </w:r>
            <w:r>
              <w:rPr>
                <w:rFonts w:ascii="宋体" w:hAnsi="宋体" w:cs="宋体" w:eastAsia="宋体" w:hint="default"/>
                <w:spacing w:val="-4"/>
                <w:sz w:val="18"/>
                <w:szCs w:val="18"/>
              </w:rPr>
              <w:t>90%</w:t>
            </w:r>
            <w:r>
              <w:rPr>
                <w:rFonts w:ascii="宋体" w:hAnsi="宋体" w:cs="宋体" w:eastAsia="宋体" w:hint="default"/>
                <w:spacing w:val="-4"/>
                <w:sz w:val="18"/>
                <w:szCs w:val="18"/>
              </w:rPr>
              <w:t>以上（含本数）</w:t>
            </w:r>
            <w:r>
              <w:rPr>
                <w:rFonts w:ascii="宋体" w:hAnsi="宋体" w:cs="宋体" w:eastAsia="宋体" w:hint="default"/>
                <w:sz w:val="18"/>
                <w:szCs w:val="18"/>
              </w:rPr>
              <w:t> </w:t>
            </w:r>
            <w:r>
              <w:rPr>
                <w:rFonts w:ascii="宋体" w:hAnsi="宋体" w:cs="宋体" w:eastAsia="宋体" w:hint="default"/>
                <w:spacing w:val="-5"/>
                <w:sz w:val="18"/>
                <w:szCs w:val="18"/>
              </w:rPr>
              <w:t>则当年度暂不进行现金补偿，</w:t>
            </w:r>
            <w:r>
              <w:rPr>
                <w:rFonts w:ascii="宋体" w:hAnsi="宋体" w:cs="宋体" w:eastAsia="宋体" w:hint="default"/>
                <w:spacing w:val="-5"/>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年度结 束后，无论</w:t>
            </w:r>
            <w:r>
              <w:rPr>
                <w:rFonts w:ascii="宋体" w:hAnsi="宋体" w:cs="宋体" w:eastAsia="宋体" w:hint="default"/>
                <w:spacing w:val="-46"/>
                <w:sz w:val="18"/>
                <w:szCs w:val="18"/>
              </w:rPr>
              <w:t> </w:t>
            </w: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年度实现的净利润是否 达到承诺的净利润的</w:t>
            </w:r>
            <w:r>
              <w:rPr>
                <w:rFonts w:ascii="宋体" w:hAnsi="宋体" w:cs="宋体" w:eastAsia="宋体" w:hint="default"/>
                <w:spacing w:val="-46"/>
                <w:sz w:val="18"/>
                <w:szCs w:val="18"/>
              </w:rPr>
              <w:t> </w:t>
            </w:r>
            <w:r>
              <w:rPr>
                <w:rFonts w:ascii="宋体" w:hAnsi="宋体" w:cs="宋体" w:eastAsia="宋体" w:hint="default"/>
                <w:sz w:val="18"/>
                <w:szCs w:val="18"/>
              </w:rPr>
              <w:t>90%</w:t>
            </w:r>
            <w:r>
              <w:rPr>
                <w:rFonts w:ascii="宋体" w:hAnsi="宋体" w:cs="宋体" w:eastAsia="宋体" w:hint="default"/>
                <w:sz w:val="18"/>
                <w:szCs w:val="18"/>
              </w:rPr>
              <w:t>，均应计算应补 </w:t>
            </w:r>
            <w:r>
              <w:rPr>
                <w:rFonts w:ascii="宋体" w:hAnsi="宋体" w:cs="宋体" w:eastAsia="宋体" w:hint="default"/>
                <w:spacing w:val="-11"/>
                <w:sz w:val="18"/>
                <w:szCs w:val="18"/>
              </w:rPr>
              <w:t>偿金额。当年度的现金补偿金额</w:t>
            </w:r>
            <w:r>
              <w:rPr>
                <w:rFonts w:ascii="宋体" w:hAnsi="宋体" w:cs="宋体" w:eastAsia="宋体" w:hint="default"/>
                <w:spacing w:val="-11"/>
                <w:sz w:val="18"/>
                <w:szCs w:val="18"/>
              </w:rPr>
              <w:t>=</w:t>
            </w:r>
            <w:r>
              <w:rPr>
                <w:rFonts w:ascii="宋体" w:hAnsi="宋体" w:cs="宋体" w:eastAsia="宋体" w:hint="default"/>
                <w:spacing w:val="-11"/>
                <w:sz w:val="18"/>
                <w:szCs w:val="18"/>
              </w:rPr>
              <w:t>（自</w:t>
            </w:r>
            <w:r>
              <w:rPr>
                <w:rFonts w:ascii="宋体" w:hAnsi="宋体" w:cs="宋体" w:eastAsia="宋体" w:hint="default"/>
                <w:spacing w:val="-31"/>
                <w:sz w:val="18"/>
                <w:szCs w:val="18"/>
              </w:rPr>
              <w:t> </w:t>
            </w:r>
            <w:r>
              <w:rPr>
                <w:rFonts w:ascii="宋体" w:hAnsi="宋体" w:cs="宋体" w:eastAsia="宋体" w:hint="default"/>
                <w:sz w:val="18"/>
                <w:szCs w:val="18"/>
              </w:rPr>
              <w:t>2018</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w:t>
            </w:r>
            <w:r>
              <w:rPr>
                <w:rFonts w:ascii="宋体" w:hAnsi="宋体" w:cs="宋体" w:eastAsia="宋体" w:hint="default"/>
                <w:spacing w:val="-51"/>
                <w:sz w:val="18"/>
                <w:szCs w:val="18"/>
              </w:rPr>
              <w:t> </w:t>
            </w:r>
            <w:r>
              <w:rPr>
                <w:rFonts w:ascii="宋体" w:hAnsi="宋体" w:cs="宋体" w:eastAsia="宋体" w:hint="default"/>
                <w:sz w:val="18"/>
                <w:szCs w:val="18"/>
              </w:rPr>
              <w:t>日至当年度</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31</w:t>
            </w:r>
            <w:r>
              <w:rPr>
                <w:rFonts w:ascii="宋体" w:hAnsi="宋体" w:cs="宋体" w:eastAsia="宋体" w:hint="default"/>
                <w:spacing w:val="-51"/>
                <w:sz w:val="18"/>
                <w:szCs w:val="18"/>
              </w:rPr>
              <w:t> </w:t>
            </w:r>
            <w:r>
              <w:rPr>
                <w:rFonts w:ascii="宋体" w:hAnsi="宋体" w:cs="宋体" w:eastAsia="宋体" w:hint="default"/>
                <w:sz w:val="18"/>
                <w:szCs w:val="18"/>
              </w:rPr>
              <w:t>日的累计承</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诺净利润总额－自</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日至当</w:t>
            </w:r>
          </w:p>
          <w:p>
            <w:pPr>
              <w:pStyle w:val="TableParagraph"/>
              <w:spacing w:line="240" w:lineRule="auto" w:before="76"/>
              <w:ind w:left="22" w:right="-11"/>
              <w:jc w:val="left"/>
              <w:rPr>
                <w:rFonts w:ascii="宋体" w:hAnsi="宋体" w:cs="宋体" w:eastAsia="宋体" w:hint="default"/>
                <w:sz w:val="18"/>
                <w:szCs w:val="18"/>
              </w:rPr>
            </w:pPr>
            <w:r>
              <w:rPr>
                <w:rFonts w:ascii="宋体" w:hAnsi="宋体" w:cs="宋体" w:eastAsia="宋体" w:hint="default"/>
                <w:sz w:val="18"/>
                <w:szCs w:val="18"/>
              </w:rPr>
              <w:t>年度</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日的累计实际净利润总额）</w:t>
            </w:r>
          </w:p>
          <w:p>
            <w:pPr>
              <w:pStyle w:val="TableParagraph"/>
              <w:spacing w:line="319" w:lineRule="auto" w:before="76"/>
              <w:ind w:left="22" w:right="167"/>
              <w:jc w:val="both"/>
              <w:rPr>
                <w:rFonts w:ascii="宋体" w:hAnsi="宋体" w:cs="宋体" w:eastAsia="宋体" w:hint="default"/>
                <w:sz w:val="18"/>
                <w:szCs w:val="18"/>
              </w:rPr>
            </w:pPr>
            <w:r>
              <w:rPr>
                <w:rFonts w:ascii="宋体" w:hAnsi="宋体" w:cs="宋体" w:eastAsia="宋体" w:hint="default"/>
                <w:sz w:val="18"/>
                <w:szCs w:val="18"/>
              </w:rPr>
              <w:t>÷业绩承诺期的承诺净利润总额×本次 交易总价－截至当年度累计已补偿的金 额（如有）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4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6"/>
                <w:sz w:val="20"/>
                <w:szCs w:val="20"/>
              </w:rPr>
              <w:pict>
                <v:group style="width:77.55pt;height:117.05pt;mso-position-horizontal-relative:char;mso-position-vertical-relative:line" coordorigin="0,0" coordsize="1551,2341">
                  <v:group style="position:absolute;left:0;top:0;width:1551;height:2341" coordorigin="0,0" coordsize="1551,2341">
                    <v:shape style="position:absolute;left:0;top:0;width:1551;height:2341" coordorigin="0,0" coordsize="1551,2341" path="m0,2340l1550,2340,1550,0,0,0,0,2340xe" filled="true" fillcolor="#ffffff" stroked="false">
                      <v:path arrowok="t"/>
                      <v:fill type="solid"/>
                    </v:shape>
                  </v:group>
                </v:group>
              </w:pict>
            </w:r>
            <w:r>
              <w:rPr>
                <w:rFonts w:ascii="Times New Roman" w:hAnsi="Times New Roman" w:cs="Times New Roman" w:eastAsia="Times New Roman" w:hint="default"/>
                <w:position w:val="-46"/>
                <w:sz w:val="20"/>
                <w:szCs w:val="20"/>
              </w:rPr>
            </w:r>
          </w:p>
          <w:p>
            <w:pPr>
              <w:pStyle w:val="TableParagraph"/>
              <w:spacing w:line="240" w:lineRule="auto" w:before="51"/>
              <w:ind w:right="1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年起，</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正在履行之中。</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年度实现净利润 数为</w:t>
            </w:r>
            <w:r>
              <w:rPr>
                <w:rFonts w:ascii="宋体" w:hAnsi="宋体" w:cs="宋体" w:eastAsia="宋体" w:hint="default"/>
                <w:spacing w:val="-46"/>
                <w:sz w:val="18"/>
                <w:szCs w:val="18"/>
              </w:rPr>
              <w:t> </w:t>
            </w:r>
            <w:r>
              <w:rPr>
                <w:rFonts w:ascii="宋体" w:hAnsi="宋体" w:cs="宋体" w:eastAsia="宋体" w:hint="default"/>
                <w:sz w:val="18"/>
                <w:szCs w:val="18"/>
              </w:rPr>
              <w:t>4,102.67</w:t>
            </w:r>
            <w:r>
              <w:rPr>
                <w:rFonts w:ascii="宋体" w:hAnsi="宋体" w:cs="宋体" w:eastAsia="宋体" w:hint="default"/>
                <w:spacing w:val="-45"/>
                <w:sz w:val="18"/>
                <w:szCs w:val="18"/>
              </w:rPr>
              <w:t> </w:t>
            </w:r>
            <w:r>
              <w:rPr>
                <w:rFonts w:ascii="宋体" w:hAnsi="宋体" w:cs="宋体" w:eastAsia="宋体" w:hint="default"/>
                <w:spacing w:val="-5"/>
                <w:sz w:val="18"/>
                <w:szCs w:val="18"/>
              </w:rPr>
              <w:t>万元，业绩承诺已实现</w:t>
            </w:r>
          </w:p>
        </w:tc>
      </w:tr>
      <w:tr>
        <w:trPr>
          <w:trHeight w:val="2547"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子栋科技、鼎金投资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99"/>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pacing w:val="-2"/>
                <w:sz w:val="18"/>
                <w:szCs w:val="18"/>
              </w:rPr>
              <w:t>子栋科技、鼎金投资共同承诺：车音智能</w:t>
            </w:r>
            <w:r>
              <w:rPr>
                <w:rFonts w:ascii="宋体" w:hAnsi="宋体" w:cs="宋体" w:eastAsia="宋体" w:hint="default"/>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年度、</w:t>
            </w:r>
            <w:r>
              <w:rPr>
                <w:rFonts w:ascii="宋体" w:hAnsi="宋体" w:cs="宋体" w:eastAsia="宋体" w:hint="default"/>
                <w:sz w:val="18"/>
                <w:szCs w:val="18"/>
              </w:rPr>
              <w:t>2021 </w:t>
            </w:r>
            <w:r>
              <w:rPr>
                <w:rFonts w:ascii="宋体" w:hAnsi="宋体" w:cs="宋体" w:eastAsia="宋体" w:hint="default"/>
                <w:sz w:val="18"/>
                <w:szCs w:val="18"/>
              </w:rPr>
              <w:t>年度和</w:t>
            </w:r>
            <w:r>
              <w:rPr>
                <w:rFonts w:ascii="宋体" w:hAnsi="宋体" w:cs="宋体" w:eastAsia="宋体" w:hint="default"/>
                <w:spacing w:val="-46"/>
                <w:sz w:val="18"/>
                <w:szCs w:val="18"/>
              </w:rPr>
              <w:t> </w:t>
            </w:r>
            <w:r>
              <w:rPr>
                <w:rFonts w:ascii="宋体" w:hAnsi="宋体" w:cs="宋体" w:eastAsia="宋体" w:hint="default"/>
                <w:sz w:val="18"/>
                <w:szCs w:val="18"/>
              </w:rPr>
              <w:t>2022</w:t>
            </w:r>
            <w:r>
              <w:rPr>
                <w:rFonts w:ascii="宋体" w:hAnsi="宋体" w:cs="宋体" w:eastAsia="宋体" w:hint="default"/>
                <w:spacing w:val="-46"/>
                <w:sz w:val="18"/>
                <w:szCs w:val="18"/>
              </w:rPr>
              <w:t> </w:t>
            </w:r>
            <w:r>
              <w:rPr>
                <w:rFonts w:ascii="宋体" w:hAnsi="宋体" w:cs="宋体" w:eastAsia="宋体" w:hint="default"/>
                <w:sz w:val="18"/>
                <w:szCs w:val="18"/>
              </w:rPr>
              <w:t>年度实现的扣除非经常性损 益后归属于母公司所有者的净利润分别 不低于</w:t>
            </w:r>
            <w:r>
              <w:rPr>
                <w:rFonts w:ascii="宋体" w:hAnsi="宋体" w:cs="宋体" w:eastAsia="宋体" w:hint="default"/>
                <w:spacing w:val="-44"/>
                <w:sz w:val="18"/>
                <w:szCs w:val="18"/>
              </w:rPr>
              <w:t> </w:t>
            </w:r>
            <w:r>
              <w:rPr>
                <w:rFonts w:ascii="宋体" w:hAnsi="宋体" w:cs="宋体" w:eastAsia="宋体" w:hint="default"/>
                <w:sz w:val="18"/>
                <w:szCs w:val="18"/>
              </w:rPr>
              <w:t>18,000</w:t>
            </w:r>
            <w:r>
              <w:rPr>
                <w:rFonts w:ascii="宋体" w:hAnsi="宋体" w:cs="宋体" w:eastAsia="宋体" w:hint="default"/>
                <w:spacing w:val="-43"/>
                <w:sz w:val="18"/>
                <w:szCs w:val="18"/>
              </w:rPr>
              <w:t> </w:t>
            </w:r>
            <w:r>
              <w:rPr>
                <w:rFonts w:ascii="宋体" w:hAnsi="宋体" w:cs="宋体" w:eastAsia="宋体" w:hint="default"/>
                <w:spacing w:val="-10"/>
                <w:sz w:val="18"/>
                <w:szCs w:val="18"/>
              </w:rPr>
              <w:t>万元、</w:t>
            </w:r>
            <w:r>
              <w:rPr>
                <w:rFonts w:ascii="宋体" w:hAnsi="宋体" w:cs="宋体" w:eastAsia="宋体" w:hint="default"/>
                <w:spacing w:val="-10"/>
                <w:sz w:val="18"/>
                <w:szCs w:val="18"/>
              </w:rPr>
              <w:t>22,300</w:t>
            </w:r>
            <w:r>
              <w:rPr>
                <w:rFonts w:ascii="宋体" w:hAnsi="宋体" w:cs="宋体" w:eastAsia="宋体" w:hint="default"/>
                <w:spacing w:val="-44"/>
                <w:sz w:val="18"/>
                <w:szCs w:val="18"/>
              </w:rPr>
              <w:t> </w:t>
            </w:r>
            <w:r>
              <w:rPr>
                <w:rFonts w:ascii="宋体" w:hAnsi="宋体" w:cs="宋体" w:eastAsia="宋体" w:hint="default"/>
                <w:spacing w:val="-10"/>
                <w:sz w:val="18"/>
                <w:szCs w:val="18"/>
              </w:rPr>
              <w:t>万元、</w:t>
            </w:r>
            <w:r>
              <w:rPr>
                <w:rFonts w:ascii="宋体" w:hAnsi="宋体" w:cs="宋体" w:eastAsia="宋体" w:hint="default"/>
                <w:spacing w:val="-10"/>
                <w:sz w:val="18"/>
                <w:szCs w:val="18"/>
              </w:rPr>
              <w:t>28,600</w:t>
            </w:r>
            <w:r>
              <w:rPr>
                <w:rFonts w:ascii="宋体" w:hAnsi="宋体" w:cs="宋体" w:eastAsia="宋体" w:hint="default"/>
                <w:spacing w:val="-88"/>
                <w:sz w:val="18"/>
                <w:szCs w:val="18"/>
              </w:rPr>
              <w:t> </w:t>
            </w:r>
            <w:r>
              <w:rPr>
                <w:rFonts w:ascii="宋体" w:hAnsi="宋体" w:cs="宋体" w:eastAsia="宋体" w:hint="default"/>
                <w:sz w:val="18"/>
                <w:szCs w:val="18"/>
              </w:rPr>
              <w:t>万元、</w:t>
            </w:r>
            <w:r>
              <w:rPr>
                <w:rFonts w:ascii="宋体" w:hAnsi="宋体" w:cs="宋体" w:eastAsia="宋体" w:hint="default"/>
                <w:sz w:val="18"/>
                <w:szCs w:val="18"/>
              </w:rPr>
              <w:t>39,800</w:t>
            </w:r>
            <w:r>
              <w:rPr>
                <w:rFonts w:ascii="宋体" w:hAnsi="宋体" w:cs="宋体" w:eastAsia="宋体" w:hint="default"/>
                <w:spacing w:val="-46"/>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宋体" w:hAnsi="宋体" w:cs="宋体" w:eastAsia="宋体" w:hint="default"/>
                <w:sz w:val="18"/>
                <w:szCs w:val="18"/>
              </w:rPr>
              <w:t>44,000</w:t>
            </w:r>
            <w:r>
              <w:rPr>
                <w:rFonts w:ascii="宋体" w:hAnsi="宋体" w:cs="宋体" w:eastAsia="宋体" w:hint="default"/>
                <w:spacing w:val="-45"/>
                <w:sz w:val="18"/>
                <w:szCs w:val="18"/>
              </w:rPr>
              <w:t> </w:t>
            </w:r>
            <w:r>
              <w:rPr>
                <w:rFonts w:ascii="宋体" w:hAnsi="宋体" w:cs="宋体" w:eastAsia="宋体" w:hint="default"/>
                <w:sz w:val="18"/>
                <w:szCs w:val="18"/>
              </w:rPr>
              <w:t>万元。业绩 补偿的原则为五年业绩承诺期累积补偿， </w:t>
            </w:r>
            <w:r>
              <w:rPr>
                <w:rFonts w:ascii="宋体" w:hAnsi="宋体" w:cs="宋体" w:eastAsia="宋体" w:hint="default"/>
                <w:spacing w:val="-2"/>
                <w:sz w:val="18"/>
                <w:szCs w:val="18"/>
              </w:rPr>
              <w:t>即业绩承诺期结束后，如车音智能在五年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年起，</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23"/>
              <w:jc w:val="both"/>
              <w:rPr>
                <w:rFonts w:ascii="宋体" w:hAnsi="宋体" w:cs="宋体" w:eastAsia="宋体" w:hint="default"/>
                <w:sz w:val="18"/>
                <w:szCs w:val="18"/>
              </w:rPr>
            </w:pPr>
            <w:r>
              <w:rPr>
                <w:rFonts w:ascii="宋体" w:hAnsi="宋体" w:cs="宋体" w:eastAsia="宋体" w:hint="default"/>
                <w:sz w:val="18"/>
                <w:szCs w:val="18"/>
              </w:rPr>
              <w:t>正在履行之中。</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年度实现净利润 数为</w:t>
            </w:r>
            <w:r>
              <w:rPr>
                <w:rFonts w:ascii="宋体" w:hAnsi="宋体" w:cs="宋体" w:eastAsia="宋体" w:hint="default"/>
                <w:spacing w:val="-46"/>
                <w:sz w:val="18"/>
                <w:szCs w:val="18"/>
              </w:rPr>
              <w:t> </w:t>
            </w:r>
            <w:r>
              <w:rPr>
                <w:rFonts w:ascii="宋体" w:hAnsi="宋体" w:cs="宋体" w:eastAsia="宋体" w:hint="default"/>
                <w:sz w:val="18"/>
                <w:szCs w:val="18"/>
              </w:rPr>
              <w:t>19,234.54</w:t>
            </w:r>
            <w:r>
              <w:rPr>
                <w:rFonts w:ascii="宋体" w:hAnsi="宋体" w:cs="宋体" w:eastAsia="宋体" w:hint="default"/>
                <w:spacing w:val="-46"/>
                <w:sz w:val="18"/>
                <w:szCs w:val="18"/>
              </w:rPr>
              <w:t> </w:t>
            </w:r>
            <w:r>
              <w:rPr>
                <w:rFonts w:ascii="宋体" w:hAnsi="宋体" w:cs="宋体" w:eastAsia="宋体" w:hint="default"/>
                <w:sz w:val="18"/>
                <w:szCs w:val="18"/>
              </w:rPr>
              <w:t>万元，业绩承诺已实 现</w:t>
            </w:r>
          </w:p>
        </w:tc>
      </w:tr>
    </w:tbl>
    <w:p>
      <w:pPr>
        <w:spacing w:after="0" w:line="319" w:lineRule="auto"/>
        <w:jc w:val="both"/>
        <w:rPr>
          <w:rFonts w:ascii="宋体" w:hAnsi="宋体" w:cs="宋体" w:eastAsia="宋体" w:hint="default"/>
          <w:sz w:val="18"/>
          <w:szCs w:val="18"/>
        </w:rPr>
        <w:sectPr>
          <w:pgSz w:w="16840" w:h="11910" w:orient="landscape"/>
          <w:pgMar w:header="867" w:footer="979" w:top="1060" w:bottom="1160" w:left="900" w:right="1100"/>
        </w:sectPr>
      </w:pPr>
    </w:p>
    <w:p>
      <w:pPr>
        <w:spacing w:line="319" w:lineRule="auto" w:before="87"/>
        <w:ind w:left="5102" w:right="6572" w:firstLine="0"/>
        <w:jc w:val="left"/>
        <w:rPr>
          <w:rFonts w:ascii="宋体" w:hAnsi="宋体" w:cs="宋体" w:eastAsia="宋体" w:hint="default"/>
          <w:sz w:val="18"/>
          <w:szCs w:val="18"/>
        </w:rPr>
      </w:pPr>
      <w:r>
        <w:rPr>
          <w:rFonts w:ascii="宋体" w:hAnsi="宋体" w:cs="宋体" w:eastAsia="宋体" w:hint="default"/>
          <w:sz w:val="18"/>
          <w:szCs w:val="18"/>
        </w:rPr>
        <w:t>业绩承诺期内的累积实际净利润低于累 </w:t>
      </w:r>
      <w:r>
        <w:rPr>
          <w:rFonts w:ascii="宋体" w:hAnsi="宋体" w:cs="宋体" w:eastAsia="宋体" w:hint="default"/>
          <w:spacing w:val="-2"/>
          <w:sz w:val="18"/>
          <w:szCs w:val="18"/>
        </w:rPr>
        <w:t>积承诺净利润的，则由子栋科技、鼎金投</w:t>
      </w:r>
      <w:r>
        <w:rPr>
          <w:rFonts w:ascii="宋体" w:hAnsi="宋体" w:cs="宋体" w:eastAsia="宋体" w:hint="default"/>
          <w:sz w:val="18"/>
          <w:szCs w:val="18"/>
        </w:rPr>
        <w:t> 资按照</w:t>
      </w:r>
      <w:r>
        <w:rPr>
          <w:rFonts w:ascii="宋体" w:hAnsi="宋体" w:cs="宋体" w:eastAsia="宋体" w:hint="default"/>
          <w:spacing w:val="-38"/>
          <w:sz w:val="18"/>
          <w:szCs w:val="18"/>
        </w:rPr>
        <w:t> </w:t>
      </w:r>
      <w:r>
        <w:rPr>
          <w:rFonts w:ascii="宋体" w:hAnsi="宋体" w:cs="宋体" w:eastAsia="宋体" w:hint="default"/>
          <w:spacing w:val="-5"/>
          <w:sz w:val="18"/>
          <w:szCs w:val="18"/>
        </w:rPr>
        <w:t>50%</w:t>
      </w:r>
      <w:r>
        <w:rPr>
          <w:rFonts w:ascii="宋体" w:hAnsi="宋体" w:cs="宋体" w:eastAsia="宋体" w:hint="default"/>
          <w:spacing w:val="-5"/>
          <w:sz w:val="18"/>
          <w:szCs w:val="18"/>
        </w:rPr>
        <w:t>：</w:t>
      </w:r>
      <w:r>
        <w:rPr>
          <w:rFonts w:ascii="宋体" w:hAnsi="宋体" w:cs="宋体" w:eastAsia="宋体" w:hint="default"/>
          <w:spacing w:val="-5"/>
          <w:sz w:val="18"/>
          <w:szCs w:val="18"/>
        </w:rPr>
        <w:t>50%</w:t>
      </w:r>
      <w:r>
        <w:rPr>
          <w:rFonts w:ascii="宋体" w:hAnsi="宋体" w:cs="宋体" w:eastAsia="宋体" w:hint="default"/>
          <w:spacing w:val="-5"/>
          <w:sz w:val="18"/>
          <w:szCs w:val="18"/>
        </w:rPr>
        <w:t>的比例以现金方式向公司</w:t>
      </w:r>
      <w:r>
        <w:rPr>
          <w:rFonts w:ascii="宋体" w:hAnsi="宋体" w:cs="宋体" w:eastAsia="宋体" w:hint="default"/>
          <w:sz w:val="18"/>
          <w:szCs w:val="18"/>
        </w:rPr>
        <w:t> 进行补偿。</w:t>
      </w:r>
    </w:p>
    <w:p>
      <w:pPr>
        <w:spacing w:after="0" w:line="319" w:lineRule="auto"/>
        <w:jc w:val="left"/>
        <w:rPr>
          <w:rFonts w:ascii="宋体" w:hAnsi="宋体" w:cs="宋体" w:eastAsia="宋体" w:hint="default"/>
          <w:sz w:val="18"/>
          <w:szCs w:val="18"/>
        </w:rPr>
        <w:sectPr>
          <w:pgSz w:w="16840" w:h="11910" w:orient="landscape"/>
          <w:pgMar w:header="867" w:footer="979" w:top="1060" w:bottom="1160" w:left="900" w:right="1040"/>
        </w:sect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国广控股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4"/>
          <w:szCs w:val="14"/>
        </w:rPr>
      </w:pPr>
    </w:p>
    <w:p>
      <w:pPr>
        <w:spacing w:line="316" w:lineRule="auto" w:before="0"/>
        <w:ind w:left="939" w:right="-20" w:firstLine="0"/>
        <w:jc w:val="left"/>
        <w:rPr>
          <w:rFonts w:ascii="宋体" w:hAnsi="宋体" w:cs="宋体" w:eastAsia="宋体" w:hint="default"/>
          <w:sz w:val="18"/>
          <w:szCs w:val="18"/>
        </w:rPr>
      </w:pPr>
      <w:r>
        <w:rPr>
          <w:rFonts w:ascii="宋体" w:hAnsi="宋体" w:cs="宋体" w:eastAsia="宋体" w:hint="default"/>
          <w:sz w:val="18"/>
          <w:szCs w:val="18"/>
        </w:rPr>
        <w:t>股份增持承 诺</w:t>
      </w:r>
    </w:p>
    <w:p>
      <w:pPr>
        <w:spacing w:before="107"/>
        <w:ind w:left="193"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国广控股承诺：自华闻传媒股票于</w:t>
      </w:r>
      <w:r>
        <w:rPr>
          <w:rFonts w:ascii="宋体" w:hAnsi="宋体" w:cs="宋体" w:eastAsia="宋体" w:hint="default"/>
          <w:spacing w:val="-46"/>
          <w:sz w:val="18"/>
          <w:szCs w:val="18"/>
        </w:rPr>
        <w:t> </w:t>
      </w:r>
      <w:r>
        <w:rPr>
          <w:rFonts w:ascii="宋体" w:hAnsi="宋体" w:cs="宋体" w:eastAsia="宋体" w:hint="default"/>
          <w:sz w:val="18"/>
          <w:szCs w:val="18"/>
        </w:rPr>
        <w:t>2018</w:t>
      </w:r>
    </w:p>
    <w:p>
      <w:pPr>
        <w:spacing w:before="75"/>
        <w:ind w:left="193" w:right="-19"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日复牌后十二个月内国广控股</w:t>
      </w:r>
    </w:p>
    <w:p>
      <w:pPr>
        <w:spacing w:line="319" w:lineRule="auto" w:before="76"/>
        <w:ind w:left="193" w:right="-19" w:firstLine="0"/>
        <w:jc w:val="left"/>
        <w:rPr>
          <w:rFonts w:ascii="宋体" w:hAnsi="宋体" w:cs="宋体" w:eastAsia="宋体" w:hint="default"/>
          <w:sz w:val="18"/>
          <w:szCs w:val="18"/>
        </w:rPr>
      </w:pPr>
      <w:r>
        <w:rPr>
          <w:rFonts w:ascii="宋体" w:hAnsi="宋体" w:cs="宋体" w:eastAsia="宋体" w:hint="default"/>
          <w:sz w:val="18"/>
          <w:szCs w:val="18"/>
        </w:rPr>
        <w:t>拟通过自身或控股子公司以不低于</w:t>
      </w:r>
      <w:r>
        <w:rPr>
          <w:rFonts w:ascii="宋体" w:hAnsi="宋体" w:cs="宋体" w:eastAsia="宋体" w:hint="default"/>
          <w:spacing w:val="-62"/>
          <w:sz w:val="18"/>
          <w:szCs w:val="18"/>
        </w:rPr>
        <w:t> </w:t>
      </w:r>
      <w:r>
        <w:rPr>
          <w:rFonts w:ascii="宋体" w:hAnsi="宋体" w:cs="宋体" w:eastAsia="宋体" w:hint="default"/>
          <w:sz w:val="18"/>
          <w:szCs w:val="18"/>
        </w:rPr>
        <w:t>5</w:t>
      </w:r>
      <w:r>
        <w:rPr>
          <w:rFonts w:ascii="宋体" w:hAnsi="宋体" w:cs="宋体" w:eastAsia="宋体" w:hint="default"/>
          <w:spacing w:val="-63"/>
          <w:sz w:val="18"/>
          <w:szCs w:val="18"/>
        </w:rPr>
        <w:t> </w:t>
      </w:r>
      <w:r>
        <w:rPr>
          <w:rFonts w:ascii="宋体" w:hAnsi="宋体" w:cs="宋体" w:eastAsia="宋体" w:hint="default"/>
          <w:sz w:val="18"/>
          <w:szCs w:val="18"/>
        </w:rPr>
        <w:t>亿元 的资金总额择机增持华闻传媒股份。</w:t>
      </w:r>
    </w:p>
    <w:p>
      <w:pPr>
        <w:spacing w:line="240" w:lineRule="auto" w:before="1"/>
        <w:rPr>
          <w:rFonts w:ascii="宋体" w:hAnsi="宋体" w:cs="宋体" w:eastAsia="宋体" w:hint="default"/>
          <w:sz w:val="20"/>
          <w:szCs w:val="20"/>
        </w:rPr>
      </w:pPr>
      <w:r>
        <w:rPr/>
        <w:br w:type="column"/>
      </w:r>
      <w:r>
        <w:rPr>
          <w:rFonts w:ascii="宋体"/>
          <w:sz w:val="20"/>
        </w:rPr>
      </w:r>
    </w:p>
    <w:p>
      <w:pPr>
        <w:spacing w:before="0"/>
        <w:ind w:left="1576" w:right="-13" w:firstLine="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316" w:lineRule="auto" w:before="76"/>
        <w:ind w:left="1576" w:right="-13" w:hanging="156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15"/>
          <w:sz w:val="18"/>
          <w:szCs w:val="18"/>
        </w:rPr>
        <w:t> </w:t>
      </w:r>
      <w:r>
        <w:rPr>
          <w:rFonts w:ascii="宋体" w:hAnsi="宋体" w:cs="宋体" w:eastAsia="宋体" w:hint="default"/>
          <w:spacing w:val="-20"/>
          <w:sz w:val="18"/>
          <w:szCs w:val="18"/>
        </w:rPr>
        <w:t>起，至</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 </w:t>
      </w:r>
      <w:r>
        <w:rPr>
          <w:rFonts w:ascii="宋体" w:hAnsi="宋体" w:cs="宋体" w:eastAsia="宋体" w:hint="default"/>
          <w:sz w:val="18"/>
          <w:szCs w:val="18"/>
        </w:rPr>
        <w:t>日止</w:t>
      </w:r>
    </w:p>
    <w:p>
      <w:pPr>
        <w:spacing w:before="107"/>
        <w:ind w:left="1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正在履行之中，国广控股于</w:t>
      </w:r>
      <w:r>
        <w:rPr>
          <w:rFonts w:ascii="宋体" w:hAnsi="宋体" w:cs="宋体" w:eastAsia="宋体" w:hint="default"/>
          <w:spacing w:val="-48"/>
          <w:sz w:val="18"/>
          <w:szCs w:val="18"/>
        </w:rPr>
        <w:t> </w:t>
      </w: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p>
    <w:p>
      <w:pPr>
        <w:spacing w:line="319" w:lineRule="auto" w:before="75"/>
        <w:ind w:left="17" w:right="232"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日通过其全资子公司国广环球 财富文化传媒（北京）有限公司增持 公司股份</w:t>
      </w:r>
      <w:r>
        <w:rPr>
          <w:rFonts w:ascii="宋体" w:hAnsi="宋体" w:cs="宋体" w:eastAsia="宋体" w:hint="default"/>
          <w:spacing w:val="-46"/>
          <w:sz w:val="18"/>
          <w:szCs w:val="18"/>
        </w:rPr>
        <w:t> </w:t>
      </w:r>
      <w:r>
        <w:rPr>
          <w:rFonts w:ascii="宋体" w:hAnsi="宋体" w:cs="宋体" w:eastAsia="宋体" w:hint="default"/>
          <w:sz w:val="18"/>
          <w:szCs w:val="18"/>
        </w:rPr>
        <w:t>36,300</w:t>
      </w:r>
      <w:r>
        <w:rPr>
          <w:rFonts w:ascii="宋体" w:hAnsi="宋体" w:cs="宋体" w:eastAsia="宋体" w:hint="default"/>
          <w:spacing w:val="-46"/>
          <w:sz w:val="18"/>
          <w:szCs w:val="18"/>
        </w:rPr>
        <w:t> </w:t>
      </w:r>
      <w:r>
        <w:rPr>
          <w:rFonts w:ascii="宋体" w:hAnsi="宋体" w:cs="宋体" w:eastAsia="宋体" w:hint="default"/>
          <w:sz w:val="18"/>
          <w:szCs w:val="18"/>
        </w:rPr>
        <w:t>股</w:t>
      </w:r>
    </w:p>
    <w:p>
      <w:pPr>
        <w:spacing w:after="0" w:line="319" w:lineRule="auto"/>
        <w:jc w:val="left"/>
        <w:rPr>
          <w:rFonts w:ascii="宋体" w:hAnsi="宋体" w:cs="宋体" w:eastAsia="宋体" w:hint="default"/>
          <w:sz w:val="18"/>
          <w:szCs w:val="18"/>
        </w:rPr>
        <w:sectPr>
          <w:type w:val="continuous"/>
          <w:pgSz w:w="16840" w:h="11910" w:orient="landscape"/>
          <w:pgMar w:top="1060" w:bottom="1160" w:left="900" w:right="1040"/>
          <w:cols w:num="5" w:equalWidth="0">
            <w:col w:w="2990" w:space="40"/>
            <w:col w:w="1840" w:space="40"/>
            <w:col w:w="3400" w:space="40"/>
            <w:col w:w="3361" w:space="40"/>
            <w:col w:w="3149"/>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spacing w:line="316" w:lineRule="auto" w:before="0"/>
        <w:ind w:left="2269" w:right="-20" w:firstLine="0"/>
        <w:jc w:val="left"/>
        <w:rPr>
          <w:rFonts w:ascii="宋体" w:hAnsi="宋体" w:cs="宋体" w:eastAsia="宋体" w:hint="default"/>
          <w:sz w:val="18"/>
          <w:szCs w:val="18"/>
        </w:rPr>
      </w:pPr>
      <w:r>
        <w:rPr>
          <w:rFonts w:ascii="宋体" w:hAnsi="宋体" w:cs="宋体" w:eastAsia="宋体" w:hint="default"/>
          <w:sz w:val="18"/>
          <w:szCs w:val="18"/>
        </w:rPr>
        <w:t>子栋科技、鼎金投资 和新意资本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5"/>
          <w:szCs w:val="25"/>
        </w:rPr>
      </w:pPr>
    </w:p>
    <w:p>
      <w:pPr>
        <w:spacing w:before="0"/>
        <w:ind w:left="39" w:right="-20" w:firstLine="0"/>
        <w:jc w:val="left"/>
        <w:rPr>
          <w:rFonts w:ascii="宋体" w:hAnsi="宋体" w:cs="宋体" w:eastAsia="宋体" w:hint="default"/>
          <w:sz w:val="18"/>
          <w:szCs w:val="18"/>
        </w:rPr>
      </w:pPr>
      <w:r>
        <w:rPr>
          <w:rFonts w:ascii="宋体" w:hAnsi="宋体" w:cs="宋体" w:eastAsia="宋体" w:hint="default"/>
          <w:sz w:val="18"/>
          <w:szCs w:val="18"/>
        </w:rPr>
        <w:t>其他承诺</w:t>
      </w:r>
    </w:p>
    <w:p>
      <w:pPr>
        <w:spacing w:line="316" w:lineRule="auto" w:before="107"/>
        <w:ind w:left="373" w:right="-19"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子栋科技、鼎金投资、新意资本承诺并保</w:t>
      </w:r>
      <w:r>
        <w:rPr>
          <w:rFonts w:ascii="宋体" w:hAnsi="宋体" w:cs="宋体" w:eastAsia="宋体" w:hint="default"/>
          <w:sz w:val="18"/>
          <w:szCs w:val="18"/>
        </w:rPr>
        <w:t> 证：自车音智能</w:t>
      </w:r>
      <w:r>
        <w:rPr>
          <w:rFonts w:ascii="宋体" w:hAnsi="宋体" w:cs="宋体" w:eastAsia="宋体" w:hint="default"/>
          <w:spacing w:val="-46"/>
          <w:sz w:val="18"/>
          <w:szCs w:val="18"/>
        </w:rPr>
        <w:t> </w:t>
      </w:r>
      <w:r>
        <w:rPr>
          <w:rFonts w:ascii="宋体" w:hAnsi="宋体" w:cs="宋体" w:eastAsia="宋体" w:hint="default"/>
          <w:sz w:val="18"/>
          <w:szCs w:val="18"/>
        </w:rPr>
        <w:t>60%</w:t>
      </w:r>
      <w:r>
        <w:rPr>
          <w:rFonts w:ascii="宋体" w:hAnsi="宋体" w:cs="宋体" w:eastAsia="宋体" w:hint="default"/>
          <w:sz w:val="18"/>
          <w:szCs w:val="18"/>
        </w:rPr>
        <w:t>股权过户之日（</w:t>
      </w:r>
      <w:r>
        <w:rPr>
          <w:rFonts w:ascii="宋体" w:hAnsi="宋体" w:cs="宋体" w:eastAsia="宋体"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8</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pacing w:val="-6"/>
          <w:sz w:val="18"/>
          <w:szCs w:val="18"/>
        </w:rPr>
        <w:t>日）起</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个月内（不含车音智 能</w:t>
      </w:r>
      <w:r>
        <w:rPr>
          <w:rFonts w:ascii="宋体" w:hAnsi="宋体" w:cs="宋体" w:eastAsia="宋体" w:hint="default"/>
          <w:spacing w:val="-46"/>
          <w:sz w:val="18"/>
          <w:szCs w:val="18"/>
        </w:rPr>
        <w:t> </w:t>
      </w:r>
      <w:r>
        <w:rPr>
          <w:rFonts w:ascii="宋体" w:hAnsi="宋体" w:cs="宋体" w:eastAsia="宋体" w:hint="default"/>
          <w:spacing w:val="-9"/>
          <w:sz w:val="18"/>
          <w:szCs w:val="18"/>
        </w:rPr>
        <w:t>60%</w:t>
      </w:r>
      <w:r>
        <w:rPr>
          <w:rFonts w:ascii="宋体" w:hAnsi="宋体" w:cs="宋体" w:eastAsia="宋体" w:hint="default"/>
          <w:spacing w:val="-9"/>
          <w:sz w:val="18"/>
          <w:szCs w:val="18"/>
        </w:rPr>
        <w:t>股权过户的当月），子栋科技、鼎金</w:t>
      </w:r>
      <w:r>
        <w:rPr>
          <w:rFonts w:ascii="宋体" w:hAnsi="宋体" w:cs="宋体" w:eastAsia="宋体" w:hint="default"/>
          <w:sz w:val="18"/>
          <w:szCs w:val="18"/>
        </w:rPr>
        <w:t> 投资和新意资本应当按照</w:t>
      </w:r>
      <w:r>
        <w:rPr>
          <w:rFonts w:ascii="宋体" w:hAnsi="宋体" w:cs="宋体" w:eastAsia="宋体" w:hint="default"/>
          <w:spacing w:val="-46"/>
          <w:sz w:val="18"/>
          <w:szCs w:val="18"/>
        </w:rPr>
        <w:t> </w:t>
      </w:r>
      <w:r>
        <w:rPr>
          <w:rFonts w:ascii="宋体" w:hAnsi="宋体" w:cs="宋体" w:eastAsia="宋体" w:hint="default"/>
          <w:sz w:val="18"/>
          <w:szCs w:val="18"/>
        </w:rPr>
        <w:t>45.85%</w:t>
      </w:r>
      <w:r>
        <w:rPr>
          <w:rFonts w:ascii="宋体" w:hAnsi="宋体" w:cs="宋体" w:eastAsia="宋体" w:hint="default"/>
          <w:sz w:val="18"/>
          <w:szCs w:val="18"/>
        </w:rPr>
        <w:t>： </w:t>
      </w:r>
      <w:r>
        <w:rPr>
          <w:rFonts w:ascii="宋体" w:hAnsi="宋体" w:cs="宋体" w:eastAsia="宋体" w:hint="default"/>
          <w:spacing w:val="-2"/>
          <w:sz w:val="18"/>
          <w:szCs w:val="18"/>
        </w:rPr>
        <w:t>45.85%</w:t>
      </w:r>
      <w:r>
        <w:rPr>
          <w:rFonts w:ascii="宋体" w:hAnsi="宋体" w:cs="宋体" w:eastAsia="宋体" w:hint="default"/>
          <w:spacing w:val="-2"/>
          <w:sz w:val="18"/>
          <w:szCs w:val="18"/>
        </w:rPr>
        <w:t>：</w:t>
      </w:r>
      <w:r>
        <w:rPr>
          <w:rFonts w:ascii="宋体" w:hAnsi="宋体" w:cs="宋体" w:eastAsia="宋体" w:hint="default"/>
          <w:spacing w:val="-2"/>
          <w:sz w:val="18"/>
          <w:szCs w:val="18"/>
        </w:rPr>
        <w:t>8.3%</w:t>
      </w:r>
      <w:r>
        <w:rPr>
          <w:rFonts w:ascii="宋体" w:hAnsi="宋体" w:cs="宋体" w:eastAsia="宋体" w:hint="default"/>
          <w:spacing w:val="-2"/>
          <w:sz w:val="18"/>
          <w:szCs w:val="18"/>
        </w:rPr>
        <w:t>的比例，通过集中竞价交易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方式或其他方式直接购买华闻传媒股票， 且三方用于购买华闻传媒股票的金额合 计不得低于</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pacing w:val="-3"/>
          <w:sz w:val="18"/>
          <w:szCs w:val="18"/>
        </w:rPr>
        <w:t>亿元，但三方购买华闻传媒</w:t>
      </w:r>
      <w:r>
        <w:rPr>
          <w:rFonts w:ascii="宋体" w:hAnsi="宋体" w:cs="宋体" w:eastAsia="宋体" w:hint="default"/>
          <w:sz w:val="18"/>
          <w:szCs w:val="18"/>
        </w:rPr>
        <w:t> 股票的比例合计达到华闻传媒届时总股 本的</w:t>
      </w:r>
      <w:r>
        <w:rPr>
          <w:rFonts w:ascii="宋体" w:hAnsi="宋体" w:cs="宋体" w:eastAsia="宋体" w:hint="default"/>
          <w:spacing w:val="-46"/>
          <w:sz w:val="18"/>
          <w:szCs w:val="18"/>
        </w:rPr>
        <w:t> </w:t>
      </w:r>
      <w:r>
        <w:rPr>
          <w:rFonts w:ascii="宋体" w:hAnsi="宋体" w:cs="宋体" w:eastAsia="宋体" w:hint="default"/>
          <w:sz w:val="18"/>
          <w:szCs w:val="18"/>
        </w:rPr>
        <w:t>4.99%</w:t>
      </w:r>
      <w:r>
        <w:rPr>
          <w:rFonts w:ascii="宋体" w:hAnsi="宋体" w:cs="宋体" w:eastAsia="宋体" w:hint="default"/>
          <w:sz w:val="18"/>
          <w:szCs w:val="18"/>
        </w:rPr>
        <w:t>时，子栋科技、鼎金投资和新 </w:t>
      </w:r>
      <w:r>
        <w:rPr>
          <w:rFonts w:ascii="宋体" w:hAnsi="宋体" w:cs="宋体" w:eastAsia="宋体" w:hint="default"/>
          <w:spacing w:val="-2"/>
          <w:sz w:val="18"/>
          <w:szCs w:val="18"/>
        </w:rPr>
        <w:t>意资本可不再继续购买华闻传媒股票，自</w:t>
      </w:r>
      <w:r>
        <w:rPr>
          <w:rFonts w:ascii="宋体" w:hAnsi="宋体" w:cs="宋体" w:eastAsia="宋体" w:hint="default"/>
          <w:sz w:val="18"/>
          <w:szCs w:val="18"/>
        </w:rPr>
        <w:t> 购买之日起至</w:t>
      </w:r>
      <w:r>
        <w:rPr>
          <w:rFonts w:ascii="宋体" w:hAnsi="宋体" w:cs="宋体" w:eastAsia="宋体" w:hint="default"/>
          <w:spacing w:val="-46"/>
          <w:sz w:val="18"/>
          <w:szCs w:val="18"/>
        </w:rPr>
        <w:t> </w:t>
      </w:r>
      <w:r>
        <w:rPr>
          <w:rFonts w:ascii="宋体" w:hAnsi="宋体" w:cs="宋体" w:eastAsia="宋体" w:hint="default"/>
          <w:sz w:val="18"/>
          <w:szCs w:val="18"/>
        </w:rPr>
        <w:t>2023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pacing w:val="-7"/>
          <w:sz w:val="18"/>
          <w:szCs w:val="18"/>
        </w:rPr>
        <w:t>日期间，未</w:t>
      </w:r>
      <w:r>
        <w:rPr>
          <w:rFonts w:ascii="宋体" w:hAnsi="宋体" w:cs="宋体" w:eastAsia="宋体" w:hint="default"/>
          <w:sz w:val="18"/>
          <w:szCs w:val="18"/>
        </w:rPr>
        <w:t> </w:t>
      </w:r>
      <w:r>
        <w:rPr>
          <w:rFonts w:ascii="宋体" w:hAnsi="宋体" w:cs="宋体" w:eastAsia="宋体" w:hint="default"/>
          <w:spacing w:val="-2"/>
          <w:sz w:val="18"/>
          <w:szCs w:val="18"/>
        </w:rPr>
        <w:t>经华闻传媒事先书面同意，不得以任何方</w:t>
      </w:r>
      <w:r>
        <w:rPr>
          <w:rFonts w:ascii="宋体" w:hAnsi="宋体" w:cs="宋体" w:eastAsia="宋体" w:hint="default"/>
          <w:sz w:val="18"/>
          <w:szCs w:val="18"/>
        </w:rPr>
        <w:t> 式减持、设置质押或其他财产性权利负 担。</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5"/>
          <w:szCs w:val="25"/>
        </w:rPr>
      </w:pPr>
    </w:p>
    <w:p>
      <w:pPr>
        <w:spacing w:before="0"/>
        <w:ind w:left="-19" w:right="-16"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spacing w:line="196" w:lineRule="exact" w:before="0"/>
        <w:ind w:left="35" w:right="0" w:firstLine="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日起，</w:t>
      </w:r>
    </w:p>
    <w:p>
      <w:pPr>
        <w:spacing w:line="156" w:lineRule="exact" w:before="0"/>
        <w:ind w:left="1858" w:right="2031" w:firstLine="0"/>
        <w:jc w:val="center"/>
        <w:rPr>
          <w:rFonts w:ascii="宋体" w:hAnsi="宋体" w:cs="宋体" w:eastAsia="宋体" w:hint="default"/>
          <w:sz w:val="18"/>
          <w:szCs w:val="18"/>
        </w:rPr>
      </w:pPr>
      <w:r>
        <w:rPr>
          <w:rFonts w:ascii="宋体" w:hAnsi="宋体" w:cs="宋体" w:eastAsia="宋体" w:hint="default"/>
          <w:sz w:val="18"/>
          <w:szCs w:val="18"/>
        </w:rPr>
        <w:t>正在履行之中</w:t>
      </w:r>
    </w:p>
    <w:p>
      <w:pPr>
        <w:spacing w:line="196" w:lineRule="exact" w:before="0"/>
        <w:ind w:left="35" w:right="0" w:firstLine="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日止</w:t>
      </w:r>
    </w:p>
    <w:p>
      <w:pPr>
        <w:spacing w:after="0" w:line="196" w:lineRule="exact"/>
        <w:jc w:val="left"/>
        <w:rPr>
          <w:rFonts w:ascii="宋体" w:hAnsi="宋体" w:cs="宋体" w:eastAsia="宋体" w:hint="default"/>
          <w:sz w:val="18"/>
          <w:szCs w:val="18"/>
        </w:rPr>
        <w:sectPr>
          <w:type w:val="continuous"/>
          <w:pgSz w:w="16840" w:h="11910" w:orient="landscape"/>
          <w:pgMar w:top="1060" w:bottom="1160" w:left="900" w:right="1040"/>
          <w:cols w:num="5" w:equalWidth="0">
            <w:col w:w="3890" w:space="40"/>
            <w:col w:w="760" w:space="40"/>
            <w:col w:w="3615" w:space="40"/>
            <w:col w:w="1467" w:space="40"/>
            <w:col w:w="5008"/>
          </w:cols>
        </w:sectPr>
      </w:pPr>
    </w:p>
    <w:p>
      <w:pPr>
        <w:tabs>
          <w:tab w:pos="2269" w:val="left" w:leader="none"/>
        </w:tabs>
        <w:spacing w:before="109"/>
        <w:ind w:left="141" w:right="6572" w:firstLine="0"/>
        <w:jc w:val="left"/>
        <w:rPr>
          <w:rFonts w:ascii="宋体" w:hAnsi="宋体" w:cs="宋体" w:eastAsia="宋体" w:hint="default"/>
          <w:sz w:val="18"/>
          <w:szCs w:val="18"/>
        </w:rPr>
      </w:pPr>
      <w:r>
        <w:rPr>
          <w:rFonts w:ascii="宋体" w:hAnsi="宋体" w:cs="宋体" w:eastAsia="宋体" w:hint="default"/>
          <w:sz w:val="18"/>
          <w:szCs w:val="18"/>
        </w:rPr>
        <w:t>承诺是否按时履行</w:t>
        <w:tab/>
        <w:t>否</w:t>
      </w:r>
    </w:p>
    <w:p>
      <w:pPr>
        <w:spacing w:line="240" w:lineRule="auto" w:before="4"/>
        <w:rPr>
          <w:rFonts w:ascii="宋体" w:hAnsi="宋体" w:cs="宋体" w:eastAsia="宋体" w:hint="default"/>
          <w:sz w:val="9"/>
          <w:szCs w:val="9"/>
        </w:rPr>
      </w:pPr>
    </w:p>
    <w:p>
      <w:pPr>
        <w:spacing w:line="196" w:lineRule="exact" w:before="44"/>
        <w:ind w:left="141" w:right="6572" w:firstLine="0"/>
        <w:jc w:val="left"/>
        <w:rPr>
          <w:rFonts w:ascii="宋体" w:hAnsi="宋体" w:cs="宋体" w:eastAsia="宋体" w:hint="default"/>
          <w:sz w:val="18"/>
          <w:szCs w:val="18"/>
        </w:rPr>
      </w:pPr>
      <w:r>
        <w:rPr>
          <w:rFonts w:ascii="宋体" w:hAnsi="宋体" w:cs="宋体" w:eastAsia="宋体" w:hint="default"/>
          <w:sz w:val="18"/>
          <w:szCs w:val="18"/>
        </w:rPr>
        <w:t>如承诺超期未履行完毕的，</w:t>
      </w:r>
    </w:p>
    <w:p>
      <w:pPr>
        <w:spacing w:line="171" w:lineRule="exact" w:before="0"/>
        <w:ind w:left="2269" w:right="0" w:firstLine="0"/>
        <w:jc w:val="left"/>
        <w:rPr>
          <w:rFonts w:ascii="宋体" w:hAnsi="宋体" w:cs="宋体" w:eastAsia="宋体" w:hint="default"/>
          <w:sz w:val="18"/>
          <w:szCs w:val="18"/>
        </w:rPr>
      </w:pPr>
      <w:r>
        <w:rPr>
          <w:rFonts w:ascii="宋体" w:hAnsi="宋体" w:cs="宋体" w:eastAsia="宋体" w:hint="default"/>
          <w:sz w:val="18"/>
          <w:szCs w:val="18"/>
        </w:rPr>
        <w:t>截至目前，西藏风网尚未向掌视亿通支付现金补偿款</w:t>
      </w:r>
      <w:r>
        <w:rPr>
          <w:rFonts w:ascii="宋体" w:hAnsi="宋体" w:cs="宋体" w:eastAsia="宋体" w:hint="default"/>
          <w:spacing w:val="-46"/>
          <w:sz w:val="18"/>
          <w:szCs w:val="18"/>
        </w:rPr>
        <w:t> </w:t>
      </w:r>
      <w:r>
        <w:rPr>
          <w:rFonts w:ascii="宋体" w:hAnsi="宋体" w:cs="宋体" w:eastAsia="宋体" w:hint="default"/>
          <w:sz w:val="18"/>
          <w:szCs w:val="18"/>
        </w:rPr>
        <w:t>1,971.30</w:t>
      </w:r>
      <w:r>
        <w:rPr>
          <w:rFonts w:ascii="宋体" w:hAnsi="宋体" w:cs="宋体" w:eastAsia="宋体" w:hint="default"/>
          <w:spacing w:val="-46"/>
          <w:sz w:val="18"/>
          <w:szCs w:val="18"/>
        </w:rPr>
        <w:t> </w:t>
      </w:r>
      <w:r>
        <w:rPr>
          <w:rFonts w:ascii="宋体" w:hAnsi="宋体" w:cs="宋体" w:eastAsia="宋体" w:hint="default"/>
          <w:sz w:val="18"/>
          <w:szCs w:val="18"/>
        </w:rPr>
        <w:t>万元及违约金，公司于</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日就西藏风网未履行</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年掌视亿通政府补贴等非经常</w:t>
      </w:r>
    </w:p>
    <w:p>
      <w:pPr>
        <w:spacing w:after="0" w:line="171" w:lineRule="exact"/>
        <w:jc w:val="left"/>
        <w:rPr>
          <w:rFonts w:ascii="宋体" w:hAnsi="宋体" w:cs="宋体" w:eastAsia="宋体" w:hint="default"/>
          <w:sz w:val="18"/>
          <w:szCs w:val="18"/>
        </w:rPr>
        <w:sectPr>
          <w:type w:val="continuous"/>
          <w:pgSz w:w="16840" w:h="11910" w:orient="landscape"/>
          <w:pgMar w:top="1060" w:bottom="1160" w:left="900" w:right="1040"/>
        </w:sectPr>
      </w:pPr>
    </w:p>
    <w:p>
      <w:pPr>
        <w:spacing w:line="180" w:lineRule="exact" w:before="0"/>
        <w:ind w:left="141" w:right="-20" w:firstLine="0"/>
        <w:jc w:val="left"/>
        <w:rPr>
          <w:rFonts w:ascii="宋体" w:hAnsi="宋体" w:cs="宋体" w:eastAsia="宋体" w:hint="default"/>
          <w:sz w:val="18"/>
          <w:szCs w:val="18"/>
        </w:rPr>
      </w:pPr>
      <w:r>
        <w:rPr/>
        <w:pict>
          <v:group style="position:absolute;margin-left:50.459999pt;margin-top:55.260006pt;width:730.65pt;height:475.15pt;mso-position-horizontal-relative:page;mso-position-vertical-relative:page;z-index:-1492000" coordorigin="1009,1105" coordsize="14613,9503">
            <v:group style="position:absolute;left:1410;top:1112;width:14020;height:2" coordorigin="1410,1112" coordsize="14020,2">
              <v:shape style="position:absolute;left:1410;top:1112;width:14020;height:2" coordorigin="1410,1112" coordsize="14020,0" path="m1410,1112l15430,1112e" filled="false" stroked="true" strokeweight=".72pt" strokecolor="#000000">
                <v:path arrowok="t"/>
              </v:shape>
            </v:group>
            <v:group style="position:absolute;left:1019;top:1144;width:2118;height:1290" coordorigin="1019,1144" coordsize="2118,1290">
              <v:shape style="position:absolute;left:1019;top:1144;width:2118;height:1290" coordorigin="1019,1144" coordsize="2118,1290" path="m1019,2433l3136,2433,3136,1144,1019,1144,1019,2433xe" filled="true" fillcolor="#d2d2d2" stroked="false">
                <v:path arrowok="t"/>
                <v:fill type="solid"/>
              </v:shape>
            </v:group>
            <v:group style="position:absolute;left:1019;top:1139;width:2119;height:2" coordorigin="1019,1139" coordsize="2119,2">
              <v:shape style="position:absolute;left:1019;top:1139;width:2119;height:2" coordorigin="1019,1139" coordsize="2119,0" path="m1019,1139l3137,1139e" filled="false" stroked="true" strokeweight=".48pt" strokecolor="#000000">
                <v:path arrowok="t"/>
              </v:shape>
            </v:group>
            <v:group style="position:absolute;left:3147;top:1139;width:1690;height:2" coordorigin="3147,1139" coordsize="1690,2">
              <v:shape style="position:absolute;left:3147;top:1139;width:1690;height:2" coordorigin="3147,1139" coordsize="1690,0" path="m3147,1139l4836,1139e" filled="false" stroked="true" strokeweight=".48pt" strokecolor="#000000">
                <v:path arrowok="t"/>
              </v:shape>
            </v:group>
            <v:group style="position:absolute;left:4846;top:1139;width:1125;height:2" coordorigin="4846,1139" coordsize="1125,2">
              <v:shape style="position:absolute;left:4846;top:1139;width:1125;height:2" coordorigin="4846,1139" coordsize="1125,0" path="m4846,1139l5970,1139e" filled="false" stroked="true" strokeweight=".48pt" strokecolor="#000000">
                <v:path arrowok="t"/>
              </v:shape>
            </v:group>
            <v:group style="position:absolute;left:5980;top:1139;width:3253;height:2" coordorigin="5980,1139" coordsize="3253,2">
              <v:shape style="position:absolute;left:5980;top:1139;width:3253;height:2" coordorigin="5980,1139" coordsize="3253,0" path="m5980,1139l9232,1139e" filled="false" stroked="true" strokeweight=".48pt" strokecolor="#000000">
                <v:path arrowok="t"/>
              </v:shape>
            </v:group>
            <v:group style="position:absolute;left:9242;top:1139;width:1551;height:2" coordorigin="9242,1139" coordsize="1551,2">
              <v:shape style="position:absolute;left:9242;top:1139;width:1551;height:2" coordorigin="9242,1139" coordsize="1551,0" path="m9242,1139l10792,1139e" filled="false" stroked="true" strokeweight=".48pt" strokecolor="#000000">
                <v:path arrowok="t"/>
              </v:shape>
            </v:group>
            <v:group style="position:absolute;left:10802;top:1139;width:1833;height:2" coordorigin="10802,1139" coordsize="1833,2">
              <v:shape style="position:absolute;left:10802;top:1139;width:1833;height:2" coordorigin="10802,1139" coordsize="1833,0" path="m10802,1139l12634,1139e" filled="false" stroked="true" strokeweight=".48pt" strokecolor="#000000">
                <v:path arrowok="t"/>
              </v:shape>
            </v:group>
            <v:group style="position:absolute;left:12644;top:1139;width:2968;height:2" coordorigin="12644,1139" coordsize="2968,2">
              <v:shape style="position:absolute;left:12644;top:1139;width:2968;height:2" coordorigin="12644,1139" coordsize="2968,0" path="m12644,1139l15612,1139e" filled="false" stroked="true" strokeweight=".48pt" strokecolor="#000000">
                <v:path arrowok="t"/>
              </v:shape>
            </v:group>
            <v:group style="position:absolute;left:1019;top:2433;width:2118;height:1338" coordorigin="1019,2433" coordsize="2118,1338">
              <v:shape style="position:absolute;left:1019;top:2433;width:2118;height:1338" coordorigin="1019,2433" coordsize="2118,1338" path="m1019,3771l3136,3771,3136,2433,1019,2433,1019,3771xe" filled="true" fillcolor="#d2d2d2" stroked="false">
                <v:path arrowok="t"/>
                <v:fill type="solid"/>
              </v:shape>
            </v:group>
            <v:group style="position:absolute;left:3147;top:2438;width:1690;height:2" coordorigin="3147,2438" coordsize="1690,2">
              <v:shape style="position:absolute;left:3147;top:2438;width:1690;height:2" coordorigin="3147,2438" coordsize="1690,0" path="m3147,2438l4836,2438e" filled="false" stroked="true" strokeweight=".48pt" strokecolor="#000000">
                <v:path arrowok="t"/>
              </v:shape>
            </v:group>
            <v:group style="position:absolute;left:4846;top:2438;width:1125;height:2" coordorigin="4846,2438" coordsize="1125,2">
              <v:shape style="position:absolute;left:4846;top:2438;width:1125;height:2" coordorigin="4846,2438" coordsize="1125,0" path="m4846,2438l5970,2438e" filled="false" stroked="true" strokeweight=".48pt" strokecolor="#000000">
                <v:path arrowok="t"/>
              </v:shape>
            </v:group>
            <v:group style="position:absolute;left:5980;top:2438;width:3253;height:2" coordorigin="5980,2438" coordsize="3253,2">
              <v:shape style="position:absolute;left:5980;top:2438;width:3253;height:2" coordorigin="5980,2438" coordsize="3253,0" path="m5980,2438l9232,2438e" filled="false" stroked="true" strokeweight=".48pt" strokecolor="#000000">
                <v:path arrowok="t"/>
              </v:shape>
            </v:group>
            <v:group style="position:absolute;left:9242;top:2438;width:1551;height:2" coordorigin="9242,2438" coordsize="1551,2">
              <v:shape style="position:absolute;left:9242;top:2438;width:1551;height:2" coordorigin="9242,2438" coordsize="1551,0" path="m9242,2438l10792,2438e" filled="false" stroked="true" strokeweight=".48pt" strokecolor="#000000">
                <v:path arrowok="t"/>
              </v:shape>
            </v:group>
            <v:group style="position:absolute;left:10802;top:2438;width:1833;height:2" coordorigin="10802,2438" coordsize="1833,2">
              <v:shape style="position:absolute;left:10802;top:2438;width:1833;height:2" coordorigin="10802,2438" coordsize="1833,0" path="m10802,2438l12634,2438e" filled="false" stroked="true" strokeweight=".48pt" strokecolor="#000000">
                <v:path arrowok="t"/>
              </v:shape>
            </v:group>
            <v:group style="position:absolute;left:12644;top:2438;width:2968;height:2" coordorigin="12644,2438" coordsize="2968,2">
              <v:shape style="position:absolute;left:12644;top:2438;width:2968;height:2" coordorigin="12644,2438" coordsize="2968,0" path="m12644,2438l15612,2438e" filled="false" stroked="true" strokeweight=".48pt" strokecolor="#000000">
                <v:path arrowok="t"/>
              </v:shape>
            </v:group>
            <v:group style="position:absolute;left:1019;top:3771;width:2118;height:5083" coordorigin="1019,3771" coordsize="2118,5083">
              <v:shape style="position:absolute;left:1019;top:3771;width:2118;height:5083" coordorigin="1019,3771" coordsize="2118,5083" path="m1019,8854l3136,8854,3136,3771,1019,3771,1019,8854xe" filled="true" fillcolor="#d2d2d2" stroked="false">
                <v:path arrowok="t"/>
                <v:fill type="solid"/>
              </v:shape>
            </v:group>
            <v:group style="position:absolute;left:12644;top:3780;width:2967;height:2341" coordorigin="12644,3780" coordsize="2967,2341">
              <v:shape style="position:absolute;left:12644;top:3780;width:2967;height:2341" coordorigin="12644,3780" coordsize="2967,2341" path="m12644,6121l15611,6121,15611,3780,12644,3780,12644,6121xe" filled="true" fillcolor="#ffffff" stroked="false">
                <v:path arrowok="t"/>
                <v:fill type="solid"/>
              </v:shape>
            </v:group>
            <v:group style="position:absolute;left:12655;top:6121;width:2;height:393" coordorigin="12655,6121" coordsize="2,393">
              <v:shape style="position:absolute;left:12655;top:6121;width:2;height:393" coordorigin="12655,6121" coordsize="0,393" path="m12655,6121l12655,6513e" filled="false" stroked="true" strokeweight="1.140pt" strokecolor="#ffffff">
                <v:path arrowok="t"/>
              </v:shape>
            </v:group>
            <v:group style="position:absolute;left:12667;top:6121;width:2922;height:393" coordorigin="12667,6121" coordsize="2922,393">
              <v:shape style="position:absolute;left:12667;top:6121;width:2922;height:393" coordorigin="12667,6121" coordsize="2922,393" path="m12667,6513l15588,6513,15588,6121,12667,6121,12667,6513xe" filled="true" fillcolor="#ffffff" stroked="false">
                <v:path arrowok="t"/>
                <v:fill type="solid"/>
              </v:shape>
            </v:group>
            <v:group style="position:absolute;left:3147;top:3776;width:1690;height:2" coordorigin="3147,3776" coordsize="1690,2">
              <v:shape style="position:absolute;left:3147;top:3776;width:1690;height:2" coordorigin="3147,3776" coordsize="1690,0" path="m3147,3776l4836,3776e" filled="false" stroked="true" strokeweight=".48pt" strokecolor="#000000">
                <v:path arrowok="t"/>
              </v:shape>
            </v:group>
            <v:group style="position:absolute;left:4846;top:3776;width:1125;height:2" coordorigin="4846,3776" coordsize="1125,2">
              <v:shape style="position:absolute;left:4846;top:3776;width:1125;height:2" coordorigin="4846,3776" coordsize="1125,0" path="m4846,3776l5970,3776e" filled="false" stroked="true" strokeweight=".48pt" strokecolor="#000000">
                <v:path arrowok="t"/>
              </v:shape>
            </v:group>
            <v:group style="position:absolute;left:5980;top:3776;width:3253;height:2" coordorigin="5980,3776" coordsize="3253,2">
              <v:shape style="position:absolute;left:5980;top:3776;width:3253;height:2" coordorigin="5980,3776" coordsize="3253,0" path="m5980,3776l9232,3776e" filled="false" stroked="true" strokeweight=".48pt" strokecolor="#000000">
                <v:path arrowok="t"/>
              </v:shape>
            </v:group>
            <v:group style="position:absolute;left:9242;top:3776;width:1551;height:2" coordorigin="9242,3776" coordsize="1551,2">
              <v:shape style="position:absolute;left:9242;top:3776;width:1551;height:2" coordorigin="9242,3776" coordsize="1551,0" path="m9242,3776l10792,3776e" filled="false" stroked="true" strokeweight=".48pt" strokecolor="#000000">
                <v:path arrowok="t"/>
              </v:shape>
            </v:group>
            <v:group style="position:absolute;left:10802;top:3776;width:1833;height:2" coordorigin="10802,3776" coordsize="1833,2">
              <v:shape style="position:absolute;left:10802;top:3776;width:1833;height:2" coordorigin="10802,3776" coordsize="1833,0" path="m10802,3776l12634,3776e" filled="false" stroked="true" strokeweight=".48pt" strokecolor="#000000">
                <v:path arrowok="t"/>
              </v:shape>
            </v:group>
            <v:group style="position:absolute;left:12644;top:3776;width:2968;height:2" coordorigin="12644,3776" coordsize="2968,2">
              <v:shape style="position:absolute;left:12644;top:3776;width:2968;height:2" coordorigin="12644,3776" coordsize="2968,0" path="m12644,3776l15612,3776e" filled="false" stroked="true" strokeweight=".48pt" strokecolor="#000000">
                <v:path arrowok="t"/>
              </v:shape>
            </v:group>
            <v:group style="position:absolute;left:4841;top:1134;width:2;height:7730" coordorigin="4841,1134" coordsize="2,7730">
              <v:shape style="position:absolute;left:4841;top:1134;width:2;height:7730" coordorigin="4841,1134" coordsize="0,7730" path="m4841,1134l4841,8863e" filled="false" stroked="true" strokeweight=".48pt" strokecolor="#000000">
                <v:path arrowok="t"/>
              </v:shape>
            </v:group>
            <v:group style="position:absolute;left:5975;top:1134;width:2;height:7730" coordorigin="5975,1134" coordsize="2,7730">
              <v:shape style="position:absolute;left:5975;top:1134;width:2;height:7730" coordorigin="5975,1134" coordsize="0,7730" path="m5975,1134l5975,8863e" filled="false" stroked="true" strokeweight=".48001pt" strokecolor="#000000">
                <v:path arrowok="t"/>
              </v:shape>
            </v:group>
            <v:group style="position:absolute;left:9237;top:1134;width:2;height:7730" coordorigin="9237,1134" coordsize="2,7730">
              <v:shape style="position:absolute;left:9237;top:1134;width:2;height:7730" coordorigin="9237,1134" coordsize="0,7730" path="m9237,1134l9237,8863e" filled="false" stroked="true" strokeweight=".47998pt" strokecolor="#000000">
                <v:path arrowok="t"/>
              </v:shape>
            </v:group>
            <v:group style="position:absolute;left:10797;top:1134;width:2;height:7730" coordorigin="10797,1134" coordsize="2,7730">
              <v:shape style="position:absolute;left:10797;top:1134;width:2;height:7730" coordorigin="10797,1134" coordsize="0,7730" path="m10797,1134l10797,8863e" filled="false" stroked="true" strokeweight=".47998pt" strokecolor="#000000">
                <v:path arrowok="t"/>
              </v:shape>
            </v:group>
            <v:group style="position:absolute;left:12639;top:1134;width:2;height:7730" coordorigin="12639,1134" coordsize="2,7730">
              <v:shape style="position:absolute;left:12639;top:1134;width:2;height:7730" coordorigin="12639,1134" coordsize="0,7730" path="m12639,1134l12639,8863e" filled="false" stroked="true" strokeweight=".48004pt" strokecolor="#000000">
                <v:path arrowok="t"/>
              </v:shape>
            </v:group>
            <v:group style="position:absolute;left:1030;top:8863;width:2;height:393" coordorigin="1030,8863" coordsize="2,393">
              <v:shape style="position:absolute;left:1030;top:8863;width:2;height:393" coordorigin="1030,8863" coordsize="0,393" path="m1030,8863l1030,9256e" filled="false" stroked="true" strokeweight="1.140pt" strokecolor="#d2d2d2">
                <v:path arrowok="t"/>
              </v:shape>
            </v:group>
            <v:group style="position:absolute;left:3125;top:8863;width:2;height:393" coordorigin="3125,8863" coordsize="2,393">
              <v:shape style="position:absolute;left:3125;top:8863;width:2;height:393" coordorigin="3125,8863" coordsize="0,393" path="m3125,8863l3125,9256e" filled="false" stroked="true" strokeweight="1.140pt" strokecolor="#d2d2d2">
                <v:path arrowok="t"/>
              </v:shape>
            </v:group>
            <v:group style="position:absolute;left:1042;top:8863;width:2072;height:393" coordorigin="1042,8863" coordsize="2072,393">
              <v:shape style="position:absolute;left:1042;top:8863;width:2072;height:393" coordorigin="1042,8863" coordsize="2072,393" path="m1042,9256l3113,9256,3113,8863,1042,8863,1042,9256xe" filled="true" fillcolor="#d2d2d2" stroked="false">
                <v:path arrowok="t"/>
                <v:fill type="solid"/>
              </v:shape>
            </v:group>
            <v:group style="position:absolute;left:1019;top:8858;width:2119;height:2" coordorigin="1019,8858" coordsize="2119,2">
              <v:shape style="position:absolute;left:1019;top:8858;width:2119;height:2" coordorigin="1019,8858" coordsize="2119,0" path="m1019,8858l3137,8858e" filled="false" stroked="true" strokeweight=".48001pt" strokecolor="#000000">
                <v:path arrowok="t"/>
              </v:shape>
            </v:group>
            <v:group style="position:absolute;left:3147;top:8858;width:1690;height:2" coordorigin="3147,8858" coordsize="1690,2">
              <v:shape style="position:absolute;left:3147;top:8858;width:1690;height:2" coordorigin="3147,8858" coordsize="1690,0" path="m3147,8858l4836,8858e" filled="false" stroked="true" strokeweight=".48001pt" strokecolor="#000000">
                <v:path arrowok="t"/>
              </v:shape>
            </v:group>
            <v:group style="position:absolute;left:4846;top:8858;width:1125;height:2" coordorigin="4846,8858" coordsize="1125,2">
              <v:shape style="position:absolute;left:4846;top:8858;width:1125;height:2" coordorigin="4846,8858" coordsize="1125,0" path="m4846,8858l5970,8858e" filled="false" stroked="true" strokeweight=".48001pt" strokecolor="#000000">
                <v:path arrowok="t"/>
              </v:shape>
            </v:group>
            <v:group style="position:absolute;left:5980;top:8858;width:3253;height:2" coordorigin="5980,8858" coordsize="3253,2">
              <v:shape style="position:absolute;left:5980;top:8858;width:3253;height:2" coordorigin="5980,8858" coordsize="3253,0" path="m5980,8858l9232,8858e" filled="false" stroked="true" strokeweight=".48001pt" strokecolor="#000000">
                <v:path arrowok="t"/>
              </v:shape>
            </v:group>
            <v:group style="position:absolute;left:9242;top:8858;width:1551;height:2" coordorigin="9242,8858" coordsize="1551,2">
              <v:shape style="position:absolute;left:9242;top:8858;width:1551;height:2" coordorigin="9242,8858" coordsize="1551,0" path="m9242,8858l10792,8858e" filled="false" stroked="true" strokeweight=".48001pt" strokecolor="#000000">
                <v:path arrowok="t"/>
              </v:shape>
            </v:group>
            <v:group style="position:absolute;left:10802;top:8858;width:1833;height:2" coordorigin="10802,8858" coordsize="1833,2">
              <v:shape style="position:absolute;left:10802;top:8858;width:1833;height:2" coordorigin="10802,8858" coordsize="1833,0" path="m10802,8858l12634,8858e" filled="false" stroked="true" strokeweight=".48001pt" strokecolor="#000000">
                <v:path arrowok="t"/>
              </v:shape>
            </v:group>
            <v:group style="position:absolute;left:12644;top:8858;width:2968;height:2" coordorigin="12644,8858" coordsize="2968,2">
              <v:shape style="position:absolute;left:12644;top:8858;width:2968;height:2" coordorigin="12644,8858" coordsize="2968,0" path="m12644,8858l15612,8858e" filled="false" stroked="true" strokeweight=".48001pt" strokecolor="#000000">
                <v:path arrowok="t"/>
              </v:shape>
            </v:group>
            <v:group style="position:absolute;left:1030;top:9265;width:2;height:1329" coordorigin="1030,9265" coordsize="2,1329">
              <v:shape style="position:absolute;left:1030;top:9265;width:2;height:1329" coordorigin="1030,9265" coordsize="0,1329" path="m1030,9265l1030,10594e" filled="false" stroked="true" strokeweight="1.140pt" strokecolor="#d2d2d2">
                <v:path arrowok="t"/>
              </v:shape>
            </v:group>
            <v:group style="position:absolute;left:3125;top:9265;width:2;height:1329" coordorigin="3125,9265" coordsize="2,1329">
              <v:shape style="position:absolute;left:3125;top:9265;width:2;height:1329" coordorigin="3125,9265" coordsize="0,1329" path="m3125,9265l3125,10594e" filled="false" stroked="true" strokeweight="1.140pt" strokecolor="#d2d2d2">
                <v:path arrowok="t"/>
              </v:shape>
            </v:group>
            <v:group style="position:absolute;left:1042;top:9265;width:2072;height:352" coordorigin="1042,9265" coordsize="2072,352">
              <v:shape style="position:absolute;left:1042;top:9265;width:2072;height:352" coordorigin="1042,9265" coordsize="2072,352" path="m1042,9617l3113,9617,3113,9265,1042,9265,1042,9617xe" filled="true" fillcolor="#d2d2d2" stroked="false">
                <v:path arrowok="t"/>
                <v:fill type="solid"/>
              </v:shape>
            </v:group>
            <v:group style="position:absolute;left:1042;top:9617;width:2072;height:312" coordorigin="1042,9617" coordsize="2072,312">
              <v:shape style="position:absolute;left:1042;top:9617;width:2072;height:312" coordorigin="1042,9617" coordsize="2072,312" path="m1042,9929l3113,9929,3113,9617,1042,9617,1042,9929xe" filled="true" fillcolor="#d2d2d2" stroked="false">
                <v:path arrowok="t"/>
                <v:fill type="solid"/>
              </v:shape>
            </v:group>
            <v:group style="position:absolute;left:1042;top:9929;width:2072;height:312" coordorigin="1042,9929" coordsize="2072,312">
              <v:shape style="position:absolute;left:1042;top:9929;width:2072;height:312" coordorigin="1042,9929" coordsize="2072,312" path="m1042,10241l3113,10241,3113,9929,1042,9929,1042,10241xe" filled="true" fillcolor="#d2d2d2" stroked="false">
                <v:path arrowok="t"/>
                <v:fill type="solid"/>
              </v:shape>
            </v:group>
            <v:group style="position:absolute;left:1042;top:10241;width:2072;height:353" coordorigin="1042,10241" coordsize="2072,353">
              <v:shape style="position:absolute;left:1042;top:10241;width:2072;height:353" coordorigin="1042,10241" coordsize="2072,353" path="m1042,10594l3113,10594,3113,10241,1042,10241,1042,10594xe" filled="true" fillcolor="#d2d2d2" stroked="false">
                <v:path arrowok="t"/>
                <v:fill type="solid"/>
              </v:shape>
            </v:group>
            <v:group style="position:absolute;left:3147;top:9265;width:12464;height:156" coordorigin="3147,9265" coordsize="12464,156">
              <v:shape style="position:absolute;left:3147;top:9265;width:12464;height:156" coordorigin="3147,9265" coordsize="12464,156" path="m3147,9421l15611,9421,15611,9265,3147,9265,3147,9421xe" filled="true" fillcolor="#ffffff" stroked="false">
                <v:path arrowok="t"/>
                <v:fill type="solid"/>
              </v:shape>
            </v:group>
            <v:group style="position:absolute;left:3158;top:9421;width:2;height:1017" coordorigin="3158,9421" coordsize="2,1017">
              <v:shape style="position:absolute;left:3158;top:9421;width:2;height:1017" coordorigin="3158,9421" coordsize="0,1017" path="m3158,9421l3158,10438e" filled="false" stroked="true" strokeweight="1.140pt" strokecolor="#ffffff">
                <v:path arrowok="t"/>
              </v:shape>
            </v:group>
            <v:group style="position:absolute;left:3170;top:9421;width:12419;height:352" coordorigin="3170,9421" coordsize="12419,352">
              <v:shape style="position:absolute;left:3170;top:9421;width:12419;height:352" coordorigin="3170,9421" coordsize="12419,352" path="m3170,9773l15588,9773,15588,9421,3170,9421,3170,9773xe" filled="true" fillcolor="#ffffff" stroked="false">
                <v:path arrowok="t"/>
                <v:fill type="solid"/>
              </v:shape>
            </v:group>
            <v:group style="position:absolute;left:1019;top:9260;width:2119;height:2" coordorigin="1019,9260" coordsize="2119,2">
              <v:shape style="position:absolute;left:1019;top:9260;width:2119;height:2" coordorigin="1019,9260" coordsize="2119,0" path="m1019,9260l3137,9260e" filled="false" stroked="true" strokeweight=".47998pt" strokecolor="#000000">
                <v:path arrowok="t"/>
              </v:shape>
            </v:group>
            <v:group style="position:absolute;left:3147;top:9260;width:12466;height:2" coordorigin="3147,9260" coordsize="12466,2">
              <v:shape style="position:absolute;left:3147;top:9260;width:12466;height:2" coordorigin="3147,9260" coordsize="12466,0" path="m3147,9260l15612,9260e" filled="false" stroked="true" strokeweight=".47998pt" strokecolor="#000000">
                <v:path arrowok="t"/>
              </v:shape>
            </v:group>
            <v:group style="position:absolute;left:1014;top:1134;width:2;height:9470" coordorigin="1014,1134" coordsize="2,9470">
              <v:shape style="position:absolute;left:1014;top:1134;width:2;height:9470" coordorigin="1014,1134" coordsize="0,9470" path="m1014,1134l1014,10603e" filled="false" stroked="true" strokeweight=".48pt" strokecolor="#000000">
                <v:path arrowok="t"/>
              </v:shape>
            </v:group>
            <v:group style="position:absolute;left:1019;top:10598;width:2119;height:2" coordorigin="1019,10598" coordsize="2119,2">
              <v:shape style="position:absolute;left:1019;top:10598;width:2119;height:2" coordorigin="1019,10598" coordsize="2119,0" path="m1019,10598l3137,10598e" filled="false" stroked="true" strokeweight=".47998pt" strokecolor="#000000">
                <v:path arrowok="t"/>
              </v:shape>
            </v:group>
            <v:group style="position:absolute;left:3142;top:1134;width:2;height:9470" coordorigin="3142,1134" coordsize="2,9470">
              <v:shape style="position:absolute;left:3142;top:1134;width:2;height:9470" coordorigin="3142,1134" coordsize="0,9470" path="m3142,1134l3142,10603e" filled="false" stroked="true" strokeweight=".48pt" strokecolor="#000000">
                <v:path arrowok="t"/>
              </v:shape>
            </v:group>
            <v:group style="position:absolute;left:3147;top:10598;width:12466;height:2" coordorigin="3147,10598" coordsize="12466,2">
              <v:shape style="position:absolute;left:3147;top:10598;width:12466;height:2" coordorigin="3147,10598" coordsize="12466,0" path="m3147,10598l15612,10598e" filled="false" stroked="true" strokeweight=".47998pt" strokecolor="#000000">
                <v:path arrowok="t"/>
              </v:shape>
            </v:group>
            <v:group style="position:absolute;left:15617;top:1134;width:2;height:9470" coordorigin="15617,1134" coordsize="2,9470">
              <v:shape style="position:absolute;left:15617;top:1134;width:2;height:9470" coordorigin="15617,1134" coordsize="0,9470" path="m15617,1134l15617,10603e" filled="false" stroked="true" strokeweight=".47998pt" strokecolor="#000000">
                <v:path arrowok="t"/>
              </v:shape>
            </v:group>
            <w10:wrap type="none"/>
          </v:group>
        </w:pict>
      </w:r>
      <w:r>
        <w:rPr>
          <w:rFonts w:ascii="宋体" w:hAnsi="宋体" w:cs="宋体" w:eastAsia="宋体" w:hint="default"/>
          <w:sz w:val="18"/>
          <w:szCs w:val="18"/>
        </w:rPr>
        <w:t>应当详细说明未完成履行</w:t>
      </w:r>
    </w:p>
    <w:p>
      <w:pPr>
        <w:spacing w:line="319" w:lineRule="auto" w:before="76"/>
        <w:ind w:left="141" w:right="-20" w:firstLine="0"/>
        <w:jc w:val="left"/>
        <w:rPr>
          <w:rFonts w:ascii="宋体" w:hAnsi="宋体" w:cs="宋体" w:eastAsia="宋体" w:hint="default"/>
          <w:sz w:val="18"/>
          <w:szCs w:val="18"/>
        </w:rPr>
      </w:pPr>
      <w:r>
        <w:rPr>
          <w:rFonts w:ascii="宋体" w:hAnsi="宋体" w:cs="宋体" w:eastAsia="宋体" w:hint="default"/>
          <w:sz w:val="18"/>
          <w:szCs w:val="18"/>
        </w:rPr>
        <w:t>的具体原因及下一步的工 作计划</w:t>
      </w:r>
    </w:p>
    <w:p>
      <w:pPr>
        <w:spacing w:before="100"/>
        <w:ind w:left="10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性收益现金补偿事项向海南省海口市中级人民法院递</w:t>
      </w:r>
      <w:r>
        <w:rPr>
          <w:rFonts w:ascii="宋体" w:hAnsi="宋体" w:cs="宋体" w:eastAsia="宋体" w:hint="default"/>
          <w:spacing w:val="-72"/>
          <w:sz w:val="18"/>
          <w:szCs w:val="18"/>
        </w:rPr>
        <w:t>交</w:t>
      </w:r>
      <w:r>
        <w:rPr>
          <w:rFonts w:ascii="宋体" w:hAnsi="宋体" w:cs="宋体" w:eastAsia="宋体" w:hint="default"/>
          <w:sz w:val="18"/>
          <w:szCs w:val="18"/>
        </w:rPr>
        <w:t>《民事起诉状</w:t>
      </w:r>
      <w:r>
        <w:rPr>
          <w:rFonts w:ascii="宋体" w:hAnsi="宋体" w:cs="宋体" w:eastAsia="宋体" w:hint="default"/>
          <w:spacing w:val="-90"/>
          <w:sz w:val="18"/>
          <w:szCs w:val="18"/>
        </w:rPr>
        <w:t>》</w:t>
      </w:r>
      <w:r>
        <w:rPr>
          <w:rFonts w:ascii="宋体" w:hAnsi="宋体" w:cs="宋体" w:eastAsia="宋体" w:hint="default"/>
          <w:spacing w:val="-72"/>
          <w:sz w:val="18"/>
          <w:szCs w:val="18"/>
        </w:rPr>
        <w:t>，</w:t>
      </w:r>
      <w:r>
        <w:rPr>
          <w:rFonts w:ascii="宋体" w:hAnsi="宋体" w:cs="宋体" w:eastAsia="宋体" w:hint="default"/>
          <w:sz w:val="18"/>
          <w:szCs w:val="18"/>
        </w:rPr>
        <w:t>并于</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日收到</w:t>
      </w:r>
      <w:r>
        <w:rPr>
          <w:rFonts w:ascii="宋体" w:hAnsi="宋体" w:cs="宋体" w:eastAsia="宋体" w:hint="default"/>
          <w:spacing w:val="1"/>
          <w:sz w:val="18"/>
          <w:szCs w:val="18"/>
        </w:rPr>
        <w:t>海</w:t>
      </w:r>
      <w:r>
        <w:rPr>
          <w:rFonts w:ascii="宋体" w:hAnsi="宋体" w:cs="宋体" w:eastAsia="宋体" w:hint="default"/>
          <w:sz w:val="18"/>
          <w:szCs w:val="18"/>
        </w:rPr>
        <w:t>南省海口市中级人民法院出具</w:t>
      </w:r>
      <w:r>
        <w:rPr>
          <w:rFonts w:ascii="宋体" w:hAnsi="宋体" w:cs="宋体" w:eastAsia="宋体" w:hint="default"/>
          <w:spacing w:val="-72"/>
          <w:sz w:val="18"/>
          <w:szCs w:val="18"/>
        </w:rPr>
        <w:t>的</w:t>
      </w:r>
      <w:r>
        <w:rPr>
          <w:rFonts w:ascii="宋体" w:hAnsi="宋体" w:cs="宋体" w:eastAsia="宋体" w:hint="default"/>
          <w:sz w:val="18"/>
          <w:szCs w:val="18"/>
        </w:rPr>
        <w:t>《受理案件通知书</w:t>
      </w:r>
      <w:r>
        <w:rPr>
          <w:rFonts w:ascii="宋体" w:hAnsi="宋体" w:cs="宋体" w:eastAsia="宋体" w:hint="default"/>
          <w:spacing w:val="-72"/>
          <w:sz w:val="18"/>
          <w:szCs w:val="18"/>
        </w:rPr>
        <w:t>》</w:t>
      </w:r>
      <w:r>
        <w:rPr>
          <w:rFonts w:ascii="宋体" w:hAnsi="宋体" w:cs="宋体" w:eastAsia="宋体" w:hint="default"/>
          <w:spacing w:val="-72"/>
          <w:sz w:val="18"/>
          <w:szCs w:val="18"/>
        </w:rPr>
        <w:t>[</w:t>
      </w:r>
      <w:r>
        <w:rPr>
          <w:rFonts w:ascii="宋体" w:hAnsi="宋体" w:cs="宋体" w:eastAsia="宋体" w:hint="default"/>
          <w:sz w:val="18"/>
          <w:szCs w:val="18"/>
        </w:rPr>
        <w:t>（</w:t>
      </w:r>
      <w:r>
        <w:rPr>
          <w:rFonts w:ascii="宋体" w:hAnsi="宋体" w:cs="宋体" w:eastAsia="宋体" w:hint="default"/>
          <w:sz w:val="18"/>
          <w:szCs w:val="18"/>
        </w:rPr>
        <w:t>201</w:t>
      </w:r>
      <w:r>
        <w:rPr>
          <w:rFonts w:ascii="宋体" w:hAnsi="宋体" w:cs="宋体" w:eastAsia="宋体" w:hint="default"/>
          <w:spacing w:val="-2"/>
          <w:sz w:val="18"/>
          <w:szCs w:val="18"/>
        </w:rPr>
        <w:t>9</w:t>
      </w:r>
      <w:r>
        <w:rPr>
          <w:rFonts w:ascii="宋体" w:hAnsi="宋体" w:cs="宋体" w:eastAsia="宋体" w:hint="default"/>
          <w:sz w:val="18"/>
          <w:szCs w:val="18"/>
        </w:rPr>
        <w:t>）</w:t>
      </w:r>
    </w:p>
    <w:p>
      <w:pPr>
        <w:spacing w:before="77"/>
        <w:ind w:left="107" w:right="0" w:firstLine="0"/>
        <w:jc w:val="left"/>
        <w:rPr>
          <w:rFonts w:ascii="宋体" w:hAnsi="宋体" w:cs="宋体" w:eastAsia="宋体" w:hint="default"/>
          <w:sz w:val="18"/>
          <w:szCs w:val="18"/>
        </w:rPr>
      </w:pPr>
      <w:r>
        <w:rPr>
          <w:rFonts w:ascii="宋体" w:hAnsi="宋体" w:cs="宋体" w:eastAsia="宋体" w:hint="default"/>
          <w:sz w:val="18"/>
          <w:szCs w:val="18"/>
        </w:rPr>
        <w:t>琼</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民初</w:t>
      </w:r>
      <w:r>
        <w:rPr>
          <w:rFonts w:ascii="宋体" w:hAnsi="宋体" w:cs="宋体" w:eastAsia="宋体" w:hint="default"/>
          <w:spacing w:val="-46"/>
          <w:sz w:val="18"/>
          <w:szCs w:val="18"/>
        </w:rPr>
        <w:t> </w:t>
      </w:r>
      <w:r>
        <w:rPr>
          <w:rFonts w:ascii="宋体" w:hAnsi="宋体" w:cs="宋体" w:eastAsia="宋体" w:hint="default"/>
          <w:sz w:val="18"/>
          <w:szCs w:val="18"/>
        </w:rPr>
        <w:t>363</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6840" w:h="11910" w:orient="landscape"/>
          <w:pgMar w:top="1060" w:bottom="1160" w:left="900" w:right="1040"/>
          <w:cols w:num="2" w:equalWidth="0">
            <w:col w:w="2122" w:space="40"/>
            <w:col w:w="12738"/>
          </w:cols>
        </w:sectPr>
      </w:pPr>
    </w:p>
    <w:p>
      <w:pPr>
        <w:spacing w:line="240" w:lineRule="auto" w:before="10"/>
        <w:rPr>
          <w:rFonts w:ascii="宋体" w:hAnsi="宋体" w:cs="宋体" w:eastAsia="宋体" w:hint="default"/>
          <w:sz w:val="20"/>
          <w:szCs w:val="20"/>
        </w:rPr>
      </w:pPr>
    </w:p>
    <w:p>
      <w:pPr>
        <w:pStyle w:val="Heading4"/>
        <w:spacing w:line="273" w:lineRule="auto" w:before="35"/>
        <w:ind w:right="0"/>
        <w:jc w:val="left"/>
        <w:rPr>
          <w:b w:val="0"/>
          <w:bCs w:val="0"/>
        </w:rPr>
      </w:pPr>
      <w:bookmarkStart w:name="2、公司资产或项目存在盈利预测，且报告期仍处在盈利预测期间，公司就资产或项目达到" w:id="66"/>
      <w:bookmarkEnd w:id="66"/>
      <w:r>
        <w:rPr>
          <w:b w:val="0"/>
          <w:bCs w:val="0"/>
        </w:rPr>
      </w:r>
      <w:r>
        <w:rPr>
          <w:rFonts w:ascii="宋体" w:hAnsi="宋体" w:cs="宋体" w:eastAsia="宋体" w:hint="default"/>
        </w:rPr>
        <w:t>2</w:t>
      </w:r>
      <w:r>
        <w:rPr/>
        <w:t>、公司资产或项目存在盈利预测，且报告期仍处在盈利预测期间，公司就资产或项目达到原盈利预测及</w:t>
      </w:r>
      <w:r>
        <w:rPr>
          <w:spacing w:val="-73"/>
        </w:rPr>
        <w:t> </w:t>
      </w:r>
      <w:r>
        <w:rPr>
          <w:spacing w:val="-73"/>
        </w:rPr>
      </w:r>
      <w:r>
        <w:rPr/>
        <w:t>其原因做出说明</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ind w:right="0"/>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44"/>
        <w:ind w:left="0" w:right="1142" w:firstLine="0"/>
        <w:jc w:val="right"/>
        <w:rPr>
          <w:rFonts w:ascii="宋体" w:hAnsi="宋体" w:cs="宋体" w:eastAsia="宋体" w:hint="default"/>
          <w:sz w:val="18"/>
          <w:szCs w:val="18"/>
        </w:rPr>
      </w:pPr>
      <w:r>
        <w:rPr/>
        <w:pict>
          <v:shape style="position:absolute;margin-left:56.459999pt;margin-top:-259.478271pt;width:479.05pt;height:279.25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58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麦游互动</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4,102.67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详见公司在巨 潮网披露的</w:t>
                        </w:r>
                      </w:p>
                      <w:p>
                        <w:pPr>
                          <w:pStyle w:val="TableParagraph"/>
                          <w:spacing w:line="316" w:lineRule="auto" w:before="19"/>
                          <w:ind w:left="22" w:right="65"/>
                          <w:jc w:val="both"/>
                          <w:rPr>
                            <w:rFonts w:ascii="宋体" w:hAnsi="宋体" w:cs="宋体" w:eastAsia="宋体" w:hint="default"/>
                            <w:sz w:val="18"/>
                            <w:szCs w:val="18"/>
                          </w:rPr>
                        </w:pPr>
                        <w:r>
                          <w:rPr>
                            <w:rFonts w:ascii="宋体" w:hAnsi="宋体" w:cs="宋体" w:eastAsia="宋体" w:hint="default"/>
                            <w:sz w:val="18"/>
                            <w:szCs w:val="18"/>
                          </w:rPr>
                          <w:t>《关于购买深 圳市麦游互动 科技有限公司 股权的公告》</w:t>
                        </w:r>
                      </w:p>
                      <w:p>
                        <w:pPr>
                          <w:pStyle w:val="TableParagraph"/>
                          <w:spacing w:line="319" w:lineRule="auto" w:before="19"/>
                          <w:ind w:left="22" w:right="65"/>
                          <w:jc w:val="both"/>
                          <w:rPr>
                            <w:rFonts w:ascii="宋体" w:hAnsi="宋体" w:cs="宋体" w:eastAsia="宋体" w:hint="default"/>
                            <w:sz w:val="18"/>
                            <w:szCs w:val="18"/>
                          </w:rPr>
                        </w:pPr>
                        <w:r>
                          <w:rPr>
                            <w:rFonts w:ascii="宋体" w:hAnsi="宋体" w:cs="宋体" w:eastAsia="宋体" w:hint="default"/>
                            <w:sz w:val="18"/>
                            <w:szCs w:val="18"/>
                          </w:rPr>
                          <w:t>（公告编号： </w:t>
                        </w:r>
                        <w:r>
                          <w:rPr>
                            <w:rFonts w:ascii="宋体" w:hAnsi="宋体" w:cs="宋体" w:eastAsia="宋体" w:hint="default"/>
                            <w:sz w:val="18"/>
                            <w:szCs w:val="18"/>
                          </w:rPr>
                          <w:t>2018-026</w:t>
                        </w:r>
                        <w:r>
                          <w:rPr>
                            <w:rFonts w:ascii="宋体" w:hAnsi="宋体" w:cs="宋体" w:eastAsia="宋体" w:hint="default"/>
                            <w:sz w:val="18"/>
                            <w:szCs w:val="18"/>
                          </w:rPr>
                          <w:t>）</w:t>
                        </w:r>
                      </w:p>
                    </w:tc>
                  </w:tr>
                  <w:tr>
                    <w:trPr>
                      <w:trHeight w:val="227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18,000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19,234.54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详见公司在巨 潮网披露的</w:t>
                        </w:r>
                      </w:p>
                      <w:p>
                        <w:pPr>
                          <w:pStyle w:val="TableParagraph"/>
                          <w:spacing w:line="319" w:lineRule="auto" w:before="19"/>
                          <w:ind w:left="22" w:right="22"/>
                          <w:jc w:val="both"/>
                          <w:rPr>
                            <w:rFonts w:ascii="宋体" w:hAnsi="宋体" w:cs="宋体" w:eastAsia="宋体" w:hint="default"/>
                            <w:sz w:val="18"/>
                            <w:szCs w:val="18"/>
                          </w:rPr>
                        </w:pPr>
                        <w:r>
                          <w:rPr>
                            <w:rFonts w:ascii="宋体" w:hAnsi="宋体" w:cs="宋体" w:eastAsia="宋体" w:hint="default"/>
                            <w:sz w:val="18"/>
                            <w:szCs w:val="18"/>
                          </w:rPr>
                          <w:t>《关于购买车 音智能科技有 限公司股权的 </w:t>
                        </w:r>
                        <w:r>
                          <w:rPr>
                            <w:rFonts w:ascii="宋体" w:hAnsi="宋体" w:cs="宋体" w:eastAsia="宋体" w:hint="default"/>
                            <w:spacing w:val="-20"/>
                            <w:sz w:val="18"/>
                            <w:szCs w:val="18"/>
                          </w:rPr>
                          <w:t>公告》（公告编</w:t>
                        </w:r>
                        <w:r>
                          <w:rPr>
                            <w:rFonts w:ascii="宋体" w:hAnsi="宋体" w:cs="宋体" w:eastAsia="宋体" w:hint="default"/>
                            <w:sz w:val="18"/>
                            <w:szCs w:val="18"/>
                          </w:rPr>
                          <w:t> </w:t>
                        </w:r>
                        <w:r>
                          <w:rPr>
                            <w:rFonts w:ascii="宋体" w:hAnsi="宋体" w:cs="宋体" w:eastAsia="宋体" w:hint="default"/>
                            <w:spacing w:val="-5"/>
                            <w:sz w:val="18"/>
                            <w:szCs w:val="18"/>
                          </w:rPr>
                          <w:t>号：</w:t>
                        </w:r>
                        <w:r>
                          <w:rPr>
                            <w:rFonts w:ascii="宋体" w:hAnsi="宋体" w:cs="宋体" w:eastAsia="宋体" w:hint="default"/>
                            <w:spacing w:val="-5"/>
                            <w:sz w:val="18"/>
                            <w:szCs w:val="18"/>
                          </w:rPr>
                          <w:t>2018-079</w:t>
                        </w:r>
                      </w:p>
                    </w:tc>
                  </w:tr>
                </w:tbl>
                <w:p>
                  <w:pPr/>
                </w:p>
              </w:txbxContent>
            </v:textbox>
            <w10:wrap type="none"/>
          </v:shape>
        </w:pict>
      </w:r>
      <w:r>
        <w:rPr>
          <w:rFonts w:ascii="宋体" w:hAnsi="宋体" w:cs="宋体" w:eastAsia="宋体" w:hint="default"/>
          <w:sz w:val="18"/>
          <w:szCs w:val="18"/>
        </w:rPr>
        <w:t>）</w:t>
      </w:r>
    </w:p>
    <w:p>
      <w:pPr>
        <w:spacing w:line="240" w:lineRule="auto" w:before="10"/>
        <w:rPr>
          <w:rFonts w:ascii="宋体" w:hAnsi="宋体" w:cs="宋体" w:eastAsia="宋体" w:hint="default"/>
          <w:sz w:val="19"/>
          <w:szCs w:val="19"/>
        </w:rPr>
      </w:pPr>
    </w:p>
    <w:p>
      <w:pPr>
        <w:pStyle w:val="BodyText"/>
        <w:spacing w:line="240" w:lineRule="auto" w:before="35"/>
        <w:ind w:right="0"/>
        <w:jc w:val="left"/>
      </w:pPr>
      <w:r>
        <w:rPr/>
        <w:t>公司股东、交易对手方在报告年度经营业绩做出的承诺情况</w:t>
      </w:r>
    </w:p>
    <w:p>
      <w:pPr>
        <w:spacing w:line="240" w:lineRule="auto" w:before="9"/>
        <w:rPr>
          <w:rFonts w:ascii="宋体" w:hAnsi="宋体" w:cs="宋体" w:eastAsia="宋体" w:hint="default"/>
          <w:sz w:val="18"/>
          <w:szCs w:val="18"/>
        </w:rPr>
      </w:pPr>
    </w:p>
    <w:p>
      <w:pPr>
        <w:pStyle w:val="BodyText"/>
        <w:spacing w:line="240" w:lineRule="auto"/>
        <w:ind w:right="0"/>
        <w:jc w:val="left"/>
      </w:pPr>
      <w:r>
        <w:rPr/>
        <w:t>√ 适用 □</w:t>
      </w:r>
      <w:r>
        <w:rPr>
          <w:spacing w:val="-1"/>
        </w:rPr>
        <w:t> </w:t>
      </w:r>
      <w:r>
        <w:rPr/>
        <w:t>不适用</w:t>
      </w:r>
    </w:p>
    <w:p>
      <w:pPr>
        <w:spacing w:line="240" w:lineRule="auto" w:before="10"/>
        <w:rPr>
          <w:rFonts w:ascii="宋体" w:hAnsi="宋体" w:cs="宋体" w:eastAsia="宋体" w:hint="default"/>
          <w:sz w:val="18"/>
          <w:szCs w:val="18"/>
        </w:rPr>
      </w:pPr>
    </w:p>
    <w:p>
      <w:pPr>
        <w:pStyle w:val="BodyText"/>
        <w:spacing w:line="420" w:lineRule="auto"/>
        <w:ind w:right="1215" w:firstLine="420"/>
        <w:jc w:val="both"/>
      </w:pPr>
      <w:r>
        <w:rPr/>
        <w:t>麦游互动</w:t>
      </w:r>
      <w:r>
        <w:rPr>
          <w:spacing w:val="-54"/>
        </w:rPr>
        <w:t> </w:t>
      </w:r>
      <w:r>
        <w:rPr>
          <w:rFonts w:ascii="宋体" w:hAnsi="宋体" w:cs="宋体" w:eastAsia="宋体" w:hint="default"/>
        </w:rPr>
        <w:t>51%</w:t>
      </w:r>
      <w:r>
        <w:rPr/>
        <w:t>股权及车音智能</w:t>
      </w:r>
      <w:r>
        <w:rPr>
          <w:spacing w:val="-55"/>
        </w:rPr>
        <w:t> </w:t>
      </w:r>
      <w:r>
        <w:rPr>
          <w:rFonts w:ascii="宋体" w:hAnsi="宋体" w:cs="宋体" w:eastAsia="宋体" w:hint="default"/>
        </w:rPr>
        <w:t>60%</w:t>
      </w:r>
      <w:r>
        <w:rPr/>
        <w:t>股权的交易对方在报告年度经营业绩做出的承诺情况详见前述承诺 事项。</w:t>
      </w:r>
    </w:p>
    <w:p>
      <w:pPr>
        <w:pStyle w:val="BodyText"/>
        <w:spacing w:line="240" w:lineRule="auto" w:before="87"/>
        <w:ind w:right="0"/>
        <w:jc w:val="left"/>
      </w:pPr>
      <w:r>
        <w:rPr/>
        <w:t>业绩承诺的完成情况及其对商誉减值测试的影响</w:t>
      </w:r>
    </w:p>
    <w:p>
      <w:pPr>
        <w:spacing w:line="240" w:lineRule="auto" w:before="9"/>
        <w:rPr>
          <w:rFonts w:ascii="宋体" w:hAnsi="宋体" w:cs="宋体" w:eastAsia="宋体" w:hint="default"/>
          <w:sz w:val="18"/>
          <w:szCs w:val="18"/>
        </w:rPr>
      </w:pPr>
    </w:p>
    <w:p>
      <w:pPr>
        <w:pStyle w:val="BodyText"/>
        <w:spacing w:line="420" w:lineRule="auto"/>
        <w:ind w:right="1132" w:firstLine="420"/>
        <w:jc w:val="both"/>
      </w:pPr>
      <w:r>
        <w:rPr/>
        <w:t>（</w:t>
      </w:r>
      <w:r>
        <w:rPr>
          <w:rFonts w:ascii="宋体" w:hAnsi="宋体" w:cs="宋体" w:eastAsia="宋体" w:hint="default"/>
        </w:rPr>
        <w:t>1</w:t>
      </w:r>
      <w:r>
        <w:rPr/>
        <w:t>）标的公司麦游互动所对应的</w:t>
      </w:r>
      <w:r>
        <w:rPr>
          <w:spacing w:val="-55"/>
        </w:rPr>
        <w:t> </w:t>
      </w:r>
      <w:r>
        <w:rPr>
          <w:rFonts w:ascii="宋体" w:hAnsi="宋体" w:cs="宋体" w:eastAsia="宋体" w:hint="default"/>
        </w:rPr>
        <w:t>2018</w:t>
      </w:r>
      <w:r>
        <w:rPr>
          <w:rFonts w:ascii="宋体" w:hAnsi="宋体" w:cs="宋体" w:eastAsia="宋体" w:hint="default"/>
          <w:spacing w:val="-54"/>
        </w:rPr>
        <w:t> </w:t>
      </w:r>
      <w:r>
        <w:rPr/>
        <w:t>年业绩承诺完成率为</w:t>
      </w:r>
      <w:r>
        <w:rPr>
          <w:spacing w:val="-55"/>
        </w:rPr>
        <w:t> </w:t>
      </w:r>
      <w:r>
        <w:rPr>
          <w:rFonts w:ascii="宋体" w:hAnsi="宋体" w:cs="宋体" w:eastAsia="宋体" w:hint="default"/>
        </w:rPr>
        <w:t>102.57%</w:t>
      </w:r>
      <w:r>
        <w:rPr/>
        <w:t>，业绩承诺方遵义米麦、凯普投 </w:t>
      </w:r>
      <w:r>
        <w:rPr>
          <w:spacing w:val="-1"/>
        </w:rPr>
        <w:t>资、陈虹、廖明祯、李坚文、张丽娜、陈丛山、许军声、王涛、彭亮无需做出业绩补偿。报告期末，公司</w:t>
      </w:r>
      <w:r>
        <w:rPr>
          <w:spacing w:val="-88"/>
        </w:rPr>
        <w:t> </w:t>
      </w:r>
      <w:r>
        <w:rPr>
          <w:spacing w:val="-88"/>
        </w:rPr>
      </w:r>
      <w:r>
        <w:rPr/>
        <w:t>对收购麦游互动</w:t>
      </w:r>
      <w:r>
        <w:rPr>
          <w:spacing w:val="-54"/>
        </w:rPr>
        <w:t> </w:t>
      </w:r>
      <w:r>
        <w:rPr>
          <w:rFonts w:ascii="宋体" w:hAnsi="宋体" w:cs="宋体" w:eastAsia="宋体" w:hint="default"/>
        </w:rPr>
        <w:t>51%</w:t>
      </w:r>
      <w:r>
        <w:rPr/>
        <w:t>股权产生的商誉进行减值测试，显示没有发生减值。</w:t>
      </w:r>
    </w:p>
    <w:p>
      <w:pPr>
        <w:pStyle w:val="BodyText"/>
        <w:spacing w:line="420" w:lineRule="auto" w:before="88"/>
        <w:ind w:right="1162" w:firstLine="420"/>
        <w:jc w:val="both"/>
      </w:pPr>
      <w:r>
        <w:rPr/>
        <w:t>（</w:t>
      </w:r>
      <w:r>
        <w:rPr>
          <w:rFonts w:ascii="宋体" w:hAnsi="宋体" w:cs="宋体" w:eastAsia="宋体" w:hint="default"/>
        </w:rPr>
        <w:t>2</w:t>
      </w:r>
      <w:r>
        <w:rPr/>
        <w:t>）标的公司车音智能所对应的</w:t>
      </w:r>
      <w:r>
        <w:rPr>
          <w:spacing w:val="-55"/>
        </w:rPr>
        <w:t> </w:t>
      </w:r>
      <w:r>
        <w:rPr>
          <w:rFonts w:ascii="宋体" w:hAnsi="宋体" w:cs="宋体" w:eastAsia="宋体" w:hint="default"/>
        </w:rPr>
        <w:t>2018</w:t>
      </w:r>
      <w:r>
        <w:rPr>
          <w:rFonts w:ascii="宋体" w:hAnsi="宋体" w:cs="宋体" w:eastAsia="宋体" w:hint="default"/>
          <w:spacing w:val="-54"/>
        </w:rPr>
        <w:t> </w:t>
      </w:r>
      <w:r>
        <w:rPr/>
        <w:t>年业绩承诺完成率为</w:t>
      </w:r>
      <w:r>
        <w:rPr>
          <w:spacing w:val="-55"/>
        </w:rPr>
        <w:t> </w:t>
      </w:r>
      <w:r>
        <w:rPr>
          <w:rFonts w:ascii="宋体" w:hAnsi="宋体" w:cs="宋体" w:eastAsia="宋体" w:hint="default"/>
        </w:rPr>
        <w:t>106.86%</w:t>
      </w:r>
      <w:r>
        <w:rPr/>
        <w:t>，业绩承诺方子栋科技、鼎金投 资、新意资本无需做出业绩补偿。报告期末，公司对收购车音智能</w:t>
      </w:r>
      <w:r>
        <w:rPr>
          <w:spacing w:val="-53"/>
        </w:rPr>
        <w:t> </w:t>
      </w:r>
      <w:r>
        <w:rPr>
          <w:rFonts w:ascii="宋体" w:hAnsi="宋体" w:cs="宋体" w:eastAsia="宋体" w:hint="default"/>
        </w:rPr>
        <w:t>60%</w:t>
      </w:r>
      <w:r>
        <w:rPr/>
        <w:t>股权产生的商誉进行减值测试，显 示没有发生减值。</w:t>
      </w:r>
    </w:p>
    <w:p>
      <w:pPr>
        <w:pStyle w:val="Heading2"/>
        <w:spacing w:line="240" w:lineRule="auto" w:before="171"/>
        <w:ind w:right="0"/>
        <w:jc w:val="left"/>
        <w:rPr>
          <w:b w:val="0"/>
          <w:bCs w:val="0"/>
        </w:rPr>
      </w:pPr>
      <w:bookmarkStart w:name="四、控股股东及其关联方对上市公司的非经营性占用资金情况" w:id="67"/>
      <w:bookmarkEnd w:id="67"/>
      <w:r>
        <w:rPr>
          <w:b w:val="0"/>
          <w:bCs w:val="0"/>
        </w:rPr>
      </w:r>
      <w:r>
        <w:rPr/>
        <w:t>四、控股股东及其关联方对上市公司的非经营性占用资金情况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1"/>
        <w:ind w:right="0"/>
        <w:jc w:val="left"/>
      </w:pPr>
      <w:r>
        <w:rPr/>
        <w:t>□ 适用 √</w:t>
      </w:r>
      <w:r>
        <w:rPr>
          <w:spacing w:val="-1"/>
        </w:rPr>
        <w:t> </w:t>
      </w:r>
      <w:r>
        <w:rPr/>
        <w:t>不适用</w:t>
      </w:r>
    </w:p>
    <w:p>
      <w:pPr>
        <w:spacing w:after="0" w:line="240" w:lineRule="auto"/>
        <w:jc w:val="left"/>
        <w:sectPr>
          <w:headerReference w:type="default" r:id="rId21"/>
          <w:footerReference w:type="default" r:id="rId22"/>
          <w:pgSz w:w="11910" w:h="16840"/>
          <w:pgMar w:header="877" w:footer="979" w:top="1100" w:bottom="1160" w:left="980" w:right="0"/>
          <w:pgNumType w:start="65"/>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574" w:right="0"/>
        <w:jc w:val="left"/>
      </w:pPr>
      <w:r>
        <w:rPr/>
        <w:t>公司报告期不存在控股股东及其关联方对上市公司的非经营性占用资金。</w:t>
      </w:r>
    </w:p>
    <w:p>
      <w:pPr>
        <w:spacing w:line="240" w:lineRule="auto" w:before="1"/>
        <w:rPr>
          <w:rFonts w:ascii="宋体" w:hAnsi="宋体" w:cs="宋体" w:eastAsia="宋体" w:hint="default"/>
          <w:sz w:val="25"/>
          <w:szCs w:val="25"/>
        </w:rPr>
      </w:pPr>
    </w:p>
    <w:p>
      <w:pPr>
        <w:pStyle w:val="Heading2"/>
        <w:spacing w:line="240" w:lineRule="auto" w:before="0"/>
        <w:ind w:right="1512"/>
        <w:jc w:val="left"/>
        <w:rPr>
          <w:b w:val="0"/>
          <w:bCs w:val="0"/>
        </w:rPr>
      </w:pPr>
      <w:bookmarkStart w:name="五、董事会、监事会、独立董事（如有）对会计师事务所本报告期“非标准审计报告”的说" w:id="68"/>
      <w:bookmarkEnd w:id="68"/>
      <w:r>
        <w:rPr>
          <w:b w:val="0"/>
          <w:bCs w:val="0"/>
        </w:rPr>
      </w:r>
      <w:r>
        <w:rPr>
          <w:w w:val="95"/>
        </w:rPr>
        <w:t>五、董事会、监事会、独立董事（如有）对会计师事务所本报告期“非标准审计报告”的说  </w:t>
      </w:r>
      <w:r>
        <w:rPr>
          <w:spacing w:val="111"/>
          <w:w w:val="95"/>
        </w:rPr>
        <w:t> </w:t>
      </w:r>
      <w:r>
        <w:rPr>
          <w:spacing w:val="111"/>
          <w:w w:val="95"/>
        </w:rPr>
      </w:r>
      <w:r>
        <w:rPr/>
        <w:t>明</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1"/>
        <w:ind w:right="0"/>
        <w:jc w:val="left"/>
      </w:pPr>
      <w:r>
        <w:rPr/>
        <w:t>□ 适用 √</w:t>
      </w:r>
      <w:r>
        <w:rPr>
          <w:spacing w:val="-1"/>
        </w:rPr>
        <w:t> </w:t>
      </w:r>
      <w:r>
        <w:rPr/>
        <w:t>不适用</w:t>
      </w:r>
    </w:p>
    <w:p>
      <w:pPr>
        <w:spacing w:line="240" w:lineRule="auto" w:before="1"/>
        <w:rPr>
          <w:rFonts w:ascii="宋体" w:hAnsi="宋体" w:cs="宋体" w:eastAsia="宋体" w:hint="default"/>
          <w:sz w:val="25"/>
          <w:szCs w:val="25"/>
        </w:rPr>
      </w:pPr>
    </w:p>
    <w:p>
      <w:pPr>
        <w:pStyle w:val="Heading2"/>
        <w:spacing w:line="240" w:lineRule="auto" w:before="0"/>
        <w:ind w:right="0"/>
        <w:jc w:val="left"/>
        <w:rPr>
          <w:b w:val="0"/>
          <w:bCs w:val="0"/>
        </w:rPr>
      </w:pPr>
      <w:bookmarkStart w:name="六、与上年度财务报告相比，会计政策、会计估计和核算方法发生变化的情况说明" w:id="69"/>
      <w:bookmarkEnd w:id="69"/>
      <w:r>
        <w:rPr>
          <w:b w:val="0"/>
          <w:bCs w:val="0"/>
        </w:rPr>
      </w:r>
      <w:r>
        <w:rPr/>
        <w:t>六、与上年度财务报告相比，会计政策、会计估计和核算方法发生变化的情况说明</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1"/>
        <w:ind w:right="0"/>
        <w:jc w:val="left"/>
      </w:pPr>
      <w:r>
        <w:rPr/>
        <w:pict>
          <v:shape style="position:absolute;margin-left:426.940002pt;margin-top:84.93364pt;width:107.9pt;height:78.5pt;mso-position-horizontal-relative:page;mso-position-vertical-relative:paragraph;z-index:-14919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32.179993pt;margin-top:84.93364pt;width:103.3pt;height:78.5pt;mso-position-horizontal-relative:page;mso-position-vertical-relative:paragraph;z-index:-1491928" coordorigin="8644,1699" coordsize="2066,1570">
            <v:group style="position:absolute;left:8656;top:1699;width:2042;height:1570" coordorigin="8656,1699" coordsize="2042,1570">
              <v:shape style="position:absolute;left:8656;top:1699;width:2042;height:1570" coordorigin="8656,1699" coordsize="2042,1570" path="m8656,3268l10697,3268,10697,1699,8656,1699,8656,3268xe" filled="true" fillcolor="#ffffff" stroked="false">
                <v:path arrowok="t"/>
                <v:fill type="solid"/>
              </v:shape>
            </v:group>
            <v:group style="position:absolute;left:8648;top:3262;width:2056;height:2" coordorigin="8648,3262" coordsize="2056,2">
              <v:shape style="position:absolute;left:8648;top:3262;width:2056;height:2" coordorigin="8648,3262" coordsize="2056,0" path="m8648,3262l10704,3262e" filled="false" stroked="true" strokeweight=".48001pt" strokecolor="#ffffff">
                <v:path arrowok="t"/>
              </v:shape>
            </v:group>
            <w10:wrap type="none"/>
          </v:group>
        </w:pict>
      </w:r>
      <w:r>
        <w:rPr/>
        <w:t>√ 适用 □</w:t>
      </w:r>
      <w:r>
        <w:rPr>
          <w:spacing w:val="-1"/>
        </w:rPr>
        <w:t> </w:t>
      </w:r>
      <w:r>
        <w:rPr/>
        <w:t>不适用</w:t>
      </w:r>
    </w:p>
    <w:p>
      <w:pPr>
        <w:spacing w:line="240" w:lineRule="auto" w:before="7"/>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5955"/>
        <w:gridCol w:w="1559"/>
        <w:gridCol w:w="2056"/>
      </w:tblGrid>
      <w:tr>
        <w:trPr>
          <w:trHeight w:val="421" w:hRule="exact"/>
        </w:trPr>
        <w:tc>
          <w:tcPr>
            <w:tcW w:w="59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188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411"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20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299"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日发布了《关于修订印发</w:t>
            </w:r>
            <w:r>
              <w:rPr>
                <w:rFonts w:ascii="宋体" w:hAnsi="宋体" w:cs="宋体" w:eastAsia="宋体" w:hint="default"/>
                <w:sz w:val="18"/>
                <w:szCs w:val="18"/>
              </w:rPr>
              <w:t>2018</w:t>
            </w:r>
            <w:r>
              <w:rPr>
                <w:rFonts w:ascii="宋体" w:hAnsi="宋体" w:cs="宋体" w:eastAsia="宋体" w:hint="default"/>
                <w:sz w:val="18"/>
                <w:szCs w:val="18"/>
              </w:rPr>
              <w:t>年度一般企业财务报表 格式的通知》（财会〔</w:t>
            </w:r>
            <w:r>
              <w:rPr>
                <w:rFonts w:ascii="宋体" w:hAnsi="宋体" w:cs="宋体" w:eastAsia="宋体" w:hint="default"/>
                <w:sz w:val="18"/>
                <w:szCs w:val="18"/>
              </w:rPr>
              <w:t>2018</w:t>
            </w: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z w:val="18"/>
                <w:szCs w:val="18"/>
              </w:rPr>
              <w:t>号），执行企业会计准则的非金融企业中， 尚未执行新金融准则和新收入准则的企业应当按照企业会计准则和本通知 附件</w:t>
            </w:r>
            <w:r>
              <w:rPr>
                <w:rFonts w:ascii="宋体" w:hAnsi="宋体" w:cs="宋体" w:eastAsia="宋体" w:hint="default"/>
                <w:sz w:val="18"/>
                <w:szCs w:val="18"/>
              </w:rPr>
              <w:t>1</w:t>
            </w:r>
            <w:r>
              <w:rPr>
                <w:rFonts w:ascii="宋体" w:hAnsi="宋体" w:cs="宋体" w:eastAsia="宋体" w:hint="default"/>
                <w:sz w:val="18"/>
                <w:szCs w:val="18"/>
              </w:rPr>
              <w:t>的要求编制财务报表，已执行新金融准则或新收入准则的企业应当按 照企业会计准则和本通知附件</w:t>
            </w:r>
            <w:r>
              <w:rPr>
                <w:rFonts w:ascii="宋体" w:hAnsi="宋体" w:cs="宋体" w:eastAsia="宋体" w:hint="default"/>
                <w:sz w:val="18"/>
                <w:szCs w:val="18"/>
              </w:rPr>
              <w:t>2</w:t>
            </w:r>
            <w:r>
              <w:rPr>
                <w:rFonts w:ascii="宋体" w:hAnsi="宋体" w:cs="宋体" w:eastAsia="宋体" w:hint="default"/>
                <w:sz w:val="18"/>
                <w:szCs w:val="18"/>
              </w:rPr>
              <w:t>的要求编制财务报表。公司尚未执行新金融 准则和新收入准则，本期的报表格式按企业会计准则和本通知附件</w:t>
            </w:r>
            <w:r>
              <w:rPr>
                <w:rFonts w:ascii="宋体" w:hAnsi="宋体" w:cs="宋体" w:eastAsia="宋体" w:hint="default"/>
                <w:sz w:val="18"/>
                <w:szCs w:val="18"/>
              </w:rPr>
              <w:t>1</w:t>
            </w:r>
            <w:r>
              <w:rPr>
                <w:rFonts w:ascii="宋体" w:hAnsi="宋体" w:cs="宋体" w:eastAsia="宋体" w:hint="default"/>
                <w:sz w:val="18"/>
                <w:szCs w:val="18"/>
              </w:rPr>
              <w:t>的要求 编制财务报表，此项政策变更采用追溯调整法。</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00"/>
              <w:jc w:val="both"/>
              <w:rPr>
                <w:rFonts w:ascii="宋体" w:hAnsi="宋体" w:cs="宋体" w:eastAsia="宋体" w:hint="default"/>
                <w:sz w:val="18"/>
                <w:szCs w:val="18"/>
              </w:rPr>
            </w:pPr>
            <w:r>
              <w:rPr>
                <w:rFonts w:ascii="宋体" w:hAnsi="宋体" w:cs="宋体" w:eastAsia="宋体" w:hint="default"/>
                <w:sz w:val="18"/>
                <w:szCs w:val="18"/>
              </w:rPr>
              <w:t>经公司第七届董事 会</w:t>
            </w:r>
            <w:r>
              <w:rPr>
                <w:rFonts w:ascii="宋体" w:hAnsi="宋体" w:cs="宋体" w:eastAsia="宋体" w:hint="default"/>
                <w:sz w:val="18"/>
                <w:szCs w:val="18"/>
              </w:rPr>
              <w:t>2019</w:t>
            </w:r>
            <w:r>
              <w:rPr>
                <w:rFonts w:ascii="宋体" w:hAnsi="宋体" w:cs="宋体" w:eastAsia="宋体" w:hint="default"/>
                <w:sz w:val="18"/>
                <w:szCs w:val="18"/>
              </w:rPr>
              <w:t>年第五次临 时会议和第七届监 事会</w:t>
            </w:r>
            <w:r>
              <w:rPr>
                <w:rFonts w:ascii="宋体" w:hAnsi="宋体" w:cs="宋体" w:eastAsia="宋体" w:hint="default"/>
                <w:sz w:val="18"/>
                <w:szCs w:val="18"/>
              </w:rPr>
              <w:t>2019</w:t>
            </w:r>
            <w:r>
              <w:rPr>
                <w:rFonts w:ascii="宋体" w:hAnsi="宋体" w:cs="宋体" w:eastAsia="宋体" w:hint="default"/>
                <w:sz w:val="18"/>
                <w:szCs w:val="18"/>
              </w:rPr>
              <w:t>年第一次 临时会议审议通过</w:t>
            </w: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56"/>
              <w:jc w:val="left"/>
              <w:rPr>
                <w:rFonts w:ascii="宋体" w:hAnsi="宋体" w:cs="宋体" w:eastAsia="宋体" w:hint="default"/>
                <w:sz w:val="18"/>
                <w:szCs w:val="18"/>
              </w:rPr>
            </w:pPr>
            <w:r>
              <w:rPr>
                <w:rFonts w:ascii="宋体" w:hAnsi="宋体" w:cs="宋体" w:eastAsia="宋体" w:hint="default"/>
                <w:sz w:val="18"/>
                <w:szCs w:val="18"/>
              </w:rPr>
              <w:t>主要影响项目及金额详见 注①、注②</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tc>
      </w:tr>
      <w:tr>
        <w:trPr>
          <w:trHeight w:val="1677" w:hRule="exact"/>
        </w:trPr>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
              <w:jc w:val="both"/>
              <w:rPr>
                <w:rFonts w:ascii="宋体" w:hAnsi="宋体" w:cs="宋体" w:eastAsia="宋体" w:hint="default"/>
                <w:sz w:val="18"/>
                <w:szCs w:val="18"/>
              </w:rPr>
            </w:pPr>
            <w:r>
              <w:rPr>
                <w:rFonts w:ascii="宋体" w:hAnsi="宋体" w:cs="宋体" w:eastAsia="宋体" w:hint="default"/>
                <w:sz w:val="18"/>
                <w:szCs w:val="18"/>
              </w:rPr>
              <w:t>关于代扣个人所得税手续费返还的填列企业作为个人所得税的扣缴义务人， 根据《中华人民共和国个人所得税法》收到的扣缴税款手续费，应作为其他 与日常活动相关的项目在利润表的“其他收益”项目中填列。企业财务报表 的列报项目因此发生变更的，应当按照《企业会计准则第</w:t>
            </w:r>
            <w:r>
              <w:rPr>
                <w:rFonts w:ascii="宋体" w:hAnsi="宋体" w:cs="宋体" w:eastAsia="宋体" w:hint="default"/>
                <w:sz w:val="18"/>
                <w:szCs w:val="18"/>
              </w:rPr>
              <w:t>30</w:t>
            </w:r>
            <w:r>
              <w:rPr>
                <w:rFonts w:ascii="宋体" w:hAnsi="宋体" w:cs="宋体" w:eastAsia="宋体" w:hint="default"/>
                <w:sz w:val="18"/>
                <w:szCs w:val="18"/>
              </w:rPr>
              <w:t>号——财务报表 列报》等的相关规定，对可比期间的比较数据进行调整。</w:t>
            </w:r>
          </w:p>
        </w:tc>
        <w:tc>
          <w:tcPr>
            <w:tcW w:w="1559" w:type="dxa"/>
            <w:tcBorders>
              <w:top w:val="single" w:sz="6" w:space="0" w:color="000000"/>
              <w:left w:val="single" w:sz="6" w:space="0" w:color="000000"/>
              <w:bottom w:val="single" w:sz="6" w:space="0" w:color="000000"/>
              <w:right w:val="single" w:sz="6" w:space="0" w:color="000000"/>
            </w:tcBorders>
          </w:tcPr>
          <w:p>
            <w:pPr/>
          </w:p>
        </w:tc>
        <w:tc>
          <w:tcPr>
            <w:tcW w:w="20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56"/>
              <w:jc w:val="left"/>
              <w:rPr>
                <w:rFonts w:ascii="宋体" w:hAnsi="宋体" w:cs="宋体" w:eastAsia="宋体" w:hint="default"/>
                <w:sz w:val="18"/>
                <w:szCs w:val="18"/>
              </w:rPr>
            </w:pPr>
            <w:r>
              <w:rPr>
                <w:rFonts w:ascii="宋体" w:hAnsi="宋体" w:cs="宋体" w:eastAsia="宋体" w:hint="default"/>
                <w:sz w:val="18"/>
                <w:szCs w:val="18"/>
              </w:rPr>
              <w:t>主要影响项目及金额详见 注③</w:t>
            </w:r>
          </w:p>
        </w:tc>
      </w:tr>
    </w:tbl>
    <w:p>
      <w:pPr>
        <w:spacing w:line="240" w:lineRule="auto" w:before="12"/>
        <w:rPr>
          <w:rFonts w:ascii="宋体" w:hAnsi="宋体" w:cs="宋体" w:eastAsia="宋体" w:hint="default"/>
          <w:sz w:val="7"/>
          <w:szCs w:val="7"/>
        </w:rPr>
      </w:pPr>
    </w:p>
    <w:p>
      <w:pPr>
        <w:pStyle w:val="BodyText"/>
        <w:spacing w:line="240" w:lineRule="auto" w:before="35"/>
        <w:ind w:left="574" w:right="0"/>
        <w:jc w:val="left"/>
      </w:pPr>
      <w:r>
        <w:rPr/>
        <w:t>注①合并期初金额及上期发生数受上述政策变更的主要影响项目及金额如下：</w:t>
      </w:r>
    </w:p>
    <w:p>
      <w:pPr>
        <w:spacing w:line="240" w:lineRule="auto" w:before="6"/>
        <w:rPr>
          <w:rFonts w:ascii="宋体" w:hAnsi="宋体" w:cs="宋体" w:eastAsia="宋体" w:hint="default"/>
          <w:sz w:val="5"/>
          <w:szCs w:val="5"/>
        </w:rPr>
      </w:pPr>
    </w:p>
    <w:tbl>
      <w:tblPr>
        <w:tblW w:w="0" w:type="auto"/>
        <w:jc w:val="left"/>
        <w:tblInd w:w="254" w:type="dxa"/>
        <w:tblLayout w:type="fixed"/>
        <w:tblCellMar>
          <w:top w:w="0" w:type="dxa"/>
          <w:left w:w="0" w:type="dxa"/>
          <w:bottom w:w="0" w:type="dxa"/>
          <w:right w:w="0" w:type="dxa"/>
        </w:tblCellMar>
        <w:tblLook w:val="01E0"/>
      </w:tblPr>
      <w:tblGrid>
        <w:gridCol w:w="2727"/>
        <w:gridCol w:w="1701"/>
        <w:gridCol w:w="1452"/>
        <w:gridCol w:w="1842"/>
        <w:gridCol w:w="1630"/>
      </w:tblGrid>
      <w:tr>
        <w:trPr>
          <w:trHeight w:val="341" w:hRule="exact"/>
        </w:trPr>
        <w:tc>
          <w:tcPr>
            <w:tcW w:w="272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会计政策变更的主要内容</w:t>
            </w:r>
          </w:p>
        </w:tc>
        <w:tc>
          <w:tcPr>
            <w:tcW w:w="3153"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849" w:right="0"/>
              <w:jc w:val="left"/>
              <w:rPr>
                <w:rFonts w:ascii="宋体" w:hAnsi="宋体" w:cs="宋体" w:eastAsia="宋体" w:hint="default"/>
                <w:sz w:val="18"/>
                <w:szCs w:val="18"/>
              </w:rPr>
            </w:pPr>
            <w:r>
              <w:rPr>
                <w:rFonts w:ascii="宋体" w:hAnsi="宋体" w:cs="宋体" w:eastAsia="宋体" w:hint="default"/>
                <w:sz w:val="18"/>
                <w:szCs w:val="18"/>
              </w:rPr>
              <w:t>原报表项目及金额</w:t>
            </w:r>
          </w:p>
        </w:tc>
        <w:tc>
          <w:tcPr>
            <w:tcW w:w="347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1008" w:right="0"/>
              <w:jc w:val="left"/>
              <w:rPr>
                <w:rFonts w:ascii="宋体" w:hAnsi="宋体" w:cs="宋体" w:eastAsia="宋体" w:hint="default"/>
                <w:sz w:val="18"/>
                <w:szCs w:val="18"/>
              </w:rPr>
            </w:pPr>
            <w:r>
              <w:rPr>
                <w:rFonts w:ascii="宋体" w:hAnsi="宋体" w:cs="宋体" w:eastAsia="宋体" w:hint="default"/>
                <w:sz w:val="18"/>
                <w:szCs w:val="18"/>
              </w:rPr>
              <w:t>新报表项目及金额</w:t>
            </w:r>
          </w:p>
        </w:tc>
      </w:tr>
      <w:tr>
        <w:trPr>
          <w:trHeight w:val="347" w:hRule="exact"/>
        </w:trPr>
        <w:tc>
          <w:tcPr>
            <w:tcW w:w="2727" w:type="dxa"/>
            <w:vMerge/>
            <w:tcBorders>
              <w:left w:val="single" w:sz="6" w:space="0" w:color="000000"/>
              <w:bottom w:val="single" w:sz="6" w:space="0" w:color="000000"/>
              <w:right w:val="single" w:sz="6" w:space="0" w:color="000000"/>
            </w:tcBorders>
            <w:shd w:val="clear" w:color="auto" w:fill="D9D9D9"/>
          </w:tcPr>
          <w:p>
            <w:pPr/>
          </w:p>
        </w:tc>
        <w:tc>
          <w:tcPr>
            <w:tcW w:w="1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83"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4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553"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6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7" w:hRule="exact"/>
        </w:trPr>
        <w:tc>
          <w:tcPr>
            <w:tcW w:w="2727" w:type="dxa"/>
            <w:vMerge w:val="restart"/>
            <w:tcBorders>
              <w:top w:val="single" w:sz="6" w:space="0" w:color="000000"/>
              <w:left w:val="single" w:sz="6" w:space="0" w:color="000000"/>
              <w:right w:val="single" w:sz="6" w:space="0" w:color="000000"/>
            </w:tcBorders>
            <w:shd w:val="clear" w:color="auto" w:fill="D9D9D9"/>
          </w:tcPr>
          <w:p>
            <w:pPr>
              <w:pStyle w:val="TableParagraph"/>
              <w:spacing w:line="316" w:lineRule="auto" w:before="21"/>
              <w:ind w:left="2" w:right="3"/>
              <w:jc w:val="both"/>
              <w:rPr>
                <w:rFonts w:ascii="宋体" w:hAnsi="宋体" w:cs="宋体" w:eastAsia="宋体" w:hint="default"/>
                <w:sz w:val="18"/>
                <w:szCs w:val="18"/>
              </w:rPr>
            </w:pPr>
            <w:r>
              <w:rPr>
                <w:rFonts w:ascii="宋体" w:hAnsi="宋体" w:cs="宋体" w:eastAsia="宋体" w:hint="default"/>
                <w:sz w:val="18"/>
                <w:szCs w:val="18"/>
              </w:rPr>
              <w:t>“应收票据”及“应收账款”项目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归并至新增的“应收票据及应收账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款”项目</w:t>
            </w:r>
          </w:p>
        </w:tc>
        <w:tc>
          <w:tcPr>
            <w:tcW w:w="1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5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3,020,867.00</w:t>
            </w:r>
          </w:p>
        </w:tc>
        <w:tc>
          <w:tcPr>
            <w:tcW w:w="184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630" w:type="dxa"/>
            <w:vMerge w:val="restart"/>
            <w:tcBorders>
              <w:top w:val="single" w:sz="10"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51" w:right="0"/>
              <w:jc w:val="left"/>
              <w:rPr>
                <w:rFonts w:ascii="宋体" w:hAnsi="宋体" w:cs="宋体" w:eastAsia="宋体" w:hint="default"/>
                <w:sz w:val="18"/>
                <w:szCs w:val="18"/>
              </w:rPr>
            </w:pPr>
            <w:r>
              <w:rPr>
                <w:rFonts w:ascii="宋体"/>
                <w:sz w:val="18"/>
              </w:rPr>
              <w:t>673,900,095.28</w:t>
            </w:r>
          </w:p>
        </w:tc>
      </w:tr>
      <w:tr>
        <w:trPr>
          <w:trHeight w:val="625" w:hRule="exact"/>
        </w:trPr>
        <w:tc>
          <w:tcPr>
            <w:tcW w:w="2727" w:type="dxa"/>
            <w:vMerge/>
            <w:tcBorders>
              <w:left w:val="single" w:sz="6" w:space="0" w:color="000000"/>
              <w:bottom w:val="single" w:sz="6" w:space="0" w:color="000000"/>
              <w:right w:val="single" w:sz="6" w:space="0" w:color="000000"/>
            </w:tcBorders>
            <w:shd w:val="clear" w:color="auto" w:fill="D9D9D9"/>
          </w:tcPr>
          <w:p>
            <w:pPr/>
          </w:p>
        </w:tc>
        <w:tc>
          <w:tcPr>
            <w:tcW w:w="1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9"/>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52"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159"/>
              <w:ind w:right="0"/>
              <w:jc w:val="right"/>
              <w:rPr>
                <w:rFonts w:ascii="宋体" w:hAnsi="宋体" w:cs="宋体" w:eastAsia="宋体" w:hint="default"/>
                <w:sz w:val="18"/>
                <w:szCs w:val="18"/>
              </w:rPr>
            </w:pPr>
            <w:r>
              <w:rPr>
                <w:rFonts w:ascii="宋体"/>
                <w:sz w:val="18"/>
              </w:rPr>
              <w:t>670,879,228.28</w:t>
            </w:r>
          </w:p>
        </w:tc>
        <w:tc>
          <w:tcPr>
            <w:tcW w:w="1842" w:type="dxa"/>
            <w:vMerge/>
            <w:tcBorders>
              <w:left w:val="single" w:sz="6" w:space="0" w:color="000000"/>
              <w:bottom w:val="single" w:sz="6" w:space="0" w:color="000000"/>
              <w:right w:val="single" w:sz="6" w:space="0" w:color="000000"/>
            </w:tcBorders>
            <w:shd w:val="clear" w:color="auto" w:fill="D9D9D9"/>
          </w:tcPr>
          <w:p>
            <w:pPr/>
          </w:p>
        </w:tc>
        <w:tc>
          <w:tcPr>
            <w:tcW w:w="1630" w:type="dxa"/>
            <w:vMerge/>
            <w:tcBorders>
              <w:left w:val="single" w:sz="6" w:space="0" w:color="000000"/>
              <w:bottom w:val="single" w:sz="6" w:space="0" w:color="000000"/>
              <w:right w:val="single" w:sz="6" w:space="0" w:color="000000"/>
            </w:tcBorders>
          </w:tcPr>
          <w:p>
            <w:pPr/>
          </w:p>
        </w:tc>
      </w:tr>
      <w:tr>
        <w:trPr>
          <w:trHeight w:val="346" w:hRule="exact"/>
        </w:trPr>
        <w:tc>
          <w:tcPr>
            <w:tcW w:w="272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sz w:val="16"/>
                <w:szCs w:val="16"/>
              </w:rPr>
            </w:pPr>
          </w:p>
          <w:p>
            <w:pPr>
              <w:pStyle w:val="TableParagraph"/>
              <w:spacing w:line="316" w:lineRule="auto"/>
              <w:ind w:left="2" w:right="3"/>
              <w:jc w:val="left"/>
              <w:rPr>
                <w:rFonts w:ascii="宋体" w:hAnsi="宋体" w:cs="宋体" w:eastAsia="宋体" w:hint="default"/>
                <w:sz w:val="18"/>
                <w:szCs w:val="18"/>
              </w:rPr>
            </w:pPr>
            <w:r>
              <w:rPr>
                <w:rFonts w:ascii="宋体" w:hAnsi="宋体" w:cs="宋体" w:eastAsia="宋体" w:hint="default"/>
                <w:sz w:val="18"/>
                <w:szCs w:val="18"/>
              </w:rPr>
              <w:t>“应收利息”及“应收股利”项目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归并至“其他应收款”项目</w:t>
            </w:r>
          </w:p>
        </w:tc>
        <w:tc>
          <w:tcPr>
            <w:tcW w:w="1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749,589.04</w:t>
            </w:r>
          </w:p>
        </w:tc>
        <w:tc>
          <w:tcPr>
            <w:tcW w:w="184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3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51" w:right="0"/>
              <w:jc w:val="left"/>
              <w:rPr>
                <w:rFonts w:ascii="宋体" w:hAnsi="宋体" w:cs="宋体" w:eastAsia="宋体" w:hint="default"/>
                <w:sz w:val="18"/>
                <w:szCs w:val="18"/>
              </w:rPr>
            </w:pPr>
            <w:r>
              <w:rPr>
                <w:rFonts w:ascii="宋体"/>
                <w:sz w:val="18"/>
              </w:rPr>
              <w:t>360,517,663.81</w:t>
            </w:r>
          </w:p>
        </w:tc>
      </w:tr>
      <w:tr>
        <w:trPr>
          <w:trHeight w:val="347" w:hRule="exact"/>
        </w:trPr>
        <w:tc>
          <w:tcPr>
            <w:tcW w:w="2727" w:type="dxa"/>
            <w:vMerge/>
            <w:tcBorders>
              <w:left w:val="single" w:sz="6" w:space="0" w:color="000000"/>
              <w:right w:val="single" w:sz="6" w:space="0" w:color="000000"/>
            </w:tcBorders>
            <w:shd w:val="clear" w:color="auto" w:fill="D9D9D9"/>
          </w:tcPr>
          <w:p>
            <w:pPr/>
          </w:p>
        </w:tc>
        <w:tc>
          <w:tcPr>
            <w:tcW w:w="1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452"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79,995,000.00</w:t>
            </w:r>
          </w:p>
        </w:tc>
        <w:tc>
          <w:tcPr>
            <w:tcW w:w="1842" w:type="dxa"/>
            <w:vMerge/>
            <w:tcBorders>
              <w:left w:val="single" w:sz="6" w:space="0" w:color="000000"/>
              <w:right w:val="single" w:sz="6" w:space="0" w:color="000000"/>
            </w:tcBorders>
            <w:shd w:val="clear" w:color="auto" w:fill="D9D9D9"/>
          </w:tcPr>
          <w:p>
            <w:pPr/>
          </w:p>
        </w:tc>
        <w:tc>
          <w:tcPr>
            <w:tcW w:w="1630" w:type="dxa"/>
            <w:vMerge/>
            <w:tcBorders>
              <w:left w:val="single" w:sz="6" w:space="0" w:color="000000"/>
              <w:right w:val="single" w:sz="6" w:space="0" w:color="000000"/>
            </w:tcBorders>
          </w:tcPr>
          <w:p>
            <w:pPr/>
          </w:p>
        </w:tc>
      </w:tr>
      <w:tr>
        <w:trPr>
          <w:trHeight w:val="347" w:hRule="exact"/>
        </w:trPr>
        <w:tc>
          <w:tcPr>
            <w:tcW w:w="2727" w:type="dxa"/>
            <w:vMerge/>
            <w:tcBorders>
              <w:left w:val="single" w:sz="6" w:space="0" w:color="000000"/>
              <w:bottom w:val="single" w:sz="6" w:space="0" w:color="000000"/>
              <w:right w:val="single" w:sz="6" w:space="0" w:color="000000"/>
            </w:tcBorders>
            <w:shd w:val="clear" w:color="auto" w:fill="D9D9D9"/>
          </w:tcPr>
          <w:p>
            <w:pPr/>
          </w:p>
        </w:tc>
        <w:tc>
          <w:tcPr>
            <w:tcW w:w="1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279,773,074.77</w:t>
            </w:r>
          </w:p>
        </w:tc>
        <w:tc>
          <w:tcPr>
            <w:tcW w:w="1842" w:type="dxa"/>
            <w:vMerge/>
            <w:tcBorders>
              <w:left w:val="single" w:sz="6" w:space="0" w:color="000000"/>
              <w:bottom w:val="single" w:sz="6" w:space="0" w:color="000000"/>
              <w:right w:val="single" w:sz="6" w:space="0" w:color="000000"/>
            </w:tcBorders>
            <w:shd w:val="clear" w:color="auto" w:fill="D9D9D9"/>
          </w:tcPr>
          <w:p>
            <w:pPr/>
          </w:p>
        </w:tc>
        <w:tc>
          <w:tcPr>
            <w:tcW w:w="1630" w:type="dxa"/>
            <w:vMerge/>
            <w:tcBorders>
              <w:left w:val="single" w:sz="6" w:space="0" w:color="000000"/>
              <w:bottom w:val="single" w:sz="6" w:space="0" w:color="000000"/>
              <w:right w:val="single" w:sz="6" w:space="0" w:color="000000"/>
            </w:tcBorders>
          </w:tcPr>
          <w:p>
            <w:pPr/>
          </w:p>
        </w:tc>
      </w:tr>
      <w:tr>
        <w:trPr>
          <w:trHeight w:val="347" w:hRule="exact"/>
        </w:trPr>
        <w:tc>
          <w:tcPr>
            <w:tcW w:w="2727" w:type="dxa"/>
            <w:vMerge w:val="restart"/>
            <w:tcBorders>
              <w:top w:val="single" w:sz="6" w:space="0" w:color="000000"/>
              <w:left w:val="single" w:sz="6" w:space="0" w:color="000000"/>
              <w:right w:val="single" w:sz="6" w:space="0" w:color="000000"/>
            </w:tcBorders>
            <w:shd w:val="clear" w:color="auto" w:fill="D9D9D9"/>
          </w:tcPr>
          <w:p>
            <w:pPr>
              <w:pStyle w:val="TableParagraph"/>
              <w:spacing w:line="316" w:lineRule="auto" w:before="20"/>
              <w:ind w:left="2" w:right="3"/>
              <w:jc w:val="both"/>
              <w:rPr>
                <w:rFonts w:ascii="宋体" w:hAnsi="宋体" w:cs="宋体" w:eastAsia="宋体" w:hint="default"/>
                <w:sz w:val="18"/>
                <w:szCs w:val="18"/>
              </w:rPr>
            </w:pPr>
            <w:r>
              <w:rPr>
                <w:rFonts w:ascii="宋体" w:hAnsi="宋体" w:cs="宋体" w:eastAsia="宋体" w:hint="default"/>
                <w:sz w:val="18"/>
                <w:szCs w:val="18"/>
              </w:rPr>
              <w:t>“应付票据”及“应付账款”项目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归并至新增的“应付票据及应付账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款”项目</w:t>
            </w:r>
          </w:p>
        </w:tc>
        <w:tc>
          <w:tcPr>
            <w:tcW w:w="1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8,261,438.29</w:t>
            </w:r>
          </w:p>
        </w:tc>
        <w:tc>
          <w:tcPr>
            <w:tcW w:w="184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630"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51" w:right="0"/>
              <w:jc w:val="left"/>
              <w:rPr>
                <w:rFonts w:ascii="宋体" w:hAnsi="宋体" w:cs="宋体" w:eastAsia="宋体" w:hint="default"/>
                <w:sz w:val="18"/>
                <w:szCs w:val="18"/>
              </w:rPr>
            </w:pPr>
            <w:r>
              <w:rPr>
                <w:rFonts w:ascii="宋体"/>
                <w:sz w:val="18"/>
              </w:rPr>
              <w:t>309,569,468.78</w:t>
            </w:r>
          </w:p>
        </w:tc>
      </w:tr>
      <w:tr>
        <w:trPr>
          <w:trHeight w:val="624" w:hRule="exact"/>
        </w:trPr>
        <w:tc>
          <w:tcPr>
            <w:tcW w:w="2727" w:type="dxa"/>
            <w:vMerge/>
            <w:tcBorders>
              <w:left w:val="single" w:sz="6" w:space="0" w:color="000000"/>
              <w:bottom w:val="single" w:sz="6" w:space="0" w:color="000000"/>
              <w:right w:val="single" w:sz="6" w:space="0" w:color="000000"/>
            </w:tcBorders>
            <w:shd w:val="clear" w:color="auto" w:fill="D9D9D9"/>
          </w:tcPr>
          <w:p>
            <w:pPr/>
          </w:p>
        </w:tc>
        <w:tc>
          <w:tcPr>
            <w:tcW w:w="1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9"/>
              <w:ind w:left="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52"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159"/>
              <w:ind w:right="0"/>
              <w:jc w:val="right"/>
              <w:rPr>
                <w:rFonts w:ascii="宋体" w:hAnsi="宋体" w:cs="宋体" w:eastAsia="宋体" w:hint="default"/>
                <w:sz w:val="18"/>
                <w:szCs w:val="18"/>
              </w:rPr>
            </w:pPr>
            <w:r>
              <w:rPr>
                <w:rFonts w:ascii="宋体"/>
                <w:sz w:val="18"/>
              </w:rPr>
              <w:t>301,308,030.49</w:t>
            </w:r>
          </w:p>
        </w:tc>
        <w:tc>
          <w:tcPr>
            <w:tcW w:w="1842" w:type="dxa"/>
            <w:vMerge/>
            <w:tcBorders>
              <w:left w:val="single" w:sz="6" w:space="0" w:color="000000"/>
              <w:bottom w:val="single" w:sz="6" w:space="0" w:color="000000"/>
              <w:right w:val="single" w:sz="6" w:space="0" w:color="000000"/>
            </w:tcBorders>
            <w:shd w:val="clear" w:color="auto" w:fill="D9D9D9"/>
          </w:tcPr>
          <w:p>
            <w:pPr/>
          </w:p>
        </w:tc>
        <w:tc>
          <w:tcPr>
            <w:tcW w:w="1630" w:type="dxa"/>
            <w:vMerge/>
            <w:tcBorders>
              <w:left w:val="single" w:sz="6" w:space="0" w:color="000000"/>
              <w:bottom w:val="single" w:sz="6" w:space="0" w:color="000000"/>
              <w:right w:val="single" w:sz="6" w:space="0" w:color="000000"/>
            </w:tcBorders>
          </w:tcPr>
          <w:p>
            <w:pPr/>
          </w:p>
        </w:tc>
      </w:tr>
      <w:tr>
        <w:trPr>
          <w:trHeight w:val="347" w:hRule="exact"/>
        </w:trPr>
        <w:tc>
          <w:tcPr>
            <w:tcW w:w="272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 w:right="3"/>
              <w:jc w:val="left"/>
              <w:rPr>
                <w:rFonts w:ascii="宋体" w:hAnsi="宋体" w:cs="宋体" w:eastAsia="宋体" w:hint="default"/>
                <w:sz w:val="18"/>
                <w:szCs w:val="18"/>
              </w:rPr>
            </w:pPr>
            <w:r>
              <w:rPr>
                <w:rFonts w:ascii="宋体" w:hAnsi="宋体" w:cs="宋体" w:eastAsia="宋体" w:hint="default"/>
                <w:sz w:val="18"/>
                <w:szCs w:val="18"/>
              </w:rPr>
              <w:t>“应付利息”及“应付股利”项目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归并至“其他应付款”项目</w:t>
            </w:r>
          </w:p>
        </w:tc>
        <w:tc>
          <w:tcPr>
            <w:tcW w:w="1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54,656,348.43</w:t>
            </w:r>
          </w:p>
        </w:tc>
        <w:tc>
          <w:tcPr>
            <w:tcW w:w="184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3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351" w:right="0"/>
              <w:jc w:val="left"/>
              <w:rPr>
                <w:rFonts w:ascii="宋体" w:hAnsi="宋体" w:cs="宋体" w:eastAsia="宋体" w:hint="default"/>
                <w:sz w:val="18"/>
                <w:szCs w:val="18"/>
              </w:rPr>
            </w:pPr>
            <w:r>
              <w:rPr>
                <w:rFonts w:ascii="宋体"/>
                <w:sz w:val="18"/>
              </w:rPr>
              <w:t>243,377,898.59</w:t>
            </w:r>
          </w:p>
        </w:tc>
      </w:tr>
      <w:tr>
        <w:trPr>
          <w:trHeight w:val="347" w:hRule="exact"/>
        </w:trPr>
        <w:tc>
          <w:tcPr>
            <w:tcW w:w="2727" w:type="dxa"/>
            <w:vMerge/>
            <w:tcBorders>
              <w:left w:val="single" w:sz="6" w:space="0" w:color="000000"/>
              <w:right w:val="single" w:sz="6" w:space="0" w:color="000000"/>
            </w:tcBorders>
            <w:shd w:val="clear" w:color="auto" w:fill="D9D9D9"/>
          </w:tcPr>
          <w:p>
            <w:pPr/>
          </w:p>
        </w:tc>
        <w:tc>
          <w:tcPr>
            <w:tcW w:w="1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452"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22,414,602.62</w:t>
            </w:r>
          </w:p>
        </w:tc>
        <w:tc>
          <w:tcPr>
            <w:tcW w:w="1842" w:type="dxa"/>
            <w:vMerge/>
            <w:tcBorders>
              <w:left w:val="single" w:sz="6" w:space="0" w:color="000000"/>
              <w:right w:val="single" w:sz="6" w:space="0" w:color="000000"/>
            </w:tcBorders>
            <w:shd w:val="clear" w:color="auto" w:fill="D9D9D9"/>
          </w:tcPr>
          <w:p>
            <w:pPr/>
          </w:p>
        </w:tc>
        <w:tc>
          <w:tcPr>
            <w:tcW w:w="1630" w:type="dxa"/>
            <w:vMerge/>
            <w:tcBorders>
              <w:left w:val="single" w:sz="6" w:space="0" w:color="000000"/>
              <w:right w:val="single" w:sz="6" w:space="0" w:color="000000"/>
            </w:tcBorders>
          </w:tcPr>
          <w:p>
            <w:pPr/>
          </w:p>
        </w:tc>
      </w:tr>
      <w:tr>
        <w:trPr>
          <w:trHeight w:val="356" w:hRule="exact"/>
        </w:trPr>
        <w:tc>
          <w:tcPr>
            <w:tcW w:w="2727" w:type="dxa"/>
            <w:vMerge/>
            <w:tcBorders>
              <w:left w:val="single" w:sz="6" w:space="0" w:color="000000"/>
              <w:bottom w:val="single" w:sz="6" w:space="0" w:color="000000"/>
              <w:right w:val="single" w:sz="6" w:space="0" w:color="000000"/>
            </w:tcBorders>
            <w:shd w:val="clear" w:color="auto" w:fill="D9D9D9"/>
          </w:tcPr>
          <w:p>
            <w:pPr/>
          </w:p>
        </w:tc>
        <w:tc>
          <w:tcPr>
            <w:tcW w:w="1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166,306,947.54</w:t>
            </w:r>
          </w:p>
        </w:tc>
        <w:tc>
          <w:tcPr>
            <w:tcW w:w="1842" w:type="dxa"/>
            <w:vMerge/>
            <w:tcBorders>
              <w:left w:val="single" w:sz="6" w:space="0" w:color="000000"/>
              <w:bottom w:val="single" w:sz="6" w:space="0" w:color="000000"/>
              <w:right w:val="single" w:sz="6" w:space="0" w:color="000000"/>
            </w:tcBorders>
            <w:shd w:val="clear" w:color="auto" w:fill="D9D9D9"/>
          </w:tcPr>
          <w:p>
            <w:pPr/>
          </w:p>
        </w:tc>
        <w:tc>
          <w:tcPr>
            <w:tcW w:w="1630" w:type="dxa"/>
            <w:vMerge/>
            <w:tcBorders>
              <w:left w:val="single" w:sz="6" w:space="0" w:color="000000"/>
              <w:bottom w:val="single" w:sz="6" w:space="0" w:color="000000"/>
              <w:right w:val="single" w:sz="6" w:space="0" w:color="000000"/>
            </w:tcBorders>
          </w:tcPr>
          <w:p>
            <w:pPr/>
          </w:p>
        </w:tc>
      </w:tr>
      <w:tr>
        <w:trPr>
          <w:trHeight w:val="338" w:hRule="exact"/>
        </w:trPr>
        <w:tc>
          <w:tcPr>
            <w:tcW w:w="2727" w:type="dxa"/>
            <w:vMerge w:val="restart"/>
            <w:tcBorders>
              <w:top w:val="single" w:sz="6" w:space="0" w:color="000000"/>
              <w:left w:val="single" w:sz="6" w:space="0" w:color="000000"/>
              <w:right w:val="single" w:sz="6" w:space="0" w:color="000000"/>
            </w:tcBorders>
            <w:shd w:val="clear" w:color="auto" w:fill="D9D9D9"/>
          </w:tcPr>
          <w:p>
            <w:pPr>
              <w:pStyle w:val="TableParagraph"/>
              <w:spacing w:line="316" w:lineRule="auto" w:before="30"/>
              <w:ind w:left="2" w:right="3"/>
              <w:jc w:val="left"/>
              <w:rPr>
                <w:rFonts w:ascii="宋体" w:hAnsi="宋体" w:cs="宋体" w:eastAsia="宋体" w:hint="default"/>
                <w:sz w:val="18"/>
                <w:szCs w:val="18"/>
              </w:rPr>
            </w:pPr>
            <w:r>
              <w:rPr>
                <w:rFonts w:ascii="宋体" w:hAnsi="宋体" w:cs="宋体" w:eastAsia="宋体" w:hint="default"/>
                <w:sz w:val="18"/>
                <w:szCs w:val="18"/>
              </w:rPr>
              <w:t>新增“研发费用”项目，从“管理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费用”项目中分拆“研发费用”项</w:t>
            </w:r>
          </w:p>
        </w:tc>
        <w:tc>
          <w:tcPr>
            <w:tcW w:w="170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52" w:type="dxa"/>
            <w:vMerge w:val="restart"/>
            <w:tcBorders>
              <w:top w:val="single" w:sz="6" w:space="0" w:color="000000"/>
              <w:left w:val="single" w:sz="6" w:space="0" w:color="000000"/>
              <w:right w:val="single" w:sz="7"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73" w:right="0"/>
              <w:jc w:val="left"/>
              <w:rPr>
                <w:rFonts w:ascii="宋体" w:hAnsi="宋体" w:cs="宋体" w:eastAsia="宋体" w:hint="default"/>
                <w:sz w:val="18"/>
                <w:szCs w:val="18"/>
              </w:rPr>
            </w:pPr>
            <w:r>
              <w:rPr>
                <w:rFonts w:ascii="宋体"/>
                <w:sz w:val="18"/>
              </w:rPr>
              <w:t>377,563,547.06</w:t>
            </w:r>
          </w:p>
        </w:tc>
        <w:tc>
          <w:tcPr>
            <w:tcW w:w="18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right"/>
              <w:rPr>
                <w:rFonts w:ascii="宋体" w:hAnsi="宋体" w:cs="宋体" w:eastAsia="宋体" w:hint="default"/>
                <w:sz w:val="18"/>
                <w:szCs w:val="18"/>
              </w:rPr>
            </w:pPr>
            <w:r>
              <w:rPr>
                <w:rFonts w:ascii="宋体"/>
                <w:sz w:val="18"/>
              </w:rPr>
              <w:t>361,991,369.76</w:t>
            </w:r>
          </w:p>
        </w:tc>
      </w:tr>
      <w:tr>
        <w:trPr>
          <w:trHeight w:val="342" w:hRule="exact"/>
        </w:trPr>
        <w:tc>
          <w:tcPr>
            <w:tcW w:w="2727" w:type="dxa"/>
            <w:vMerge/>
            <w:tcBorders>
              <w:left w:val="single" w:sz="6" w:space="0" w:color="000000"/>
              <w:bottom w:val="single" w:sz="12" w:space="0" w:color="000000"/>
              <w:right w:val="single" w:sz="6" w:space="0" w:color="000000"/>
            </w:tcBorders>
            <w:shd w:val="clear" w:color="auto" w:fill="D9D9D9"/>
          </w:tcPr>
          <w:p>
            <w:pPr/>
          </w:p>
        </w:tc>
        <w:tc>
          <w:tcPr>
            <w:tcW w:w="1701" w:type="dxa"/>
            <w:vMerge/>
            <w:tcBorders>
              <w:left w:val="single" w:sz="6" w:space="0" w:color="000000"/>
              <w:bottom w:val="single" w:sz="12" w:space="0" w:color="000000"/>
              <w:right w:val="single" w:sz="6" w:space="0" w:color="000000"/>
            </w:tcBorders>
            <w:shd w:val="clear" w:color="auto" w:fill="D9D9D9"/>
          </w:tcPr>
          <w:p>
            <w:pPr/>
          </w:p>
        </w:tc>
        <w:tc>
          <w:tcPr>
            <w:tcW w:w="1452" w:type="dxa"/>
            <w:vMerge/>
            <w:tcBorders>
              <w:left w:val="single" w:sz="6" w:space="0" w:color="000000"/>
              <w:bottom w:val="single" w:sz="12" w:space="0" w:color="000000"/>
              <w:right w:val="single" w:sz="7" w:space="0" w:color="000000"/>
            </w:tcBorders>
          </w:tcPr>
          <w:p>
            <w:pPr/>
          </w:p>
        </w:tc>
        <w:tc>
          <w:tcPr>
            <w:tcW w:w="1842"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15,572,177.30</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4"/>
          <w:szCs w:val="24"/>
        </w:rPr>
      </w:pPr>
    </w:p>
    <w:tbl>
      <w:tblPr>
        <w:tblW w:w="0" w:type="auto"/>
        <w:jc w:val="left"/>
        <w:tblInd w:w="256" w:type="dxa"/>
        <w:tblLayout w:type="fixed"/>
        <w:tblCellMar>
          <w:top w:w="0" w:type="dxa"/>
          <w:left w:w="0" w:type="dxa"/>
          <w:bottom w:w="0" w:type="dxa"/>
          <w:right w:w="0" w:type="dxa"/>
        </w:tblCellMar>
        <w:tblLook w:val="01E0"/>
      </w:tblPr>
      <w:tblGrid>
        <w:gridCol w:w="2725"/>
        <w:gridCol w:w="1703"/>
        <w:gridCol w:w="1452"/>
        <w:gridCol w:w="1842"/>
        <w:gridCol w:w="1630"/>
      </w:tblGrid>
      <w:tr>
        <w:trPr>
          <w:trHeight w:val="341" w:hRule="exact"/>
        </w:trPr>
        <w:tc>
          <w:tcPr>
            <w:tcW w:w="27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703"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452"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63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725" w:type="dxa"/>
            <w:vMerge w:val="restart"/>
            <w:tcBorders>
              <w:top w:val="single" w:sz="6" w:space="0" w:color="000000"/>
              <w:left w:val="single" w:sz="6" w:space="0" w:color="000000"/>
              <w:right w:val="single" w:sz="6" w:space="0" w:color="000000"/>
            </w:tcBorders>
            <w:shd w:val="clear" w:color="auto" w:fill="D9D9D9"/>
          </w:tcPr>
          <w:p>
            <w:pPr>
              <w:pStyle w:val="TableParagraph"/>
              <w:spacing w:line="319" w:lineRule="auto" w:before="21"/>
              <w:ind w:left="1" w:right="-13"/>
              <w:jc w:val="both"/>
              <w:rPr>
                <w:rFonts w:ascii="宋体" w:hAnsi="宋体" w:cs="宋体" w:eastAsia="宋体" w:hint="default"/>
                <w:sz w:val="18"/>
                <w:szCs w:val="18"/>
              </w:rPr>
            </w:pPr>
            <w:r>
              <w:rPr>
                <w:rFonts w:ascii="宋体" w:hAnsi="宋体" w:cs="宋体" w:eastAsia="宋体" w:hint="default"/>
                <w:sz w:val="18"/>
                <w:szCs w:val="18"/>
              </w:rPr>
              <w:t>新增“其中：利息费用”和“利息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收入”项目，在“财务费用”项目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下增加“利息费用”和“利息收</w:t>
            </w:r>
            <w:r>
              <w:rPr>
                <w:rFonts w:ascii="宋体" w:hAnsi="宋体" w:cs="宋体" w:eastAsia="宋体" w:hint="default"/>
                <w:spacing w:val="14"/>
                <w:sz w:val="18"/>
                <w:szCs w:val="18"/>
              </w:rPr>
              <w:t> </w:t>
            </w:r>
            <w:r>
              <w:rPr>
                <w:rFonts w:ascii="宋体" w:hAnsi="宋体" w:cs="宋体" w:eastAsia="宋体" w:hint="default"/>
                <w:sz w:val="18"/>
                <w:szCs w:val="18"/>
              </w:rPr>
              <w:t>入”明细项目</w:t>
            </w:r>
          </w:p>
        </w:tc>
        <w:tc>
          <w:tcPr>
            <w:tcW w:w="31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8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161,964,477.77</w:t>
            </w:r>
          </w:p>
        </w:tc>
      </w:tr>
      <w:tr>
        <w:trPr>
          <w:trHeight w:val="944" w:hRule="exact"/>
        </w:trPr>
        <w:tc>
          <w:tcPr>
            <w:tcW w:w="2725" w:type="dxa"/>
            <w:vMerge/>
            <w:tcBorders>
              <w:left w:val="single" w:sz="6" w:space="0" w:color="000000"/>
              <w:bottom w:val="single" w:sz="12" w:space="0" w:color="000000"/>
              <w:right w:val="single" w:sz="6" w:space="0" w:color="000000"/>
            </w:tcBorders>
            <w:shd w:val="clear" w:color="auto" w:fill="D9D9D9"/>
          </w:tcPr>
          <w:p>
            <w:pPr/>
          </w:p>
        </w:tc>
        <w:tc>
          <w:tcPr>
            <w:tcW w:w="3155"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842"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6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
              <w:jc w:val="right"/>
              <w:rPr>
                <w:rFonts w:ascii="宋体" w:hAnsi="宋体" w:cs="宋体" w:eastAsia="宋体" w:hint="default"/>
                <w:sz w:val="18"/>
                <w:szCs w:val="18"/>
              </w:rPr>
            </w:pPr>
            <w:r>
              <w:rPr>
                <w:rFonts w:ascii="宋体"/>
                <w:sz w:val="18"/>
              </w:rPr>
              <w:t>64,426,572.47</w:t>
            </w:r>
          </w:p>
        </w:tc>
      </w:tr>
    </w:tbl>
    <w:p>
      <w:pPr>
        <w:spacing w:line="240" w:lineRule="auto" w:before="12"/>
        <w:rPr>
          <w:rFonts w:ascii="宋体" w:hAnsi="宋体" w:cs="宋体" w:eastAsia="宋体" w:hint="default"/>
          <w:sz w:val="7"/>
          <w:szCs w:val="7"/>
        </w:rPr>
      </w:pPr>
    </w:p>
    <w:p>
      <w:pPr>
        <w:pStyle w:val="BodyText"/>
        <w:spacing w:line="240" w:lineRule="auto" w:before="35"/>
        <w:ind w:left="574" w:right="0"/>
        <w:jc w:val="left"/>
      </w:pPr>
      <w:r>
        <w:rPr/>
        <w:t>注②母公司期初金额及上期发生数受上述政策变更的主要影响项目及金额如下：</w:t>
      </w:r>
    </w:p>
    <w:p>
      <w:pPr>
        <w:spacing w:line="240" w:lineRule="auto" w:before="6"/>
        <w:rPr>
          <w:rFonts w:ascii="宋体" w:hAnsi="宋体" w:cs="宋体" w:eastAsia="宋体" w:hint="default"/>
          <w:sz w:val="5"/>
          <w:szCs w:val="5"/>
        </w:rPr>
      </w:pPr>
    </w:p>
    <w:tbl>
      <w:tblPr>
        <w:tblW w:w="0" w:type="auto"/>
        <w:jc w:val="left"/>
        <w:tblInd w:w="254" w:type="dxa"/>
        <w:tblLayout w:type="fixed"/>
        <w:tblCellMar>
          <w:top w:w="0" w:type="dxa"/>
          <w:left w:w="0" w:type="dxa"/>
          <w:bottom w:w="0" w:type="dxa"/>
          <w:right w:w="0" w:type="dxa"/>
        </w:tblCellMar>
        <w:tblLook w:val="01E0"/>
      </w:tblPr>
      <w:tblGrid>
        <w:gridCol w:w="2727"/>
        <w:gridCol w:w="1701"/>
        <w:gridCol w:w="1420"/>
        <w:gridCol w:w="1842"/>
        <w:gridCol w:w="1700"/>
      </w:tblGrid>
      <w:tr>
        <w:trPr>
          <w:trHeight w:val="341" w:hRule="exact"/>
        </w:trPr>
        <w:tc>
          <w:tcPr>
            <w:tcW w:w="272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会计政策变更的主要内容</w:t>
            </w:r>
          </w:p>
        </w:tc>
        <w:tc>
          <w:tcPr>
            <w:tcW w:w="312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832" w:right="0"/>
              <w:jc w:val="left"/>
              <w:rPr>
                <w:rFonts w:ascii="宋体" w:hAnsi="宋体" w:cs="宋体" w:eastAsia="宋体" w:hint="default"/>
                <w:sz w:val="18"/>
                <w:szCs w:val="18"/>
              </w:rPr>
            </w:pPr>
            <w:r>
              <w:rPr>
                <w:rFonts w:ascii="宋体" w:hAnsi="宋体" w:cs="宋体" w:eastAsia="宋体" w:hint="default"/>
                <w:sz w:val="18"/>
                <w:szCs w:val="18"/>
              </w:rPr>
              <w:t>原报表项目及金额</w:t>
            </w:r>
          </w:p>
        </w:tc>
        <w:tc>
          <w:tcPr>
            <w:tcW w:w="3543"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043" w:right="0"/>
              <w:jc w:val="left"/>
              <w:rPr>
                <w:rFonts w:ascii="宋体" w:hAnsi="宋体" w:cs="宋体" w:eastAsia="宋体" w:hint="default"/>
                <w:sz w:val="18"/>
                <w:szCs w:val="18"/>
              </w:rPr>
            </w:pPr>
            <w:r>
              <w:rPr>
                <w:rFonts w:ascii="宋体" w:hAnsi="宋体" w:cs="宋体" w:eastAsia="宋体" w:hint="default"/>
                <w:sz w:val="18"/>
                <w:szCs w:val="18"/>
              </w:rPr>
              <w:t>新报表项目及金额</w:t>
            </w:r>
          </w:p>
        </w:tc>
      </w:tr>
      <w:tr>
        <w:trPr>
          <w:trHeight w:val="348" w:hRule="exact"/>
        </w:trPr>
        <w:tc>
          <w:tcPr>
            <w:tcW w:w="2727" w:type="dxa"/>
            <w:vMerge/>
            <w:tcBorders>
              <w:left w:val="single" w:sz="6" w:space="0" w:color="000000"/>
              <w:bottom w:val="single" w:sz="6" w:space="0" w:color="000000"/>
              <w:right w:val="single" w:sz="6" w:space="0" w:color="000000"/>
            </w:tcBorders>
            <w:shd w:val="clear" w:color="auto" w:fill="D9D9D9"/>
          </w:tcPr>
          <w:p>
            <w:pPr/>
          </w:p>
        </w:tc>
        <w:tc>
          <w:tcPr>
            <w:tcW w:w="1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83"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4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8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552"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7" w:hRule="exact"/>
        </w:trPr>
        <w:tc>
          <w:tcPr>
            <w:tcW w:w="2727" w:type="dxa"/>
            <w:vMerge w:val="restart"/>
            <w:tcBorders>
              <w:top w:val="single" w:sz="6" w:space="0" w:color="000000"/>
              <w:left w:val="single" w:sz="6" w:space="0" w:color="000000"/>
              <w:right w:val="single" w:sz="6" w:space="0" w:color="000000"/>
            </w:tcBorders>
            <w:shd w:val="clear" w:color="auto" w:fill="D9D9D9"/>
          </w:tcPr>
          <w:p>
            <w:pPr>
              <w:pStyle w:val="TableParagraph"/>
              <w:spacing w:line="316" w:lineRule="auto" w:before="20"/>
              <w:ind w:left="276" w:right="4" w:hanging="270"/>
              <w:jc w:val="left"/>
              <w:rPr>
                <w:rFonts w:ascii="宋体" w:hAnsi="宋体" w:cs="宋体" w:eastAsia="宋体" w:hint="default"/>
                <w:sz w:val="18"/>
                <w:szCs w:val="18"/>
              </w:rPr>
            </w:pPr>
            <w:r>
              <w:rPr>
                <w:rFonts w:ascii="宋体" w:hAnsi="宋体" w:cs="宋体" w:eastAsia="宋体" w:hint="default"/>
                <w:sz w:val="18"/>
                <w:szCs w:val="18"/>
              </w:rPr>
              <w:t>“应收利息”及“应收股利”项目 归并至“其他应收款”项目</w:t>
            </w:r>
          </w:p>
        </w:tc>
        <w:tc>
          <w:tcPr>
            <w:tcW w:w="1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2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4"/>
              <w:ind w:right="2"/>
              <w:jc w:val="right"/>
              <w:rPr>
                <w:rFonts w:ascii="宋体" w:hAnsi="宋体" w:cs="宋体" w:eastAsia="宋体" w:hint="default"/>
                <w:sz w:val="18"/>
                <w:szCs w:val="18"/>
              </w:rPr>
            </w:pPr>
            <w:r>
              <w:rPr>
                <w:rFonts w:ascii="宋体"/>
                <w:sz w:val="18"/>
              </w:rPr>
              <w:t>11,556,954.92</w:t>
            </w:r>
          </w:p>
        </w:tc>
        <w:tc>
          <w:tcPr>
            <w:tcW w:w="184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0" w:type="dxa"/>
            <w:vMerge w:val="restart"/>
            <w:tcBorders>
              <w:top w:val="single" w:sz="10"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23" w:right="0"/>
              <w:jc w:val="left"/>
              <w:rPr>
                <w:rFonts w:ascii="宋体" w:hAnsi="宋体" w:cs="宋体" w:eastAsia="宋体" w:hint="default"/>
                <w:sz w:val="18"/>
                <w:szCs w:val="18"/>
              </w:rPr>
            </w:pPr>
            <w:r>
              <w:rPr>
                <w:rFonts w:ascii="宋体"/>
                <w:sz w:val="18"/>
              </w:rPr>
              <w:t>864,633,391.90</w:t>
            </w:r>
          </w:p>
        </w:tc>
      </w:tr>
      <w:tr>
        <w:trPr>
          <w:trHeight w:val="347" w:hRule="exact"/>
        </w:trPr>
        <w:tc>
          <w:tcPr>
            <w:tcW w:w="2727" w:type="dxa"/>
            <w:vMerge/>
            <w:tcBorders>
              <w:left w:val="single" w:sz="6" w:space="0" w:color="000000"/>
              <w:right w:val="single" w:sz="6" w:space="0" w:color="000000"/>
            </w:tcBorders>
            <w:shd w:val="clear" w:color="auto" w:fill="D9D9D9"/>
          </w:tcPr>
          <w:p>
            <w:pPr/>
          </w:p>
        </w:tc>
        <w:tc>
          <w:tcPr>
            <w:tcW w:w="1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68,461,141.01</w:t>
            </w:r>
          </w:p>
        </w:tc>
        <w:tc>
          <w:tcPr>
            <w:tcW w:w="1842" w:type="dxa"/>
            <w:vMerge/>
            <w:tcBorders>
              <w:left w:val="single" w:sz="6" w:space="0" w:color="000000"/>
              <w:right w:val="single" w:sz="6" w:space="0" w:color="000000"/>
            </w:tcBorders>
            <w:shd w:val="clear" w:color="auto" w:fill="D9D9D9"/>
          </w:tcPr>
          <w:p>
            <w:pPr/>
          </w:p>
        </w:tc>
        <w:tc>
          <w:tcPr>
            <w:tcW w:w="1700" w:type="dxa"/>
            <w:vMerge/>
            <w:tcBorders>
              <w:left w:val="single" w:sz="6" w:space="0" w:color="000000"/>
              <w:right w:val="single" w:sz="6" w:space="0" w:color="000000"/>
            </w:tcBorders>
          </w:tcPr>
          <w:p>
            <w:pPr/>
          </w:p>
        </w:tc>
      </w:tr>
      <w:tr>
        <w:trPr>
          <w:trHeight w:val="347" w:hRule="exact"/>
        </w:trPr>
        <w:tc>
          <w:tcPr>
            <w:tcW w:w="2727" w:type="dxa"/>
            <w:vMerge/>
            <w:tcBorders>
              <w:left w:val="single" w:sz="6" w:space="0" w:color="000000"/>
              <w:bottom w:val="single" w:sz="6" w:space="0" w:color="000000"/>
              <w:right w:val="single" w:sz="6" w:space="0" w:color="000000"/>
            </w:tcBorders>
            <w:shd w:val="clear" w:color="auto" w:fill="D9D9D9"/>
          </w:tcPr>
          <w:p>
            <w:pPr/>
          </w:p>
        </w:tc>
        <w:tc>
          <w:tcPr>
            <w:tcW w:w="1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784,615,295.97</w:t>
            </w:r>
          </w:p>
        </w:tc>
        <w:tc>
          <w:tcPr>
            <w:tcW w:w="1842" w:type="dxa"/>
            <w:vMerge/>
            <w:tcBorders>
              <w:left w:val="single" w:sz="6" w:space="0" w:color="000000"/>
              <w:bottom w:val="single" w:sz="6" w:space="0" w:color="000000"/>
              <w:right w:val="single" w:sz="6" w:space="0" w:color="000000"/>
            </w:tcBorders>
            <w:shd w:val="clear" w:color="auto" w:fill="D9D9D9"/>
          </w:tcPr>
          <w:p>
            <w:pPr/>
          </w:p>
        </w:tc>
        <w:tc>
          <w:tcPr>
            <w:tcW w:w="1700" w:type="dxa"/>
            <w:vMerge/>
            <w:tcBorders>
              <w:left w:val="single" w:sz="6" w:space="0" w:color="000000"/>
              <w:bottom w:val="single" w:sz="6" w:space="0" w:color="000000"/>
              <w:right w:val="single" w:sz="6" w:space="0" w:color="000000"/>
            </w:tcBorders>
          </w:tcPr>
          <w:p>
            <w:pPr/>
          </w:p>
        </w:tc>
      </w:tr>
      <w:tr>
        <w:trPr>
          <w:trHeight w:val="347" w:hRule="exact"/>
        </w:trPr>
        <w:tc>
          <w:tcPr>
            <w:tcW w:w="2727" w:type="dxa"/>
            <w:vMerge w:val="restart"/>
            <w:tcBorders>
              <w:top w:val="single" w:sz="6" w:space="0" w:color="000000"/>
              <w:left w:val="single" w:sz="6" w:space="0" w:color="000000"/>
              <w:right w:val="single" w:sz="6" w:space="0" w:color="000000"/>
            </w:tcBorders>
            <w:shd w:val="clear" w:color="auto" w:fill="D9D9D9"/>
          </w:tcPr>
          <w:p>
            <w:pPr>
              <w:pStyle w:val="TableParagraph"/>
              <w:spacing w:line="316" w:lineRule="auto" w:before="21"/>
              <w:ind w:left="276" w:right="4" w:hanging="270"/>
              <w:jc w:val="left"/>
              <w:rPr>
                <w:rFonts w:ascii="宋体" w:hAnsi="宋体" w:cs="宋体" w:eastAsia="宋体" w:hint="default"/>
                <w:sz w:val="18"/>
                <w:szCs w:val="18"/>
              </w:rPr>
            </w:pPr>
            <w:r>
              <w:rPr>
                <w:rFonts w:ascii="宋体" w:hAnsi="宋体" w:cs="宋体" w:eastAsia="宋体" w:hint="default"/>
                <w:sz w:val="18"/>
                <w:szCs w:val="18"/>
              </w:rPr>
              <w:t>“应付利息”及“应付股利”项目 归并至“其他应付款”项目</w:t>
            </w:r>
          </w:p>
        </w:tc>
        <w:tc>
          <w:tcPr>
            <w:tcW w:w="1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51,879,681.76</w:t>
            </w:r>
          </w:p>
        </w:tc>
        <w:tc>
          <w:tcPr>
            <w:tcW w:w="184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23" w:right="0"/>
              <w:jc w:val="left"/>
              <w:rPr>
                <w:rFonts w:ascii="宋体" w:hAnsi="宋体" w:cs="宋体" w:eastAsia="宋体" w:hint="default"/>
                <w:sz w:val="18"/>
                <w:szCs w:val="18"/>
              </w:rPr>
            </w:pPr>
            <w:r>
              <w:rPr>
                <w:rFonts w:ascii="宋体"/>
                <w:sz w:val="18"/>
              </w:rPr>
              <w:t>867,266,683.62</w:t>
            </w:r>
          </w:p>
        </w:tc>
      </w:tr>
      <w:tr>
        <w:trPr>
          <w:trHeight w:val="348" w:hRule="exact"/>
        </w:trPr>
        <w:tc>
          <w:tcPr>
            <w:tcW w:w="2727" w:type="dxa"/>
            <w:vMerge/>
            <w:tcBorders>
              <w:left w:val="single" w:sz="6" w:space="0" w:color="000000"/>
              <w:right w:val="single" w:sz="6" w:space="0" w:color="000000"/>
            </w:tcBorders>
            <w:shd w:val="clear" w:color="auto" w:fill="D9D9D9"/>
          </w:tcPr>
          <w:p>
            <w:pPr/>
          </w:p>
        </w:tc>
        <w:tc>
          <w:tcPr>
            <w:tcW w:w="1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8,308,841.47</w:t>
            </w:r>
          </w:p>
        </w:tc>
        <w:tc>
          <w:tcPr>
            <w:tcW w:w="1842" w:type="dxa"/>
            <w:vMerge/>
            <w:tcBorders>
              <w:left w:val="single" w:sz="6" w:space="0" w:color="000000"/>
              <w:right w:val="single" w:sz="6" w:space="0" w:color="000000"/>
            </w:tcBorders>
            <w:shd w:val="clear" w:color="auto" w:fill="D9D9D9"/>
          </w:tcPr>
          <w:p>
            <w:pPr/>
          </w:p>
        </w:tc>
        <w:tc>
          <w:tcPr>
            <w:tcW w:w="1700" w:type="dxa"/>
            <w:vMerge/>
            <w:tcBorders>
              <w:left w:val="single" w:sz="6" w:space="0" w:color="000000"/>
              <w:right w:val="single" w:sz="6" w:space="0" w:color="000000"/>
            </w:tcBorders>
          </w:tcPr>
          <w:p>
            <w:pPr/>
          </w:p>
        </w:tc>
      </w:tr>
      <w:tr>
        <w:trPr>
          <w:trHeight w:val="347" w:hRule="exact"/>
        </w:trPr>
        <w:tc>
          <w:tcPr>
            <w:tcW w:w="2727" w:type="dxa"/>
            <w:vMerge/>
            <w:tcBorders>
              <w:left w:val="single" w:sz="6" w:space="0" w:color="000000"/>
              <w:bottom w:val="single" w:sz="6" w:space="0" w:color="000000"/>
              <w:right w:val="single" w:sz="6" w:space="0" w:color="000000"/>
            </w:tcBorders>
            <w:shd w:val="clear" w:color="auto" w:fill="D9D9D9"/>
          </w:tcPr>
          <w:p>
            <w:pPr/>
          </w:p>
        </w:tc>
        <w:tc>
          <w:tcPr>
            <w:tcW w:w="1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807,078,160.39</w:t>
            </w:r>
          </w:p>
        </w:tc>
        <w:tc>
          <w:tcPr>
            <w:tcW w:w="1842" w:type="dxa"/>
            <w:vMerge/>
            <w:tcBorders>
              <w:left w:val="single" w:sz="6" w:space="0" w:color="000000"/>
              <w:bottom w:val="single" w:sz="6" w:space="0" w:color="000000"/>
              <w:right w:val="single" w:sz="6" w:space="0" w:color="000000"/>
            </w:tcBorders>
            <w:shd w:val="clear" w:color="auto" w:fill="D9D9D9"/>
          </w:tcPr>
          <w:p>
            <w:pPr/>
          </w:p>
        </w:tc>
        <w:tc>
          <w:tcPr>
            <w:tcW w:w="1700" w:type="dxa"/>
            <w:vMerge/>
            <w:tcBorders>
              <w:left w:val="single" w:sz="6" w:space="0" w:color="000000"/>
              <w:bottom w:val="single" w:sz="6" w:space="0" w:color="000000"/>
              <w:right w:val="single" w:sz="6" w:space="0" w:color="000000"/>
            </w:tcBorders>
          </w:tcPr>
          <w:p>
            <w:pPr/>
          </w:p>
        </w:tc>
      </w:tr>
      <w:tr>
        <w:trPr>
          <w:trHeight w:val="347" w:hRule="exact"/>
        </w:trPr>
        <w:tc>
          <w:tcPr>
            <w:tcW w:w="2727" w:type="dxa"/>
            <w:vMerge w:val="restart"/>
            <w:tcBorders>
              <w:top w:val="single" w:sz="6" w:space="0" w:color="000000"/>
              <w:left w:val="single" w:sz="6" w:space="0" w:color="000000"/>
              <w:right w:val="single" w:sz="6" w:space="0" w:color="000000"/>
            </w:tcBorders>
            <w:shd w:val="clear" w:color="auto" w:fill="D9D9D9"/>
          </w:tcPr>
          <w:p>
            <w:pPr>
              <w:pStyle w:val="TableParagraph"/>
              <w:spacing w:line="316" w:lineRule="auto" w:before="21"/>
              <w:ind w:left="6" w:right="4"/>
              <w:jc w:val="center"/>
              <w:rPr>
                <w:rFonts w:ascii="宋体" w:hAnsi="宋体" w:cs="宋体" w:eastAsia="宋体" w:hint="default"/>
                <w:sz w:val="18"/>
                <w:szCs w:val="18"/>
              </w:rPr>
            </w:pPr>
            <w:r>
              <w:rPr>
                <w:rFonts w:ascii="宋体" w:hAnsi="宋体" w:cs="宋体" w:eastAsia="宋体" w:hint="default"/>
                <w:sz w:val="18"/>
                <w:szCs w:val="18"/>
              </w:rPr>
              <w:t>新增“其中：利息费用”和“利息 收入”项目，在“财务费用”项目 下增加“利息费用”和“利息收 入”明细项目</w:t>
            </w:r>
          </w:p>
        </w:tc>
        <w:tc>
          <w:tcPr>
            <w:tcW w:w="31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8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89,318,132.07</w:t>
            </w:r>
          </w:p>
        </w:tc>
      </w:tr>
      <w:tr>
        <w:trPr>
          <w:trHeight w:val="944" w:hRule="exact"/>
        </w:trPr>
        <w:tc>
          <w:tcPr>
            <w:tcW w:w="2727" w:type="dxa"/>
            <w:vMerge/>
            <w:tcBorders>
              <w:left w:val="single" w:sz="6" w:space="0" w:color="000000"/>
              <w:bottom w:val="single" w:sz="12" w:space="0" w:color="000000"/>
              <w:right w:val="single" w:sz="6" w:space="0" w:color="000000"/>
            </w:tcBorders>
            <w:shd w:val="clear" w:color="auto" w:fill="D9D9D9"/>
          </w:tcPr>
          <w:p>
            <w:pPr/>
          </w:p>
        </w:tc>
        <w:tc>
          <w:tcPr>
            <w:tcW w:w="3121"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842"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right"/>
              <w:rPr>
                <w:rFonts w:ascii="宋体" w:hAnsi="宋体" w:cs="宋体" w:eastAsia="宋体" w:hint="default"/>
                <w:sz w:val="18"/>
                <w:szCs w:val="18"/>
              </w:rPr>
            </w:pPr>
            <w:r>
              <w:rPr>
                <w:rFonts w:ascii="宋体"/>
                <w:sz w:val="18"/>
              </w:rPr>
              <w:t>48,401,868.96</w:t>
            </w:r>
          </w:p>
        </w:tc>
      </w:tr>
    </w:tbl>
    <w:p>
      <w:pPr>
        <w:spacing w:line="240" w:lineRule="auto" w:before="12"/>
        <w:rPr>
          <w:rFonts w:ascii="宋体" w:hAnsi="宋体" w:cs="宋体" w:eastAsia="宋体" w:hint="default"/>
          <w:sz w:val="7"/>
          <w:szCs w:val="7"/>
        </w:rPr>
      </w:pPr>
    </w:p>
    <w:p>
      <w:pPr>
        <w:pStyle w:val="BodyText"/>
        <w:spacing w:line="240" w:lineRule="auto" w:before="35"/>
        <w:ind w:left="574" w:right="0"/>
        <w:jc w:val="left"/>
      </w:pPr>
      <w:r>
        <w:rPr/>
        <w:t>注③合并期初金额及上期发生数受上述政策变更的主要影响项目及金额如下：</w:t>
      </w:r>
    </w:p>
    <w:p>
      <w:pPr>
        <w:spacing w:line="240" w:lineRule="auto" w:before="6"/>
        <w:rPr>
          <w:rFonts w:ascii="宋体" w:hAnsi="宋体" w:cs="宋体" w:eastAsia="宋体" w:hint="default"/>
          <w:sz w:val="5"/>
          <w:szCs w:val="5"/>
        </w:rPr>
      </w:pPr>
    </w:p>
    <w:tbl>
      <w:tblPr>
        <w:tblW w:w="0" w:type="auto"/>
        <w:jc w:val="left"/>
        <w:tblInd w:w="254" w:type="dxa"/>
        <w:tblLayout w:type="fixed"/>
        <w:tblCellMar>
          <w:top w:w="0" w:type="dxa"/>
          <w:left w:w="0" w:type="dxa"/>
          <w:bottom w:w="0" w:type="dxa"/>
          <w:right w:w="0" w:type="dxa"/>
        </w:tblCellMar>
        <w:tblLook w:val="01E0"/>
      </w:tblPr>
      <w:tblGrid>
        <w:gridCol w:w="1877"/>
        <w:gridCol w:w="1844"/>
        <w:gridCol w:w="1842"/>
        <w:gridCol w:w="1843"/>
        <w:gridCol w:w="1985"/>
      </w:tblGrid>
      <w:tr>
        <w:trPr>
          <w:trHeight w:val="342" w:hRule="exact"/>
        </w:trPr>
        <w:tc>
          <w:tcPr>
            <w:tcW w:w="372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132" w:right="0"/>
              <w:jc w:val="left"/>
              <w:rPr>
                <w:rFonts w:ascii="宋体" w:hAnsi="宋体" w:cs="宋体" w:eastAsia="宋体" w:hint="default"/>
                <w:sz w:val="18"/>
                <w:szCs w:val="18"/>
              </w:rPr>
            </w:pPr>
            <w:r>
              <w:rPr>
                <w:rFonts w:ascii="宋体" w:hAnsi="宋体" w:cs="宋体" w:eastAsia="宋体" w:hint="default"/>
                <w:sz w:val="18"/>
                <w:szCs w:val="18"/>
              </w:rPr>
              <w:t>调整前项目及金额</w:t>
            </w:r>
          </w:p>
        </w:tc>
        <w:tc>
          <w:tcPr>
            <w:tcW w:w="184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6"/>
              <w:ind w:left="553" w:right="0"/>
              <w:jc w:val="left"/>
              <w:rPr>
                <w:rFonts w:ascii="宋体" w:hAnsi="宋体" w:cs="宋体" w:eastAsia="宋体" w:hint="default"/>
                <w:sz w:val="18"/>
                <w:szCs w:val="18"/>
              </w:rPr>
            </w:pPr>
            <w:r>
              <w:rPr>
                <w:rFonts w:ascii="宋体" w:hAnsi="宋体" w:cs="宋体" w:eastAsia="宋体" w:hint="default"/>
                <w:sz w:val="18"/>
                <w:szCs w:val="18"/>
              </w:rPr>
              <w:t>调整金额</w:t>
            </w:r>
          </w:p>
        </w:tc>
        <w:tc>
          <w:tcPr>
            <w:tcW w:w="382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185" w:right="0"/>
              <w:jc w:val="left"/>
              <w:rPr>
                <w:rFonts w:ascii="宋体" w:hAnsi="宋体" w:cs="宋体" w:eastAsia="宋体" w:hint="default"/>
                <w:sz w:val="18"/>
                <w:szCs w:val="18"/>
              </w:rPr>
            </w:pPr>
            <w:r>
              <w:rPr>
                <w:rFonts w:ascii="宋体" w:hAnsi="宋体" w:cs="宋体" w:eastAsia="宋体" w:hint="default"/>
                <w:sz w:val="18"/>
                <w:szCs w:val="18"/>
              </w:rPr>
              <w:t>调整后项目及金额</w:t>
            </w:r>
          </w:p>
        </w:tc>
      </w:tr>
      <w:tr>
        <w:trPr>
          <w:trHeight w:val="347" w:hRule="exact"/>
        </w:trPr>
        <w:tc>
          <w:tcPr>
            <w:tcW w:w="18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571"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42" w:type="dxa"/>
            <w:vMerge/>
            <w:tcBorders>
              <w:left w:val="single" w:sz="6" w:space="0" w:color="000000"/>
              <w:bottom w:val="single" w:sz="6" w:space="0" w:color="000000"/>
              <w:right w:val="single" w:sz="6" w:space="0" w:color="000000"/>
            </w:tcBorders>
            <w:shd w:val="clear" w:color="auto" w:fill="D9D9D9"/>
          </w:tcPr>
          <w:p>
            <w:pP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553"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7" w:hRule="exact"/>
        </w:trPr>
        <w:tc>
          <w:tcPr>
            <w:tcW w:w="18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84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3"/>
              <w:jc w:val="right"/>
              <w:rPr>
                <w:rFonts w:ascii="宋体" w:hAnsi="宋体" w:cs="宋体" w:eastAsia="宋体" w:hint="default"/>
                <w:sz w:val="18"/>
                <w:szCs w:val="18"/>
              </w:rPr>
            </w:pPr>
            <w:r>
              <w:rPr>
                <w:rFonts w:ascii="宋体"/>
                <w:sz w:val="18"/>
              </w:rPr>
              <w:t>3,377,887.18</w:t>
            </w:r>
          </w:p>
        </w:tc>
        <w:tc>
          <w:tcPr>
            <w:tcW w:w="1842"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1,275,601.81</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85"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4,653,488.99</w:t>
            </w:r>
          </w:p>
        </w:tc>
      </w:tr>
      <w:tr>
        <w:trPr>
          <w:trHeight w:val="348" w:hRule="exact"/>
        </w:trPr>
        <w:tc>
          <w:tcPr>
            <w:tcW w:w="18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18,844,728.89</w:t>
            </w:r>
          </w:p>
        </w:tc>
        <w:tc>
          <w:tcPr>
            <w:tcW w:w="1842" w:type="dxa"/>
            <w:tcBorders>
              <w:top w:val="single" w:sz="6" w:space="0" w:color="000000"/>
              <w:left w:val="single" w:sz="6" w:space="0" w:color="000000"/>
              <w:bottom w:val="single" w:sz="6" w:space="0" w:color="000000"/>
              <w:right w:val="single" w:sz="7"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-1,275,601.81</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8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17,569,127.08</w:t>
            </w:r>
          </w:p>
        </w:tc>
      </w:tr>
    </w:tbl>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bookmarkStart w:name="七、报告期内发生重大会计差错更正需追溯重述的情况说明" w:id="70"/>
      <w:bookmarkEnd w:id="70"/>
      <w:r>
        <w:rPr>
          <w:b w:val="0"/>
          <w:bCs w:val="0"/>
        </w:rPr>
      </w:r>
      <w:r>
        <w:rPr/>
        <w:t>七、报告期内发生重大会计差错更正需追溯重述的情况说明</w:t>
      </w:r>
      <w:r>
        <w:rPr>
          <w:b w:val="0"/>
          <w:bCs w:val="0"/>
        </w:rPr>
      </w:r>
    </w:p>
    <w:p>
      <w:pPr>
        <w:spacing w:line="240" w:lineRule="auto" w:before="0"/>
        <w:rPr>
          <w:rFonts w:ascii="宋体" w:hAnsi="宋体" w:cs="宋体" w:eastAsia="宋体" w:hint="default"/>
          <w:b/>
          <w:bCs/>
          <w:sz w:val="24"/>
          <w:szCs w:val="24"/>
        </w:rPr>
      </w:pPr>
    </w:p>
    <w:p>
      <w:pPr>
        <w:pStyle w:val="BodyText"/>
        <w:spacing w:line="453" w:lineRule="auto" w:before="160"/>
        <w:ind w:left="574" w:right="0" w:hanging="420"/>
        <w:jc w:val="left"/>
      </w:pPr>
      <w:r>
        <w:rPr/>
        <w:t>√ 适用 □</w:t>
      </w:r>
      <w:r>
        <w:rPr>
          <w:spacing w:val="-1"/>
        </w:rPr>
        <w:t> </w:t>
      </w:r>
      <w:r>
        <w:rPr/>
        <w:t>不适用</w:t>
      </w:r>
      <w:r>
        <w:rPr/>
        <w:t> </w:t>
      </w:r>
      <w:r>
        <w:rPr>
          <w:rFonts w:ascii="宋体" w:hAnsi="宋体" w:cs="宋体" w:eastAsia="宋体" w:hint="default"/>
          <w:spacing w:val="-5"/>
        </w:rPr>
        <w:t>2018</w:t>
      </w:r>
      <w:r>
        <w:rPr>
          <w:spacing w:val="-5"/>
        </w:rPr>
        <w:t>年</w:t>
      </w:r>
      <w:r>
        <w:rPr>
          <w:rFonts w:ascii="宋体" w:hAnsi="宋体" w:cs="宋体" w:eastAsia="宋体" w:hint="default"/>
          <w:spacing w:val="-5"/>
        </w:rPr>
        <w:t>7</w:t>
      </w:r>
      <w:r>
        <w:rPr>
          <w:spacing w:val="-5"/>
        </w:rPr>
        <w:t>月，根据《关于对华闻传媒投资集团股份有限公司进行现场检查的通知》（海南证监函【</w:t>
      </w:r>
      <w:r>
        <w:rPr>
          <w:rFonts w:ascii="宋体" w:hAnsi="宋体" w:cs="宋体" w:eastAsia="宋体" w:hint="default"/>
          <w:spacing w:val="-5"/>
        </w:rPr>
        <w:t>2018</w:t>
      </w:r>
      <w:r>
        <w:rPr>
          <w:spacing w:val="-5"/>
        </w:rPr>
        <w:t>】</w:t>
      </w:r>
    </w:p>
    <w:p>
      <w:pPr>
        <w:pStyle w:val="BodyText"/>
        <w:spacing w:line="420" w:lineRule="auto" w:before="18"/>
        <w:ind w:right="1131"/>
        <w:jc w:val="both"/>
      </w:pPr>
      <w:r>
        <w:rPr>
          <w:rFonts w:ascii="宋体" w:hAnsi="宋体" w:cs="宋体" w:eastAsia="宋体" w:hint="default"/>
        </w:rPr>
        <w:t>395</w:t>
      </w:r>
      <w:r>
        <w:rPr/>
        <w:t>号），海南证监局对本公司的子公司精视文化、邦富软件、漫友文化开展现场检查工作。根据海南证</w:t>
      </w:r>
      <w:r>
        <w:rPr>
          <w:spacing w:val="-35"/>
        </w:rPr>
        <w:t> </w:t>
      </w:r>
      <w:r>
        <w:rPr>
          <w:spacing w:val="-35"/>
        </w:rPr>
      </w:r>
      <w:r>
        <w:rPr/>
        <w:t>监局现场检查确认书，经公司确认，公司对子公司精视文化、邦富软件、漫友文化在</w:t>
      </w:r>
      <w:r>
        <w:rPr>
          <w:rFonts w:ascii="宋体" w:hAnsi="宋体" w:cs="宋体" w:eastAsia="宋体" w:hint="default"/>
        </w:rPr>
        <w:t>2014</w:t>
      </w:r>
      <w:r>
        <w:rPr/>
        <w:t>年</w:t>
      </w:r>
      <w:r>
        <w:rPr>
          <w:rFonts w:ascii="宋体" w:hAnsi="宋体" w:cs="宋体" w:eastAsia="宋体" w:hint="default"/>
        </w:rPr>
        <w:t>-2017</w:t>
      </w:r>
      <w:r>
        <w:rPr/>
        <w:t>年期间</w:t>
      </w:r>
      <w:r>
        <w:rPr>
          <w:spacing w:val="-27"/>
        </w:rPr>
        <w:t> </w:t>
      </w:r>
      <w:r>
        <w:rPr>
          <w:spacing w:val="-27"/>
        </w:rPr>
      </w:r>
      <w:r>
        <w:rPr>
          <w:spacing w:val="-1"/>
        </w:rPr>
        <w:t>涉及的（</w:t>
      </w:r>
      <w:r>
        <w:rPr>
          <w:rFonts w:ascii="宋体" w:hAnsi="宋体" w:cs="宋体" w:eastAsia="宋体" w:hint="default"/>
          <w:spacing w:val="-1"/>
        </w:rPr>
        <w:t>1</w:t>
      </w:r>
      <w:r>
        <w:rPr>
          <w:spacing w:val="-1"/>
        </w:rPr>
        <w:t>）收入确认和成本核算不准确方面、（</w:t>
      </w:r>
      <w:r>
        <w:rPr>
          <w:rFonts w:ascii="宋体" w:hAnsi="宋体" w:cs="宋体" w:eastAsia="宋体" w:hint="default"/>
          <w:spacing w:val="-1"/>
        </w:rPr>
        <w:t>2</w:t>
      </w:r>
      <w:r>
        <w:rPr>
          <w:spacing w:val="-1"/>
        </w:rPr>
        <w:t>）费用核算方面、（</w:t>
      </w:r>
      <w:r>
        <w:rPr>
          <w:rFonts w:ascii="宋体" w:hAnsi="宋体" w:cs="宋体" w:eastAsia="宋体" w:hint="default"/>
          <w:spacing w:val="-1"/>
        </w:rPr>
        <w:t>3</w:t>
      </w:r>
      <w:r>
        <w:rPr>
          <w:spacing w:val="-1"/>
        </w:rPr>
        <w:t>）适用税率方面、（</w:t>
      </w:r>
      <w:r>
        <w:rPr>
          <w:rFonts w:ascii="宋体" w:hAnsi="宋体" w:cs="宋体" w:eastAsia="宋体" w:hint="default"/>
          <w:spacing w:val="-1"/>
        </w:rPr>
        <w:t>4</w:t>
      </w:r>
      <w:r>
        <w:rPr>
          <w:spacing w:val="-1"/>
        </w:rPr>
        <w:t>）坏账准备</w:t>
      </w:r>
      <w:r>
        <w:rPr>
          <w:spacing w:val="-88"/>
        </w:rPr>
        <w:t> </w:t>
      </w:r>
      <w:r>
        <w:rPr>
          <w:spacing w:val="-88"/>
        </w:rPr>
      </w:r>
      <w:r>
        <w:rPr>
          <w:spacing w:val="-1"/>
        </w:rPr>
        <w:t>计提不充分方面的前期差错。本次差错更正经公司第七届董事会</w:t>
      </w:r>
      <w:r>
        <w:rPr>
          <w:rFonts w:ascii="宋体" w:hAnsi="宋体" w:cs="宋体" w:eastAsia="宋体" w:hint="default"/>
          <w:spacing w:val="-1"/>
        </w:rPr>
        <w:t>2018</w:t>
      </w:r>
      <w:r>
        <w:rPr>
          <w:spacing w:val="-1"/>
        </w:rPr>
        <w:t>年第十一次临时会议、第七届监事会</w:t>
      </w:r>
      <w:r>
        <w:rPr>
          <w:spacing w:val="-79"/>
        </w:rPr>
        <w:t> </w:t>
      </w:r>
      <w:r>
        <w:rPr>
          <w:spacing w:val="-79"/>
        </w:rPr>
      </w:r>
      <w:r>
        <w:rPr>
          <w:rFonts w:ascii="宋体" w:hAnsi="宋体" w:cs="宋体" w:eastAsia="宋体" w:hint="default"/>
        </w:rPr>
        <w:t>2018</w:t>
      </w:r>
      <w:r>
        <w:rPr/>
        <w:t>年第二次临时会议审议通过，采用追溯重述法进行了更正。</w:t>
      </w:r>
    </w:p>
    <w:p>
      <w:pPr>
        <w:pStyle w:val="BodyText"/>
        <w:spacing w:line="240" w:lineRule="auto" w:before="48"/>
        <w:ind w:left="574" w:right="0"/>
        <w:jc w:val="left"/>
      </w:pPr>
      <w:r>
        <w:rPr/>
        <w:t>①</w:t>
      </w:r>
      <w:r>
        <w:rPr>
          <w:spacing w:val="-5"/>
        </w:rPr>
        <w:t> </w:t>
      </w:r>
      <w:r>
        <w:rPr/>
        <w:t>对</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日合并资产负债表的影响</w:t>
      </w:r>
    </w:p>
    <w:p>
      <w:pPr>
        <w:spacing w:line="240" w:lineRule="auto" w:before="1"/>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868"/>
        <w:gridCol w:w="2212"/>
        <w:gridCol w:w="2211"/>
        <w:gridCol w:w="2212"/>
      </w:tblGrid>
      <w:tr>
        <w:trPr>
          <w:trHeight w:val="348"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47" w:right="0"/>
              <w:jc w:val="left"/>
              <w:rPr>
                <w:rFonts w:ascii="宋体" w:hAnsi="宋体" w:cs="宋体" w:eastAsia="宋体" w:hint="default"/>
                <w:sz w:val="18"/>
                <w:szCs w:val="18"/>
              </w:rPr>
            </w:pPr>
            <w:r>
              <w:rPr>
                <w:rFonts w:ascii="宋体" w:hAnsi="宋体" w:cs="宋体" w:eastAsia="宋体" w:hint="default"/>
                <w:sz w:val="18"/>
                <w:szCs w:val="18"/>
              </w:rPr>
              <w:t>调整前金额</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调整数</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47" w:right="0"/>
              <w:jc w:val="left"/>
              <w:rPr>
                <w:rFonts w:ascii="宋体" w:hAnsi="宋体" w:cs="宋体" w:eastAsia="宋体" w:hint="default"/>
                <w:sz w:val="18"/>
                <w:szCs w:val="18"/>
              </w:rPr>
            </w:pPr>
            <w:r>
              <w:rPr>
                <w:rFonts w:ascii="宋体" w:hAnsi="宋体" w:cs="宋体" w:eastAsia="宋体" w:hint="default"/>
                <w:sz w:val="18"/>
                <w:szCs w:val="18"/>
              </w:rPr>
              <w:t>调整后金额</w:t>
            </w:r>
          </w:p>
        </w:tc>
      </w:tr>
      <w:tr>
        <w:trPr>
          <w:trHeight w:val="347"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33" w:right="0"/>
              <w:jc w:val="left"/>
              <w:rPr>
                <w:rFonts w:ascii="宋体" w:hAnsi="宋体" w:cs="宋体" w:eastAsia="宋体" w:hint="default"/>
                <w:sz w:val="18"/>
                <w:szCs w:val="18"/>
              </w:rPr>
            </w:pPr>
            <w:r>
              <w:rPr>
                <w:rFonts w:ascii="宋体"/>
                <w:sz w:val="18"/>
              </w:rPr>
              <w:t>690,025,558.76</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33" w:right="0"/>
              <w:jc w:val="left"/>
              <w:rPr>
                <w:rFonts w:ascii="宋体" w:hAnsi="宋体" w:cs="宋体" w:eastAsia="宋体" w:hint="default"/>
                <w:sz w:val="18"/>
                <w:szCs w:val="18"/>
              </w:rPr>
            </w:pPr>
            <w:r>
              <w:rPr>
                <w:rFonts w:ascii="宋体"/>
                <w:sz w:val="18"/>
              </w:rPr>
              <w:t>-19,146,330.48</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33" w:right="0"/>
              <w:jc w:val="left"/>
              <w:rPr>
                <w:rFonts w:ascii="宋体" w:hAnsi="宋体" w:cs="宋体" w:eastAsia="宋体" w:hint="default"/>
                <w:sz w:val="18"/>
                <w:szCs w:val="18"/>
              </w:rPr>
            </w:pPr>
            <w:r>
              <w:rPr>
                <w:rFonts w:ascii="宋体"/>
                <w:sz w:val="18"/>
              </w:rPr>
              <w:t>670,879,228.28</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2868"/>
        <w:gridCol w:w="2212"/>
        <w:gridCol w:w="2211"/>
        <w:gridCol w:w="2212"/>
      </w:tblGrid>
      <w:tr>
        <w:trPr>
          <w:trHeight w:val="347"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5,730,259,629.21</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-19,146,330.48</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5,711,113,298.73</w:t>
            </w:r>
          </w:p>
        </w:tc>
      </w:tr>
      <w:tr>
        <w:trPr>
          <w:trHeight w:val="347"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58,866,467.52</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-785,298.16</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58,081,169.36</w:t>
            </w:r>
          </w:p>
        </w:tc>
      </w:tr>
      <w:tr>
        <w:trPr>
          <w:trHeight w:val="347"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10,121,301,196.55</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-785,298.16</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10,120,515,898.39</w:t>
            </w:r>
          </w:p>
        </w:tc>
      </w:tr>
      <w:tr>
        <w:trPr>
          <w:trHeight w:val="348"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15,851,560,825.76</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-19,931,628.64</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15,831,629,197.12</w:t>
            </w:r>
          </w:p>
        </w:tc>
      </w:tr>
      <w:tr>
        <w:trPr>
          <w:trHeight w:val="347"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339,713,338.44</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449,874.20</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340,163,212.64</w:t>
            </w:r>
          </w:p>
        </w:tc>
      </w:tr>
      <w:tr>
        <w:trPr>
          <w:trHeight w:val="347"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156,757,357.89</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14,514,234.47</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171,271,592.36</w:t>
            </w:r>
          </w:p>
        </w:tc>
      </w:tr>
      <w:tr>
        <w:trPr>
          <w:trHeight w:val="347"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162,006,343.72</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4,300,603.82</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166,306,947.54</w:t>
            </w:r>
          </w:p>
        </w:tc>
      </w:tr>
      <w:tr>
        <w:trPr>
          <w:trHeight w:val="347"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2,028,493,965.96</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19,264,712.49</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2,047,758,678.45</w:t>
            </w:r>
          </w:p>
        </w:tc>
      </w:tr>
      <w:tr>
        <w:trPr>
          <w:trHeight w:val="347"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5,680,574,188.01</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19,264,712.49</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5,699,838,900.50</w:t>
            </w:r>
          </w:p>
        </w:tc>
      </w:tr>
      <w:tr>
        <w:trPr>
          <w:trHeight w:val="348"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3,636,292,086.82</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-32,538,250.72</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3,603,753,836.10</w:t>
            </w:r>
          </w:p>
        </w:tc>
      </w:tr>
      <w:tr>
        <w:trPr>
          <w:trHeight w:val="347"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9,762,332,284.63</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-32,538,250.72</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9,729,794,033.91</w:t>
            </w:r>
          </w:p>
        </w:tc>
      </w:tr>
      <w:tr>
        <w:trPr>
          <w:trHeight w:val="347"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408,654,353.12</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-6,658,090.41</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401,996,262.71</w:t>
            </w:r>
          </w:p>
        </w:tc>
      </w:tr>
      <w:tr>
        <w:trPr>
          <w:trHeight w:val="347"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10,170,986,637.75</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-39,196,341.13</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10,131,790,296.62</w:t>
            </w:r>
          </w:p>
        </w:tc>
      </w:tr>
      <w:tr>
        <w:trPr>
          <w:trHeight w:val="348"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15,851,560,825.76</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-19,931,628.64</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15,831,629,197.12</w:t>
            </w:r>
          </w:p>
        </w:tc>
      </w:tr>
    </w:tbl>
    <w:p>
      <w:pPr>
        <w:spacing w:line="240" w:lineRule="auto" w:before="12"/>
        <w:rPr>
          <w:rFonts w:ascii="宋体" w:hAnsi="宋体" w:cs="宋体" w:eastAsia="宋体" w:hint="default"/>
          <w:sz w:val="7"/>
          <w:szCs w:val="7"/>
        </w:rPr>
      </w:pPr>
    </w:p>
    <w:p>
      <w:pPr>
        <w:pStyle w:val="BodyText"/>
        <w:spacing w:line="240" w:lineRule="auto" w:before="35"/>
        <w:ind w:left="574" w:right="0"/>
        <w:jc w:val="left"/>
      </w:pPr>
      <w:r>
        <w:rPr/>
        <w:t>②</w:t>
      </w:r>
      <w:r>
        <w:rPr>
          <w:spacing w:val="-1"/>
        </w:rPr>
        <w:t> </w:t>
      </w:r>
      <w:r>
        <w:rPr/>
        <w:t>对</w:t>
      </w:r>
      <w:r>
        <w:rPr>
          <w:rFonts w:ascii="宋体" w:hAnsi="宋体" w:cs="宋体" w:eastAsia="宋体" w:hint="default"/>
        </w:rPr>
        <w:t>2017</w:t>
      </w:r>
      <w:r>
        <w:rPr/>
        <w:t>年度合并利润表的影响</w:t>
      </w:r>
    </w:p>
    <w:p>
      <w:pPr>
        <w:spacing w:line="240" w:lineRule="auto" w:before="1"/>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868"/>
        <w:gridCol w:w="2212"/>
        <w:gridCol w:w="2211"/>
        <w:gridCol w:w="2212"/>
      </w:tblGrid>
      <w:tr>
        <w:trPr>
          <w:trHeight w:val="334"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647" w:right="0"/>
              <w:jc w:val="left"/>
              <w:rPr>
                <w:rFonts w:ascii="宋体" w:hAnsi="宋体" w:cs="宋体" w:eastAsia="宋体" w:hint="default"/>
                <w:sz w:val="18"/>
                <w:szCs w:val="18"/>
              </w:rPr>
            </w:pPr>
            <w:r>
              <w:rPr>
                <w:rFonts w:ascii="宋体" w:hAnsi="宋体" w:cs="宋体" w:eastAsia="宋体" w:hint="default"/>
                <w:sz w:val="18"/>
                <w:szCs w:val="18"/>
              </w:rPr>
              <w:t>调整前金额</w:t>
            </w:r>
          </w:p>
        </w:tc>
        <w:tc>
          <w:tcPr>
            <w:tcW w:w="22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调整数</w:t>
            </w:r>
          </w:p>
        </w:tc>
        <w:tc>
          <w:tcPr>
            <w:tcW w:w="22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647" w:right="0"/>
              <w:jc w:val="left"/>
              <w:rPr>
                <w:rFonts w:ascii="宋体" w:hAnsi="宋体" w:cs="宋体" w:eastAsia="宋体" w:hint="default"/>
                <w:sz w:val="18"/>
                <w:szCs w:val="18"/>
              </w:rPr>
            </w:pPr>
            <w:r>
              <w:rPr>
                <w:rFonts w:ascii="宋体" w:hAnsi="宋体" w:cs="宋体" w:eastAsia="宋体" w:hint="default"/>
                <w:sz w:val="18"/>
                <w:szCs w:val="18"/>
              </w:rPr>
              <w:t>调整后金额</w:t>
            </w:r>
          </w:p>
        </w:tc>
      </w:tr>
      <w:tr>
        <w:trPr>
          <w:trHeight w:val="347"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212"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16"/>
              <w:ind w:right="2"/>
              <w:jc w:val="right"/>
              <w:rPr>
                <w:rFonts w:ascii="宋体" w:hAnsi="宋体" w:cs="宋体" w:eastAsia="宋体" w:hint="default"/>
                <w:sz w:val="18"/>
                <w:szCs w:val="18"/>
              </w:rPr>
            </w:pPr>
            <w:r>
              <w:rPr>
                <w:rFonts w:ascii="宋体"/>
                <w:sz w:val="18"/>
              </w:rPr>
              <w:t>3,420,924,616.84</w:t>
            </w:r>
          </w:p>
        </w:tc>
        <w:tc>
          <w:tcPr>
            <w:tcW w:w="221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-58,679.24</w:t>
            </w:r>
          </w:p>
        </w:tc>
        <w:tc>
          <w:tcPr>
            <w:tcW w:w="221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3,420,865,937.60</w:t>
            </w:r>
          </w:p>
        </w:tc>
      </w:tr>
      <w:tr>
        <w:trPr>
          <w:trHeight w:val="347"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1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377,701,547.06</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-138,000.00</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377,563,547.06</w:t>
            </w:r>
          </w:p>
        </w:tc>
      </w:tr>
      <w:tr>
        <w:trPr>
          <w:trHeight w:val="347"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1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732,259,750.51</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347,520.71</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732,607,271.22</w:t>
            </w:r>
          </w:p>
        </w:tc>
      </w:tr>
      <w:tr>
        <w:trPr>
          <w:trHeight w:val="348"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21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155,386,362.52</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331,938.16</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155,718,300.68</w:t>
            </w:r>
          </w:p>
        </w:tc>
      </w:tr>
      <w:tr>
        <w:trPr>
          <w:trHeight w:val="347"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1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423,270,763.03</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-600,138.11</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422,670,624.92</w:t>
            </w:r>
          </w:p>
        </w:tc>
      </w:tr>
      <w:tr>
        <w:trPr>
          <w:trHeight w:val="347"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21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277,238,074.73</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-133,186.39</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277,104,888.34</w:t>
            </w:r>
          </w:p>
        </w:tc>
      </w:tr>
      <w:tr>
        <w:trPr>
          <w:trHeight w:val="348" w:hRule="exact"/>
        </w:trPr>
        <w:tc>
          <w:tcPr>
            <w:tcW w:w="2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21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146,032,688.30</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-466,951.72</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145,565,736.58</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八、与上年度财务报告相比，合并报表范围发生变化的情况说明" w:id="71"/>
      <w:bookmarkEnd w:id="71"/>
      <w:r>
        <w:rPr>
          <w:b w:val="0"/>
          <w:bCs w:val="0"/>
        </w:rPr>
      </w:r>
      <w:r>
        <w:rPr/>
        <w:t>八、与上年度财务报告相比，合并报表范围发生变化的情况说明</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0"/>
        <w:ind w:right="0"/>
        <w:jc w:val="left"/>
      </w:pPr>
      <w:r>
        <w:rPr/>
        <w:t>√ 适用 □</w:t>
      </w:r>
      <w:r>
        <w:rPr>
          <w:spacing w:val="-1"/>
        </w:rPr>
        <w:t> </w:t>
      </w:r>
      <w:r>
        <w:rPr/>
        <w:t>不适用</w:t>
      </w:r>
    </w:p>
    <w:p>
      <w:pPr>
        <w:spacing w:line="240" w:lineRule="auto" w:before="9"/>
        <w:rPr>
          <w:rFonts w:ascii="宋体" w:hAnsi="宋体" w:cs="宋体" w:eastAsia="宋体" w:hint="default"/>
          <w:sz w:val="18"/>
          <w:szCs w:val="18"/>
        </w:rPr>
      </w:pPr>
    </w:p>
    <w:p>
      <w:pPr>
        <w:pStyle w:val="BodyText"/>
        <w:spacing w:line="240" w:lineRule="auto"/>
        <w:ind w:left="574" w:right="0"/>
        <w:jc w:val="left"/>
      </w:pPr>
      <w:r>
        <w:rPr/>
        <w:t>（</w:t>
      </w:r>
      <w:r>
        <w:rPr>
          <w:rFonts w:ascii="宋体" w:hAnsi="宋体" w:cs="宋体" w:eastAsia="宋体" w:hint="default"/>
        </w:rPr>
        <w:t>1</w:t>
      </w:r>
      <w:r>
        <w:rPr/>
        <w:t>）本期新增合并单位</w:t>
      </w:r>
      <w:r>
        <w:rPr>
          <w:rFonts w:ascii="宋体" w:hAnsi="宋体" w:cs="宋体" w:eastAsia="宋体" w:hint="default"/>
        </w:rPr>
        <w:t>48</w:t>
      </w:r>
      <w:r>
        <w:rPr/>
        <w:t>家，明细如下：</w:t>
      </w:r>
    </w:p>
    <w:p>
      <w:pPr>
        <w:spacing w:line="240" w:lineRule="auto" w:before="1"/>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254"/>
        <w:gridCol w:w="3992"/>
        <w:gridCol w:w="2268"/>
        <w:gridCol w:w="1985"/>
      </w:tblGrid>
      <w:tr>
        <w:trPr>
          <w:trHeight w:val="347" w:hRule="exact"/>
        </w:trPr>
        <w:tc>
          <w:tcPr>
            <w:tcW w:w="12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9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增加原因</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623"/>
              <w:jc w:val="right"/>
              <w:rPr>
                <w:rFonts w:ascii="宋体" w:hAnsi="宋体" w:cs="宋体" w:eastAsia="宋体" w:hint="default"/>
                <w:sz w:val="18"/>
                <w:szCs w:val="18"/>
              </w:rPr>
            </w:pPr>
            <w:r>
              <w:rPr>
                <w:rFonts w:ascii="宋体" w:hAnsi="宋体" w:cs="宋体" w:eastAsia="宋体" w:hint="default"/>
                <w:sz w:val="18"/>
                <w:szCs w:val="18"/>
              </w:rPr>
              <w:t>合并日期</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陕西华商通用航空机场管理有限公司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78"/>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r>
      <w:tr>
        <w:trPr>
          <w:trHeight w:val="348"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拉萨悦胜创业投资管理有限公司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78"/>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3</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深圳市麦游互动科技有限公司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78"/>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4</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北京城事文化传媒有限公司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78"/>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5</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陕西华商传媒文化产业园管理有限公司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78"/>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6</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海南省文创旅游产业园集团有限公司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78"/>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7</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海南文咖投资有限公司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78"/>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8"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8</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海南文春投资有限公司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78"/>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9</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海南文绚投资有限公司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78"/>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海南文诺投资有限公司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78"/>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1254"/>
        <w:gridCol w:w="3992"/>
        <w:gridCol w:w="2268"/>
        <w:gridCol w:w="1985"/>
      </w:tblGrid>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海南文楷投资有限公司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12</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海南文贤投资有限公司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13</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海南创道投资有限公司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8"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14</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海南文宴投资有限公司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15</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海南文昂投资有限公司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16</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海南创傲投资有限公司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17</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海南文妙投资有限公司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18</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海南创模投资有限公司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19</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海南文泽投资有限公司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8"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海南祺乐投资有限公司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21</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海南文筱投资有限公司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22</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海南创雄投资有限公司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23</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海南文舒投资有限公司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24</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海南达闻投资有限公司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25</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海南创贵投资有限公司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8"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26</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海南禧闻投资有限公司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27</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海南创铭投资有限公司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28</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海南创标投资有限公司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29</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海南文珠投资有限公司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30</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海南创闻投资有限公司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31</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海南文聚投资有限公司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8"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32</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海南文乐投资有限公司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33</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海南创祺投资有限公司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34</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海南创牌投资有限公司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35</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海南歌闻投资有限公司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36</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海南文颂投资有限公司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37</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车音智能科技有限公司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r>
      <w:tr>
        <w:trPr>
          <w:trHeight w:val="348"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38</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深圳市车音网汽车电子商务有限公司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39</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上海车音智能科技有限公司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40</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北京亚越磐石市场调查有限公司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41</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上海逊睿市场咨询有限公司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42</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广州粤瑛纬市场营销策划有限公司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43</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北京车音网科技有限公司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r>
      <w:tr>
        <w:trPr>
          <w:trHeight w:val="348"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44</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成都融智汽车服务有限公司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45</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四川融智昇拓保险代理有限公司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46</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上海祥隆电子商务有限公司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r>
      <w:tr>
        <w:trPr>
          <w:trHeight w:val="347"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47</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新加坡车音网科技有限公司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r>
      <w:tr>
        <w:trPr>
          <w:trHeight w:val="348" w:hRule="exact"/>
        </w:trPr>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48</w:t>
            </w:r>
          </w:p>
        </w:tc>
        <w:tc>
          <w:tcPr>
            <w:tcW w:w="3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北京车音中安科技有限公司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r>
    </w:tbl>
    <w:p>
      <w:pPr>
        <w:spacing w:line="240" w:lineRule="auto" w:before="12"/>
        <w:rPr>
          <w:rFonts w:ascii="宋体" w:hAnsi="宋体" w:cs="宋体" w:eastAsia="宋体" w:hint="default"/>
          <w:sz w:val="7"/>
          <w:szCs w:val="7"/>
        </w:rPr>
      </w:pPr>
    </w:p>
    <w:p>
      <w:pPr>
        <w:pStyle w:val="BodyText"/>
        <w:spacing w:line="240" w:lineRule="auto" w:before="35"/>
        <w:ind w:left="574" w:right="0"/>
        <w:jc w:val="left"/>
      </w:pPr>
      <w:r>
        <w:rPr/>
        <w:t>（</w:t>
      </w:r>
      <w:r>
        <w:rPr>
          <w:rFonts w:ascii="宋体" w:hAnsi="宋体" w:cs="宋体" w:eastAsia="宋体" w:hint="default"/>
        </w:rPr>
        <w:t>2</w:t>
      </w:r>
      <w:r>
        <w:rPr/>
        <w:t>）本期减少合并单位</w:t>
      </w:r>
      <w:r>
        <w:rPr>
          <w:rFonts w:ascii="宋体" w:hAnsi="宋体" w:cs="宋体" w:eastAsia="宋体" w:hint="default"/>
        </w:rPr>
        <w:t>17</w:t>
      </w:r>
      <w:r>
        <w:rPr/>
        <w:t>家，明细如下：</w:t>
      </w:r>
    </w:p>
    <w:p>
      <w:pPr>
        <w:spacing w:after="0" w:line="240" w:lineRule="auto"/>
        <w:jc w:val="left"/>
        <w:sectPr>
          <w:pgSz w:w="11910" w:h="16840"/>
          <w:pgMar w:header="877" w:footer="979" w:top="1100" w:bottom="1160" w:left="980" w:right="0"/>
        </w:sectPr>
      </w:pPr>
    </w:p>
    <w:p>
      <w:pPr>
        <w:spacing w:line="240" w:lineRule="auto" w:before="4"/>
        <w:rPr>
          <w:rFonts w:ascii="Times New Roman" w:hAnsi="Times New Roman" w:cs="Times New Roman" w:eastAsia="Times New Roman"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276"/>
        <w:gridCol w:w="3970"/>
        <w:gridCol w:w="2268"/>
        <w:gridCol w:w="1985"/>
      </w:tblGrid>
      <w:tr>
        <w:trPr>
          <w:trHeight w:val="341" w:hRule="exact"/>
        </w:trPr>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9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注销或转让</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减少日期</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苏州华闻糖心动漫投资有限责任公司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海南生龙广告有限公司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广州酷食餐饮有限公司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4</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上海精框广告传播有限公司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广州市邦富软件有限公司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6</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北京国广风尚文化传媒有限公司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7</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西安华商盈泰金融服务外包有限责任公司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8</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乌鲁木齐黄马甲配送有限公司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9</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拉萨掌视亿通信息技术有限公司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10</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沈阳辽一网络有限公司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海口新海岸酒店管理有限公司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12</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深圳市怀远天下旅行社有限公司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13</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山南国视通讯有限公司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14</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重庆爱达投资有限公司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经侦立案停业</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15</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重庆有个表情网络科技有限公司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税务已注销</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16</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北京华商盈捷广告传媒有限公司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税务已注销</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17</w:t>
            </w:r>
          </w:p>
        </w:tc>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北京车音中安科技有限公司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ind w:right="0"/>
        <w:jc w:val="left"/>
        <w:rPr>
          <w:b w:val="0"/>
          <w:bCs w:val="0"/>
        </w:rPr>
      </w:pPr>
      <w:bookmarkStart w:name="九、聘任、解聘会计师事务所情况" w:id="72"/>
      <w:bookmarkEnd w:id="72"/>
      <w:r>
        <w:rPr>
          <w:b w:val="0"/>
          <w:bCs w:val="0"/>
        </w:rPr>
      </w:r>
      <w:r>
        <w:rPr/>
        <w:t>九、聘任、解聘会计师事务所情况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0"/>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230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2</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傅伟兵 、方鹏翔</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2</w:t>
            </w:r>
          </w:p>
        </w:tc>
      </w:tr>
    </w:tbl>
    <w:p>
      <w:pPr>
        <w:spacing w:line="240" w:lineRule="auto" w:before="12"/>
        <w:rPr>
          <w:rFonts w:ascii="宋体" w:hAnsi="宋体" w:cs="宋体" w:eastAsia="宋体" w:hint="default"/>
          <w:sz w:val="10"/>
          <w:szCs w:val="10"/>
        </w:rPr>
      </w:pPr>
    </w:p>
    <w:p>
      <w:pPr>
        <w:pStyle w:val="BodyText"/>
        <w:spacing w:line="240" w:lineRule="auto" w:before="35"/>
        <w:ind w:right="0"/>
        <w:jc w:val="left"/>
      </w:pPr>
      <w:r>
        <w:rPr/>
        <w:t>当期是否改聘会计师事务所</w:t>
      </w:r>
    </w:p>
    <w:p>
      <w:pPr>
        <w:spacing w:line="240" w:lineRule="auto" w:before="9"/>
        <w:rPr>
          <w:rFonts w:ascii="宋体" w:hAnsi="宋体" w:cs="宋体" w:eastAsia="宋体" w:hint="default"/>
          <w:sz w:val="18"/>
          <w:szCs w:val="18"/>
        </w:rPr>
      </w:pPr>
    </w:p>
    <w:p>
      <w:pPr>
        <w:pStyle w:val="BodyText"/>
        <w:spacing w:line="456" w:lineRule="auto"/>
        <w:ind w:right="5502"/>
        <w:jc w:val="left"/>
      </w:pPr>
      <w:r>
        <w:rPr/>
        <w:t>□ 是 √ 否 聘请内部控制审计会计师事务所、财务顾问或保荐人情况</w:t>
      </w:r>
    </w:p>
    <w:p>
      <w:pPr>
        <w:pStyle w:val="BodyText"/>
        <w:spacing w:line="240" w:lineRule="auto" w:before="55"/>
        <w:ind w:right="0"/>
        <w:jc w:val="left"/>
      </w:pPr>
      <w:r>
        <w:rPr/>
        <w:t>√ 适用 □</w:t>
      </w:r>
      <w:r>
        <w:rPr>
          <w:spacing w:val="-1"/>
        </w:rPr>
        <w:t> </w:t>
      </w:r>
      <w:r>
        <w:rPr/>
        <w:t>不适用</w:t>
      </w:r>
    </w:p>
    <w:p>
      <w:pPr>
        <w:spacing w:line="240" w:lineRule="auto" w:before="9"/>
        <w:rPr>
          <w:rFonts w:ascii="宋体" w:hAnsi="宋体" w:cs="宋体" w:eastAsia="宋体" w:hint="default"/>
          <w:sz w:val="18"/>
          <w:szCs w:val="18"/>
        </w:rPr>
      </w:pPr>
    </w:p>
    <w:p>
      <w:pPr>
        <w:pStyle w:val="BodyText"/>
        <w:spacing w:line="240" w:lineRule="auto"/>
        <w:ind w:left="574" w:right="0"/>
        <w:jc w:val="left"/>
      </w:pPr>
      <w:r>
        <w:rPr/>
        <w:t>本年度，公司聘请亚太所担任公司</w:t>
      </w:r>
      <w:r>
        <w:rPr>
          <w:spacing w:val="-53"/>
        </w:rPr>
        <w:t> </w:t>
      </w:r>
      <w:r>
        <w:rPr>
          <w:rFonts w:ascii="宋体" w:hAnsi="宋体" w:cs="宋体" w:eastAsia="宋体" w:hint="default"/>
        </w:rPr>
        <w:t>2018</w:t>
      </w:r>
      <w:r>
        <w:rPr>
          <w:rFonts w:ascii="宋体" w:hAnsi="宋体" w:cs="宋体" w:eastAsia="宋体" w:hint="default"/>
          <w:spacing w:val="-53"/>
        </w:rPr>
        <w:t> </w:t>
      </w:r>
      <w:r>
        <w:rPr/>
        <w:t>年度内控审计工作，内控审计费用</w:t>
      </w:r>
      <w:r>
        <w:rPr>
          <w:spacing w:val="-53"/>
        </w:rPr>
        <w:t> </w:t>
      </w:r>
      <w:r>
        <w:rPr>
          <w:rFonts w:ascii="宋体" w:hAnsi="宋体" w:cs="宋体" w:eastAsia="宋体" w:hint="default"/>
        </w:rPr>
        <w:t>55</w:t>
      </w:r>
      <w:r>
        <w:rPr>
          <w:rFonts w:ascii="宋体" w:hAnsi="宋体" w:cs="宋体" w:eastAsia="宋体" w:hint="default"/>
          <w:spacing w:val="-53"/>
        </w:rPr>
        <w:t> </w:t>
      </w:r>
      <w:r>
        <w:rPr/>
        <w:t>万元，已支付</w:t>
      </w:r>
      <w:r>
        <w:rPr>
          <w:spacing w:val="-54"/>
        </w:rPr>
        <w:t> </w:t>
      </w:r>
      <w:r>
        <w:rPr>
          <w:rFonts w:ascii="宋体" w:hAnsi="宋体" w:cs="宋体" w:eastAsia="宋体" w:hint="default"/>
        </w:rPr>
        <w:t>27.5</w:t>
      </w:r>
      <w:r>
        <w:rPr>
          <w:rFonts w:ascii="宋体" w:hAnsi="宋体" w:cs="宋体" w:eastAsia="宋体" w:hint="default"/>
          <w:spacing w:val="-55"/>
        </w:rPr>
        <w:t> </w:t>
      </w:r>
      <w:r>
        <w:rPr/>
        <w:t>万</w:t>
      </w:r>
    </w:p>
    <w:p>
      <w:pPr>
        <w:spacing w:line="240" w:lineRule="auto" w:before="9"/>
        <w:rPr>
          <w:rFonts w:ascii="宋体" w:hAnsi="宋体" w:cs="宋体" w:eastAsia="宋体" w:hint="default"/>
          <w:sz w:val="15"/>
          <w:szCs w:val="15"/>
        </w:rPr>
      </w:pPr>
    </w:p>
    <w:p>
      <w:pPr>
        <w:pStyle w:val="BodyText"/>
        <w:spacing w:line="240" w:lineRule="auto"/>
        <w:ind w:right="0"/>
        <w:jc w:val="left"/>
      </w:pPr>
      <w:r>
        <w:rPr/>
        <w:t>元，尚有</w:t>
      </w:r>
      <w:r>
        <w:rPr>
          <w:spacing w:val="-53"/>
        </w:rPr>
        <w:t> </w:t>
      </w:r>
      <w:r>
        <w:rPr>
          <w:rFonts w:ascii="宋体" w:hAnsi="宋体" w:cs="宋体" w:eastAsia="宋体" w:hint="default"/>
        </w:rPr>
        <w:t>27.5</w:t>
      </w:r>
      <w:r>
        <w:rPr>
          <w:rFonts w:ascii="宋体" w:hAnsi="宋体" w:cs="宋体" w:eastAsia="宋体" w:hint="default"/>
          <w:spacing w:val="-54"/>
        </w:rPr>
        <w:t> </w:t>
      </w:r>
      <w:r>
        <w:rPr/>
        <w:t>万元未支付。</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9"/>
        <w:ind w:right="0"/>
        <w:jc w:val="left"/>
        <w:rPr>
          <w:b w:val="0"/>
          <w:bCs w:val="0"/>
        </w:rPr>
      </w:pPr>
      <w:bookmarkStart w:name="十、年度报告披露后面临暂停上市和终止上市情况" w:id="73"/>
      <w:bookmarkEnd w:id="73"/>
      <w:r>
        <w:rPr>
          <w:b w:val="0"/>
          <w:bCs w:val="0"/>
        </w:rPr>
      </w:r>
      <w:r>
        <w:rPr/>
        <w:t>十、年度报告披露后面临暂停上市和终止上市情况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0"/>
        <w:ind w:right="0"/>
        <w:jc w:val="left"/>
      </w:pPr>
      <w:r>
        <w:rPr/>
        <w:t>□ 适用 √</w:t>
      </w:r>
      <w:r>
        <w:rPr>
          <w:spacing w:val="-1"/>
        </w:rPr>
        <w:t> </w:t>
      </w:r>
      <w:r>
        <w:rPr/>
        <w:t>不适用</w:t>
      </w:r>
    </w:p>
    <w:p>
      <w:pPr>
        <w:spacing w:line="240" w:lineRule="auto" w:before="1"/>
        <w:rPr>
          <w:rFonts w:ascii="宋体" w:hAnsi="宋体" w:cs="宋体" w:eastAsia="宋体" w:hint="default"/>
          <w:sz w:val="25"/>
          <w:szCs w:val="25"/>
        </w:rPr>
      </w:pPr>
    </w:p>
    <w:p>
      <w:pPr>
        <w:pStyle w:val="Heading2"/>
        <w:spacing w:line="240" w:lineRule="auto" w:before="0"/>
        <w:ind w:right="0"/>
        <w:jc w:val="left"/>
        <w:rPr>
          <w:b w:val="0"/>
          <w:bCs w:val="0"/>
        </w:rPr>
      </w:pPr>
      <w:bookmarkStart w:name="十一、破产重整相关事项" w:id="74"/>
      <w:bookmarkEnd w:id="74"/>
      <w:r>
        <w:rPr>
          <w:b w:val="0"/>
          <w:bCs w:val="0"/>
        </w:rPr>
      </w:r>
      <w:r>
        <w:rPr/>
        <w:t>十一、破产重整相关事项</w:t>
      </w:r>
      <w:r>
        <w:rPr>
          <w:b w:val="0"/>
          <w:bCs w:val="0"/>
        </w:rPr>
      </w:r>
    </w:p>
    <w:p>
      <w:pPr>
        <w:spacing w:line="240" w:lineRule="auto" w:before="0"/>
        <w:rPr>
          <w:rFonts w:ascii="宋体" w:hAnsi="宋体" w:cs="宋体" w:eastAsia="宋体" w:hint="default"/>
          <w:b/>
          <w:bCs/>
          <w:sz w:val="24"/>
          <w:szCs w:val="24"/>
        </w:rPr>
      </w:pPr>
    </w:p>
    <w:p>
      <w:pPr>
        <w:pStyle w:val="BodyText"/>
        <w:spacing w:line="453" w:lineRule="auto" w:before="161"/>
        <w:ind w:right="7182"/>
        <w:jc w:val="left"/>
      </w:pPr>
      <w:r>
        <w:rPr/>
        <w:t>□ 适用 √</w:t>
      </w:r>
      <w:r>
        <w:rPr>
          <w:spacing w:val="-1"/>
        </w:rPr>
        <w:t> </w:t>
      </w:r>
      <w:r>
        <w:rPr/>
        <w:t>不适用</w:t>
      </w:r>
      <w:r>
        <w:rPr/>
        <w:t> 公司报告期未发生破产重整相关事项。</w:t>
      </w:r>
    </w:p>
    <w:p>
      <w:pPr>
        <w:pStyle w:val="Heading2"/>
        <w:spacing w:line="240" w:lineRule="auto" w:before="143"/>
        <w:ind w:right="0"/>
        <w:jc w:val="left"/>
        <w:rPr>
          <w:b w:val="0"/>
          <w:bCs w:val="0"/>
        </w:rPr>
      </w:pPr>
      <w:bookmarkStart w:name="十二、重大诉讼、仲裁事项" w:id="75"/>
      <w:bookmarkEnd w:id="75"/>
      <w:r>
        <w:rPr>
          <w:b w:val="0"/>
          <w:bCs w:val="0"/>
        </w:rPr>
      </w:r>
      <w:r>
        <w:rPr/>
        <w:t>十二、重大诉讼、仲裁事项</w:t>
      </w:r>
      <w:r>
        <w:rPr>
          <w:b w:val="0"/>
          <w:bCs w:val="0"/>
        </w:rPr>
      </w:r>
    </w:p>
    <w:p>
      <w:pPr>
        <w:spacing w:line="240" w:lineRule="auto" w:before="0"/>
        <w:rPr>
          <w:rFonts w:ascii="宋体" w:hAnsi="宋体" w:cs="宋体" w:eastAsia="宋体" w:hint="default"/>
          <w:b/>
          <w:bCs/>
          <w:sz w:val="24"/>
          <w:szCs w:val="24"/>
        </w:rPr>
      </w:pPr>
    </w:p>
    <w:p>
      <w:pPr>
        <w:pStyle w:val="BodyText"/>
        <w:spacing w:line="456" w:lineRule="auto" w:before="160"/>
        <w:ind w:right="7182"/>
        <w:jc w:val="left"/>
      </w:pPr>
      <w:r>
        <w:rPr/>
        <w:t>□ 适用 √</w:t>
      </w:r>
      <w:r>
        <w:rPr>
          <w:spacing w:val="-1"/>
        </w:rPr>
        <w:t> </w:t>
      </w:r>
      <w:r>
        <w:rPr/>
        <w:t>不适用</w:t>
      </w:r>
      <w:r>
        <w:rPr/>
        <w:t> 本报告期公司无重大诉讼、仲裁事项。</w:t>
      </w:r>
    </w:p>
    <w:p>
      <w:pPr>
        <w:pStyle w:val="Heading2"/>
        <w:spacing w:line="240" w:lineRule="auto" w:before="139"/>
        <w:ind w:right="0"/>
        <w:jc w:val="left"/>
        <w:rPr>
          <w:b w:val="0"/>
          <w:bCs w:val="0"/>
        </w:rPr>
      </w:pPr>
      <w:bookmarkStart w:name="十三、处罚及整改情况" w:id="76"/>
      <w:bookmarkEnd w:id="76"/>
      <w:r>
        <w:rPr>
          <w:b w:val="0"/>
          <w:bCs w:val="0"/>
        </w:rPr>
      </w:r>
      <w:r>
        <w:rPr/>
        <w:t>十三、处罚及整改情况</w:t>
      </w:r>
      <w:r>
        <w:rPr>
          <w:b w:val="0"/>
          <w:bCs w:val="0"/>
        </w:rPr>
      </w:r>
    </w:p>
    <w:p>
      <w:pPr>
        <w:spacing w:line="240" w:lineRule="auto" w:before="0"/>
        <w:rPr>
          <w:rFonts w:ascii="宋体" w:hAnsi="宋体" w:cs="宋体" w:eastAsia="宋体" w:hint="default"/>
          <w:b/>
          <w:bCs/>
          <w:sz w:val="24"/>
          <w:szCs w:val="24"/>
        </w:rPr>
      </w:pPr>
    </w:p>
    <w:p>
      <w:pPr>
        <w:pStyle w:val="BodyText"/>
        <w:spacing w:line="453" w:lineRule="auto" w:before="162"/>
        <w:ind w:right="7392"/>
        <w:jc w:val="left"/>
      </w:pPr>
      <w:r>
        <w:rPr/>
        <w:t>□ 适用 √</w:t>
      </w:r>
      <w:r>
        <w:rPr>
          <w:spacing w:val="-1"/>
        </w:rPr>
        <w:t> </w:t>
      </w:r>
      <w:r>
        <w:rPr/>
        <w:t>不适用</w:t>
      </w:r>
      <w:r>
        <w:rPr/>
        <w:t> 公司报告期不存在处罚及整改情况。</w:t>
      </w:r>
    </w:p>
    <w:p>
      <w:pPr>
        <w:spacing w:after="0" w:line="453"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7"/>
      <w:bookmarkEnd w:id="77"/>
      <w:r>
        <w:rPr>
          <w:b w:val="0"/>
          <w:bCs w:val="0"/>
        </w:rPr>
      </w:r>
      <w:r>
        <w:rPr/>
        <w:t>十四、公司及其控股股东、实际控制人的诚信状况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1"/>
        <w:ind w:right="0"/>
        <w:jc w:val="left"/>
      </w:pPr>
      <w:r>
        <w:rPr/>
        <w:t>□ 适用 √</w:t>
      </w:r>
      <w:r>
        <w:rPr>
          <w:spacing w:val="-1"/>
        </w:rPr>
        <w:t> </w:t>
      </w:r>
      <w:r>
        <w:rPr/>
        <w:t>不适用</w:t>
      </w:r>
    </w:p>
    <w:p>
      <w:pPr>
        <w:spacing w:line="240" w:lineRule="auto" w:before="2"/>
        <w:rPr>
          <w:rFonts w:ascii="宋体" w:hAnsi="宋体" w:cs="宋体" w:eastAsia="宋体" w:hint="default"/>
          <w:sz w:val="25"/>
          <w:szCs w:val="25"/>
        </w:rPr>
      </w:pPr>
    </w:p>
    <w:p>
      <w:pPr>
        <w:pStyle w:val="Heading2"/>
        <w:spacing w:line="240" w:lineRule="auto" w:before="0"/>
        <w:ind w:right="0"/>
        <w:jc w:val="left"/>
        <w:rPr>
          <w:b w:val="0"/>
          <w:bCs w:val="0"/>
        </w:rPr>
      </w:pPr>
      <w:bookmarkStart w:name="十五、公司股权激励计划、员工持股计划或其他员工激励措施的实施情况" w:id="78"/>
      <w:bookmarkEnd w:id="78"/>
      <w:r>
        <w:rPr>
          <w:b w:val="0"/>
          <w:bCs w:val="0"/>
        </w:rPr>
      </w:r>
      <w:r>
        <w:rPr/>
        <w:t>十五、公司股权激励计划、员工持股计划或其他员工激励措施的实施情况</w:t>
      </w:r>
      <w:r>
        <w:rPr>
          <w:b w:val="0"/>
          <w:bCs w:val="0"/>
        </w:rPr>
      </w:r>
    </w:p>
    <w:p>
      <w:pPr>
        <w:spacing w:line="240" w:lineRule="auto" w:before="0"/>
        <w:rPr>
          <w:rFonts w:ascii="宋体" w:hAnsi="宋体" w:cs="宋体" w:eastAsia="宋体" w:hint="default"/>
          <w:b/>
          <w:bCs/>
          <w:sz w:val="24"/>
          <w:szCs w:val="24"/>
        </w:rPr>
      </w:pPr>
    </w:p>
    <w:p>
      <w:pPr>
        <w:pStyle w:val="BodyText"/>
        <w:spacing w:line="453" w:lineRule="auto" w:before="161"/>
        <w:ind w:right="3402"/>
        <w:jc w:val="left"/>
      </w:pPr>
      <w:r>
        <w:rPr/>
        <w:t>□ 适用 √</w:t>
      </w:r>
      <w:r>
        <w:rPr>
          <w:spacing w:val="-2"/>
        </w:rPr>
        <w:t> </w:t>
      </w:r>
      <w:r>
        <w:rPr/>
        <w:t>不适用</w:t>
      </w:r>
      <w:r>
        <w:rPr/>
        <w:t> 公司报告期无股权激励计划、员工持股计划或其他员工激励措施及其实施情况。</w:t>
      </w:r>
    </w:p>
    <w:p>
      <w:pPr>
        <w:spacing w:after="0" w:line="453" w:lineRule="auto"/>
        <w:jc w:val="left"/>
        <w:sectPr>
          <w:pgSz w:w="11910" w:h="16840"/>
          <w:pgMar w:header="877" w:footer="979" w:top="1100" w:bottom="1160" w:left="980" w:right="0"/>
        </w:sectPr>
      </w:pPr>
    </w:p>
    <w:p>
      <w:pPr>
        <w:spacing w:line="240" w:lineRule="auto" w:before="3"/>
        <w:rPr>
          <w:rFonts w:ascii="宋体" w:hAnsi="宋体" w:cs="宋体" w:eastAsia="宋体" w:hint="default"/>
          <w:sz w:val="22"/>
          <w:szCs w:val="22"/>
        </w:rPr>
      </w:pPr>
    </w:p>
    <w:p>
      <w:pPr>
        <w:pStyle w:val="Heading2"/>
        <w:spacing w:line="240" w:lineRule="auto" w:before="0"/>
        <w:ind w:left="960" w:right="-20"/>
        <w:jc w:val="left"/>
        <w:rPr>
          <w:b w:val="0"/>
          <w:bCs w:val="0"/>
        </w:rPr>
      </w:pPr>
      <w:r>
        <w:rPr/>
        <w:pict>
          <v:group style="position:absolute;margin-left:70.5pt;margin-top:.755627pt;width:701pt;height:.1pt;mso-position-horizontal-relative:page;mso-position-vertical-relative:paragraph;z-index:-1491880" coordorigin="1410,15" coordsize="14020,2">
            <v:shape style="position:absolute;left:1410;top:15;width:14020;height:2" coordorigin="1410,15" coordsize="14020,0" path="m1410,15l15430,15e" filled="false" stroked="true" strokeweight=".72pt" strokecolor="#000000">
              <v:path arrowok="t"/>
            </v:shape>
            <w10:wrap type="none"/>
          </v:group>
        </w:pict>
      </w:r>
      <w:bookmarkStart w:name="十六、重大关联交易" w:id="79"/>
      <w:bookmarkEnd w:id="79"/>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960" w:right="-20"/>
        <w:jc w:val="left"/>
        <w:rPr>
          <w:b w:val="0"/>
          <w:bCs w:val="0"/>
        </w:rPr>
      </w:pPr>
      <w:bookmarkStart w:name="1、与日常经营相关的关联交易" w:id="80"/>
      <w:bookmarkEnd w:id="80"/>
      <w:r>
        <w:rPr>
          <w:b w:val="0"/>
          <w:bCs w:val="0"/>
        </w:rPr>
      </w:r>
      <w:r>
        <w:rPr>
          <w:rFonts w:ascii="宋体" w:hAnsi="宋体" w:cs="宋体" w:eastAsia="宋体" w:hint="default"/>
        </w:rPr>
        <w:t>1</w:t>
      </w:r>
      <w:r>
        <w:rPr/>
        <w:t>、与日常经营相关的关联交易</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53" w:lineRule="auto"/>
        <w:ind w:left="960" w:right="-20"/>
        <w:jc w:val="left"/>
      </w:pPr>
      <w:r>
        <w:rPr/>
        <w:t>□ 适用 √</w:t>
      </w:r>
      <w:r>
        <w:rPr>
          <w:spacing w:val="-2"/>
        </w:rPr>
        <w:t> </w:t>
      </w:r>
      <w:r>
        <w:rPr/>
        <w:t>不适用</w:t>
      </w:r>
      <w:r>
        <w:rPr/>
        <w:t> 公司报告期未发生与日常经营相关的关联交易。</w:t>
      </w:r>
    </w:p>
    <w:p>
      <w:pPr>
        <w:pStyle w:val="Heading4"/>
        <w:spacing w:line="240" w:lineRule="auto" w:before="166"/>
        <w:ind w:left="960" w:right="-20"/>
        <w:jc w:val="left"/>
        <w:rPr>
          <w:b w:val="0"/>
          <w:bCs w:val="0"/>
        </w:rPr>
      </w:pPr>
      <w:bookmarkStart w:name="2、资产或股权收购、出售发生的关联交易" w:id="81"/>
      <w:bookmarkEnd w:id="81"/>
      <w:r>
        <w:rPr>
          <w:b w:val="0"/>
          <w:bCs w:val="0"/>
        </w:rPr>
      </w:r>
      <w:r>
        <w:rPr>
          <w:rFonts w:ascii="宋体" w:hAnsi="宋体" w:cs="宋体" w:eastAsia="宋体" w:hint="default"/>
        </w:rPr>
        <w:t>2</w:t>
      </w:r>
      <w:r>
        <w:rPr/>
        <w:t>、资产或股权收购、出售发生的关联交易</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240" w:lineRule="auto"/>
        <w:ind w:left="960" w:right="-20"/>
        <w:jc w:val="left"/>
      </w:pPr>
      <w:r>
        <w:rPr/>
        <w:t>√ 适用 □</w:t>
      </w:r>
      <w:r>
        <w:rPr>
          <w:spacing w:val="-2"/>
        </w:rPr>
        <w:t> </w:t>
      </w:r>
      <w:r>
        <w:rPr/>
        <w:t>不适用</w:t>
      </w:r>
    </w:p>
    <w:p>
      <w:pPr>
        <w:spacing w:before="15"/>
        <w:ind w:left="96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23"/>
          <w:footerReference w:type="default" r:id="rId24"/>
          <w:pgSz w:w="16840" w:h="11910" w:orient="landscape"/>
          <w:pgMar w:header="0" w:footer="0" w:top="800" w:bottom="0" w:left="480" w:right="400"/>
          <w:cols w:num="2" w:equalWidth="0">
            <w:col w:w="5371" w:space="4359"/>
            <w:col w:w="6230"/>
          </w:cols>
        </w:sectPr>
      </w:pPr>
    </w:p>
    <w:p>
      <w:pPr>
        <w:spacing w:line="240" w:lineRule="auto" w:before="1"/>
        <w:rPr>
          <w:rFonts w:ascii="宋体" w:hAnsi="宋体" w:cs="宋体" w:eastAsia="宋体" w:hint="default"/>
          <w:sz w:val="8"/>
          <w:szCs w:val="8"/>
        </w:rPr>
      </w:pPr>
      <w:r>
        <w:rPr/>
        <w:pict>
          <v:shape style="position:absolute;margin-left:395.420013pt;margin-top:350.140015pt;width:63.7pt;height:39pt;mso-position-horizontal-relative:page;mso-position-vertical-relative:page;z-index:-14919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pict>
          <v:group style="position:absolute;margin-left:419.600006pt;margin-top:350.140015pt;width:39.5pt;height:39pt;mso-position-horizontal-relative:page;mso-position-vertical-relative:page;z-index:-1491856" coordorigin="8392,7003" coordsize="790,780">
            <v:shape style="position:absolute;left:8392;top:7003;width:790;height:780" coordorigin="8392,7003" coordsize="790,780" path="m8392,7783l9182,7783,9182,7003,8392,7003,8392,7783xe" filled="true" fillcolor="#ffffff" stroked="false">
              <v:path arrowok="t"/>
              <v:fill type="solid"/>
            </v:shape>
            <w10:wrap type="none"/>
          </v:group>
        </w:pict>
      </w:r>
    </w:p>
    <w:tbl>
      <w:tblPr>
        <w:tblW w:w="0" w:type="auto"/>
        <w:jc w:val="left"/>
        <w:tblInd w:w="104" w:type="dxa"/>
        <w:tblLayout w:type="fixed"/>
        <w:tblCellMar>
          <w:top w:w="0" w:type="dxa"/>
          <w:left w:w="0" w:type="dxa"/>
          <w:bottom w:w="0" w:type="dxa"/>
          <w:right w:w="0" w:type="dxa"/>
        </w:tblCellMar>
        <w:tblLook w:val="01E0"/>
      </w:tblPr>
      <w:tblGrid>
        <w:gridCol w:w="799"/>
        <w:gridCol w:w="1327"/>
        <w:gridCol w:w="852"/>
        <w:gridCol w:w="2268"/>
        <w:gridCol w:w="2550"/>
        <w:gridCol w:w="801"/>
        <w:gridCol w:w="796"/>
        <w:gridCol w:w="798"/>
        <w:gridCol w:w="797"/>
        <w:gridCol w:w="920"/>
        <w:gridCol w:w="797"/>
        <w:gridCol w:w="3030"/>
      </w:tblGrid>
      <w:tr>
        <w:trPr>
          <w:trHeight w:val="1026"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8"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1" w:right="59" w:hanging="181"/>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8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49" w:right="0"/>
              <w:jc w:val="left"/>
              <w:rPr>
                <w:rFonts w:ascii="宋体" w:hAnsi="宋体" w:cs="宋体" w:eastAsia="宋体" w:hint="default"/>
                <w:sz w:val="18"/>
                <w:szCs w:val="18"/>
              </w:rPr>
            </w:pPr>
            <w:r>
              <w:rPr>
                <w:rFonts w:ascii="宋体" w:hAnsi="宋体" w:cs="宋体" w:eastAsia="宋体" w:hint="default"/>
                <w:sz w:val="18"/>
                <w:szCs w:val="18"/>
              </w:rPr>
              <w:t>关联交易定价原则</w:t>
            </w:r>
          </w:p>
        </w:tc>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33"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1" w:firstLine="9"/>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8"/>
                <w:sz w:val="18"/>
                <w:szCs w:val="18"/>
              </w:rPr>
              <w:t>值（万元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6" w:lineRule="exact" w:before="77"/>
              <w:ind w:left="34"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7"/>
              <w:ind w:left="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中国广电</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国广传媒拟将其 持有的国广控股 </w:t>
            </w:r>
            <w:r>
              <w:rPr>
                <w:rFonts w:ascii="宋体" w:hAnsi="宋体" w:cs="宋体" w:eastAsia="宋体" w:hint="default"/>
                <w:sz w:val="18"/>
                <w:szCs w:val="18"/>
              </w:rPr>
              <w:t>25%</w:t>
            </w:r>
            <w:r>
              <w:rPr>
                <w:rFonts w:ascii="宋体" w:hAnsi="宋体" w:cs="宋体" w:eastAsia="宋体" w:hint="default"/>
                <w:sz w:val="18"/>
                <w:szCs w:val="18"/>
              </w:rPr>
              <w:t>股权无偿划 转给中国广电， 中国广电为公司 的潜在关联方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96"/>
              <w:jc w:val="both"/>
              <w:rPr>
                <w:rFonts w:ascii="宋体" w:hAnsi="宋体" w:cs="宋体" w:eastAsia="宋体" w:hint="default"/>
                <w:sz w:val="18"/>
                <w:szCs w:val="18"/>
              </w:rPr>
            </w:pPr>
            <w:r>
              <w:rPr>
                <w:rFonts w:ascii="宋体" w:hAnsi="宋体" w:cs="宋体" w:eastAsia="宋体" w:hint="default"/>
                <w:sz w:val="18"/>
                <w:szCs w:val="18"/>
              </w:rPr>
              <w:t>共同投资 暨出售资 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3"/>
              <w:jc w:val="both"/>
              <w:rPr>
                <w:rFonts w:ascii="宋体" w:hAnsi="宋体" w:cs="宋体" w:eastAsia="宋体" w:hint="default"/>
                <w:sz w:val="18"/>
                <w:szCs w:val="18"/>
              </w:rPr>
            </w:pPr>
            <w:r>
              <w:rPr>
                <w:rFonts w:ascii="宋体" w:hAnsi="宋体" w:cs="宋体" w:eastAsia="宋体" w:hint="default"/>
                <w:sz w:val="18"/>
                <w:szCs w:val="18"/>
              </w:rPr>
              <w:t>公司以</w:t>
            </w:r>
            <w:r>
              <w:rPr>
                <w:rFonts w:ascii="宋体" w:hAnsi="宋体" w:cs="宋体" w:eastAsia="宋体" w:hint="default"/>
                <w:spacing w:val="-46"/>
                <w:sz w:val="18"/>
                <w:szCs w:val="18"/>
              </w:rPr>
              <w:t> </w:t>
            </w:r>
            <w:r>
              <w:rPr>
                <w:rFonts w:ascii="宋体" w:hAnsi="宋体" w:cs="宋体" w:eastAsia="宋体" w:hint="default"/>
                <w:sz w:val="18"/>
                <w:szCs w:val="18"/>
              </w:rPr>
              <w:t>24,985.00</w:t>
            </w:r>
            <w:r>
              <w:rPr>
                <w:rFonts w:ascii="宋体" w:hAnsi="宋体" w:cs="宋体" w:eastAsia="宋体" w:hint="default"/>
                <w:spacing w:val="-46"/>
                <w:sz w:val="18"/>
                <w:szCs w:val="18"/>
              </w:rPr>
              <w:t> </w:t>
            </w:r>
            <w:r>
              <w:rPr>
                <w:rFonts w:ascii="宋体" w:hAnsi="宋体" w:cs="宋体" w:eastAsia="宋体" w:hint="default"/>
                <w:sz w:val="18"/>
                <w:szCs w:val="18"/>
              </w:rPr>
              <w:t>万元的价 格向中国广电转让所持有的 国广东方</w:t>
            </w:r>
            <w:r>
              <w:rPr>
                <w:rFonts w:ascii="宋体" w:hAnsi="宋体" w:cs="宋体" w:eastAsia="宋体" w:hint="default"/>
                <w:spacing w:val="-41"/>
                <w:sz w:val="18"/>
                <w:szCs w:val="18"/>
              </w:rPr>
              <w:t> </w:t>
            </w:r>
            <w:r>
              <w:rPr>
                <w:rFonts w:ascii="宋体" w:hAnsi="宋体" w:cs="宋体" w:eastAsia="宋体" w:hint="default"/>
                <w:spacing w:val="-9"/>
                <w:sz w:val="18"/>
                <w:szCs w:val="18"/>
              </w:rPr>
              <w:t>19%</w:t>
            </w:r>
            <w:r>
              <w:rPr>
                <w:rFonts w:ascii="宋体" w:hAnsi="宋体" w:cs="宋体" w:eastAsia="宋体" w:hint="default"/>
                <w:spacing w:val="-9"/>
                <w:sz w:val="18"/>
                <w:szCs w:val="18"/>
              </w:rPr>
              <w:t>股权（对应注册</w:t>
            </w:r>
            <w:r>
              <w:rPr>
                <w:rFonts w:ascii="宋体" w:hAnsi="宋体" w:cs="宋体" w:eastAsia="宋体" w:hint="default"/>
                <w:sz w:val="18"/>
                <w:szCs w:val="18"/>
              </w:rPr>
              <w:t> 资本</w:t>
            </w:r>
            <w:r>
              <w:rPr>
                <w:rFonts w:ascii="宋体" w:hAnsi="宋体" w:cs="宋体" w:eastAsia="宋体" w:hint="default"/>
                <w:spacing w:val="-46"/>
                <w:sz w:val="18"/>
                <w:szCs w:val="18"/>
              </w:rPr>
              <w:t> </w:t>
            </w:r>
            <w:r>
              <w:rPr>
                <w:rFonts w:ascii="宋体" w:hAnsi="宋体" w:cs="宋体" w:eastAsia="宋体" w:hint="default"/>
                <w:sz w:val="18"/>
                <w:szCs w:val="18"/>
              </w:rPr>
              <w:t>3,735.2125</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据北京国融兴华资产评估有限 责任公司出具的《资产评估报 </w:t>
            </w:r>
            <w:r>
              <w:rPr>
                <w:rFonts w:ascii="宋体" w:hAnsi="宋体" w:cs="宋体" w:eastAsia="宋体" w:hint="default"/>
                <w:spacing w:val="-2"/>
                <w:sz w:val="18"/>
                <w:szCs w:val="18"/>
              </w:rPr>
              <w:t>告》的评估结果为定价参考，经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各方协商后确定的国广东方全 部权益价值为</w:t>
            </w:r>
            <w:r>
              <w:rPr>
                <w:rFonts w:ascii="宋体" w:hAnsi="宋体" w:cs="宋体" w:eastAsia="宋体" w:hint="default"/>
                <w:spacing w:val="-46"/>
                <w:sz w:val="18"/>
                <w:szCs w:val="18"/>
              </w:rPr>
              <w:t> </w:t>
            </w:r>
            <w:r>
              <w:rPr>
                <w:rFonts w:ascii="宋体" w:hAnsi="宋体" w:cs="宋体" w:eastAsia="宋体" w:hint="default"/>
                <w:sz w:val="18"/>
                <w:szCs w:val="18"/>
              </w:rPr>
              <w:t>13.15</w:t>
            </w:r>
            <w:r>
              <w:rPr>
                <w:rFonts w:ascii="宋体" w:hAnsi="宋体" w:cs="宋体" w:eastAsia="宋体" w:hint="default"/>
                <w:spacing w:val="-46"/>
                <w:sz w:val="18"/>
                <w:szCs w:val="18"/>
              </w:rPr>
              <w:t> </w:t>
            </w:r>
            <w:r>
              <w:rPr>
                <w:rFonts w:ascii="宋体" w:hAnsi="宋体" w:cs="宋体" w:eastAsia="宋体" w:hint="default"/>
                <w:spacing w:val="-5"/>
                <w:sz w:val="18"/>
                <w:szCs w:val="18"/>
              </w:rPr>
              <w:t>亿元，折算</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z w:val="18"/>
                <w:szCs w:val="18"/>
              </w:rPr>
              <w:t>股权价格为</w:t>
            </w:r>
            <w:r>
              <w:rPr>
                <w:rFonts w:ascii="宋体" w:hAnsi="宋体" w:cs="宋体" w:eastAsia="宋体" w:hint="default"/>
                <w:spacing w:val="-58"/>
                <w:sz w:val="18"/>
                <w:szCs w:val="18"/>
              </w:rPr>
              <w:t> </w:t>
            </w:r>
            <w:r>
              <w:rPr>
                <w:rFonts w:ascii="宋体" w:hAnsi="宋体" w:cs="宋体" w:eastAsia="宋体" w:hint="default"/>
                <w:sz w:val="18"/>
                <w:szCs w:val="18"/>
              </w:rPr>
              <w:t>24,985.00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13,290.6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24,986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24,985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现金方式</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15,262.17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
              <w:jc w:val="both"/>
              <w:rPr>
                <w:rFonts w:ascii="宋体" w:hAnsi="宋体" w:cs="宋体" w:eastAsia="宋体" w:hint="default"/>
                <w:sz w:val="18"/>
                <w:szCs w:val="18"/>
              </w:rPr>
            </w:pPr>
            <w:r>
              <w:rPr>
                <w:rFonts w:ascii="宋体" w:hAnsi="宋体" w:cs="宋体" w:eastAsia="宋体" w:hint="default"/>
                <w:spacing w:val="-6"/>
                <w:sz w:val="18"/>
                <w:szCs w:val="18"/>
              </w:rPr>
              <w:t>详见在巨潮网上披露的《关于转让国广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东方网络（北京）有限公司部分股权暨</w:t>
            </w:r>
            <w:r>
              <w:rPr>
                <w:rFonts w:ascii="宋体" w:hAnsi="宋体" w:cs="宋体" w:eastAsia="宋体" w:hint="default"/>
                <w:sz w:val="18"/>
                <w:szCs w:val="18"/>
              </w:rPr>
              <w:t> </w:t>
            </w:r>
            <w:r>
              <w:rPr>
                <w:rFonts w:ascii="宋体" w:hAnsi="宋体" w:cs="宋体" w:eastAsia="宋体" w:hint="default"/>
                <w:spacing w:val="-7"/>
                <w:sz w:val="18"/>
                <w:szCs w:val="18"/>
              </w:rPr>
              <w:t>关联交易的公告》（公告编号：</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2018-015</w:t>
            </w:r>
            <w:r>
              <w:rPr>
                <w:rFonts w:ascii="宋体" w:hAnsi="宋体" w:cs="宋体" w:eastAsia="宋体" w:hint="default"/>
                <w:spacing w:val="-90"/>
                <w:sz w:val="18"/>
                <w:szCs w:val="18"/>
              </w:rPr>
              <w:t>）、</w:t>
            </w:r>
            <w:r>
              <w:rPr>
                <w:rFonts w:ascii="宋体" w:hAnsi="宋体" w:cs="宋体" w:eastAsia="宋体" w:hint="default"/>
                <w:sz w:val="18"/>
                <w:szCs w:val="18"/>
              </w:rPr>
              <w:t>《关于转让国广东方网络</w:t>
            </w:r>
          </w:p>
          <w:p>
            <w:pPr>
              <w:pStyle w:val="TableParagraph"/>
              <w:spacing w:line="319" w:lineRule="auto" w:before="76"/>
              <w:ind w:left="22" w:right="21"/>
              <w:jc w:val="both"/>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pacing w:val="-86"/>
                <w:sz w:val="18"/>
                <w:szCs w:val="18"/>
              </w:rPr>
              <w:t>）</w:t>
            </w:r>
            <w:r>
              <w:rPr>
                <w:rFonts w:ascii="宋体" w:hAnsi="宋体" w:cs="宋体" w:eastAsia="宋体" w:hint="default"/>
                <w:sz w:val="18"/>
                <w:szCs w:val="18"/>
              </w:rPr>
              <w:t>有限公司部分股权暨关联交易</w:t>
            </w:r>
            <w:r>
              <w:rPr>
                <w:rFonts w:ascii="宋体" w:hAnsi="宋体" w:cs="宋体" w:eastAsia="宋体" w:hint="default"/>
                <w:sz w:val="18"/>
                <w:szCs w:val="18"/>
              </w:rPr>
              <w:t> 的进展公告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2018-035</w:t>
            </w:r>
            <w:r>
              <w:rPr>
                <w:rFonts w:ascii="宋体" w:hAnsi="宋体" w:cs="宋体" w:eastAsia="宋体" w:hint="default"/>
                <w:sz w:val="18"/>
                <w:szCs w:val="18"/>
              </w:rPr>
              <w:t>）</w:t>
            </w:r>
          </w:p>
        </w:tc>
      </w:tr>
      <w:tr>
        <w:trPr>
          <w:trHeight w:val="1026"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国际台</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2"/>
              <w:jc w:val="both"/>
              <w:rPr>
                <w:rFonts w:ascii="宋体" w:hAnsi="宋体" w:cs="宋体" w:eastAsia="宋体" w:hint="default"/>
                <w:sz w:val="18"/>
                <w:szCs w:val="18"/>
              </w:rPr>
            </w:pPr>
            <w:r>
              <w:rPr>
                <w:rFonts w:ascii="宋体" w:hAnsi="宋体" w:cs="宋体" w:eastAsia="宋体" w:hint="default"/>
                <w:sz w:val="18"/>
                <w:szCs w:val="18"/>
              </w:rPr>
              <w:t>国际台为公司最 终实际控制人之 一</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96"/>
              <w:jc w:val="left"/>
              <w:rPr>
                <w:rFonts w:ascii="宋体" w:hAnsi="宋体" w:cs="宋体" w:eastAsia="宋体" w:hint="default"/>
                <w:sz w:val="18"/>
                <w:szCs w:val="18"/>
              </w:rPr>
            </w:pPr>
            <w:r>
              <w:rPr>
                <w:rFonts w:ascii="宋体" w:hAnsi="宋体" w:cs="宋体" w:eastAsia="宋体" w:hint="default"/>
                <w:sz w:val="18"/>
                <w:szCs w:val="18"/>
              </w:rPr>
              <w:t>转让注册 商标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公司将向国际台转让注册商 标</w:t>
            </w:r>
            <w:r>
              <w:rPr>
                <w:rFonts w:ascii="宋体" w:hAnsi="宋体" w:cs="宋体" w:eastAsia="宋体" w:hint="default"/>
                <w:sz w:val="18"/>
                <w:szCs w:val="18"/>
              </w:rPr>
              <w:t>"CMG"</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14660961</w:t>
            </w:r>
            <w:r>
              <w:rPr>
                <w:rFonts w:ascii="宋体" w:hAnsi="宋体" w:cs="宋体" w:eastAsia="宋体" w:hint="default"/>
                <w:spacing w:val="-46"/>
                <w:sz w:val="18"/>
                <w:szCs w:val="18"/>
              </w:rPr>
              <w:t> </w:t>
            </w:r>
            <w:r>
              <w:rPr>
                <w:rFonts w:ascii="宋体" w:hAnsi="宋体" w:cs="宋体" w:eastAsia="宋体" w:hint="default"/>
                <w:sz w:val="18"/>
                <w:szCs w:val="18"/>
              </w:rPr>
              <w:t>号，</w:t>
            </w:r>
          </w:p>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38</w:t>
            </w:r>
            <w:r>
              <w:rPr>
                <w:rFonts w:ascii="宋体" w:hAnsi="宋体" w:cs="宋体" w:eastAsia="宋体" w:hint="default"/>
                <w:spacing w:val="-46"/>
                <w:sz w:val="18"/>
                <w:szCs w:val="18"/>
              </w:rPr>
              <w:t> </w:t>
            </w:r>
            <w:r>
              <w:rPr>
                <w:rFonts w:ascii="宋体" w:hAnsi="宋体" w:cs="宋体" w:eastAsia="宋体" w:hint="default"/>
                <w:sz w:val="18"/>
                <w:szCs w:val="18"/>
              </w:rPr>
              <w:t>类）及其商标权利</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2"/>
                <w:sz w:val="18"/>
                <w:szCs w:val="18"/>
              </w:rPr>
              <w:t>为了双方的长期友好合作，经双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方充分协商确定</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6"/>
                <w:sz w:val="18"/>
                <w:szCs w:val="18"/>
              </w:rPr>
              <w:t>详见在巨潮网上披露的《关于向中国国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际广播电台转让注册商标暨关联交易 </w:t>
            </w:r>
            <w:r>
              <w:rPr>
                <w:rFonts w:ascii="宋体" w:hAnsi="宋体" w:cs="宋体" w:eastAsia="宋体" w:hint="default"/>
                <w:spacing w:val="-5"/>
                <w:sz w:val="18"/>
                <w:szCs w:val="18"/>
              </w:rPr>
              <w:t>的公告》（公告编号：</w:t>
            </w:r>
            <w:r>
              <w:rPr>
                <w:rFonts w:ascii="宋体" w:hAnsi="宋体" w:cs="宋体" w:eastAsia="宋体" w:hint="default"/>
                <w:spacing w:val="-5"/>
                <w:sz w:val="18"/>
                <w:szCs w:val="18"/>
              </w:rPr>
              <w:t>2018-066</w:t>
            </w:r>
            <w:r>
              <w:rPr>
                <w:rFonts w:ascii="宋体" w:hAnsi="宋体" w:cs="宋体" w:eastAsia="宋体" w:hint="default"/>
                <w:spacing w:val="-5"/>
                <w:sz w:val="18"/>
                <w:szCs w:val="18"/>
              </w:rPr>
              <w:t>）</w:t>
            </w:r>
          </w:p>
        </w:tc>
      </w:tr>
      <w:tr>
        <w:trPr>
          <w:trHeight w:val="402" w:hRule="exact"/>
        </w:trPr>
        <w:tc>
          <w:tcPr>
            <w:tcW w:w="52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转让价格与账面价值或评估价值差异较大的原因（如有）</w:t>
            </w:r>
          </w:p>
        </w:tc>
        <w:tc>
          <w:tcPr>
            <w:tcW w:w="1048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52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1048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①转让国广东方</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z w:val="18"/>
                <w:szCs w:val="18"/>
              </w:rPr>
              <w:t>股权获得投资收益约</w:t>
            </w:r>
            <w:r>
              <w:rPr>
                <w:rFonts w:ascii="宋体" w:hAnsi="宋体" w:cs="宋体" w:eastAsia="宋体" w:hint="default"/>
                <w:spacing w:val="-46"/>
                <w:sz w:val="18"/>
                <w:szCs w:val="18"/>
              </w:rPr>
              <w:t> </w:t>
            </w:r>
            <w:r>
              <w:rPr>
                <w:rFonts w:ascii="宋体" w:hAnsi="宋体" w:cs="宋体" w:eastAsia="宋体" w:hint="default"/>
                <w:sz w:val="18"/>
                <w:szCs w:val="18"/>
              </w:rPr>
              <w:t>15,262.17</w:t>
            </w:r>
            <w:r>
              <w:rPr>
                <w:rFonts w:ascii="宋体" w:hAnsi="宋体" w:cs="宋体" w:eastAsia="宋体" w:hint="default"/>
                <w:spacing w:val="-46"/>
                <w:sz w:val="18"/>
                <w:szCs w:val="18"/>
              </w:rPr>
              <w:t> </w:t>
            </w:r>
            <w:r>
              <w:rPr>
                <w:rFonts w:ascii="宋体" w:hAnsi="宋体" w:cs="宋体" w:eastAsia="宋体" w:hint="default"/>
                <w:sz w:val="18"/>
                <w:szCs w:val="18"/>
              </w:rPr>
              <w:t>万元（含原计入其他综合收益及资本公积中转出的收益</w:t>
            </w:r>
            <w:r>
              <w:rPr>
                <w:rFonts w:ascii="宋体" w:hAnsi="宋体" w:cs="宋体" w:eastAsia="宋体" w:hint="default"/>
                <w:spacing w:val="-46"/>
                <w:sz w:val="18"/>
                <w:szCs w:val="18"/>
              </w:rPr>
              <w:t> </w:t>
            </w:r>
            <w:r>
              <w:rPr>
                <w:rFonts w:ascii="宋体" w:hAnsi="宋体" w:cs="宋体" w:eastAsia="宋体" w:hint="default"/>
                <w:sz w:val="18"/>
                <w:szCs w:val="18"/>
              </w:rPr>
              <w:t>3,567.77</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，扣除相</w:t>
            </w:r>
          </w:p>
          <w:p>
            <w:pPr>
              <w:pStyle w:val="TableParagraph"/>
              <w:spacing w:line="319" w:lineRule="auto" w:before="76"/>
              <w:ind w:left="22" w:right="105"/>
              <w:jc w:val="left"/>
              <w:rPr>
                <w:rFonts w:ascii="宋体" w:hAnsi="宋体" w:cs="宋体" w:eastAsia="宋体" w:hint="default"/>
                <w:sz w:val="18"/>
                <w:szCs w:val="18"/>
              </w:rPr>
            </w:pPr>
            <w:r>
              <w:rPr>
                <w:rFonts w:ascii="宋体" w:hAnsi="宋体" w:cs="宋体" w:eastAsia="宋体" w:hint="default"/>
                <w:sz w:val="18"/>
                <w:szCs w:val="18"/>
              </w:rPr>
              <w:t>关税费等影响因素后，将对公司</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年的利润产生较大的影响；②转让注册商标及其商标权利对公司的财务状况、经营成果暂无影 响，如果后续推进有关合作，对加快公司发展具有重要意义。</w:t>
            </w:r>
          </w:p>
        </w:tc>
      </w:tr>
      <w:tr>
        <w:trPr>
          <w:trHeight w:val="402" w:hRule="exact"/>
        </w:trPr>
        <w:tc>
          <w:tcPr>
            <w:tcW w:w="52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如相关交易涉及业绩约定的，报告期内的业绩实现情况</w:t>
            </w:r>
          </w:p>
        </w:tc>
        <w:tc>
          <w:tcPr>
            <w:tcW w:w="1048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5"/>
        <w:ind w:left="0" w:right="1036" w:firstLine="0"/>
        <w:jc w:val="right"/>
        <w:rPr>
          <w:rFonts w:ascii="Times New Roman" w:hAnsi="Times New Roman" w:cs="Times New Roman" w:eastAsia="Times New Roman" w:hint="default"/>
          <w:sz w:val="18"/>
          <w:szCs w:val="18"/>
        </w:rPr>
      </w:pPr>
      <w:r>
        <w:rPr>
          <w:rFonts w:ascii="Times New Roman"/>
          <w:sz w:val="18"/>
        </w:rPr>
        <w:t>73</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spacing w:line="371" w:lineRule="exact"/>
        <w:ind w:left="113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2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480" w:right="400"/>
        </w:sectPr>
      </w:pPr>
    </w:p>
    <w:p>
      <w:pPr>
        <w:spacing w:line="240" w:lineRule="auto" w:before="7"/>
        <w:rPr>
          <w:rFonts w:ascii="Times New Roman" w:hAnsi="Times New Roman" w:cs="Times New Roman" w:eastAsia="Times New Roman" w:hint="default"/>
          <w:sz w:val="23"/>
          <w:szCs w:val="23"/>
        </w:rPr>
      </w:pPr>
    </w:p>
    <w:p>
      <w:pPr>
        <w:pStyle w:val="Heading4"/>
        <w:spacing w:line="240" w:lineRule="auto" w:before="35"/>
        <w:ind w:right="0"/>
        <w:jc w:val="left"/>
        <w:rPr>
          <w:b w:val="0"/>
          <w:bCs w:val="0"/>
        </w:rPr>
      </w:pPr>
      <w:bookmarkStart w:name="3、共同对外投资的关联交易" w:id="82"/>
      <w:bookmarkEnd w:id="82"/>
      <w:r>
        <w:rPr>
          <w:b w:val="0"/>
          <w:bCs w:val="0"/>
        </w:rPr>
      </w:r>
      <w:r>
        <w:rPr>
          <w:rFonts w:ascii="宋体" w:hAnsi="宋体" w:cs="宋体" w:eastAsia="宋体" w:hint="default"/>
        </w:rPr>
        <w:t>3</w:t>
      </w:r>
      <w:r>
        <w:rPr/>
        <w:t>、共同对外投资的关联交易</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53" w:lineRule="auto"/>
        <w:ind w:right="6552"/>
        <w:jc w:val="left"/>
      </w:pPr>
      <w:r>
        <w:rPr/>
        <w:t>□ 适用 √</w:t>
      </w:r>
      <w:r>
        <w:rPr>
          <w:spacing w:val="-1"/>
        </w:rPr>
        <w:t> </w:t>
      </w:r>
      <w:r>
        <w:rPr/>
        <w:t>不适用</w:t>
      </w:r>
      <w:r>
        <w:rPr/>
        <w:t> 公司报告期未发生共同对外投资的关联交易。</w:t>
      </w:r>
    </w:p>
    <w:p>
      <w:pPr>
        <w:pStyle w:val="Heading4"/>
        <w:spacing w:line="240" w:lineRule="auto" w:before="166"/>
        <w:ind w:right="0"/>
        <w:jc w:val="left"/>
        <w:rPr>
          <w:b w:val="0"/>
          <w:bCs w:val="0"/>
        </w:rPr>
      </w:pPr>
      <w:bookmarkStart w:name="4、关联债权债务往来" w:id="83"/>
      <w:bookmarkEnd w:id="83"/>
      <w:r>
        <w:rPr>
          <w:b w:val="0"/>
          <w:bCs w:val="0"/>
        </w:rPr>
      </w:r>
      <w:r>
        <w:rPr>
          <w:rFonts w:ascii="宋体" w:hAnsi="宋体" w:cs="宋体" w:eastAsia="宋体" w:hint="default"/>
        </w:rPr>
        <w:t>4</w:t>
      </w:r>
      <w:r>
        <w:rPr/>
        <w:t>、关联债权债务往来</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56" w:lineRule="auto"/>
        <w:ind w:right="7182"/>
        <w:jc w:val="left"/>
      </w:pPr>
      <w:r>
        <w:rPr/>
        <w:t>□ 适用 √</w:t>
      </w:r>
      <w:r>
        <w:rPr>
          <w:spacing w:val="-1"/>
        </w:rPr>
        <w:t> </w:t>
      </w:r>
      <w:r>
        <w:rPr/>
        <w:t>不适用</w:t>
      </w:r>
      <w:r>
        <w:rPr/>
        <w:t> 公司报告期不存在关联债权债务往来。</w:t>
      </w:r>
    </w:p>
    <w:p>
      <w:pPr>
        <w:pStyle w:val="Heading4"/>
        <w:spacing w:line="240" w:lineRule="auto" w:before="162"/>
        <w:ind w:right="0"/>
        <w:jc w:val="left"/>
        <w:rPr>
          <w:b w:val="0"/>
          <w:bCs w:val="0"/>
        </w:rPr>
      </w:pPr>
      <w:bookmarkStart w:name="5、其他重大关联交易" w:id="84"/>
      <w:bookmarkEnd w:id="84"/>
      <w:r>
        <w:rPr>
          <w:b w:val="0"/>
          <w:bCs w:val="0"/>
        </w:rPr>
      </w:r>
      <w:r>
        <w:rPr>
          <w:rFonts w:ascii="宋体" w:hAnsi="宋体" w:cs="宋体" w:eastAsia="宋体" w:hint="default"/>
        </w:rPr>
        <w:t>5</w:t>
      </w:r>
      <w:r>
        <w:rPr/>
        <w:t>、其他重大关联交易</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240" w:lineRule="auto"/>
        <w:ind w:right="0"/>
        <w:jc w:val="left"/>
      </w:pPr>
      <w:r>
        <w:rPr/>
        <w:t>√ 适用 □</w:t>
      </w:r>
      <w:r>
        <w:rPr>
          <w:spacing w:val="-1"/>
        </w:rPr>
        <w:t> </w:t>
      </w:r>
      <w:r>
        <w:rPr/>
        <w:t>不适用</w:t>
      </w:r>
    </w:p>
    <w:p>
      <w:pPr>
        <w:spacing w:line="240" w:lineRule="auto" w:before="9"/>
        <w:rPr>
          <w:rFonts w:ascii="宋体" w:hAnsi="宋体" w:cs="宋体" w:eastAsia="宋体" w:hint="default"/>
          <w:sz w:val="18"/>
          <w:szCs w:val="18"/>
        </w:rPr>
      </w:pPr>
    </w:p>
    <w:p>
      <w:pPr>
        <w:pStyle w:val="BodyText"/>
        <w:spacing w:line="240" w:lineRule="auto"/>
        <w:ind w:left="574" w:right="0"/>
        <w:jc w:val="left"/>
      </w:pPr>
      <w:r>
        <w:rPr/>
        <w:t>（</w:t>
      </w:r>
      <w:r>
        <w:rPr>
          <w:rFonts w:ascii="宋体" w:hAnsi="宋体" w:cs="宋体" w:eastAsia="宋体" w:hint="default"/>
        </w:rPr>
        <w:t>1</w:t>
      </w:r>
      <w:r>
        <w:rPr/>
        <w:t>）国广光荣与国广控股之间的关联交易</w:t>
      </w:r>
    </w:p>
    <w:p>
      <w:pPr>
        <w:spacing w:line="240" w:lineRule="auto" w:before="10"/>
        <w:rPr>
          <w:rFonts w:ascii="宋体" w:hAnsi="宋体" w:cs="宋体" w:eastAsia="宋体" w:hint="default"/>
          <w:sz w:val="18"/>
          <w:szCs w:val="18"/>
        </w:rPr>
      </w:pPr>
    </w:p>
    <w:p>
      <w:pPr>
        <w:pStyle w:val="BodyText"/>
        <w:spacing w:line="420" w:lineRule="auto"/>
        <w:ind w:right="1131" w:firstLine="420"/>
        <w:jc w:val="both"/>
        <w:rPr>
          <w:rFonts w:ascii="宋体" w:hAnsi="宋体" w:cs="宋体" w:eastAsia="宋体" w:hint="default"/>
        </w:rPr>
      </w:pPr>
      <w:r>
        <w:rPr/>
        <w:t>国广光荣于</w:t>
      </w:r>
      <w:r>
        <w:rPr>
          <w:spacing w:val="-52"/>
        </w:rPr>
        <w:t> </w:t>
      </w:r>
      <w:r>
        <w:rPr>
          <w:rFonts w:ascii="宋体" w:hAnsi="宋体" w:cs="宋体" w:eastAsia="宋体" w:hint="default"/>
        </w:rPr>
        <w:t>2011</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spacing w:val="-4"/>
        </w:rPr>
        <w:t>日与公司实际控制人国广控股签订《经营业务授权协议》，国广控股授予国</w:t>
      </w:r>
      <w:r>
        <w:rPr/>
        <w:t> </w:t>
      </w:r>
      <w:r>
        <w:rPr>
          <w:spacing w:val="-1"/>
        </w:rPr>
        <w:t>广光荣拥有国际台国内广播频率广告经营业务的独家经营权，国广光荣按照每年度经营国际台国内广播频</w:t>
      </w:r>
      <w:r>
        <w:rPr>
          <w:spacing w:val="-81"/>
        </w:rPr>
        <w:t> </w:t>
      </w:r>
      <w:r>
        <w:rPr>
          <w:spacing w:val="-81"/>
        </w:rPr>
      </w:r>
      <w:r>
        <w:rPr/>
        <w:t>率广告经营业务收入的</w:t>
      </w:r>
      <w:r>
        <w:rPr>
          <w:spacing w:val="-48"/>
        </w:rPr>
        <w:t> </w:t>
      </w:r>
      <w:r>
        <w:rPr>
          <w:rFonts w:ascii="宋体" w:hAnsi="宋体" w:cs="宋体" w:eastAsia="宋体" w:hint="default"/>
          <w:spacing w:val="-4"/>
        </w:rPr>
        <w:t>33%</w:t>
      </w:r>
      <w:r>
        <w:rPr>
          <w:spacing w:val="-4"/>
        </w:rPr>
        <w:t>向国广控股支付广告费用，并确保每个完整年度支付的广告费用不得低于</w:t>
      </w:r>
      <w:r>
        <w:rPr>
          <w:spacing w:val="-48"/>
        </w:rPr>
        <w:t> </w:t>
      </w:r>
      <w:r>
        <w:rPr>
          <w:rFonts w:ascii="宋体" w:hAnsi="宋体" w:cs="宋体" w:eastAsia="宋体" w:hint="default"/>
        </w:rPr>
        <w:t>4,500</w:t>
      </w:r>
    </w:p>
    <w:p>
      <w:pPr>
        <w:pStyle w:val="BodyText"/>
        <w:spacing w:line="240" w:lineRule="auto" w:before="48"/>
        <w:ind w:right="0"/>
        <w:jc w:val="left"/>
      </w:pPr>
      <w:r>
        <w:rPr/>
        <w:t>万元，授权期限为</w:t>
      </w:r>
      <w:r>
        <w:rPr>
          <w:spacing w:val="-52"/>
        </w:rPr>
        <w:t> </w:t>
      </w:r>
      <w:r>
        <w:rPr>
          <w:rFonts w:ascii="宋体" w:hAnsi="宋体" w:cs="宋体" w:eastAsia="宋体" w:hint="default"/>
          <w:spacing w:val="-1"/>
        </w:rPr>
        <w:t>3</w:t>
      </w:r>
      <w:r>
        <w:rPr>
          <w:rFonts w:ascii="宋体" w:hAnsi="宋体" w:cs="宋体" w:eastAsia="宋体" w:hint="default"/>
        </w:rPr>
        <w:t>0</w:t>
      </w:r>
      <w:r>
        <w:rPr>
          <w:rFonts w:ascii="宋体" w:hAnsi="宋体" w:cs="宋体" w:eastAsia="宋体" w:hint="default"/>
          <w:spacing w:val="-52"/>
        </w:rPr>
        <w:t> </w:t>
      </w:r>
      <w:r>
        <w:rPr>
          <w:spacing w:val="-2"/>
        </w:rPr>
        <w:t>年</w:t>
      </w:r>
      <w:r>
        <w:rPr/>
        <w:t>（即自</w:t>
      </w:r>
      <w:r>
        <w:rPr>
          <w:spacing w:val="-53"/>
        </w:rPr>
        <w:t> </w:t>
      </w:r>
      <w:r>
        <w:rPr>
          <w:rFonts w:ascii="宋体" w:hAnsi="宋体" w:cs="宋体" w:eastAsia="宋体" w:hint="default"/>
        </w:rPr>
        <w:t>2011</w:t>
      </w:r>
      <w:r>
        <w:rPr>
          <w:rFonts w:ascii="宋体" w:hAnsi="宋体" w:cs="宋体" w:eastAsia="宋体" w:hint="default"/>
          <w:spacing w:val="-54"/>
        </w:rPr>
        <w:t> </w:t>
      </w:r>
      <w:r>
        <w:rPr/>
        <w:t>年</w:t>
      </w:r>
      <w:r>
        <w:rPr>
          <w:spacing w:val="-53"/>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2"/>
        </w:rPr>
        <w:t> </w:t>
      </w:r>
      <w:r>
        <w:rPr>
          <w:spacing w:val="-2"/>
        </w:rPr>
        <w:t>日</w:t>
      </w:r>
      <w:r>
        <w:rPr/>
        <w:t>起至</w:t>
      </w:r>
      <w:r>
        <w:rPr>
          <w:spacing w:val="-53"/>
        </w:rPr>
        <w:t> </w:t>
      </w:r>
      <w:r>
        <w:rPr>
          <w:rFonts w:ascii="宋体" w:hAnsi="宋体" w:cs="宋体" w:eastAsia="宋体" w:hint="default"/>
        </w:rPr>
        <w:t>2040</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2"/>
        </w:rPr>
        <w:t> </w:t>
      </w:r>
      <w:r>
        <w:rPr/>
        <w:t>日</w:t>
      </w:r>
      <w:r>
        <w:rPr>
          <w:spacing w:val="-2"/>
        </w:rPr>
        <w:t>止</w:t>
      </w:r>
      <w:r>
        <w:rPr>
          <w:spacing w:val="-105"/>
        </w:rPr>
        <w:t>）</w:t>
      </w:r>
      <w:r>
        <w:rPr/>
        <w:t>。</w:t>
      </w:r>
    </w:p>
    <w:p>
      <w:pPr>
        <w:spacing w:line="240" w:lineRule="auto" w:before="9"/>
        <w:rPr>
          <w:rFonts w:ascii="宋体" w:hAnsi="宋体" w:cs="宋体" w:eastAsia="宋体" w:hint="default"/>
          <w:sz w:val="18"/>
          <w:szCs w:val="18"/>
        </w:rPr>
      </w:pPr>
    </w:p>
    <w:p>
      <w:pPr>
        <w:pStyle w:val="BodyText"/>
        <w:spacing w:line="240" w:lineRule="auto"/>
        <w:ind w:left="574" w:right="0"/>
        <w:jc w:val="left"/>
      </w:pPr>
      <w:r>
        <w:rPr>
          <w:rFonts w:ascii="宋体" w:hAnsi="宋体" w:cs="宋体" w:eastAsia="宋体" w:hint="default"/>
        </w:rPr>
        <w:t>2018</w:t>
      </w:r>
      <w:r>
        <w:rPr>
          <w:rFonts w:ascii="宋体" w:hAnsi="宋体" w:cs="宋体" w:eastAsia="宋体" w:hint="default"/>
          <w:spacing w:val="-51"/>
        </w:rPr>
        <w:t> </w:t>
      </w:r>
      <w:r>
        <w:rPr/>
        <w:t>年</w:t>
      </w:r>
      <w:r>
        <w:rPr>
          <w:spacing w:val="-61"/>
        </w:rPr>
        <w:t>，</w:t>
      </w:r>
      <w:r>
        <w:rPr>
          <w:spacing w:val="-2"/>
        </w:rPr>
        <w:t>国</w:t>
      </w:r>
      <w:r>
        <w:rPr/>
        <w:t>广光荣实现营业收入</w:t>
      </w:r>
      <w:r>
        <w:rPr>
          <w:spacing w:val="-53"/>
        </w:rPr>
        <w:t> </w:t>
      </w:r>
      <w:r>
        <w:rPr>
          <w:rFonts w:ascii="宋体" w:hAnsi="宋体" w:cs="宋体" w:eastAsia="宋体" w:hint="default"/>
        </w:rPr>
        <w:t>23,040.72</w:t>
      </w:r>
      <w:r>
        <w:rPr>
          <w:rFonts w:ascii="宋体" w:hAnsi="宋体" w:cs="宋体" w:eastAsia="宋体" w:hint="default"/>
          <w:spacing w:val="-52"/>
        </w:rPr>
        <w:t> </w:t>
      </w:r>
      <w:r>
        <w:rPr/>
        <w:t>万</w:t>
      </w:r>
      <w:r>
        <w:rPr>
          <w:spacing w:val="-2"/>
        </w:rPr>
        <w:t>元</w:t>
      </w:r>
      <w:r>
        <w:rPr>
          <w:spacing w:val="-61"/>
        </w:rPr>
        <w:t>，</w:t>
      </w:r>
      <w:r>
        <w:rPr/>
        <w:t>向国广控股支付广告费用</w:t>
      </w:r>
      <w:r>
        <w:rPr>
          <w:spacing w:val="-52"/>
        </w:rPr>
        <w:t> </w:t>
      </w:r>
      <w:r>
        <w:rPr>
          <w:rFonts w:ascii="宋体" w:hAnsi="宋体" w:cs="宋体" w:eastAsia="宋体" w:hint="default"/>
        </w:rPr>
        <w:t>4,245.28</w:t>
      </w:r>
      <w:r>
        <w:rPr>
          <w:rFonts w:ascii="宋体" w:hAnsi="宋体" w:cs="宋体" w:eastAsia="宋体" w:hint="default"/>
          <w:spacing w:val="-54"/>
        </w:rPr>
        <w:t> </w:t>
      </w:r>
      <w:r>
        <w:rPr/>
        <w:t>万</w:t>
      </w:r>
      <w:r>
        <w:rPr>
          <w:spacing w:val="-61"/>
        </w:rPr>
        <w:t>元</w:t>
      </w:r>
      <w:r>
        <w:rPr/>
        <w:t>（不含税</w:t>
      </w:r>
      <w:r>
        <w:rPr>
          <w:spacing w:val="-105"/>
        </w:rPr>
        <w:t>）</w:t>
      </w:r>
      <w:r>
        <w:rPr/>
        <w:t>。</w:t>
      </w:r>
    </w:p>
    <w:p>
      <w:pPr>
        <w:spacing w:line="240" w:lineRule="auto" w:before="9"/>
        <w:rPr>
          <w:rFonts w:ascii="宋体" w:hAnsi="宋体" w:cs="宋体" w:eastAsia="宋体" w:hint="default"/>
          <w:sz w:val="18"/>
          <w:szCs w:val="18"/>
        </w:rPr>
      </w:pPr>
    </w:p>
    <w:p>
      <w:pPr>
        <w:pStyle w:val="BodyText"/>
        <w:spacing w:line="240" w:lineRule="auto"/>
        <w:ind w:left="574" w:right="0"/>
        <w:jc w:val="left"/>
      </w:pPr>
      <w:r>
        <w:rPr/>
        <w:t>（</w:t>
      </w:r>
      <w:r>
        <w:rPr>
          <w:rFonts w:ascii="宋体" w:hAnsi="宋体" w:cs="宋体" w:eastAsia="宋体" w:hint="default"/>
        </w:rPr>
        <w:t>2</w:t>
      </w:r>
      <w:r>
        <w:rPr/>
        <w:t>）国视上海与国视北京之间的关联交易</w:t>
      </w:r>
    </w:p>
    <w:p>
      <w:pPr>
        <w:spacing w:line="240" w:lineRule="auto" w:before="10"/>
        <w:rPr>
          <w:rFonts w:ascii="宋体" w:hAnsi="宋体" w:cs="宋体" w:eastAsia="宋体" w:hint="default"/>
          <w:sz w:val="18"/>
          <w:szCs w:val="18"/>
        </w:rPr>
      </w:pPr>
    </w:p>
    <w:p>
      <w:pPr>
        <w:pStyle w:val="BodyText"/>
        <w:spacing w:line="240" w:lineRule="auto"/>
        <w:ind w:left="574" w:right="0"/>
        <w:jc w:val="left"/>
      </w:pPr>
      <w:r>
        <w:rPr/>
        <w:t>国视上海于</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日与国广控股控股子公司国视北京签订</w:t>
      </w:r>
      <w:r>
        <w:rPr>
          <w:spacing w:val="-11"/>
        </w:rPr>
        <w:t>了</w:t>
      </w:r>
      <w:r>
        <w:rPr/>
        <w:t>《运营管理服务协议</w:t>
      </w:r>
      <w:r>
        <w:rPr>
          <w:spacing w:val="-105"/>
        </w:rPr>
        <w:t>》</w:t>
      </w:r>
      <w:r>
        <w:rPr>
          <w:spacing w:val="-11"/>
        </w:rPr>
        <w:t>，</w:t>
      </w:r>
      <w:r>
        <w:rPr/>
        <w:t>合</w:t>
      </w:r>
      <w:r>
        <w:rPr>
          <w:spacing w:val="-2"/>
        </w:rPr>
        <w:t>作</w:t>
      </w:r>
      <w:r>
        <w:rPr/>
        <w:t>有效</w:t>
      </w:r>
    </w:p>
    <w:p>
      <w:pPr>
        <w:spacing w:line="240" w:lineRule="auto" w:before="9"/>
        <w:rPr>
          <w:rFonts w:ascii="宋体" w:hAnsi="宋体" w:cs="宋体" w:eastAsia="宋体" w:hint="default"/>
          <w:sz w:val="15"/>
          <w:szCs w:val="15"/>
        </w:rPr>
      </w:pPr>
    </w:p>
    <w:p>
      <w:pPr>
        <w:pStyle w:val="BodyText"/>
        <w:spacing w:line="420" w:lineRule="auto"/>
        <w:ind w:right="1117"/>
        <w:jc w:val="left"/>
      </w:pPr>
      <w:r>
        <w:rPr/>
        <w:t>期自</w:t>
      </w:r>
      <w:r>
        <w:rPr>
          <w:spacing w:val="-55"/>
        </w:rPr>
        <w:t> </w:t>
      </w:r>
      <w:r>
        <w:rPr>
          <w:rFonts w:ascii="宋体" w:hAnsi="宋体" w:cs="宋体" w:eastAsia="宋体" w:hint="default"/>
        </w:rPr>
        <w:t>2014</w:t>
      </w:r>
      <w:r>
        <w:rPr>
          <w:rFonts w:ascii="宋体" w:hAnsi="宋体" w:cs="宋体" w:eastAsia="宋体" w:hint="default"/>
          <w:spacing w:val="-55"/>
        </w:rPr>
        <w:t> </w:t>
      </w:r>
      <w:r>
        <w:rPr/>
        <w:t>年</w:t>
      </w:r>
      <w:r>
        <w:rPr>
          <w:spacing w:val="-56"/>
        </w:rPr>
        <w:t> </w:t>
      </w:r>
      <w:r>
        <w:rPr>
          <w:rFonts w:ascii="宋体" w:hAnsi="宋体" w:cs="宋体" w:eastAsia="宋体" w:hint="default"/>
        </w:rPr>
        <w:t>1</w:t>
      </w:r>
      <w:r>
        <w:rPr>
          <w:rFonts w:ascii="宋体" w:hAnsi="宋体" w:cs="宋体" w:eastAsia="宋体" w:hint="default"/>
          <w:spacing w:val="-55"/>
        </w:rPr>
        <w:t> </w:t>
      </w:r>
      <w:r>
        <w:rPr/>
        <w:t>月</w:t>
      </w:r>
      <w:r>
        <w:rPr>
          <w:spacing w:val="-56"/>
        </w:rPr>
        <w:t> </w:t>
      </w:r>
      <w:r>
        <w:rPr>
          <w:rFonts w:ascii="宋体" w:hAnsi="宋体" w:cs="宋体" w:eastAsia="宋体" w:hint="default"/>
        </w:rPr>
        <w:t>1</w:t>
      </w:r>
      <w:r>
        <w:rPr>
          <w:rFonts w:ascii="宋体" w:hAnsi="宋体" w:cs="宋体" w:eastAsia="宋体" w:hint="default"/>
          <w:spacing w:val="-55"/>
        </w:rPr>
        <w:t> </w:t>
      </w:r>
      <w:r>
        <w:rPr/>
        <w:t>日至</w:t>
      </w:r>
      <w:r>
        <w:rPr>
          <w:spacing w:val="-56"/>
        </w:rPr>
        <w:t> </w:t>
      </w:r>
      <w:r>
        <w:rPr>
          <w:rFonts w:ascii="宋体" w:hAnsi="宋体" w:cs="宋体" w:eastAsia="宋体" w:hint="default"/>
        </w:rPr>
        <w:t>2043</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6"/>
        </w:rPr>
        <w:t> </w:t>
      </w:r>
      <w:r>
        <w:rPr>
          <w:rFonts w:ascii="宋体" w:hAnsi="宋体" w:cs="宋体" w:eastAsia="宋体" w:hint="default"/>
        </w:rPr>
        <w:t>31</w:t>
      </w:r>
      <w:r>
        <w:rPr>
          <w:rFonts w:ascii="宋体" w:hAnsi="宋体" w:cs="宋体" w:eastAsia="宋体" w:hint="default"/>
          <w:spacing w:val="-55"/>
        </w:rPr>
        <w:t> </w:t>
      </w:r>
      <w:r>
        <w:rPr/>
        <w:t>日。国视上海每年按约定比例向国视北京支付内容审核及管理等 </w:t>
      </w:r>
      <w:r>
        <w:rPr>
          <w:spacing w:val="-1"/>
        </w:rPr>
        <w:t>费用。国视北京内容审核及管理等费用＝经国视北京审核后产生的全部信息费×2%，每年度，若按照上述</w:t>
      </w:r>
      <w:r>
        <w:rPr>
          <w:spacing w:val="-82"/>
        </w:rPr>
        <w:t> </w:t>
      </w:r>
      <w:r>
        <w:rPr>
          <w:spacing w:val="-82"/>
        </w:rPr>
      </w:r>
      <w:r>
        <w:rPr/>
        <w:t>公式计算的国视北京内容审核及管理等费用当年累计低于</w:t>
      </w:r>
      <w:r>
        <w:rPr>
          <w:spacing w:val="-64"/>
        </w:rPr>
        <w:t> </w:t>
      </w:r>
      <w:r>
        <w:rPr>
          <w:rFonts w:ascii="宋体" w:hAnsi="宋体" w:cs="宋体" w:eastAsia="宋体" w:hint="default"/>
        </w:rPr>
        <w:t>960</w:t>
      </w:r>
      <w:r>
        <w:rPr>
          <w:rFonts w:ascii="宋体" w:hAnsi="宋体" w:cs="宋体" w:eastAsia="宋体" w:hint="default"/>
          <w:spacing w:val="-64"/>
        </w:rPr>
        <w:t> </w:t>
      </w:r>
      <w:r>
        <w:rPr/>
        <w:t>万元的</w:t>
      </w:r>
      <w:r>
        <w:rPr>
          <w:rFonts w:ascii="宋体" w:hAnsi="宋体" w:cs="宋体" w:eastAsia="宋体" w:hint="default"/>
        </w:rPr>
        <w:t>,</w:t>
      </w:r>
      <w:r>
        <w:rPr>
          <w:rFonts w:ascii="宋体" w:hAnsi="宋体" w:cs="宋体" w:eastAsia="宋体" w:hint="default"/>
          <w:spacing w:val="-2"/>
        </w:rPr>
        <w:t> </w:t>
      </w:r>
      <w:r>
        <w:rPr/>
        <w:t>差额部分在年终一次性冲减国视上 海当年</w:t>
      </w:r>
      <w:r>
        <w:rPr>
          <w:spacing w:val="-54"/>
        </w:rPr>
        <w:t> </w:t>
      </w:r>
      <w:r>
        <w:rPr>
          <w:rFonts w:ascii="宋体" w:hAnsi="宋体" w:cs="宋体" w:eastAsia="宋体" w:hint="default"/>
        </w:rPr>
        <w:t>12</w:t>
      </w:r>
      <w:r>
        <w:rPr>
          <w:rFonts w:ascii="宋体" w:hAnsi="宋体" w:cs="宋体" w:eastAsia="宋体" w:hint="default"/>
          <w:spacing w:val="-54"/>
        </w:rPr>
        <w:t> </w:t>
      </w:r>
      <w:r>
        <w:rPr/>
        <w:t>月份应收取的运营管理服务费用</w:t>
      </w:r>
      <w:r>
        <w:rPr>
          <w:rFonts w:ascii="宋体" w:hAnsi="宋体" w:cs="宋体" w:eastAsia="宋体" w:hint="default"/>
        </w:rPr>
        <w:t>,</w:t>
      </w:r>
      <w:r>
        <w:rPr/>
        <w:t>直至国视上海当年</w:t>
      </w:r>
      <w:r>
        <w:rPr>
          <w:spacing w:val="-55"/>
        </w:rPr>
        <w:t> </w:t>
      </w:r>
      <w:r>
        <w:rPr>
          <w:rFonts w:ascii="宋体" w:hAnsi="宋体" w:cs="宋体" w:eastAsia="宋体" w:hint="default"/>
        </w:rPr>
        <w:t>12</w:t>
      </w:r>
      <w:r>
        <w:rPr>
          <w:rFonts w:ascii="宋体" w:hAnsi="宋体" w:cs="宋体" w:eastAsia="宋体" w:hint="default"/>
          <w:spacing w:val="-54"/>
        </w:rPr>
        <w:t> </w:t>
      </w:r>
      <w:r>
        <w:rPr/>
        <w:t>月份运营管理服务费用为零为止。国视 上海依据协议约定向国视北京收取运营管理服务费用。</w:t>
      </w:r>
    </w:p>
    <w:p>
      <w:pPr>
        <w:pStyle w:val="BodyText"/>
        <w:spacing w:line="240" w:lineRule="auto" w:before="87"/>
        <w:ind w:left="574"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8"/>
        </w:rPr>
        <w:t> </w:t>
      </w:r>
      <w:r>
        <w:rPr/>
        <w:t>年，国视上海实现营业收入</w:t>
      </w:r>
      <w:r>
        <w:rPr>
          <w:spacing w:val="-60"/>
        </w:rPr>
        <w:t> </w:t>
      </w:r>
      <w:r>
        <w:rPr>
          <w:rFonts w:ascii="宋体" w:hAnsi="宋体" w:cs="宋体" w:eastAsia="宋体" w:hint="default"/>
        </w:rPr>
        <w:t>9,021.95</w:t>
      </w:r>
      <w:r>
        <w:rPr>
          <w:rFonts w:ascii="宋体" w:hAnsi="宋体" w:cs="宋体" w:eastAsia="宋体" w:hint="default"/>
          <w:spacing w:val="-59"/>
        </w:rPr>
        <w:t> </w:t>
      </w:r>
      <w:r>
        <w:rPr/>
        <w:t>万元，国视上海向国视北京支付内容审核服务费用</w:t>
      </w:r>
      <w:r>
        <w:rPr>
          <w:spacing w:val="-59"/>
        </w:rPr>
        <w:t> </w:t>
      </w:r>
      <w:r>
        <w:rPr>
          <w:rFonts w:ascii="宋体" w:hAnsi="宋体" w:cs="宋体" w:eastAsia="宋体" w:hint="default"/>
        </w:rPr>
        <w:t>263.76</w:t>
      </w:r>
    </w:p>
    <w:p>
      <w:pPr>
        <w:spacing w:line="240" w:lineRule="auto" w:before="9"/>
        <w:rPr>
          <w:rFonts w:ascii="宋体" w:hAnsi="宋体" w:cs="宋体" w:eastAsia="宋体" w:hint="default"/>
          <w:sz w:val="15"/>
          <w:szCs w:val="15"/>
        </w:rPr>
      </w:pPr>
    </w:p>
    <w:p>
      <w:pPr>
        <w:pStyle w:val="BodyText"/>
        <w:spacing w:line="240" w:lineRule="auto"/>
        <w:ind w:right="0"/>
        <w:jc w:val="left"/>
      </w:pPr>
      <w:r>
        <w:rPr/>
        <w:t>万元，国视北京向国视上海支付运营管理服务费用</w:t>
      </w:r>
      <w:r>
        <w:rPr>
          <w:spacing w:val="-52"/>
        </w:rPr>
        <w:t> </w:t>
      </w:r>
      <w:r>
        <w:rPr>
          <w:rFonts w:ascii="宋体" w:hAnsi="宋体" w:cs="宋体" w:eastAsia="宋体" w:hint="default"/>
        </w:rPr>
        <w:t>4,903.79</w:t>
      </w:r>
      <w:r>
        <w:rPr>
          <w:rFonts w:ascii="宋体" w:hAnsi="宋体" w:cs="宋体" w:eastAsia="宋体" w:hint="default"/>
          <w:spacing w:val="-53"/>
        </w:rPr>
        <w:t> </w:t>
      </w:r>
      <w:r>
        <w:rPr/>
        <w:t>元。</w:t>
      </w:r>
    </w:p>
    <w:p>
      <w:pPr>
        <w:spacing w:after="0" w:line="240" w:lineRule="auto"/>
        <w:jc w:val="left"/>
        <w:sectPr>
          <w:footerReference w:type="default" r:id="rId26"/>
          <w:pgSz w:w="11910" w:h="16840"/>
          <w:pgMar w:footer="979" w:header="0" w:top="1100" w:bottom="1160" w:left="980" w:right="0"/>
          <w:pgNumType w:start="74"/>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37"/>
        <w:gridCol w:w="2410"/>
        <w:gridCol w:w="2622"/>
      </w:tblGrid>
      <w:tr>
        <w:trPr>
          <w:trHeight w:val="401"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《购买资产暨关联交易公告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2013-003</w:t>
            </w:r>
            <w:r>
              <w:rPr>
                <w:rFonts w:ascii="宋体" w:hAnsi="宋体" w:cs="宋体" w:eastAsia="宋体" w:hint="default"/>
                <w:sz w:val="18"/>
                <w:szCs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404"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《购买资产暨关联交易公告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2014-038</w:t>
            </w:r>
            <w:r>
              <w:rPr>
                <w:rFonts w:ascii="宋体" w:hAnsi="宋体" w:cs="宋体" w:eastAsia="宋体" w:hint="default"/>
                <w:sz w:val="18"/>
                <w:szCs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巨潮网</w:t>
            </w:r>
          </w:p>
        </w:tc>
      </w:tr>
    </w:tbl>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bookmarkStart w:name="十七、重大合同及其履行情况" w:id="85"/>
      <w:bookmarkEnd w:id="85"/>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托管、承包、租赁事项情况" w:id="86"/>
      <w:bookmarkEnd w:id="86"/>
      <w:r>
        <w:rPr>
          <w:b w:val="0"/>
          <w:bCs w:val="0"/>
        </w:rPr>
      </w:r>
      <w:r>
        <w:rPr>
          <w:rFonts w:ascii="宋体" w:hAnsi="宋体" w:cs="宋体" w:eastAsia="宋体" w:hint="default"/>
        </w:rPr>
        <w:t>1</w:t>
      </w:r>
      <w:r>
        <w:rPr/>
        <w:t>、托管、承包、租赁事项情况</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0"/>
        <w:jc w:val="both"/>
        <w:rPr>
          <w:b w:val="0"/>
          <w:bCs w:val="0"/>
        </w:rPr>
      </w:pPr>
      <w:bookmarkStart w:name="（1）托管情况" w:id="87"/>
      <w:bookmarkEnd w:id="87"/>
      <w:r>
        <w:rPr>
          <w:b w:val="0"/>
          <w:bCs w:val="0"/>
        </w:rPr>
      </w:r>
      <w:r>
        <w:rPr/>
        <w:t>（</w:t>
      </w:r>
      <w:r>
        <w:rPr>
          <w:rFonts w:ascii="宋体" w:hAnsi="宋体" w:cs="宋体" w:eastAsia="宋体" w:hint="default"/>
        </w:rPr>
        <w:t>1</w:t>
      </w:r>
      <w:r>
        <w:rPr/>
        <w:t>）托管情况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53" w:lineRule="auto"/>
        <w:ind w:right="8968"/>
        <w:jc w:val="left"/>
      </w:pPr>
      <w:r>
        <w:rPr/>
        <w:t>√ 适用 □</w:t>
      </w:r>
      <w:r>
        <w:rPr>
          <w:spacing w:val="-1"/>
        </w:rPr>
        <w:t> </w:t>
      </w:r>
      <w:r>
        <w:rPr/>
        <w:t>不适用</w:t>
      </w:r>
      <w:r>
        <w:rPr/>
        <w:t> 托管情况说明</w:t>
      </w:r>
    </w:p>
    <w:p>
      <w:pPr>
        <w:pStyle w:val="BodyText"/>
        <w:spacing w:line="420" w:lineRule="auto" w:before="59"/>
        <w:ind w:right="1023" w:firstLine="420"/>
        <w:jc w:val="left"/>
      </w:pPr>
      <w:r>
        <w:rPr/>
        <w:t>①</w:t>
      </w:r>
      <w:r>
        <w:rPr>
          <w:spacing w:val="5"/>
        </w:rPr>
        <w:t> </w:t>
      </w:r>
      <w:r>
        <w:rPr>
          <w:spacing w:val="-1"/>
        </w:rPr>
        <w:t>公司控制企业鸿立华享和拉萨鸿新于</w:t>
      </w:r>
      <w:r>
        <w:rPr>
          <w:spacing w:val="-50"/>
        </w:rPr>
        <w:t> </w:t>
      </w:r>
      <w:r>
        <w:rPr>
          <w:rFonts w:ascii="宋体" w:hAnsi="宋体" w:cs="宋体" w:eastAsia="宋体" w:hint="default"/>
        </w:rPr>
        <w:t>2015</w:t>
      </w:r>
      <w:r>
        <w:rPr>
          <w:rFonts w:ascii="宋体" w:hAnsi="宋体" w:cs="宋体" w:eastAsia="宋体" w:hint="default"/>
          <w:spacing w:val="-51"/>
        </w:rPr>
        <w:t> </w:t>
      </w:r>
      <w:r>
        <w:rPr/>
        <w:t>年</w:t>
      </w:r>
      <w:r>
        <w:rPr>
          <w:spacing w:val="-52"/>
        </w:rPr>
        <w:t> </w:t>
      </w:r>
      <w:r>
        <w:rPr>
          <w:rFonts w:ascii="宋体" w:hAnsi="宋体" w:cs="宋体" w:eastAsia="宋体" w:hint="default"/>
        </w:rPr>
        <w:t>9</w:t>
      </w:r>
      <w:r>
        <w:rPr>
          <w:rFonts w:ascii="宋体" w:hAnsi="宋体" w:cs="宋体" w:eastAsia="宋体" w:hint="default"/>
          <w:spacing w:val="-50"/>
        </w:rPr>
        <w:t> </w:t>
      </w:r>
      <w:r>
        <w:rPr/>
        <w:t>月</w:t>
      </w:r>
      <w:r>
        <w:rPr>
          <w:spacing w:val="-52"/>
        </w:rPr>
        <w:t> </w:t>
      </w:r>
      <w:r>
        <w:rPr>
          <w:rFonts w:ascii="宋体" w:hAnsi="宋体" w:cs="宋体" w:eastAsia="宋体" w:hint="default"/>
        </w:rPr>
        <w:t>15</w:t>
      </w:r>
      <w:r>
        <w:rPr>
          <w:rFonts w:ascii="宋体" w:hAnsi="宋体" w:cs="宋体" w:eastAsia="宋体" w:hint="default"/>
          <w:spacing w:val="-50"/>
        </w:rPr>
        <w:t> </w:t>
      </w:r>
      <w:r>
        <w:rPr>
          <w:spacing w:val="-7"/>
        </w:rPr>
        <w:t>日在上海市签署《委托管理协议》，聘请拉萨</w:t>
      </w:r>
      <w:r>
        <w:rPr/>
        <w:t> </w:t>
      </w:r>
      <w:r>
        <w:rPr>
          <w:spacing w:val="-3"/>
        </w:rPr>
        <w:t>鸿新为其管理人，对鸿立华享的投资业务进行全面的管理，主要包括委托拉萨鸿新负责鸿立华享已投项目、</w:t>
      </w:r>
      <w:r>
        <w:rPr>
          <w:spacing w:val="-92"/>
        </w:rPr>
        <w:t> </w:t>
      </w:r>
      <w:r>
        <w:rPr>
          <w:spacing w:val="-92"/>
        </w:rPr>
      </w:r>
      <w:r>
        <w:rPr>
          <w:spacing w:val="-5"/>
        </w:rPr>
        <w:t>对外投资管理。截至</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8</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日鸿立华享的资产总额为</w:t>
      </w:r>
      <w:r>
        <w:rPr>
          <w:spacing w:val="-52"/>
        </w:rPr>
        <w:t> </w:t>
      </w:r>
      <w:r>
        <w:rPr>
          <w:rFonts w:ascii="宋体" w:hAnsi="宋体" w:cs="宋体" w:eastAsia="宋体" w:hint="default"/>
        </w:rPr>
        <w:t>10,764.63</w:t>
      </w:r>
      <w:r>
        <w:rPr>
          <w:rFonts w:ascii="宋体" w:hAnsi="宋体" w:cs="宋体" w:eastAsia="宋体" w:hint="default"/>
          <w:spacing w:val="-52"/>
        </w:rPr>
        <w:t> </w:t>
      </w:r>
      <w:r>
        <w:rPr>
          <w:spacing w:val="-4"/>
        </w:rPr>
        <w:t>万元，财产份额总额为</w:t>
      </w:r>
      <w:r>
        <w:rPr>
          <w:spacing w:val="-52"/>
        </w:rPr>
        <w:t> </w:t>
      </w:r>
      <w:r>
        <w:rPr>
          <w:rFonts w:ascii="宋体" w:hAnsi="宋体" w:cs="宋体" w:eastAsia="宋体" w:hint="default"/>
        </w:rPr>
        <w:t>5,000.00 </w:t>
      </w:r>
      <w:r>
        <w:rPr/>
        <w:t>万元。鸿立华享每年按投资本金余额（指鸿立华享财产份额总额减去《委托管理协议》生效日后收回的投 资本金）的日均加权平均数的</w:t>
      </w:r>
      <w:r>
        <w:rPr>
          <w:spacing w:val="-54"/>
        </w:rPr>
        <w:t> </w:t>
      </w:r>
      <w:r>
        <w:rPr>
          <w:rFonts w:ascii="宋体" w:hAnsi="宋体" w:cs="宋体" w:eastAsia="宋体" w:hint="default"/>
        </w:rPr>
        <w:t>2%</w:t>
      </w:r>
      <w:r>
        <w:rPr/>
        <w:t>向拉萨鸿新支付管理费用，并按协议约定向拉萨鸿新支付管理业绩报酬。 鸿立华享和拉萨鸿新于</w:t>
      </w:r>
      <w:r>
        <w:rPr>
          <w:spacing w:val="-51"/>
        </w:rPr>
        <w:t> </w:t>
      </w:r>
      <w:r>
        <w:rPr>
          <w:rFonts w:ascii="宋体" w:hAnsi="宋体" w:cs="宋体" w:eastAsia="宋体" w:hint="default"/>
        </w:rPr>
        <w:t>2018</w:t>
      </w:r>
      <w:r>
        <w:rPr>
          <w:rFonts w:ascii="宋体" w:hAnsi="宋体" w:cs="宋体" w:eastAsia="宋体" w:hint="default"/>
          <w:spacing w:val="-52"/>
        </w:rPr>
        <w:t> </w:t>
      </w:r>
      <w:r>
        <w:rPr/>
        <w:t>年</w:t>
      </w:r>
      <w:r>
        <w:rPr>
          <w:spacing w:val="-53"/>
        </w:rPr>
        <w:t> </w:t>
      </w:r>
      <w:r>
        <w:rPr>
          <w:rFonts w:ascii="宋体" w:hAnsi="宋体" w:cs="宋体" w:eastAsia="宋体" w:hint="default"/>
        </w:rPr>
        <w:t>4</w:t>
      </w:r>
      <w:r>
        <w:rPr>
          <w:rFonts w:ascii="宋体" w:hAnsi="宋体" w:cs="宋体" w:eastAsia="宋体" w:hint="default"/>
          <w:spacing w:val="-51"/>
        </w:rPr>
        <w:t> </w:t>
      </w:r>
      <w:r>
        <w:rPr/>
        <w:t>月</w:t>
      </w:r>
      <w:r>
        <w:rPr>
          <w:spacing w:val="-53"/>
        </w:rPr>
        <w:t> </w:t>
      </w:r>
      <w:r>
        <w:rPr>
          <w:rFonts w:ascii="宋体" w:hAnsi="宋体" w:cs="宋体" w:eastAsia="宋体" w:hint="default"/>
          <w:spacing w:val="-1"/>
        </w:rPr>
        <w:t>11</w:t>
      </w:r>
      <w:r>
        <w:rPr>
          <w:rFonts w:ascii="宋体" w:hAnsi="宋体" w:cs="宋体" w:eastAsia="宋体" w:hint="default"/>
          <w:spacing w:val="-51"/>
        </w:rPr>
        <w:t> </w:t>
      </w:r>
      <w:r>
        <w:rPr>
          <w:spacing w:val="-4"/>
        </w:rPr>
        <w:t>日在上海市签署《委托管理协议之补充协议》，鸿立华享委托拉萨</w:t>
      </w:r>
    </w:p>
    <w:p>
      <w:pPr>
        <w:pStyle w:val="BodyText"/>
        <w:spacing w:line="240" w:lineRule="auto" w:before="47"/>
        <w:ind w:right="0"/>
        <w:jc w:val="both"/>
      </w:pPr>
      <w:r>
        <w:rPr/>
        <w:t>鸿新管理的委托管理期调整为自</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日到</w:t>
      </w:r>
      <w:r>
        <w:rPr>
          <w:spacing w:val="-54"/>
        </w:rPr>
        <w:t> </w:t>
      </w:r>
      <w:r>
        <w:rPr>
          <w:rFonts w:ascii="宋体" w:hAnsi="宋体" w:cs="宋体" w:eastAsia="宋体" w:hint="default"/>
        </w:rPr>
        <w:t>2022</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w:t>
      </w:r>
    </w:p>
    <w:p>
      <w:pPr>
        <w:spacing w:line="240" w:lineRule="auto" w:before="9"/>
        <w:rPr>
          <w:rFonts w:ascii="宋体" w:hAnsi="宋体" w:cs="宋体" w:eastAsia="宋体" w:hint="default"/>
          <w:sz w:val="18"/>
          <w:szCs w:val="18"/>
        </w:rPr>
      </w:pPr>
    </w:p>
    <w:p>
      <w:pPr>
        <w:pStyle w:val="BodyText"/>
        <w:spacing w:line="420" w:lineRule="auto"/>
        <w:ind w:right="1131" w:firstLine="420"/>
        <w:jc w:val="both"/>
        <w:rPr>
          <w:rFonts w:ascii="宋体" w:hAnsi="宋体" w:cs="宋体" w:eastAsia="宋体" w:hint="default"/>
        </w:rPr>
      </w:pPr>
      <w:r>
        <w:rPr/>
        <w:t>②</w:t>
      </w:r>
      <w:r>
        <w:rPr>
          <w:spacing w:val="8"/>
        </w:rPr>
        <w:t> </w:t>
      </w:r>
      <w:r>
        <w:rPr>
          <w:spacing w:val="-1"/>
        </w:rPr>
        <w:t>公司及控股子公司上海鸿立与拉萨鸿新于</w:t>
      </w:r>
      <w:r>
        <w:rPr>
          <w:spacing w:val="-49"/>
        </w:rPr>
        <w:t> </w:t>
      </w:r>
      <w:r>
        <w:rPr>
          <w:rFonts w:ascii="宋体" w:hAnsi="宋体" w:cs="宋体" w:eastAsia="宋体" w:hint="default"/>
        </w:rPr>
        <w:t>2015</w:t>
      </w:r>
      <w:r>
        <w:rPr>
          <w:rFonts w:ascii="宋体" w:hAnsi="宋体" w:cs="宋体" w:eastAsia="宋体" w:hint="default"/>
          <w:spacing w:val="-50"/>
        </w:rPr>
        <w:t> </w:t>
      </w:r>
      <w:r>
        <w:rPr/>
        <w:t>年</w:t>
      </w:r>
      <w:r>
        <w:rPr>
          <w:spacing w:val="-51"/>
        </w:rPr>
        <w:t> </w:t>
      </w:r>
      <w:r>
        <w:rPr>
          <w:rFonts w:ascii="宋体" w:hAnsi="宋体" w:cs="宋体" w:eastAsia="宋体" w:hint="default"/>
        </w:rPr>
        <w:t>9</w:t>
      </w:r>
      <w:r>
        <w:rPr>
          <w:rFonts w:ascii="宋体" w:hAnsi="宋体" w:cs="宋体" w:eastAsia="宋体" w:hint="default"/>
          <w:spacing w:val="-49"/>
        </w:rPr>
        <w:t> </w:t>
      </w:r>
      <w:r>
        <w:rPr/>
        <w:t>月</w:t>
      </w:r>
      <w:r>
        <w:rPr>
          <w:spacing w:val="-51"/>
        </w:rPr>
        <w:t> </w:t>
      </w:r>
      <w:r>
        <w:rPr>
          <w:rFonts w:ascii="宋体" w:hAnsi="宋体" w:cs="宋体" w:eastAsia="宋体" w:hint="default"/>
        </w:rPr>
        <w:t>15</w:t>
      </w:r>
      <w:r>
        <w:rPr>
          <w:rFonts w:ascii="宋体" w:hAnsi="宋体" w:cs="宋体" w:eastAsia="宋体" w:hint="default"/>
          <w:spacing w:val="-50"/>
        </w:rPr>
        <w:t> </w:t>
      </w:r>
      <w:r>
        <w:rPr>
          <w:spacing w:val="-8"/>
        </w:rPr>
        <w:t>日在海口市签署《委托管理协议》，委托</w:t>
      </w:r>
      <w:r>
        <w:rPr/>
        <w:t> </w:t>
      </w:r>
      <w:r>
        <w:rPr>
          <w:spacing w:val="-1"/>
        </w:rPr>
        <w:t>拉萨鸿新管理上海鸿立，主要包括委托拉萨鸿新负责上海鸿立已投项目、对外投资和日常经营的管理，但</w:t>
      </w:r>
      <w:r>
        <w:rPr>
          <w:spacing w:val="-83"/>
        </w:rPr>
        <w:t> </w:t>
      </w:r>
      <w:r>
        <w:rPr>
          <w:spacing w:val="-83"/>
        </w:rPr>
      </w:r>
      <w:r>
        <w:rPr>
          <w:spacing w:val="-5"/>
        </w:rPr>
        <w:t>不包括对上海鸿立下属的鸿立华享委托管理。截至</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4"/>
        </w:rPr>
        <w:t> </w:t>
      </w:r>
      <w:r>
        <w:rPr>
          <w:rFonts w:ascii="宋体" w:hAnsi="宋体" w:cs="宋体" w:eastAsia="宋体" w:hint="default"/>
        </w:rPr>
        <w:t>8</w:t>
      </w:r>
      <w:r>
        <w:rPr>
          <w:rFonts w:ascii="宋体" w:hAnsi="宋体" w:cs="宋体" w:eastAsia="宋体" w:hint="default"/>
          <w:spacing w:val="-62"/>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spacing w:val="-1"/>
        </w:rPr>
        <w:t>日上海鸿立的合并资产总额为</w:t>
      </w:r>
      <w:r>
        <w:rPr>
          <w:spacing w:val="-61"/>
        </w:rPr>
        <w:t> </w:t>
      </w:r>
      <w:r>
        <w:rPr>
          <w:rFonts w:ascii="宋体" w:hAnsi="宋体" w:cs="宋体" w:eastAsia="宋体" w:hint="default"/>
        </w:rPr>
        <w:t>62,052.56</w:t>
      </w:r>
    </w:p>
    <w:p>
      <w:pPr>
        <w:pStyle w:val="BodyText"/>
        <w:spacing w:line="240" w:lineRule="auto" w:before="47"/>
        <w:ind w:right="0"/>
        <w:jc w:val="both"/>
      </w:pPr>
      <w:r>
        <w:rPr/>
        <w:t>万元，其下属机构鸿立华享的资产总额为</w:t>
      </w:r>
      <w:r>
        <w:rPr>
          <w:spacing w:val="-64"/>
        </w:rPr>
        <w:t> </w:t>
      </w:r>
      <w:r>
        <w:rPr>
          <w:rFonts w:ascii="宋体" w:hAnsi="宋体" w:cs="宋体" w:eastAsia="宋体" w:hint="default"/>
        </w:rPr>
        <w:t>10,764.63</w:t>
      </w:r>
      <w:r>
        <w:rPr>
          <w:rFonts w:ascii="宋体" w:hAnsi="宋体" w:cs="宋体" w:eastAsia="宋体" w:hint="default"/>
          <w:spacing w:val="-64"/>
        </w:rPr>
        <w:t> </w:t>
      </w:r>
      <w:r>
        <w:rPr/>
        <w:t>万元，上海鸿立剔除其合并的鸿立华享的资产总额后</w:t>
      </w:r>
    </w:p>
    <w:p>
      <w:pPr>
        <w:spacing w:line="240" w:lineRule="auto" w:before="9"/>
        <w:rPr>
          <w:rFonts w:ascii="宋体" w:hAnsi="宋体" w:cs="宋体" w:eastAsia="宋体" w:hint="default"/>
          <w:sz w:val="15"/>
          <w:szCs w:val="15"/>
        </w:rPr>
      </w:pPr>
    </w:p>
    <w:p>
      <w:pPr>
        <w:pStyle w:val="BodyText"/>
        <w:spacing w:line="420" w:lineRule="auto"/>
        <w:ind w:right="1130"/>
        <w:jc w:val="both"/>
      </w:pPr>
      <w:r>
        <w:rPr/>
        <w:t>的资产总额为</w:t>
      </w:r>
      <w:r>
        <w:rPr>
          <w:spacing w:val="-64"/>
        </w:rPr>
        <w:t> </w:t>
      </w:r>
      <w:r>
        <w:rPr>
          <w:rFonts w:ascii="宋体" w:hAnsi="宋体" w:cs="宋体" w:eastAsia="宋体" w:hint="default"/>
        </w:rPr>
        <w:t>51,287.93</w:t>
      </w:r>
      <w:r>
        <w:rPr>
          <w:rFonts w:ascii="宋体" w:hAnsi="宋体" w:cs="宋体" w:eastAsia="宋体" w:hint="default"/>
          <w:spacing w:val="-64"/>
        </w:rPr>
        <w:t> </w:t>
      </w:r>
      <w:r>
        <w:rPr/>
        <w:t>万元。上海鸿立每年按投资本金余额（指上海鸿立注册资本减去上海鸿立投资鸿 </w:t>
      </w:r>
      <w:r>
        <w:rPr>
          <w:spacing w:val="-3"/>
        </w:rPr>
        <w:t>立华享的投资本金和《委托管理协议》生效日后收回的投资本金）的日均加权平均数的</w:t>
      </w:r>
      <w:r>
        <w:rPr>
          <w:spacing w:val="-24"/>
        </w:rPr>
        <w:t> </w:t>
      </w:r>
      <w:r>
        <w:rPr>
          <w:rFonts w:ascii="宋体" w:hAnsi="宋体" w:cs="宋体" w:eastAsia="宋体" w:hint="default"/>
        </w:rPr>
        <w:t>2%</w:t>
      </w:r>
      <w:r>
        <w:rPr/>
        <w:t>向拉萨鸿新支付</w:t>
      </w:r>
      <w:r>
        <w:rPr>
          <w:spacing w:val="-99"/>
        </w:rPr>
        <w:t> </w:t>
      </w:r>
      <w:r>
        <w:rPr>
          <w:spacing w:val="-99"/>
        </w:rPr>
      </w:r>
      <w:r>
        <w:rPr/>
        <w:t>管理费用，并按协议约定向拉萨鸿新支付管理业绩报酬。上海鸿立与拉萨鸿新</w:t>
      </w:r>
      <w:r>
        <w:rPr>
          <w:spacing w:val="-56"/>
        </w:rPr>
        <w:t> </w:t>
      </w:r>
      <w:r>
        <w:rPr>
          <w:rFonts w:ascii="宋体" w:hAnsi="宋体" w:cs="宋体" w:eastAsia="宋体" w:hint="default"/>
        </w:rPr>
        <w:t>2018</w:t>
      </w:r>
      <w:r>
        <w:rPr>
          <w:rFonts w:ascii="宋体" w:hAnsi="宋体" w:cs="宋体" w:eastAsia="宋体" w:hint="default"/>
          <w:spacing w:val="-57"/>
        </w:rPr>
        <w:t> </w:t>
      </w:r>
      <w:r>
        <w:rPr/>
        <w:t>年</w:t>
      </w:r>
      <w:r>
        <w:rPr>
          <w:spacing w:val="-58"/>
        </w:rPr>
        <w:t> </w:t>
      </w:r>
      <w:r>
        <w:rPr>
          <w:rFonts w:ascii="宋体" w:hAnsi="宋体" w:cs="宋体" w:eastAsia="宋体" w:hint="default"/>
        </w:rPr>
        <w:t>4</w:t>
      </w:r>
      <w:r>
        <w:rPr>
          <w:rFonts w:ascii="宋体" w:hAnsi="宋体" w:cs="宋体" w:eastAsia="宋体" w:hint="default"/>
          <w:spacing w:val="-56"/>
        </w:rPr>
        <w:t> </w:t>
      </w:r>
      <w:r>
        <w:rPr/>
        <w:t>月</w:t>
      </w:r>
      <w:r>
        <w:rPr>
          <w:spacing w:val="-58"/>
        </w:rPr>
        <w:t> </w:t>
      </w:r>
      <w:r>
        <w:rPr>
          <w:rFonts w:ascii="宋体" w:hAnsi="宋体" w:cs="宋体" w:eastAsia="宋体" w:hint="default"/>
        </w:rPr>
        <w:t>11</w:t>
      </w:r>
      <w:r>
        <w:rPr>
          <w:rFonts w:ascii="宋体" w:hAnsi="宋体" w:cs="宋体" w:eastAsia="宋体" w:hint="default"/>
          <w:spacing w:val="-57"/>
        </w:rPr>
        <w:t> </w:t>
      </w:r>
      <w:r>
        <w:rPr/>
        <w:t>日在上海市</w:t>
      </w:r>
    </w:p>
    <w:p>
      <w:pPr>
        <w:pStyle w:val="BodyText"/>
        <w:spacing w:line="240" w:lineRule="auto" w:before="47"/>
        <w:ind w:right="0"/>
        <w:jc w:val="both"/>
      </w:pPr>
      <w:r>
        <w:rPr/>
        <w:t>签署《委托管理协议之补充协议</w:t>
      </w:r>
      <w:r>
        <w:rPr>
          <w:spacing w:val="-105"/>
        </w:rPr>
        <w:t>》</w:t>
      </w:r>
      <w:r>
        <w:rPr>
          <w:spacing w:val="-2"/>
        </w:rPr>
        <w:t>，</w:t>
      </w:r>
      <w:r>
        <w:rPr/>
        <w:t>上海鸿立委托拉萨鸿新管理的资产总额调整为不得超过</w:t>
      </w:r>
      <w:r>
        <w:rPr>
          <w:spacing w:val="-51"/>
        </w:rPr>
        <w:t> </w:t>
      </w:r>
      <w:r>
        <w:rPr>
          <w:rFonts w:ascii="宋体" w:hAnsi="宋体" w:cs="宋体" w:eastAsia="宋体" w:hint="default"/>
        </w:rPr>
        <w:t>80,000.00</w:t>
      </w:r>
      <w:r>
        <w:rPr>
          <w:rFonts w:ascii="宋体" w:hAnsi="宋体" w:cs="宋体" w:eastAsia="宋体" w:hint="default"/>
          <w:spacing w:val="-52"/>
        </w:rPr>
        <w:t> </w:t>
      </w:r>
      <w:r>
        <w:rPr/>
        <w:t>万</w:t>
      </w:r>
    </w:p>
    <w:p>
      <w:pPr>
        <w:spacing w:line="240" w:lineRule="auto" w:before="9"/>
        <w:rPr>
          <w:rFonts w:ascii="宋体" w:hAnsi="宋体" w:cs="宋体" w:eastAsia="宋体" w:hint="default"/>
          <w:sz w:val="15"/>
          <w:szCs w:val="15"/>
        </w:rPr>
      </w:pPr>
    </w:p>
    <w:p>
      <w:pPr>
        <w:pStyle w:val="BodyText"/>
        <w:spacing w:line="240" w:lineRule="auto"/>
        <w:ind w:right="0"/>
        <w:jc w:val="both"/>
        <w:rPr>
          <w:rFonts w:ascii="宋体" w:hAnsi="宋体" w:cs="宋体" w:eastAsia="宋体" w:hint="default"/>
        </w:rPr>
      </w:pPr>
      <w:r>
        <w:rPr>
          <w:spacing w:val="-38"/>
        </w:rPr>
        <w:t>元</w:t>
      </w:r>
      <w:r>
        <w:rPr/>
        <w:t>（含股票质押贷款资金不超过</w:t>
      </w:r>
      <w:r>
        <w:rPr>
          <w:spacing w:val="-52"/>
        </w:rPr>
        <w:t> </w:t>
      </w:r>
      <w:r>
        <w:rPr>
          <w:rFonts w:ascii="宋体" w:hAnsi="宋体" w:cs="宋体" w:eastAsia="宋体" w:hint="default"/>
        </w:rPr>
        <w:t>20,000.00</w:t>
      </w:r>
      <w:r>
        <w:rPr>
          <w:rFonts w:ascii="宋体" w:hAnsi="宋体" w:cs="宋体" w:eastAsia="宋体" w:hint="default"/>
          <w:spacing w:val="-52"/>
        </w:rPr>
        <w:t> </w:t>
      </w:r>
      <w:r>
        <w:rPr/>
        <w:t>万</w:t>
      </w:r>
      <w:r>
        <w:rPr>
          <w:spacing w:val="-2"/>
        </w:rPr>
        <w:t>元</w:t>
      </w:r>
      <w:r>
        <w:rPr>
          <w:spacing w:val="-105"/>
        </w:rPr>
        <w:t>）</w:t>
      </w:r>
      <w:r>
        <w:rPr>
          <w:spacing w:val="-39"/>
        </w:rPr>
        <w:t>，</w:t>
      </w:r>
      <w:r>
        <w:rPr/>
        <w:t>委托管理期调整为自</w:t>
      </w:r>
      <w:r>
        <w:rPr>
          <w:spacing w:val="-53"/>
        </w:rPr>
        <w:t> </w:t>
      </w:r>
      <w:r>
        <w:rPr>
          <w:rFonts w:ascii="宋体" w:hAnsi="宋体" w:cs="宋体" w:eastAsia="宋体" w:hint="default"/>
        </w:rPr>
        <w:t>2015</w:t>
      </w:r>
      <w:r>
        <w:rPr>
          <w:rFonts w:ascii="宋体" w:hAnsi="宋体" w:cs="宋体" w:eastAsia="宋体" w:hint="default"/>
          <w:spacing w:val="-52"/>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日起到</w:t>
      </w:r>
      <w:r>
        <w:rPr>
          <w:spacing w:val="-53"/>
        </w:rPr>
        <w:t> </w:t>
      </w:r>
      <w:r>
        <w:rPr>
          <w:rFonts w:ascii="宋体" w:hAnsi="宋体" w:cs="宋体" w:eastAsia="宋体" w:hint="default"/>
        </w:rPr>
        <w:t>2024</w:t>
      </w:r>
      <w:r>
        <w:rPr>
          <w:rFonts w:ascii="宋体" w:hAnsi="宋体" w:cs="宋体" w:eastAsia="宋体" w:hint="default"/>
          <w:spacing w:val="-54"/>
        </w:rPr>
        <w:t> </w:t>
      </w:r>
      <w:r>
        <w:rPr/>
        <w:t>年</w:t>
      </w:r>
      <w:r>
        <w:rPr>
          <w:spacing w:val="-53"/>
        </w:rPr>
        <w:t> </w:t>
      </w:r>
      <w:r>
        <w:rPr>
          <w:rFonts w:ascii="宋体" w:hAnsi="宋体" w:cs="宋体" w:eastAsia="宋体" w:hint="default"/>
        </w:rPr>
        <w:t>12</w:t>
      </w:r>
    </w:p>
    <w:p>
      <w:pPr>
        <w:spacing w:line="240" w:lineRule="auto" w:before="9"/>
        <w:rPr>
          <w:rFonts w:ascii="宋体" w:hAnsi="宋体" w:cs="宋体" w:eastAsia="宋体" w:hint="default"/>
          <w:sz w:val="15"/>
          <w:szCs w:val="15"/>
        </w:rPr>
      </w:pPr>
    </w:p>
    <w:p>
      <w:pPr>
        <w:pStyle w:val="BodyText"/>
        <w:spacing w:line="240" w:lineRule="auto"/>
        <w:ind w:right="0"/>
        <w:jc w:val="both"/>
      </w:pPr>
      <w:r>
        <w:rPr/>
        <w:t>月</w:t>
      </w:r>
      <w:r>
        <w:rPr>
          <w:spacing w:val="-5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2"/>
        </w:rPr>
        <w:t> </w:t>
      </w:r>
      <w:r>
        <w:rPr/>
        <w:t>日止</w:t>
      </w:r>
      <w:r>
        <w:rPr>
          <w:spacing w:val="-2"/>
        </w:rPr>
        <w:t>（</w:t>
      </w:r>
      <w:r>
        <w:rPr/>
        <w:t>其中</w:t>
      </w:r>
      <w:r>
        <w:rPr>
          <w:spacing w:val="-53"/>
        </w:rPr>
        <w:t> </w:t>
      </w:r>
      <w:r>
        <w:rPr>
          <w:rFonts w:ascii="宋体" w:hAnsi="宋体" w:cs="宋体" w:eastAsia="宋体" w:hint="default"/>
        </w:rPr>
        <w:t>2021</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2"/>
        </w:rPr>
        <w:t> </w:t>
      </w:r>
      <w:r>
        <w:rPr/>
        <w:t>日</w:t>
      </w:r>
      <w:r>
        <w:rPr>
          <w:spacing w:val="-2"/>
        </w:rPr>
        <w:t>前</w:t>
      </w:r>
      <w:r>
        <w:rPr/>
        <w:t>为投资期，</w:t>
      </w:r>
      <w:r>
        <w:rPr>
          <w:rFonts w:ascii="宋体" w:hAnsi="宋体" w:cs="宋体" w:eastAsia="宋体" w:hint="default"/>
        </w:rPr>
        <w:t>2022</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日至</w:t>
      </w:r>
      <w:r>
        <w:rPr>
          <w:spacing w:val="-53"/>
        </w:rPr>
        <w:t> </w:t>
      </w:r>
      <w:r>
        <w:rPr>
          <w:rFonts w:ascii="宋体" w:hAnsi="宋体" w:cs="宋体" w:eastAsia="宋体" w:hint="default"/>
        </w:rPr>
        <w:t>2024</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2"/>
        </w:rPr>
        <w:t> </w:t>
      </w:r>
      <w:r>
        <w:rPr/>
        <w:t>日</w:t>
      </w:r>
      <w:r>
        <w:rPr>
          <w:spacing w:val="-2"/>
        </w:rPr>
        <w:t>为</w:t>
      </w:r>
      <w:r>
        <w:rPr/>
        <w:t>退出期</w:t>
      </w:r>
      <w:r>
        <w:rPr>
          <w:spacing w:val="-105"/>
        </w:rPr>
        <w:t>）</w:t>
      </w:r>
      <w:r>
        <w:rPr/>
        <w:t>。</w:t>
      </w:r>
    </w:p>
    <w:p>
      <w:pPr>
        <w:spacing w:line="240" w:lineRule="auto" w:before="9"/>
        <w:rPr>
          <w:rFonts w:ascii="宋体" w:hAnsi="宋体" w:cs="宋体" w:eastAsia="宋体" w:hint="default"/>
          <w:sz w:val="18"/>
          <w:szCs w:val="18"/>
        </w:rPr>
      </w:pPr>
    </w:p>
    <w:p>
      <w:pPr>
        <w:pStyle w:val="BodyText"/>
        <w:spacing w:line="240" w:lineRule="auto"/>
        <w:ind w:left="574" w:right="0"/>
        <w:jc w:val="left"/>
      </w:pPr>
      <w:r>
        <w:rPr>
          <w:rFonts w:ascii="宋体" w:hAnsi="宋体" w:cs="宋体" w:eastAsia="宋体" w:hint="default"/>
        </w:rPr>
        <w:t>2018</w:t>
      </w:r>
      <w:r>
        <w:rPr>
          <w:rFonts w:ascii="宋体" w:hAnsi="宋体" w:cs="宋体" w:eastAsia="宋体" w:hint="default"/>
          <w:spacing w:val="-53"/>
        </w:rPr>
        <w:t> </w:t>
      </w:r>
      <w:r>
        <w:rPr/>
        <w:t>年，上海鸿立与鸿立华享合计向拉萨鸿新支付管理费用</w:t>
      </w:r>
      <w:r>
        <w:rPr>
          <w:spacing w:val="-54"/>
        </w:rPr>
        <w:t> </w:t>
      </w:r>
      <w:r>
        <w:rPr>
          <w:rFonts w:ascii="宋体" w:hAnsi="宋体" w:cs="宋体" w:eastAsia="宋体" w:hint="default"/>
        </w:rPr>
        <w:t>978.82</w:t>
      </w:r>
      <w:r>
        <w:rPr>
          <w:rFonts w:ascii="宋体" w:hAnsi="宋体" w:cs="宋体" w:eastAsia="宋体" w:hint="default"/>
          <w:spacing w:val="-55"/>
        </w:rPr>
        <w:t> </w:t>
      </w:r>
      <w:r>
        <w:rPr/>
        <w:t>万元。</w:t>
      </w:r>
    </w:p>
    <w:p>
      <w:pPr>
        <w:spacing w:after="0" w:line="240" w:lineRule="auto"/>
        <w:jc w:val="left"/>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为公司带来的损益达到公司报告期利润总额</w:t>
      </w:r>
      <w:r>
        <w:rPr>
          <w:spacing w:val="-53"/>
        </w:rPr>
        <w:t> </w:t>
      </w:r>
      <w:r>
        <w:rPr>
          <w:rFonts w:ascii="宋体" w:hAnsi="宋体" w:cs="宋体" w:eastAsia="宋体" w:hint="default"/>
        </w:rPr>
        <w:t>10%</w:t>
      </w:r>
      <w:r>
        <w:rPr/>
        <w:t>以上的项目</w:t>
      </w:r>
    </w:p>
    <w:p>
      <w:pPr>
        <w:spacing w:line="240" w:lineRule="auto" w:before="9"/>
        <w:rPr>
          <w:rFonts w:ascii="宋体" w:hAnsi="宋体" w:cs="宋体" w:eastAsia="宋体" w:hint="default"/>
          <w:sz w:val="18"/>
          <w:szCs w:val="18"/>
        </w:rPr>
      </w:pPr>
    </w:p>
    <w:p>
      <w:pPr>
        <w:pStyle w:val="BodyText"/>
        <w:spacing w:line="240" w:lineRule="auto"/>
        <w:ind w:right="0"/>
        <w:jc w:val="left"/>
      </w:pPr>
      <w:r>
        <w:rPr/>
        <w:t>□ 适用 √</w:t>
      </w:r>
      <w:r>
        <w:rPr>
          <w:spacing w:val="-1"/>
        </w:rPr>
        <w:t> </w:t>
      </w:r>
      <w:r>
        <w:rPr/>
        <w:t>不适用</w:t>
      </w:r>
    </w:p>
    <w:p>
      <w:pPr>
        <w:spacing w:line="240" w:lineRule="auto" w:before="11"/>
        <w:rPr>
          <w:rFonts w:ascii="宋体" w:hAnsi="宋体" w:cs="宋体" w:eastAsia="宋体" w:hint="default"/>
          <w:sz w:val="18"/>
          <w:szCs w:val="18"/>
        </w:rPr>
      </w:pPr>
    </w:p>
    <w:p>
      <w:pPr>
        <w:pStyle w:val="BodyText"/>
        <w:spacing w:line="240" w:lineRule="auto"/>
        <w:ind w:right="0"/>
        <w:jc w:val="left"/>
      </w:pPr>
      <w:r>
        <w:rPr/>
        <w:t>公司报告期不存在为公司带来的损益达到公司报告期利润总额</w:t>
      </w:r>
      <w:r>
        <w:rPr>
          <w:spacing w:val="-54"/>
        </w:rPr>
        <w:t> </w:t>
      </w:r>
      <w:r>
        <w:rPr>
          <w:rFonts w:ascii="宋体" w:hAnsi="宋体" w:cs="宋体" w:eastAsia="宋体" w:hint="default"/>
        </w:rPr>
        <w:t>10%</w:t>
      </w:r>
      <w:r>
        <w:rPr/>
        <w:t>以上的托管项目。</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承包情况" w:id="88"/>
      <w:bookmarkEnd w:id="88"/>
      <w:r>
        <w:rPr>
          <w:b w:val="0"/>
          <w:bCs w:val="0"/>
        </w:rPr>
      </w:r>
      <w:r>
        <w:rPr/>
        <w:t>（</w:t>
      </w:r>
      <w:r>
        <w:rPr>
          <w:rFonts w:ascii="宋体" w:hAnsi="宋体" w:cs="宋体" w:eastAsia="宋体" w:hint="default"/>
        </w:rPr>
        <w:t>2</w:t>
      </w:r>
      <w:r>
        <w:rPr/>
        <w:t>）承包情况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453" w:lineRule="auto"/>
        <w:ind w:right="8022"/>
        <w:jc w:val="left"/>
      </w:pPr>
      <w:r>
        <w:rPr/>
        <w:t>□ 适用 √</w:t>
      </w:r>
      <w:r>
        <w:rPr>
          <w:spacing w:val="-1"/>
        </w:rPr>
        <w:t> </w:t>
      </w:r>
      <w:r>
        <w:rPr/>
        <w:t>不适用</w:t>
      </w:r>
      <w:r>
        <w:rPr/>
        <w:t> 公司报告期不存在承包情况。</w:t>
      </w:r>
    </w:p>
    <w:p>
      <w:pPr>
        <w:pStyle w:val="Heading4"/>
        <w:spacing w:line="240" w:lineRule="auto" w:before="164"/>
        <w:ind w:right="0"/>
        <w:jc w:val="left"/>
        <w:rPr>
          <w:b w:val="0"/>
          <w:bCs w:val="0"/>
        </w:rPr>
      </w:pPr>
      <w:bookmarkStart w:name="（3）租赁情况" w:id="89"/>
      <w:bookmarkEnd w:id="89"/>
      <w:r>
        <w:rPr>
          <w:b w:val="0"/>
          <w:bCs w:val="0"/>
        </w:rPr>
      </w:r>
      <w:r>
        <w:rPr/>
        <w:t>（</w:t>
      </w:r>
      <w:r>
        <w:rPr>
          <w:rFonts w:ascii="宋体" w:hAnsi="宋体" w:cs="宋体" w:eastAsia="宋体" w:hint="default"/>
        </w:rPr>
        <w:t>3</w:t>
      </w:r>
      <w:r>
        <w:rPr/>
        <w:t>）租赁情况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453" w:lineRule="auto"/>
        <w:ind w:right="8022"/>
        <w:jc w:val="left"/>
      </w:pPr>
      <w:r>
        <w:rPr/>
        <w:t>□ 适用 √</w:t>
      </w:r>
      <w:r>
        <w:rPr>
          <w:spacing w:val="-1"/>
        </w:rPr>
        <w:t> </w:t>
      </w:r>
      <w:r>
        <w:rPr/>
        <w:t>不适用</w:t>
      </w:r>
      <w:r>
        <w:rPr/>
        <w:t> 公司报告期不存在租赁情况。</w:t>
      </w:r>
    </w:p>
    <w:p>
      <w:pPr>
        <w:pStyle w:val="Heading4"/>
        <w:spacing w:line="240" w:lineRule="auto" w:before="166"/>
        <w:ind w:right="0"/>
        <w:jc w:val="left"/>
        <w:rPr>
          <w:b w:val="0"/>
          <w:bCs w:val="0"/>
        </w:rPr>
      </w:pPr>
      <w:bookmarkStart w:name="2、重大担保" w:id="90"/>
      <w:bookmarkEnd w:id="90"/>
      <w:r>
        <w:rPr>
          <w:b w:val="0"/>
          <w:bCs w:val="0"/>
        </w:rPr>
      </w:r>
      <w:r>
        <w:rPr>
          <w:rFonts w:ascii="宋体" w:hAnsi="宋体" w:cs="宋体" w:eastAsia="宋体" w:hint="default"/>
        </w:rPr>
        <w:t>2</w:t>
      </w:r>
      <w:r>
        <w:rPr/>
        <w:t>、重大担保</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240" w:lineRule="auto"/>
        <w:ind w:right="0"/>
        <w:jc w:val="left"/>
      </w:pPr>
      <w:r>
        <w:rPr/>
        <w:t>√ 适用 □</w:t>
      </w:r>
      <w:r>
        <w:rPr>
          <w:spacing w:val="-1"/>
        </w:rPr>
        <w:t> </w:t>
      </w:r>
      <w:r>
        <w:rPr/>
        <w:t>不适用</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担保情况" w:id="91"/>
      <w:bookmarkEnd w:id="91"/>
      <w:r>
        <w:rPr>
          <w:b w:val="0"/>
          <w:bCs w:val="0"/>
        </w:rPr>
      </w:r>
      <w:r>
        <w:rPr/>
        <w:t>（</w:t>
      </w:r>
      <w:r>
        <w:rPr>
          <w:rFonts w:ascii="宋体" w:hAnsi="宋体" w:cs="宋体" w:eastAsia="宋体" w:hint="default"/>
        </w:rPr>
        <w:t>1</w:t>
      </w:r>
      <w:r>
        <w:rPr/>
        <w:t>）担保情况</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770"/>
        <w:gridCol w:w="140"/>
        <w:gridCol w:w="1314"/>
        <w:gridCol w:w="107"/>
        <w:gridCol w:w="950"/>
        <w:gridCol w:w="1041"/>
        <w:gridCol w:w="136"/>
        <w:gridCol w:w="912"/>
        <w:gridCol w:w="790"/>
        <w:gridCol w:w="783"/>
      </w:tblGrid>
      <w:tr>
        <w:trPr>
          <w:trHeight w:val="402"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92" w:right="107"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56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2" w:right="1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6"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6"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90" w:right="108"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56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2" w:right="1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6"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国广光荣</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7"/>
              <w:ind w:left="14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sz w:val="18"/>
              </w:rPr>
              <w:t>8,000</w:t>
            </w:r>
          </w:p>
        </w:tc>
        <w:tc>
          <w:tcPr>
            <w:tcW w:w="1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sz w:val="18"/>
              </w:rPr>
              <w:t>4,320</w:t>
            </w:r>
          </w:p>
        </w:tc>
        <w:tc>
          <w:tcPr>
            <w:tcW w:w="1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两年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宋体" w:hAnsi="宋体" w:cs="宋体" w:eastAsia="宋体" w:hint="default"/>
                <w:sz w:val="18"/>
                <w:szCs w:val="18"/>
              </w:rPr>
              <w:t>B1</w:t>
            </w:r>
            <w:r>
              <w:rPr>
                <w:rFonts w:ascii="宋体" w:hAnsi="宋体" w:cs="宋体" w:eastAsia="宋体" w:hint="default"/>
                <w:sz w:val="18"/>
                <w:szCs w:val="18"/>
              </w:rPr>
              <w:t>）</w:t>
            </w:r>
          </w:p>
        </w:tc>
        <w:tc>
          <w:tcPr>
            <w:tcW w:w="2331" w:type="dxa"/>
            <w:gridSpan w:val="4"/>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8,000</w:t>
            </w:r>
          </w:p>
        </w:tc>
        <w:tc>
          <w:tcPr>
            <w:tcW w:w="212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48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4,320</w:t>
            </w:r>
          </w:p>
        </w:tc>
      </w:tr>
      <w:tr>
        <w:trPr>
          <w:trHeight w:val="719"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宋体" w:hAnsi="宋体" w:cs="宋体" w:eastAsia="宋体" w:hint="default"/>
                <w:sz w:val="18"/>
                <w:szCs w:val="18"/>
              </w:rPr>
              <w:t>B3</w:t>
            </w:r>
            <w:r>
              <w:rPr>
                <w:rFonts w:ascii="宋体" w:hAnsi="宋体" w:cs="宋体" w:eastAsia="宋体" w:hint="default"/>
                <w:sz w:val="18"/>
                <w:szCs w:val="18"/>
              </w:rPr>
              <w:t>）</w:t>
            </w:r>
          </w:p>
        </w:tc>
        <w:tc>
          <w:tcPr>
            <w:tcW w:w="2331" w:type="dxa"/>
            <w:gridSpan w:val="4"/>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
              <w:jc w:val="right"/>
              <w:rPr>
                <w:rFonts w:ascii="宋体" w:hAnsi="宋体" w:cs="宋体" w:eastAsia="宋体" w:hint="default"/>
                <w:sz w:val="18"/>
                <w:szCs w:val="18"/>
              </w:rPr>
            </w:pPr>
            <w:r>
              <w:rPr>
                <w:rFonts w:ascii="宋体"/>
                <w:sz w:val="18"/>
              </w:rPr>
              <w:t>8,000</w:t>
            </w:r>
          </w:p>
        </w:tc>
        <w:tc>
          <w:tcPr>
            <w:tcW w:w="212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48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4,320</w:t>
            </w:r>
          </w:p>
        </w:tc>
      </w:tr>
      <w:tr>
        <w:trPr>
          <w:trHeight w:val="392"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40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65" w:right="0"/>
              <w:jc w:val="left"/>
              <w:rPr>
                <w:rFonts w:ascii="宋体" w:hAnsi="宋体" w:cs="宋体" w:eastAsia="宋体" w:hint="default"/>
                <w:sz w:val="18"/>
                <w:szCs w:val="18"/>
              </w:rPr>
            </w:pPr>
            <w:r>
              <w:rPr>
                <w:rFonts w:ascii="宋体" w:hAnsi="宋体" w:cs="宋体" w:eastAsia="宋体" w:hint="default"/>
                <w:sz w:val="18"/>
                <w:szCs w:val="18"/>
              </w:rPr>
              <w:t>实际担保金</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4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8"/>
              <w:jc w:val="center"/>
              <w:rPr>
                <w:rFonts w:ascii="宋体" w:hAnsi="宋体" w:cs="宋体" w:eastAsia="宋体" w:hint="default"/>
                <w:sz w:val="18"/>
                <w:szCs w:val="18"/>
              </w:rPr>
            </w:pPr>
            <w:r>
              <w:rPr>
                <w:rFonts w:ascii="宋体" w:hAnsi="宋体" w:cs="宋体" w:eastAsia="宋体" w:hint="default"/>
                <w:sz w:val="18"/>
                <w:szCs w:val="18"/>
              </w:rPr>
              <w:t>是否履行</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6"/>
              <w:jc w:val="center"/>
              <w:rPr>
                <w:rFonts w:ascii="宋体" w:hAnsi="宋体" w:cs="宋体" w:eastAsia="宋体" w:hint="default"/>
                <w:sz w:val="18"/>
                <w:szCs w:val="18"/>
              </w:rPr>
            </w:pPr>
            <w:r>
              <w:rPr>
                <w:rFonts w:ascii="宋体" w:hAnsi="宋体" w:cs="宋体" w:eastAsia="宋体" w:hint="default"/>
                <w:sz w:val="18"/>
                <w:szCs w:val="18"/>
              </w:rPr>
              <w:t>是否为关</w:t>
            </w:r>
          </w:p>
        </w:tc>
      </w:tr>
    </w:tbl>
    <w:p>
      <w:pPr>
        <w:spacing w:after="0" w:line="240" w:lineRule="auto"/>
        <w:jc w:val="center"/>
        <w:rPr>
          <w:rFonts w:ascii="宋体" w:hAnsi="宋体" w:cs="宋体" w:eastAsia="宋体"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709"/>
        <w:gridCol w:w="897"/>
        <w:gridCol w:w="926"/>
        <w:gridCol w:w="1317"/>
        <w:gridCol w:w="1040"/>
        <w:gridCol w:w="1048"/>
        <w:gridCol w:w="1051"/>
        <w:gridCol w:w="786"/>
        <w:gridCol w:w="790"/>
      </w:tblGrid>
      <w:tr>
        <w:trPr>
          <w:trHeight w:val="358"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8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81" w:right="84"/>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26" w:type="dxa"/>
            <w:vMerge w:val="restart"/>
            <w:tcBorders>
              <w:top w:val="single" w:sz="4" w:space="0" w:color="000000"/>
              <w:left w:val="single" w:sz="4" w:space="0" w:color="000000"/>
              <w:right w:val="single" w:sz="4" w:space="0" w:color="000000"/>
            </w:tcBorders>
            <w:shd w:val="clear" w:color="auto" w:fill="D2D2D2"/>
          </w:tcPr>
          <w:p>
            <w:pPr/>
          </w:p>
        </w:tc>
        <w:tc>
          <w:tcPr>
            <w:tcW w:w="1317" w:type="dxa"/>
            <w:vMerge w:val="restart"/>
            <w:tcBorders>
              <w:top w:val="single" w:sz="4" w:space="0" w:color="000000"/>
              <w:left w:val="single" w:sz="4" w:space="0" w:color="000000"/>
              <w:right w:val="single" w:sz="4" w:space="0" w:color="000000"/>
            </w:tcBorders>
            <w:shd w:val="clear" w:color="auto" w:fill="D2D2D2"/>
          </w:tcPr>
          <w:p>
            <w:pPr/>
          </w:p>
        </w:tc>
        <w:tc>
          <w:tcPr>
            <w:tcW w:w="104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right="4"/>
              <w:jc w:val="center"/>
              <w:rPr>
                <w:rFonts w:ascii="宋体" w:hAnsi="宋体" w:cs="宋体" w:eastAsia="宋体" w:hint="default"/>
                <w:sz w:val="18"/>
                <w:szCs w:val="18"/>
              </w:rPr>
            </w:pPr>
            <w:r>
              <w:rPr>
                <w:rFonts w:ascii="宋体" w:hAnsi="宋体" w:cs="宋体" w:eastAsia="宋体" w:hint="default"/>
                <w:sz w:val="18"/>
                <w:szCs w:val="18"/>
              </w:rPr>
              <w:t>额</w:t>
            </w:r>
          </w:p>
        </w:tc>
        <w:tc>
          <w:tcPr>
            <w:tcW w:w="1048" w:type="dxa"/>
            <w:vMerge w:val="restart"/>
            <w:tcBorders>
              <w:top w:val="single" w:sz="4" w:space="0" w:color="000000"/>
              <w:left w:val="single" w:sz="4" w:space="0" w:color="000000"/>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07"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联方担保</w:t>
            </w:r>
          </w:p>
        </w:tc>
      </w:tr>
      <w:tr>
        <w:trPr>
          <w:trHeight w:val="322"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897"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317" w:type="dxa"/>
            <w:vMerge/>
            <w:tcBorders>
              <w:left w:val="single" w:sz="4" w:space="0" w:color="000000"/>
              <w:bottom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8"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A1+B1+C1</w:t>
            </w:r>
            <w:r>
              <w:rPr>
                <w:rFonts w:ascii="宋体" w:hAnsi="宋体" w:cs="宋体" w:eastAsia="宋体" w:hint="default"/>
                <w:sz w:val="18"/>
                <w:szCs w:val="18"/>
              </w:rPr>
              <w:t>）</w:t>
            </w:r>
          </w:p>
        </w:tc>
        <w:tc>
          <w:tcPr>
            <w:tcW w:w="2242"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宋体"/>
                <w:sz w:val="18"/>
              </w:rPr>
              <w:t>8,000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9"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宋体" w:hAnsi="宋体" w:cs="宋体" w:eastAsia="宋体"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sz w:val="18"/>
              </w:rPr>
              <w:t>4,320</w:t>
            </w:r>
          </w:p>
        </w:tc>
      </w:tr>
      <w:tr>
        <w:trPr>
          <w:trHeight w:val="714"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A3+B3+C3</w:t>
            </w:r>
            <w:r>
              <w:rPr>
                <w:rFonts w:ascii="宋体" w:hAnsi="宋体" w:cs="宋体" w:eastAsia="宋体" w:hint="default"/>
                <w:sz w:val="18"/>
                <w:szCs w:val="18"/>
              </w:rPr>
              <w:t>）</w:t>
            </w:r>
          </w:p>
        </w:tc>
        <w:tc>
          <w:tcPr>
            <w:tcW w:w="2242"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8,000</w:t>
            </w:r>
          </w:p>
        </w:tc>
        <w:tc>
          <w:tcPr>
            <w:tcW w:w="20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宋体" w:hAnsi="宋体" w:cs="宋体" w:eastAsia="宋体"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4,320</w:t>
            </w:r>
          </w:p>
        </w:tc>
      </w:tr>
      <w:tr>
        <w:trPr>
          <w:trHeight w:val="407"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宋体" w:hAnsi="宋体" w:cs="宋体" w:eastAsia="宋体" w:hint="default"/>
                <w:sz w:val="18"/>
                <w:szCs w:val="18"/>
              </w:rPr>
              <w:t>A4+B4+C4</w:t>
            </w:r>
            <w:r>
              <w:rPr>
                <w:rFonts w:ascii="宋体" w:hAnsi="宋体" w:cs="宋体" w:eastAsia="宋体" w:hint="default"/>
                <w:sz w:val="18"/>
                <w:szCs w:val="18"/>
              </w:rPr>
              <w:t>）占公司净资产的比例</w:t>
            </w:r>
          </w:p>
        </w:tc>
        <w:tc>
          <w:tcPr>
            <w:tcW w:w="47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0.92%</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宋体" w:hAnsi="宋体" w:cs="宋体" w:eastAsia="宋体" w:hint="default"/>
                <w:sz w:val="18"/>
                <w:szCs w:val="18"/>
              </w:rPr>
              <w:t>D</w:t>
            </w:r>
            <w:r>
              <w:rPr>
                <w:rFonts w:ascii="宋体" w:hAnsi="宋体" w:cs="宋体" w:eastAsia="宋体" w:hint="default"/>
                <w:sz w:val="18"/>
                <w:szCs w:val="18"/>
              </w:rPr>
              <w:t>）</w:t>
            </w:r>
          </w:p>
        </w:tc>
        <w:tc>
          <w:tcPr>
            <w:tcW w:w="47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23"/>
              <w:jc w:val="right"/>
              <w:rPr>
                <w:rFonts w:ascii="宋体" w:hAnsi="宋体" w:cs="宋体" w:eastAsia="宋体" w:hint="default"/>
                <w:sz w:val="18"/>
                <w:szCs w:val="18"/>
              </w:rPr>
            </w:pPr>
            <w:r>
              <w:rPr>
                <w:rFonts w:ascii="宋体"/>
                <w:sz w:val="18"/>
              </w:rPr>
              <w:t>0</w:t>
            </w:r>
          </w:p>
        </w:tc>
      </w:tr>
      <w:tr>
        <w:trPr>
          <w:trHeight w:val="714"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7"/>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61"/>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的被担保对象提供的债务担 保余额（</w:t>
            </w:r>
            <w:r>
              <w:rPr>
                <w:rFonts w:ascii="宋体" w:hAnsi="宋体" w:cs="宋体" w:eastAsia="宋体" w:hint="default"/>
                <w:sz w:val="18"/>
                <w:szCs w:val="18"/>
              </w:rPr>
              <w:t>E</w:t>
            </w:r>
            <w:r>
              <w:rPr>
                <w:rFonts w:ascii="宋体" w:hAnsi="宋体" w:cs="宋体" w:eastAsia="宋体" w:hint="default"/>
                <w:sz w:val="18"/>
                <w:szCs w:val="18"/>
              </w:rPr>
              <w:t>）</w:t>
            </w:r>
          </w:p>
        </w:tc>
        <w:tc>
          <w:tcPr>
            <w:tcW w:w="47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2"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F</w:t>
            </w:r>
            <w:r>
              <w:rPr>
                <w:rFonts w:ascii="宋体" w:hAnsi="宋体" w:cs="宋体" w:eastAsia="宋体" w:hint="default"/>
                <w:sz w:val="18"/>
                <w:szCs w:val="18"/>
              </w:rPr>
              <w:t>）</w:t>
            </w:r>
          </w:p>
        </w:tc>
        <w:tc>
          <w:tcPr>
            <w:tcW w:w="47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D+E+F</w:t>
            </w:r>
            <w:r>
              <w:rPr>
                <w:rFonts w:ascii="宋体" w:hAnsi="宋体" w:cs="宋体" w:eastAsia="宋体" w:hint="default"/>
                <w:sz w:val="18"/>
                <w:szCs w:val="18"/>
              </w:rPr>
              <w:t>）</w:t>
            </w:r>
          </w:p>
        </w:tc>
        <w:tc>
          <w:tcPr>
            <w:tcW w:w="47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714"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6"/>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违规对外担保情况" w:id="92"/>
      <w:bookmarkEnd w:id="92"/>
      <w:r>
        <w:rPr>
          <w:b w:val="0"/>
          <w:bCs w:val="0"/>
        </w:rPr>
      </w:r>
      <w:r>
        <w:rPr/>
        <w:t>（</w:t>
      </w:r>
      <w:r>
        <w:rPr>
          <w:rFonts w:ascii="宋体" w:hAnsi="宋体" w:cs="宋体" w:eastAsia="宋体" w:hint="default"/>
        </w:rPr>
        <w:t>2</w:t>
      </w:r>
      <w:r>
        <w:rPr/>
        <w:t>）违规对外担保情况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53" w:lineRule="auto"/>
        <w:ind w:right="6132"/>
        <w:jc w:val="left"/>
      </w:pPr>
      <w:r>
        <w:rPr/>
        <w:t>□ 适用 √</w:t>
      </w:r>
      <w:r>
        <w:rPr>
          <w:spacing w:val="-1"/>
        </w:rPr>
        <w:t> </w:t>
      </w:r>
      <w:r>
        <w:rPr/>
        <w:t>不适用</w:t>
      </w:r>
      <w:r>
        <w:rPr/>
        <w:t> 公司报告期无违规对外担保情况。</w:t>
      </w:r>
    </w:p>
    <w:p>
      <w:pPr>
        <w:pStyle w:val="Heading4"/>
        <w:spacing w:line="240" w:lineRule="auto" w:before="166"/>
        <w:ind w:right="0"/>
        <w:jc w:val="left"/>
        <w:rPr>
          <w:b w:val="0"/>
          <w:bCs w:val="0"/>
        </w:rPr>
      </w:pPr>
      <w:bookmarkStart w:name="3、委托他人进行现金资产管理情况" w:id="93"/>
      <w:bookmarkEnd w:id="93"/>
      <w:r>
        <w:rPr>
          <w:b w:val="0"/>
          <w:bCs w:val="0"/>
        </w:rPr>
      </w:r>
      <w:r>
        <w:rPr>
          <w:rFonts w:ascii="宋体" w:hAnsi="宋体" w:cs="宋体" w:eastAsia="宋体" w:hint="default"/>
        </w:rPr>
        <w:t>3</w:t>
      </w:r>
      <w:r>
        <w:rPr/>
        <w:t>、委托他人进行现金资产管理情况</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0"/>
        <w:jc w:val="left"/>
        <w:rPr>
          <w:b w:val="0"/>
          <w:bCs w:val="0"/>
        </w:rPr>
      </w:pPr>
      <w:bookmarkStart w:name="（1）委托理财情况" w:id="94"/>
      <w:bookmarkEnd w:id="94"/>
      <w:r>
        <w:rPr>
          <w:b w:val="0"/>
          <w:bCs w:val="0"/>
        </w:rPr>
      </w:r>
      <w:r>
        <w:rPr/>
        <w:t>（</w:t>
      </w:r>
      <w:r>
        <w:rPr>
          <w:rFonts w:ascii="宋体" w:hAnsi="宋体" w:cs="宋体" w:eastAsia="宋体" w:hint="default"/>
        </w:rPr>
        <w:t>1</w:t>
      </w:r>
      <w:r>
        <w:rPr/>
        <w:t>）委托理财情况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240" w:lineRule="auto"/>
        <w:ind w:right="0"/>
        <w:jc w:val="left"/>
      </w:pPr>
      <w:r>
        <w:rPr/>
        <w:t>√ 适用 □</w:t>
      </w:r>
      <w:r>
        <w:rPr>
          <w:spacing w:val="-1"/>
        </w:rPr>
        <w:t> </w:t>
      </w:r>
      <w:r>
        <w:rPr/>
        <w:t>不适用</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979" w:top="1100" w:bottom="1160" w:left="980" w:right="0"/>
        </w:sectPr>
      </w:pPr>
    </w:p>
    <w:p>
      <w:pPr>
        <w:pStyle w:val="BodyText"/>
        <w:spacing w:line="240" w:lineRule="auto" w:before="35"/>
        <w:ind w:right="-20"/>
        <w:jc w:val="left"/>
      </w:pPr>
      <w:r>
        <w:rPr/>
        <w:t>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255" w:space="648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59"/>
        <w:gridCol w:w="1981"/>
        <w:gridCol w:w="1910"/>
        <w:gridCol w:w="1850"/>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1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银行理财产品</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127,325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其他类</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42,705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4,727</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170,030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9,727</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bl>
    <w:p>
      <w:pPr>
        <w:spacing w:line="240" w:lineRule="auto" w:before="12"/>
        <w:rPr>
          <w:rFonts w:ascii="宋体" w:hAnsi="宋体" w:cs="宋体" w:eastAsia="宋体" w:hint="default"/>
          <w:sz w:val="10"/>
          <w:szCs w:val="10"/>
        </w:rPr>
      </w:pPr>
    </w:p>
    <w:p>
      <w:pPr>
        <w:pStyle w:val="BodyText"/>
        <w:spacing w:line="240" w:lineRule="auto" w:before="35"/>
        <w:ind w:right="0"/>
        <w:jc w:val="left"/>
      </w:pPr>
      <w:r>
        <w:rPr/>
        <w:t>单项金额重大或安全性较低、流动性较差、不保本的高风险委托理财具体情况</w:t>
      </w:r>
    </w:p>
    <w:p>
      <w:pPr>
        <w:spacing w:line="240" w:lineRule="auto" w:before="10"/>
        <w:rPr>
          <w:rFonts w:ascii="宋体" w:hAnsi="宋体" w:cs="宋体" w:eastAsia="宋体" w:hint="default"/>
          <w:sz w:val="18"/>
          <w:szCs w:val="18"/>
        </w:rPr>
      </w:pPr>
    </w:p>
    <w:p>
      <w:pPr>
        <w:pStyle w:val="BodyText"/>
        <w:spacing w:line="240" w:lineRule="auto"/>
        <w:ind w:right="0"/>
        <w:jc w:val="left"/>
      </w:pPr>
      <w:r>
        <w:rPr/>
        <w:t>□ 适用 √</w:t>
      </w:r>
      <w:r>
        <w:rPr>
          <w:spacing w:val="-1"/>
        </w:rPr>
        <w:t> </w:t>
      </w:r>
      <w:r>
        <w:rPr/>
        <w:t>不适用</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委托理财出现预期无法收回本金或存在其他可能导致减值的情形</w:t>
      </w:r>
    </w:p>
    <w:p>
      <w:pPr>
        <w:spacing w:line="240" w:lineRule="auto" w:before="9"/>
        <w:rPr>
          <w:rFonts w:ascii="宋体" w:hAnsi="宋体" w:cs="宋体" w:eastAsia="宋体" w:hint="default"/>
          <w:sz w:val="18"/>
          <w:szCs w:val="18"/>
        </w:rPr>
      </w:pPr>
    </w:p>
    <w:p>
      <w:pPr>
        <w:pStyle w:val="BodyText"/>
        <w:spacing w:line="240" w:lineRule="auto"/>
        <w:ind w:right="0"/>
        <w:jc w:val="left"/>
      </w:pPr>
      <w:r>
        <w:rPr/>
        <w:t>□ 适用 √</w:t>
      </w:r>
      <w:r>
        <w:rPr>
          <w:spacing w:val="-1"/>
        </w:rPr>
        <w:t> </w:t>
      </w:r>
      <w:r>
        <w:rPr/>
        <w:t>不适用</w:t>
      </w:r>
    </w:p>
    <w:p>
      <w:pPr>
        <w:spacing w:line="240" w:lineRule="auto" w:before="13"/>
        <w:rPr>
          <w:rFonts w:ascii="宋体" w:hAnsi="宋体" w:cs="宋体" w:eastAsia="宋体" w:hint="default"/>
          <w:sz w:val="26"/>
          <w:szCs w:val="26"/>
        </w:rPr>
      </w:pPr>
    </w:p>
    <w:p>
      <w:pPr>
        <w:pStyle w:val="Heading4"/>
        <w:spacing w:line="240" w:lineRule="auto"/>
        <w:ind w:right="0"/>
        <w:jc w:val="left"/>
        <w:rPr>
          <w:b w:val="0"/>
          <w:bCs w:val="0"/>
        </w:rPr>
      </w:pPr>
      <w:bookmarkStart w:name="（2）委托贷款情况" w:id="95"/>
      <w:bookmarkEnd w:id="95"/>
      <w:r>
        <w:rPr>
          <w:b w:val="0"/>
          <w:bCs w:val="0"/>
        </w:rPr>
      </w:r>
      <w:r>
        <w:rPr/>
        <w:t>（</w:t>
      </w:r>
      <w:r>
        <w:rPr>
          <w:rFonts w:ascii="宋体" w:hAnsi="宋体" w:cs="宋体" w:eastAsia="宋体" w:hint="default"/>
        </w:rPr>
        <w:t>2</w:t>
      </w:r>
      <w:r>
        <w:rPr/>
        <w:t>）委托贷款情况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56" w:lineRule="auto"/>
        <w:ind w:right="8022"/>
        <w:jc w:val="left"/>
      </w:pPr>
      <w:r>
        <w:rPr/>
        <w:t>□ 适用 √</w:t>
      </w:r>
      <w:r>
        <w:rPr>
          <w:spacing w:val="-1"/>
        </w:rPr>
        <w:t> </w:t>
      </w:r>
      <w:r>
        <w:rPr/>
        <w:t>不适用</w:t>
      </w:r>
      <w:r>
        <w:rPr/>
        <w:t> 公司报告期不存在委托贷款。</w:t>
      </w:r>
    </w:p>
    <w:p>
      <w:pPr>
        <w:spacing w:after="0" w:line="456" w:lineRule="auto"/>
        <w:jc w:val="left"/>
        <w:sectPr>
          <w:pgSz w:w="11910" w:h="16840"/>
          <w:pgMar w:header="0" w:footer="979" w:top="1100" w:bottom="1160" w:left="980" w:right="0"/>
        </w:sectPr>
      </w:pPr>
    </w:p>
    <w:p>
      <w:pPr>
        <w:spacing w:line="240" w:lineRule="auto" w:before="12"/>
        <w:rPr>
          <w:rFonts w:ascii="宋体" w:hAnsi="宋体" w:cs="宋体" w:eastAsia="宋体" w:hint="default"/>
          <w:sz w:val="2"/>
          <w:szCs w:val="2"/>
        </w:rPr>
      </w:pPr>
    </w:p>
    <w:p>
      <w:pPr>
        <w:spacing w:line="20" w:lineRule="exact"/>
        <w:ind w:left="64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680" w:right="0"/>
        <w:jc w:val="left"/>
        <w:rPr>
          <w:b w:val="0"/>
          <w:bCs w:val="0"/>
        </w:rPr>
      </w:pPr>
      <w:bookmarkStart w:name="4、其他重大合同" w:id="96"/>
      <w:bookmarkEnd w:id="96"/>
      <w:r>
        <w:rPr>
          <w:b w:val="0"/>
          <w:bCs w:val="0"/>
        </w:rPr>
      </w:r>
      <w:r>
        <w:rPr>
          <w:rFonts w:ascii="宋体" w:hAnsi="宋体" w:cs="宋体" w:eastAsia="宋体" w:hint="default"/>
        </w:rPr>
        <w:t>4</w:t>
      </w:r>
      <w:r>
        <w:rPr/>
        <w:t>、其他重大合同</w:t>
      </w:r>
      <w:r>
        <w:rPr>
          <w:b w:val="0"/>
          <w:bCs w:val="0"/>
        </w:rPr>
      </w:r>
    </w:p>
    <w:p>
      <w:pPr>
        <w:spacing w:line="240" w:lineRule="auto" w:before="11"/>
        <w:rPr>
          <w:rFonts w:ascii="宋体" w:hAnsi="宋体" w:cs="宋体" w:eastAsia="宋体" w:hint="default"/>
          <w:b/>
          <w:bCs/>
          <w:sz w:val="27"/>
          <w:szCs w:val="27"/>
        </w:rPr>
      </w:pPr>
    </w:p>
    <w:p>
      <w:pPr>
        <w:spacing w:before="0"/>
        <w:ind w:left="680"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852"/>
        <w:gridCol w:w="1276"/>
        <w:gridCol w:w="1417"/>
        <w:gridCol w:w="1559"/>
        <w:gridCol w:w="851"/>
        <w:gridCol w:w="851"/>
        <w:gridCol w:w="708"/>
        <w:gridCol w:w="639"/>
        <w:gridCol w:w="2056"/>
        <w:gridCol w:w="637"/>
        <w:gridCol w:w="638"/>
        <w:gridCol w:w="638"/>
        <w:gridCol w:w="920"/>
        <w:gridCol w:w="851"/>
        <w:gridCol w:w="1488"/>
      </w:tblGrid>
      <w:tr>
        <w:trPr>
          <w:trHeight w:val="1649"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59"/>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52" w:right="93" w:hanging="360"/>
              <w:jc w:val="left"/>
              <w:rPr>
                <w:rFonts w:ascii="宋体" w:hAnsi="宋体" w:cs="宋体" w:eastAsia="宋体" w:hint="default"/>
                <w:sz w:val="18"/>
                <w:szCs w:val="18"/>
              </w:rPr>
            </w:pPr>
            <w:r>
              <w:rPr>
                <w:rFonts w:ascii="宋体" w:hAnsi="宋体" w:cs="宋体" w:eastAsia="宋体" w:hint="default"/>
                <w:sz w:val="18"/>
                <w:szCs w:val="18"/>
              </w:rPr>
              <w:t>合同订立对方 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合同标的</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合同签订日期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both"/>
              <w:rPr>
                <w:rFonts w:ascii="宋体" w:hAnsi="宋体" w:cs="宋体" w:eastAsia="宋体" w:hint="default"/>
                <w:sz w:val="18"/>
                <w:szCs w:val="18"/>
              </w:rPr>
            </w:pPr>
            <w:r>
              <w:rPr>
                <w:rFonts w:ascii="宋体" w:hAnsi="宋体" w:cs="宋体" w:eastAsia="宋体" w:hint="default"/>
                <w:sz w:val="18"/>
                <w:szCs w:val="18"/>
              </w:rPr>
              <w:t>合同涉及 资产的账 面价值</w:t>
            </w:r>
          </w:p>
          <w:p>
            <w:pPr>
              <w:pStyle w:val="TableParagraph"/>
              <w:spacing w:line="240" w:lineRule="auto" w:before="19"/>
              <w:ind w:left="105"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59"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59"/>
              <w:jc w:val="both"/>
              <w:rPr>
                <w:rFonts w:ascii="宋体" w:hAnsi="宋体" w:cs="宋体" w:eastAsia="宋体" w:hint="default"/>
                <w:sz w:val="18"/>
                <w:szCs w:val="18"/>
              </w:rPr>
            </w:pPr>
            <w:r>
              <w:rPr>
                <w:rFonts w:ascii="宋体" w:hAnsi="宋体" w:cs="宋体" w:eastAsia="宋体" w:hint="default"/>
                <w:sz w:val="18"/>
                <w:szCs w:val="18"/>
              </w:rPr>
              <w:t>合同涉及 资产的评 估价值</w:t>
            </w:r>
          </w:p>
          <w:p>
            <w:pPr>
              <w:pStyle w:val="TableParagraph"/>
              <w:spacing w:line="240" w:lineRule="auto" w:before="19"/>
              <w:ind w:left="105"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61"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7"/>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240" w:lineRule="auto" w:before="20"/>
              <w:ind w:left="22" w:right="-45"/>
              <w:jc w:val="left"/>
              <w:rPr>
                <w:rFonts w:ascii="宋体" w:hAnsi="宋体" w:cs="宋体" w:eastAsia="宋体" w:hint="default"/>
                <w:sz w:val="18"/>
                <w:szCs w:val="18"/>
              </w:rPr>
            </w:pPr>
            <w:r>
              <w:rPr>
                <w:rFonts w:ascii="宋体" w:hAnsi="宋体" w:cs="宋体" w:eastAsia="宋体" w:hint="default"/>
                <w:sz w:val="18"/>
                <w:szCs w:val="18"/>
              </w:rPr>
              <w:t>（如有）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34" w:right="42"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 w:right="4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4" w:right="42"/>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华商广告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21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&lt;</w:t>
            </w:r>
            <w:r>
              <w:rPr>
                <w:rFonts w:ascii="宋体" w:hAnsi="宋体" w:cs="宋体" w:eastAsia="宋体" w:hint="default"/>
                <w:sz w:val="18"/>
                <w:szCs w:val="18"/>
              </w:rPr>
              <w:t>广告业务协 议</w:t>
            </w:r>
            <w:r>
              <w:rPr>
                <w:rFonts w:ascii="宋体" w:hAnsi="宋体" w:cs="宋体" w:eastAsia="宋体" w:hint="default"/>
                <w:sz w:val="18"/>
                <w:szCs w:val="18"/>
              </w:rPr>
              <w:t>&gt;</w:t>
            </w:r>
            <w:r>
              <w:rPr>
                <w:rFonts w:ascii="宋体" w:hAnsi="宋体" w:cs="宋体" w:eastAsia="宋体" w:hint="default"/>
                <w:sz w:val="18"/>
                <w:szCs w:val="18"/>
              </w:rPr>
              <w:t>终止协议》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7"/>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sz w:val="18"/>
              </w:rPr>
              <w:t>--</w:t>
            </w:r>
          </w:p>
        </w:tc>
        <w:tc>
          <w:tcPr>
            <w:tcW w:w="639"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sz w:val="18"/>
              </w:rPr>
              <w:t>--</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sz w:val="18"/>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
              <w:jc w:val="left"/>
              <w:rPr>
                <w:rFonts w:ascii="宋体" w:hAnsi="宋体" w:cs="宋体" w:eastAsia="宋体" w:hint="default"/>
                <w:sz w:val="18"/>
                <w:szCs w:val="18"/>
              </w:rPr>
            </w:pPr>
            <w:r>
              <w:rPr>
                <w:rFonts w:ascii="宋体" w:hAnsi="宋体" w:cs="宋体" w:eastAsia="宋体" w:hint="default"/>
                <w:sz w:val="18"/>
                <w:szCs w:val="18"/>
              </w:rPr>
              <w:t>详见在巨潮网上 披露的《关于控股 子公司与华商报 社调整经营性协 </w:t>
            </w:r>
            <w:r>
              <w:rPr>
                <w:rFonts w:ascii="宋体" w:hAnsi="宋体" w:cs="宋体" w:eastAsia="宋体" w:hint="default"/>
                <w:spacing w:val="-12"/>
                <w:sz w:val="18"/>
                <w:szCs w:val="18"/>
              </w:rPr>
              <w:t>议的公告》（公告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编号：</w:t>
            </w:r>
            <w:r>
              <w:rPr>
                <w:rFonts w:ascii="宋体" w:hAnsi="宋体" w:cs="宋体" w:eastAsia="宋体" w:hint="default"/>
                <w:sz w:val="18"/>
                <w:szCs w:val="18"/>
              </w:rPr>
              <w:t>2018-126</w:t>
            </w:r>
            <w:r>
              <w:rPr>
                <w:rFonts w:ascii="宋体" w:hAnsi="宋体" w:cs="宋体" w:eastAsia="宋体" w:hint="default"/>
                <w:sz w:val="18"/>
                <w:szCs w:val="18"/>
              </w:rPr>
              <w:t>）</w:t>
            </w:r>
          </w:p>
        </w:tc>
      </w:tr>
      <w:tr>
        <w:trPr>
          <w:trHeight w:val="196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1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&lt;</w:t>
            </w:r>
            <w:r>
              <w:rPr>
                <w:rFonts w:ascii="宋体" w:hAnsi="宋体" w:cs="宋体" w:eastAsia="宋体" w:hint="default"/>
                <w:sz w:val="18"/>
                <w:szCs w:val="18"/>
              </w:rPr>
              <w:t>发行业务协 议</w:t>
            </w:r>
            <w:r>
              <w:rPr>
                <w:rFonts w:ascii="宋体" w:hAnsi="宋体" w:cs="宋体" w:eastAsia="宋体" w:hint="default"/>
                <w:sz w:val="18"/>
                <w:szCs w:val="18"/>
              </w:rPr>
              <w:t>&gt;</w:t>
            </w:r>
            <w:r>
              <w:rPr>
                <w:rFonts w:ascii="宋体" w:hAnsi="宋体" w:cs="宋体" w:eastAsia="宋体" w:hint="default"/>
                <w:sz w:val="18"/>
                <w:szCs w:val="18"/>
              </w:rPr>
              <w:t>终止协议》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7"/>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sz w:val="18"/>
              </w:rPr>
              <w:t>--</w:t>
            </w:r>
          </w:p>
        </w:tc>
        <w:tc>
          <w:tcPr>
            <w:tcW w:w="639"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sz w:val="18"/>
              </w:rPr>
              <w:t>--</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sz w:val="18"/>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
              <w:jc w:val="left"/>
              <w:rPr>
                <w:rFonts w:ascii="宋体" w:hAnsi="宋体" w:cs="宋体" w:eastAsia="宋体" w:hint="default"/>
                <w:sz w:val="18"/>
                <w:szCs w:val="18"/>
              </w:rPr>
            </w:pPr>
            <w:r>
              <w:rPr>
                <w:rFonts w:ascii="宋体" w:hAnsi="宋体" w:cs="宋体" w:eastAsia="宋体" w:hint="default"/>
                <w:sz w:val="18"/>
                <w:szCs w:val="18"/>
              </w:rPr>
              <w:t>详见在巨潮网上 披露的《关于控股 子公司与华商报 社调整经营性协 </w:t>
            </w:r>
            <w:r>
              <w:rPr>
                <w:rFonts w:ascii="宋体" w:hAnsi="宋体" w:cs="宋体" w:eastAsia="宋体" w:hint="default"/>
                <w:spacing w:val="-12"/>
                <w:sz w:val="18"/>
                <w:szCs w:val="18"/>
              </w:rPr>
              <w:t>议的公告》（公告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编号：</w:t>
            </w:r>
            <w:r>
              <w:rPr>
                <w:rFonts w:ascii="宋体" w:hAnsi="宋体" w:cs="宋体" w:eastAsia="宋体" w:hint="default"/>
                <w:sz w:val="18"/>
                <w:szCs w:val="18"/>
              </w:rPr>
              <w:t>2018-126</w:t>
            </w:r>
            <w:r>
              <w:rPr>
                <w:rFonts w:ascii="宋体" w:hAnsi="宋体" w:cs="宋体" w:eastAsia="宋体" w:hint="default"/>
                <w:sz w:val="18"/>
                <w:szCs w:val="18"/>
              </w:rPr>
              <w:t>）</w:t>
            </w:r>
          </w:p>
        </w:tc>
      </w:tr>
      <w:tr>
        <w:trPr>
          <w:trHeight w:val="196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1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&lt;</w:t>
            </w:r>
            <w:r>
              <w:rPr>
                <w:rFonts w:ascii="宋体" w:hAnsi="宋体" w:cs="宋体" w:eastAsia="宋体" w:hint="default"/>
                <w:sz w:val="18"/>
                <w:szCs w:val="18"/>
              </w:rPr>
              <w:t>印刷业务协 议</w:t>
            </w:r>
            <w:r>
              <w:rPr>
                <w:rFonts w:ascii="宋体" w:hAnsi="宋体" w:cs="宋体" w:eastAsia="宋体" w:hint="default"/>
                <w:sz w:val="18"/>
                <w:szCs w:val="18"/>
              </w:rPr>
              <w:t>&gt;</w:t>
            </w:r>
            <w:r>
              <w:rPr>
                <w:rFonts w:ascii="宋体" w:hAnsi="宋体" w:cs="宋体" w:eastAsia="宋体" w:hint="default"/>
                <w:sz w:val="18"/>
                <w:szCs w:val="18"/>
              </w:rPr>
              <w:t>终止协议》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7"/>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sz w:val="18"/>
              </w:rPr>
              <w:t>--</w:t>
            </w:r>
          </w:p>
        </w:tc>
        <w:tc>
          <w:tcPr>
            <w:tcW w:w="639"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sz w:val="18"/>
              </w:rPr>
              <w:t>--</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sz w:val="18"/>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
              <w:jc w:val="left"/>
              <w:rPr>
                <w:rFonts w:ascii="宋体" w:hAnsi="宋体" w:cs="宋体" w:eastAsia="宋体" w:hint="default"/>
                <w:sz w:val="18"/>
                <w:szCs w:val="18"/>
              </w:rPr>
            </w:pPr>
            <w:r>
              <w:rPr>
                <w:rFonts w:ascii="宋体" w:hAnsi="宋体" w:cs="宋体" w:eastAsia="宋体" w:hint="default"/>
                <w:sz w:val="18"/>
                <w:szCs w:val="18"/>
              </w:rPr>
              <w:t>详见在巨潮网上 披露的《关于控股 子公司与华商报 社调整经营性协 </w:t>
            </w:r>
            <w:r>
              <w:rPr>
                <w:rFonts w:ascii="宋体" w:hAnsi="宋体" w:cs="宋体" w:eastAsia="宋体" w:hint="default"/>
                <w:spacing w:val="-12"/>
                <w:sz w:val="18"/>
                <w:szCs w:val="18"/>
              </w:rPr>
              <w:t>议的公告》（公告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编号：</w:t>
            </w:r>
            <w:r>
              <w:rPr>
                <w:rFonts w:ascii="宋体" w:hAnsi="宋体" w:cs="宋体" w:eastAsia="宋体" w:hint="default"/>
                <w:sz w:val="18"/>
                <w:szCs w:val="18"/>
              </w:rPr>
              <w:t>2018-126</w:t>
            </w:r>
            <w:r>
              <w:rPr>
                <w:rFonts w:ascii="宋体" w:hAnsi="宋体" w:cs="宋体" w:eastAsia="宋体" w:hint="default"/>
                <w:sz w:val="18"/>
                <w:szCs w:val="18"/>
              </w:rPr>
              <w:t>）</w:t>
            </w:r>
          </w:p>
        </w:tc>
      </w:tr>
      <w:tr>
        <w:trPr>
          <w:trHeight w:val="98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华商广告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22"/>
              <w:jc w:val="left"/>
              <w:rPr>
                <w:rFonts w:ascii="宋体" w:hAnsi="宋体" w:cs="宋体" w:eastAsia="宋体" w:hint="default"/>
                <w:sz w:val="18"/>
                <w:szCs w:val="18"/>
              </w:rPr>
            </w:pPr>
            <w:r>
              <w:rPr>
                <w:rFonts w:ascii="宋体" w:hAnsi="宋体" w:cs="宋体" w:eastAsia="宋体" w:hint="default"/>
                <w:sz w:val="18"/>
                <w:szCs w:val="18"/>
              </w:rPr>
              <w:t>《经营性业务授 权协议》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sz w:val="18"/>
              </w:rPr>
              <w:t>--</w:t>
            </w:r>
          </w:p>
        </w:tc>
        <w:tc>
          <w:tcPr>
            <w:tcW w:w="639"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综合考虑历年华商广告支 付给华商报社的广告分成 款，华商报社支付给华商</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64,800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sz w:val="18"/>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正在履行 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详见在巨潮网上 </w:t>
            </w:r>
            <w:r>
              <w:rPr>
                <w:rFonts w:ascii="宋体" w:hAnsi="宋体" w:cs="宋体" w:eastAsia="宋体" w:hint="default"/>
                <w:spacing w:val="-2"/>
                <w:sz w:val="18"/>
                <w:szCs w:val="18"/>
              </w:rPr>
              <w:t>披露的《关于控股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子公司与华商报</w:t>
            </w:r>
          </w:p>
        </w:tc>
      </w:tr>
    </w:tbl>
    <w:p>
      <w:pPr>
        <w:spacing w:after="0" w:line="316" w:lineRule="auto"/>
        <w:jc w:val="left"/>
        <w:rPr>
          <w:rFonts w:ascii="宋体" w:hAnsi="宋体" w:cs="宋体" w:eastAsia="宋体" w:hint="default"/>
          <w:sz w:val="18"/>
          <w:szCs w:val="18"/>
        </w:rPr>
        <w:sectPr>
          <w:headerReference w:type="default" r:id="rId27"/>
          <w:footerReference w:type="default" r:id="rId28"/>
          <w:pgSz w:w="16840" w:h="11910" w:orient="landscape"/>
          <w:pgMar w:header="867" w:footer="979" w:top="1060" w:bottom="1260" w:left="760" w:right="460"/>
          <w:pgNumType w:start="79"/>
        </w:sectPr>
      </w:pPr>
    </w:p>
    <w:p>
      <w:pPr>
        <w:spacing w:line="240" w:lineRule="auto" w:before="4"/>
        <w:rPr>
          <w:rFonts w:ascii="Times New Roman" w:hAnsi="Times New Roman" w:cs="Times New Roman" w:eastAsia="Times New Roman" w:hint="default"/>
          <w:sz w:val="3"/>
          <w:szCs w:val="3"/>
        </w:rPr>
      </w:pPr>
      <w:r>
        <w:rPr/>
        <w:pict>
          <v:shape style="position:absolute;margin-left:476.083008pt;margin-top:57.180008pt;width:109.6pt;height:126.9pt;mso-position-horizontal-relative:page;mso-position-vertical-relative:page;z-index:-1491784"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陕西黄马甲的印刷、</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852"/>
        <w:gridCol w:w="1276"/>
        <w:gridCol w:w="1417"/>
        <w:gridCol w:w="1559"/>
        <w:gridCol w:w="851"/>
        <w:gridCol w:w="851"/>
        <w:gridCol w:w="708"/>
        <w:gridCol w:w="639"/>
        <w:gridCol w:w="2056"/>
        <w:gridCol w:w="637"/>
        <w:gridCol w:w="638"/>
        <w:gridCol w:w="638"/>
        <w:gridCol w:w="920"/>
        <w:gridCol w:w="851"/>
        <w:gridCol w:w="1488"/>
      </w:tblGrid>
      <w:tr>
        <w:trPr>
          <w:trHeight w:val="332" w:hRule="exact"/>
        </w:trPr>
        <w:tc>
          <w:tcPr>
            <w:tcW w:w="852" w:type="dxa"/>
            <w:vMerge w:val="restart"/>
            <w:tcBorders>
              <w:top w:val="single" w:sz="15" w:space="0" w:color="000000"/>
              <w:left w:val="single" w:sz="4" w:space="0" w:color="000000"/>
              <w:right w:val="single" w:sz="4" w:space="0" w:color="000000"/>
            </w:tcBorders>
          </w:tcPr>
          <w:p>
            <w:pPr/>
          </w:p>
        </w:tc>
        <w:tc>
          <w:tcPr>
            <w:tcW w:w="1276" w:type="dxa"/>
            <w:vMerge w:val="restart"/>
            <w:tcBorders>
              <w:top w:val="single" w:sz="15" w:space="0" w:color="000000"/>
              <w:left w:val="single" w:sz="4" w:space="0" w:color="000000"/>
              <w:right w:val="single" w:sz="4" w:space="0" w:color="000000"/>
            </w:tcBorders>
          </w:tcPr>
          <w:p>
            <w:pPr/>
          </w:p>
        </w:tc>
        <w:tc>
          <w:tcPr>
            <w:tcW w:w="1417" w:type="dxa"/>
            <w:vMerge w:val="restart"/>
            <w:tcBorders>
              <w:top w:val="single" w:sz="15" w:space="0" w:color="000000"/>
              <w:left w:val="single" w:sz="4" w:space="0" w:color="000000"/>
              <w:right w:val="single" w:sz="4" w:space="0" w:color="000000"/>
            </w:tcBorders>
          </w:tcPr>
          <w:p>
            <w:pPr/>
          </w:p>
        </w:tc>
        <w:tc>
          <w:tcPr>
            <w:tcW w:w="1559" w:type="dxa"/>
            <w:vMerge w:val="restart"/>
            <w:tcBorders>
              <w:top w:val="single" w:sz="15" w:space="0" w:color="000000"/>
              <w:left w:val="single" w:sz="4" w:space="0" w:color="000000"/>
              <w:right w:val="single" w:sz="4" w:space="0" w:color="000000"/>
            </w:tcBorders>
          </w:tcPr>
          <w:p>
            <w:pPr/>
          </w:p>
        </w:tc>
        <w:tc>
          <w:tcPr>
            <w:tcW w:w="851" w:type="dxa"/>
            <w:vMerge w:val="restart"/>
            <w:tcBorders>
              <w:top w:val="single" w:sz="15" w:space="0" w:color="000000"/>
              <w:left w:val="single" w:sz="4" w:space="0" w:color="000000"/>
              <w:right w:val="single" w:sz="4" w:space="0" w:color="000000"/>
            </w:tcBorders>
          </w:tcPr>
          <w:p>
            <w:pPr/>
          </w:p>
        </w:tc>
        <w:tc>
          <w:tcPr>
            <w:tcW w:w="851" w:type="dxa"/>
            <w:vMerge w:val="restart"/>
            <w:tcBorders>
              <w:top w:val="single" w:sz="15" w:space="0" w:color="000000"/>
              <w:left w:val="single" w:sz="4" w:space="0" w:color="000000"/>
              <w:right w:val="single" w:sz="4" w:space="0" w:color="000000"/>
            </w:tcBorders>
          </w:tcPr>
          <w:p>
            <w:pPr/>
          </w:p>
        </w:tc>
        <w:tc>
          <w:tcPr>
            <w:tcW w:w="708" w:type="dxa"/>
            <w:vMerge w:val="restart"/>
            <w:tcBorders>
              <w:top w:val="single" w:sz="15" w:space="0" w:color="000000"/>
              <w:left w:val="single" w:sz="4" w:space="0" w:color="000000"/>
              <w:right w:val="single" w:sz="4" w:space="0" w:color="000000"/>
            </w:tcBorders>
          </w:tcPr>
          <w:p>
            <w:pPr/>
          </w:p>
        </w:tc>
        <w:tc>
          <w:tcPr>
            <w:tcW w:w="639" w:type="dxa"/>
            <w:vMerge w:val="restart"/>
            <w:tcBorders>
              <w:top w:val="single" w:sz="15" w:space="0" w:color="000000"/>
              <w:left w:val="single" w:sz="4" w:space="0" w:color="000000"/>
              <w:right w:val="single" w:sz="4" w:space="0" w:color="000000"/>
            </w:tcBorders>
          </w:tcPr>
          <w:p>
            <w:pPr/>
          </w:p>
        </w:tc>
        <w:tc>
          <w:tcPr>
            <w:tcW w:w="205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数码、</w:t>
            </w:r>
          </w:p>
        </w:tc>
        <w:tc>
          <w:tcPr>
            <w:tcW w:w="637" w:type="dxa"/>
            <w:vMerge w:val="restart"/>
            <w:tcBorders>
              <w:top w:val="single" w:sz="15" w:space="0" w:color="000000"/>
              <w:left w:val="single" w:sz="4" w:space="0" w:color="000000"/>
              <w:right w:val="single" w:sz="4" w:space="0" w:color="000000"/>
            </w:tcBorders>
          </w:tcPr>
          <w:p>
            <w:pPr>
              <w:pStyle w:val="TableParagraph"/>
              <w:spacing w:line="253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pict>
                <v:group style="width:31.4pt;height:126.9pt;mso-position-horizontal-relative:char;mso-position-vertical-relative:line" coordorigin="0,0" coordsize="628,2538">
                  <v:group style="position:absolute;left:0;top:0;width:628;height:2538" coordorigin="0,0" coordsize="628,2538">
                    <v:shape style="position:absolute;left:0;top:0;width:628;height:2538" coordorigin="0,0" coordsize="628,2538" path="m0,2537l628,2537,628,0,0,0,0,2537xe" filled="true" fillcolor="#ffffff" stroked="false">
                      <v:path arrowok="t"/>
                      <v:fill type="solid"/>
                    </v:shape>
                  </v:group>
                </v:group>
              </w:pict>
            </w:r>
            <w:r>
              <w:rPr>
                <w:rFonts w:ascii="Times New Roman" w:hAnsi="Times New Roman" w:cs="Times New Roman" w:eastAsia="Times New Roman" w:hint="default"/>
                <w:position w:val="-50"/>
                <w:sz w:val="20"/>
                <w:szCs w:val="20"/>
              </w:rPr>
            </w:r>
          </w:p>
        </w:tc>
        <w:tc>
          <w:tcPr>
            <w:tcW w:w="638" w:type="dxa"/>
            <w:vMerge w:val="restart"/>
            <w:tcBorders>
              <w:top w:val="single" w:sz="15" w:space="0" w:color="000000"/>
              <w:left w:val="single" w:sz="4" w:space="0" w:color="000000"/>
              <w:right w:val="single" w:sz="4" w:space="0" w:color="000000"/>
            </w:tcBorders>
          </w:tcPr>
          <w:p>
            <w:pPr/>
          </w:p>
        </w:tc>
        <w:tc>
          <w:tcPr>
            <w:tcW w:w="638" w:type="dxa"/>
            <w:vMerge w:val="restart"/>
            <w:tcBorders>
              <w:top w:val="single" w:sz="15" w:space="0" w:color="000000"/>
              <w:left w:val="single" w:sz="4" w:space="0" w:color="000000"/>
              <w:right w:val="single" w:sz="4" w:space="0" w:color="000000"/>
            </w:tcBorders>
          </w:tcPr>
          <w:p>
            <w:pPr/>
          </w:p>
        </w:tc>
        <w:tc>
          <w:tcPr>
            <w:tcW w:w="920" w:type="dxa"/>
            <w:vMerge w:val="restart"/>
            <w:tcBorders>
              <w:top w:val="single" w:sz="15" w:space="0" w:color="000000"/>
              <w:left w:val="single" w:sz="4" w:space="0" w:color="000000"/>
              <w:right w:val="single" w:sz="4" w:space="0" w:color="000000"/>
            </w:tcBorders>
          </w:tcPr>
          <w:p>
            <w:pPr/>
          </w:p>
        </w:tc>
        <w:tc>
          <w:tcPr>
            <w:tcW w:w="851" w:type="dxa"/>
            <w:vMerge w:val="restart"/>
            <w:tcBorders>
              <w:top w:val="single" w:sz="15" w:space="0" w:color="000000"/>
              <w:left w:val="single" w:sz="4" w:space="0" w:color="000000"/>
              <w:right w:val="single" w:sz="4" w:space="0" w:color="000000"/>
            </w:tcBorders>
          </w:tcPr>
          <w:p>
            <w:pPr/>
          </w:p>
        </w:tc>
        <w:tc>
          <w:tcPr>
            <w:tcW w:w="1488"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社调整经营性协</w:t>
            </w:r>
          </w:p>
        </w:tc>
      </w:tr>
      <w:tr>
        <w:trPr>
          <w:trHeight w:val="312" w:hRule="exact"/>
        </w:trPr>
        <w:tc>
          <w:tcPr>
            <w:tcW w:w="852"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20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发行业务费，华商报社报</w:t>
            </w: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议的公告</w:t>
            </w:r>
            <w:r>
              <w:rPr>
                <w:rFonts w:ascii="宋体" w:hAnsi="宋体" w:cs="宋体" w:eastAsia="宋体" w:hint="default"/>
                <w:spacing w:val="-90"/>
                <w:sz w:val="18"/>
                <w:szCs w:val="18"/>
              </w:rPr>
              <w:t>》</w:t>
            </w:r>
            <w:r>
              <w:rPr>
                <w:rFonts w:ascii="宋体" w:hAnsi="宋体" w:cs="宋体" w:eastAsia="宋体" w:hint="default"/>
                <w:sz w:val="18"/>
                <w:szCs w:val="18"/>
              </w:rPr>
              <w:t>（公告</w:t>
            </w:r>
          </w:p>
        </w:tc>
      </w:tr>
      <w:tr>
        <w:trPr>
          <w:trHeight w:val="313" w:hRule="exact"/>
        </w:trPr>
        <w:tc>
          <w:tcPr>
            <w:tcW w:w="852"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20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纸内容正常编采发生的人</w:t>
            </w: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编号：</w:t>
            </w:r>
            <w:r>
              <w:rPr>
                <w:rFonts w:ascii="宋体" w:hAnsi="宋体" w:cs="宋体" w:eastAsia="宋体" w:hint="default"/>
                <w:sz w:val="18"/>
                <w:szCs w:val="18"/>
              </w:rPr>
              <w:t>2018-126</w:t>
            </w:r>
            <w:r>
              <w:rPr>
                <w:rFonts w:ascii="宋体" w:hAnsi="宋体" w:cs="宋体" w:eastAsia="宋体" w:hint="default"/>
                <w:sz w:val="18"/>
                <w:szCs w:val="18"/>
              </w:rPr>
              <w:t>）</w:t>
            </w:r>
          </w:p>
        </w:tc>
      </w:tr>
      <w:tr>
        <w:trPr>
          <w:trHeight w:val="311" w:hRule="exact"/>
        </w:trPr>
        <w:tc>
          <w:tcPr>
            <w:tcW w:w="852"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20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力成本费用及日常运营维</w:t>
            </w: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2"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20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护费用，以及华商广告未</w:t>
            </w: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2"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20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来的广告收入测算及发展</w:t>
            </w: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852"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20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前景，由交易双方友好协</w:t>
            </w: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52"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639" w:type="dxa"/>
            <w:vMerge/>
            <w:tcBorders>
              <w:left w:val="single" w:sz="4" w:space="0" w:color="000000"/>
              <w:bottom w:val="single" w:sz="4" w:space="0" w:color="000000"/>
              <w:right w:val="single" w:sz="4" w:space="0" w:color="000000"/>
            </w:tcBorders>
          </w:tcPr>
          <w:p>
            <w:pPr/>
          </w:p>
        </w:tc>
        <w:tc>
          <w:tcPr>
            <w:tcW w:w="20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商确定。</w:t>
            </w:r>
          </w:p>
        </w:tc>
        <w:tc>
          <w:tcPr>
            <w:tcW w:w="637"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852"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639" w:type="dxa"/>
            <w:vMerge w:val="restart"/>
            <w:tcBorders>
              <w:top w:val="single" w:sz="4" w:space="0" w:color="000000"/>
              <w:left w:val="single" w:sz="4" w:space="0" w:color="000000"/>
              <w:right w:val="single" w:sz="4" w:space="0" w:color="000000"/>
            </w:tcBorders>
          </w:tcPr>
          <w:p>
            <w:pPr/>
          </w:p>
        </w:tc>
        <w:tc>
          <w:tcPr>
            <w:tcW w:w="2056"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详见在巨潮网上</w:t>
            </w:r>
          </w:p>
        </w:tc>
      </w:tr>
      <w:tr>
        <w:trPr>
          <w:trHeight w:val="311" w:hRule="exact"/>
        </w:trPr>
        <w:tc>
          <w:tcPr>
            <w:tcW w:w="85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9" w:type="dxa"/>
            <w:vMerge/>
            <w:tcBorders>
              <w:left w:val="single" w:sz="4" w:space="0" w:color="000000"/>
              <w:right w:val="single" w:sz="4" w:space="0" w:color="000000"/>
            </w:tcBorders>
          </w:tcPr>
          <w:p>
            <w:pPr/>
          </w:p>
        </w:tc>
        <w:tc>
          <w:tcPr>
            <w:tcW w:w="2056"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披露的《关于控股</w:t>
            </w:r>
          </w:p>
        </w:tc>
      </w:tr>
      <w:tr>
        <w:trPr>
          <w:trHeight w:val="937"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9" w:lineRule="auto"/>
              <w:ind w:left="24" w:right="96"/>
              <w:jc w:val="left"/>
              <w:rPr>
                <w:rFonts w:ascii="宋体" w:hAnsi="宋体" w:cs="宋体" w:eastAsia="宋体" w:hint="default"/>
                <w:sz w:val="18"/>
                <w:szCs w:val="18"/>
              </w:rPr>
            </w:pPr>
            <w:r>
              <w:rPr>
                <w:rFonts w:ascii="宋体" w:hAnsi="宋体" w:cs="宋体" w:eastAsia="宋体" w:hint="default"/>
                <w:sz w:val="18"/>
                <w:szCs w:val="18"/>
              </w:rPr>
              <w:t>重庆华博 传媒</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重庆时报社</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9" w:lineRule="auto" w:before="11"/>
              <w:ind w:left="22" w:right="3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&lt;</w:t>
            </w:r>
            <w:r>
              <w:rPr>
                <w:rFonts w:ascii="宋体" w:hAnsi="宋体" w:cs="宋体" w:eastAsia="宋体" w:hint="default"/>
                <w:sz w:val="18"/>
                <w:szCs w:val="18"/>
              </w:rPr>
              <w:t>经营性业务授 权协议</w:t>
            </w:r>
            <w:r>
              <w:rPr>
                <w:rFonts w:ascii="宋体" w:hAnsi="宋体" w:cs="宋体" w:eastAsia="宋体" w:hint="default"/>
                <w:sz w:val="18"/>
                <w:szCs w:val="18"/>
              </w:rPr>
              <w:t>&gt;</w:t>
            </w:r>
            <w:r>
              <w:rPr>
                <w:rFonts w:ascii="宋体" w:hAnsi="宋体" w:cs="宋体" w:eastAsia="宋体" w:hint="default"/>
                <w:sz w:val="18"/>
                <w:szCs w:val="18"/>
              </w:rPr>
              <w:t>终止协 议》</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17"/>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sz w:val="18"/>
              </w:rPr>
              <w:t>--</w:t>
            </w:r>
          </w:p>
        </w:tc>
        <w:tc>
          <w:tcPr>
            <w:tcW w:w="639" w:type="dxa"/>
            <w:vMerge/>
            <w:tcBorders>
              <w:left w:val="single" w:sz="4" w:space="0" w:color="000000"/>
              <w:right w:val="single" w:sz="4" w:space="0" w:color="000000"/>
            </w:tcBorders>
          </w:tcPr>
          <w:p>
            <w:pPr/>
          </w:p>
        </w:tc>
        <w:tc>
          <w:tcPr>
            <w:tcW w:w="20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sz w:val="18"/>
              </w:rPr>
              <w:t>--</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20"/>
              <w:jc w:val="right"/>
              <w:rPr>
                <w:rFonts w:ascii="宋体" w:hAnsi="宋体" w:cs="宋体" w:eastAsia="宋体" w:hint="default"/>
                <w:sz w:val="18"/>
                <w:szCs w:val="18"/>
              </w:rPr>
            </w:pPr>
            <w:r>
              <w:rPr>
                <w:rFonts w:ascii="宋体"/>
                <w:sz w:val="18"/>
              </w:rPr>
              <w:t>0</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sz w:val="18"/>
              </w:rPr>
              <w:t>--</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93"/>
              <w:jc w:val="both"/>
              <w:rPr>
                <w:rFonts w:ascii="宋体" w:hAnsi="宋体" w:cs="宋体" w:eastAsia="宋体" w:hint="default"/>
                <w:sz w:val="18"/>
                <w:szCs w:val="18"/>
              </w:rPr>
            </w:pPr>
            <w:r>
              <w:rPr>
                <w:rFonts w:ascii="宋体" w:hAnsi="宋体" w:cs="宋体" w:eastAsia="宋体" w:hint="default"/>
                <w:sz w:val="18"/>
                <w:szCs w:val="18"/>
              </w:rPr>
              <w:t>子公司与有关报 社终止经营性业 务授权协议的公</w:t>
            </w:r>
          </w:p>
        </w:tc>
      </w:tr>
      <w:tr>
        <w:trPr>
          <w:trHeight w:val="312" w:hRule="exact"/>
        </w:trPr>
        <w:tc>
          <w:tcPr>
            <w:tcW w:w="85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9" w:type="dxa"/>
            <w:vMerge/>
            <w:tcBorders>
              <w:left w:val="single" w:sz="4" w:space="0" w:color="000000"/>
              <w:right w:val="single" w:sz="4" w:space="0" w:color="000000"/>
            </w:tcBorders>
          </w:tcPr>
          <w:p>
            <w:pPr/>
          </w:p>
        </w:tc>
        <w:tc>
          <w:tcPr>
            <w:tcW w:w="2056"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（公告编号：</w:t>
            </w:r>
          </w:p>
        </w:tc>
      </w:tr>
      <w:tr>
        <w:trPr>
          <w:trHeight w:val="357" w:hRule="exact"/>
        </w:trPr>
        <w:tc>
          <w:tcPr>
            <w:tcW w:w="85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639" w:type="dxa"/>
            <w:vMerge/>
            <w:tcBorders>
              <w:left w:val="single" w:sz="4" w:space="0" w:color="000000"/>
              <w:bottom w:val="single" w:sz="4" w:space="0" w:color="000000"/>
              <w:right w:val="single" w:sz="4" w:space="0" w:color="000000"/>
            </w:tcBorders>
          </w:tcPr>
          <w:p>
            <w:pPr/>
          </w:p>
        </w:tc>
        <w:tc>
          <w:tcPr>
            <w:tcW w:w="2056"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2019-001</w:t>
            </w:r>
            <w:r>
              <w:rPr>
                <w:rFonts w:ascii="宋体" w:hAnsi="宋体" w:cs="宋体" w:eastAsia="宋体" w:hint="default"/>
                <w:sz w:val="18"/>
                <w:szCs w:val="18"/>
              </w:rPr>
              <w:t>）</w:t>
            </w:r>
          </w:p>
        </w:tc>
      </w:tr>
      <w:tr>
        <w:trPr>
          <w:trHeight w:val="357" w:hRule="exact"/>
        </w:trPr>
        <w:tc>
          <w:tcPr>
            <w:tcW w:w="852"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639" w:type="dxa"/>
            <w:vMerge w:val="restart"/>
            <w:tcBorders>
              <w:top w:val="single" w:sz="4" w:space="0" w:color="000000"/>
              <w:left w:val="single" w:sz="4" w:space="0" w:color="000000"/>
              <w:right w:val="single" w:sz="4" w:space="0" w:color="000000"/>
            </w:tcBorders>
          </w:tcPr>
          <w:p>
            <w:pPr/>
          </w:p>
        </w:tc>
        <w:tc>
          <w:tcPr>
            <w:tcW w:w="2056"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详见在巨潮网上</w:t>
            </w:r>
          </w:p>
        </w:tc>
      </w:tr>
      <w:tr>
        <w:trPr>
          <w:trHeight w:val="311" w:hRule="exact"/>
        </w:trPr>
        <w:tc>
          <w:tcPr>
            <w:tcW w:w="85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9" w:type="dxa"/>
            <w:vMerge/>
            <w:tcBorders>
              <w:left w:val="single" w:sz="4" w:space="0" w:color="000000"/>
              <w:right w:val="single" w:sz="4" w:space="0" w:color="000000"/>
            </w:tcBorders>
          </w:tcPr>
          <w:p>
            <w:pPr/>
          </w:p>
        </w:tc>
        <w:tc>
          <w:tcPr>
            <w:tcW w:w="2056"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披露的《关于控股</w:t>
            </w:r>
          </w:p>
        </w:tc>
      </w:tr>
      <w:tr>
        <w:trPr>
          <w:trHeight w:val="937"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辽宁盈丰 传媒</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华商晨报社</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3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&lt;</w:t>
            </w:r>
            <w:r>
              <w:rPr>
                <w:rFonts w:ascii="宋体" w:hAnsi="宋体" w:cs="宋体" w:eastAsia="宋体" w:hint="default"/>
                <w:sz w:val="18"/>
                <w:szCs w:val="18"/>
              </w:rPr>
              <w:t>经营性业务授 权协议</w:t>
            </w:r>
            <w:r>
              <w:rPr>
                <w:rFonts w:ascii="宋体" w:hAnsi="宋体" w:cs="宋体" w:eastAsia="宋体" w:hint="default"/>
                <w:sz w:val="18"/>
                <w:szCs w:val="18"/>
              </w:rPr>
              <w:t>&gt;</w:t>
            </w:r>
            <w:r>
              <w:rPr>
                <w:rFonts w:ascii="宋体" w:hAnsi="宋体" w:cs="宋体" w:eastAsia="宋体" w:hint="default"/>
                <w:sz w:val="18"/>
                <w:szCs w:val="18"/>
              </w:rPr>
              <w:t>终止协 议》</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7"/>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sz w:val="18"/>
              </w:rPr>
              <w:t>--</w:t>
            </w:r>
          </w:p>
        </w:tc>
        <w:tc>
          <w:tcPr>
            <w:tcW w:w="639" w:type="dxa"/>
            <w:vMerge/>
            <w:tcBorders>
              <w:left w:val="single" w:sz="4" w:space="0" w:color="000000"/>
              <w:right w:val="single" w:sz="4" w:space="0" w:color="000000"/>
            </w:tcBorders>
          </w:tcPr>
          <w:p>
            <w:pPr/>
          </w:p>
        </w:tc>
        <w:tc>
          <w:tcPr>
            <w:tcW w:w="20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sz w:val="18"/>
              </w:rPr>
              <w:t>--</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0"/>
              <w:jc w:val="right"/>
              <w:rPr>
                <w:rFonts w:ascii="宋体" w:hAnsi="宋体" w:cs="宋体" w:eastAsia="宋体" w:hint="default"/>
                <w:sz w:val="18"/>
                <w:szCs w:val="18"/>
              </w:rPr>
            </w:pPr>
            <w:r>
              <w:rPr>
                <w:rFonts w:ascii="宋体"/>
                <w:sz w:val="18"/>
              </w:rPr>
              <w:t>0</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sz w:val="18"/>
              </w:rPr>
              <w:t>--</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3"/>
              <w:jc w:val="both"/>
              <w:rPr>
                <w:rFonts w:ascii="宋体" w:hAnsi="宋体" w:cs="宋体" w:eastAsia="宋体" w:hint="default"/>
                <w:sz w:val="18"/>
                <w:szCs w:val="18"/>
              </w:rPr>
            </w:pPr>
            <w:r>
              <w:rPr>
                <w:rFonts w:ascii="宋体" w:hAnsi="宋体" w:cs="宋体" w:eastAsia="宋体" w:hint="default"/>
                <w:sz w:val="18"/>
                <w:szCs w:val="18"/>
              </w:rPr>
              <w:t>子公司与有关报 社终止经营性业 务授权协议的公</w:t>
            </w:r>
          </w:p>
        </w:tc>
      </w:tr>
      <w:tr>
        <w:trPr>
          <w:trHeight w:val="312" w:hRule="exact"/>
        </w:trPr>
        <w:tc>
          <w:tcPr>
            <w:tcW w:w="852"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639" w:type="dxa"/>
            <w:vMerge/>
            <w:tcBorders>
              <w:left w:val="single" w:sz="4" w:space="0" w:color="000000"/>
              <w:right w:val="single" w:sz="4" w:space="0" w:color="000000"/>
            </w:tcBorders>
          </w:tcPr>
          <w:p>
            <w:pPr/>
          </w:p>
        </w:tc>
        <w:tc>
          <w:tcPr>
            <w:tcW w:w="2056"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（公告编号：</w:t>
            </w:r>
          </w:p>
        </w:tc>
      </w:tr>
      <w:tr>
        <w:trPr>
          <w:trHeight w:val="357" w:hRule="exact"/>
        </w:trPr>
        <w:tc>
          <w:tcPr>
            <w:tcW w:w="852"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639" w:type="dxa"/>
            <w:vMerge/>
            <w:tcBorders>
              <w:left w:val="single" w:sz="4" w:space="0" w:color="000000"/>
              <w:bottom w:val="single" w:sz="4" w:space="0" w:color="000000"/>
              <w:right w:val="single" w:sz="4" w:space="0" w:color="000000"/>
            </w:tcBorders>
          </w:tcPr>
          <w:p>
            <w:pPr/>
          </w:p>
        </w:tc>
        <w:tc>
          <w:tcPr>
            <w:tcW w:w="2056"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2019-001</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760" w:right="46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ind w:right="0"/>
        <w:jc w:val="left"/>
        <w:rPr>
          <w:b w:val="0"/>
          <w:bCs w:val="0"/>
        </w:rPr>
      </w:pPr>
      <w:bookmarkStart w:name="十八、社会责任情况" w:id="97"/>
      <w:bookmarkEnd w:id="97"/>
      <w:r>
        <w:rPr>
          <w:b w:val="0"/>
          <w:bCs w:val="0"/>
        </w:rPr>
      </w:r>
      <w:r>
        <w:rPr/>
        <w:t>十八、社会责任情况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履行社会责任情况" w:id="98"/>
      <w:bookmarkEnd w:id="98"/>
      <w:r>
        <w:rPr>
          <w:b w:val="0"/>
          <w:bCs w:val="0"/>
        </w:rPr>
      </w:r>
      <w:r>
        <w:rPr>
          <w:rFonts w:ascii="宋体" w:hAnsi="宋体" w:cs="宋体" w:eastAsia="宋体" w:hint="default"/>
        </w:rPr>
        <w:t>1</w:t>
      </w:r>
      <w:r>
        <w:rPr/>
        <w:t>、履行社会责任情况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spacing w:line="547" w:lineRule="auto" w:before="0"/>
        <w:ind w:left="154" w:right="5082" w:firstLine="420"/>
        <w:jc w:val="left"/>
        <w:rPr>
          <w:rFonts w:ascii="宋体" w:hAnsi="宋体" w:cs="宋体" w:eastAsia="宋体" w:hint="default"/>
          <w:sz w:val="21"/>
          <w:szCs w:val="21"/>
        </w:rPr>
      </w:pPr>
      <w:r>
        <w:rPr>
          <w:rFonts w:ascii="宋体" w:hAnsi="宋体" w:cs="宋体" w:eastAsia="宋体" w:hint="default"/>
          <w:sz w:val="21"/>
          <w:szCs w:val="21"/>
        </w:rPr>
        <w:t>详见同日在巨潮网上披露的《</w:t>
      </w:r>
      <w:r>
        <w:rPr>
          <w:rFonts w:ascii="宋体" w:hAnsi="宋体" w:cs="宋体" w:eastAsia="宋体" w:hint="default"/>
          <w:sz w:val="21"/>
          <w:szCs w:val="21"/>
        </w:rPr>
        <w:t>2018</w:t>
      </w:r>
      <w:r>
        <w:rPr>
          <w:rFonts w:ascii="宋体" w:hAnsi="宋体" w:cs="宋体" w:eastAsia="宋体" w:hint="default"/>
          <w:sz w:val="21"/>
          <w:szCs w:val="21"/>
        </w:rPr>
        <w:t>年度社会责任报告》。 </w:t>
      </w:r>
      <w:bookmarkStart w:name="2、履行精准扶贫社会责任情况" w:id="99"/>
      <w:bookmarkEnd w:id="99"/>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pStyle w:val="Heading4"/>
        <w:spacing w:line="240" w:lineRule="auto" w:before="69"/>
        <w:ind w:right="0"/>
        <w:jc w:val="left"/>
        <w:rPr>
          <w:b w:val="0"/>
          <w:bCs w:val="0"/>
        </w:rPr>
      </w:pPr>
      <w:bookmarkStart w:name="（1）精准扶贫规划" w:id="100"/>
      <w:bookmarkEnd w:id="100"/>
      <w:r>
        <w:rPr>
          <w:b w:val="0"/>
          <w:bCs w:val="0"/>
        </w:rPr>
      </w:r>
      <w:r>
        <w:rPr/>
        <w:t>（</w:t>
      </w:r>
      <w:r>
        <w:rPr>
          <w:rFonts w:ascii="宋体" w:hAnsi="宋体" w:cs="宋体" w:eastAsia="宋体" w:hint="default"/>
        </w:rPr>
        <w:t>1</w:t>
      </w:r>
      <w:r>
        <w:rPr/>
        <w:t>）精准扶贫规划</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1130" w:firstLine="420"/>
        <w:jc w:val="both"/>
      </w:pPr>
      <w:r>
        <w:rPr>
          <w:rFonts w:ascii="宋体" w:hAnsi="宋体" w:cs="宋体" w:eastAsia="宋体" w:hint="default"/>
          <w:spacing w:val="-1"/>
        </w:rPr>
        <w:t>2018</w:t>
      </w:r>
      <w:r>
        <w:rPr>
          <w:spacing w:val="-1"/>
        </w:rPr>
        <w:t>年，公司加大对定点帮扶对象海南省白沙县细水乡白水港村的帮扶力度，坚持走“产业带动、农</w:t>
      </w:r>
      <w:r>
        <w:rPr/>
        <w:t> </w:t>
      </w:r>
      <w:r>
        <w:rPr>
          <w:spacing w:val="3"/>
        </w:rPr>
        <w:t>民增收”、“造血式扶贫”的路子</w:t>
      </w:r>
      <w:r>
        <w:rPr>
          <w:rFonts w:ascii="宋体" w:hAnsi="宋体" w:cs="宋体" w:eastAsia="宋体" w:hint="default"/>
          <w:spacing w:val="3"/>
        </w:rPr>
        <w:t>,</w:t>
      </w:r>
      <w:r>
        <w:rPr>
          <w:spacing w:val="3"/>
        </w:rPr>
        <w:t>着力增强扶贫对象的自我脱贫能力</w:t>
      </w:r>
      <w:r>
        <w:rPr>
          <w:rFonts w:ascii="宋体" w:hAnsi="宋体" w:cs="宋体" w:eastAsia="宋体" w:hint="default"/>
          <w:spacing w:val="3"/>
        </w:rPr>
        <w:t>,</w:t>
      </w:r>
      <w:r>
        <w:rPr>
          <w:spacing w:val="3"/>
        </w:rPr>
        <w:t>逐步形成产业助推精准扶贫的局</w:t>
      </w:r>
      <w:r>
        <w:rPr>
          <w:spacing w:val="-81"/>
        </w:rPr>
        <w:t> </w:t>
      </w:r>
      <w:r>
        <w:rPr>
          <w:spacing w:val="-81"/>
        </w:rPr>
      </w:r>
      <w:r>
        <w:rPr/>
        <w:t>面。</w:t>
      </w:r>
    </w:p>
    <w:p>
      <w:pPr>
        <w:pStyle w:val="BodyText"/>
        <w:spacing w:line="420" w:lineRule="auto" w:before="47"/>
        <w:ind w:left="574" w:right="0"/>
        <w:jc w:val="left"/>
      </w:pPr>
      <w:r>
        <w:rPr/>
        <w:t>① 扶贫计划资金 </w:t>
      </w:r>
      <w:r>
        <w:rPr>
          <w:spacing w:val="-1"/>
        </w:rPr>
        <w:t>为保障各项扶贫计划项目稳步推进，</w:t>
      </w:r>
      <w:r>
        <w:rPr>
          <w:rFonts w:ascii="宋体" w:hAnsi="宋体" w:cs="宋体" w:eastAsia="宋体" w:hint="default"/>
          <w:spacing w:val="-1"/>
        </w:rPr>
        <w:t>2018</w:t>
      </w:r>
      <w:r>
        <w:rPr>
          <w:spacing w:val="-1"/>
        </w:rPr>
        <w:t>年公司计划拨付助学金不低于</w:t>
      </w:r>
      <w:r>
        <w:rPr>
          <w:rFonts w:ascii="宋体" w:hAnsi="宋体" w:cs="宋体" w:eastAsia="宋体" w:hint="default"/>
          <w:spacing w:val="-1"/>
        </w:rPr>
        <w:t>10</w:t>
      </w:r>
      <w:r>
        <w:rPr>
          <w:spacing w:val="-1"/>
        </w:rPr>
        <w:t>万元、金菠萝种植项目专项</w:t>
      </w:r>
    </w:p>
    <w:p>
      <w:pPr>
        <w:pStyle w:val="BodyText"/>
        <w:spacing w:line="240" w:lineRule="auto" w:before="47"/>
        <w:ind w:right="0"/>
        <w:jc w:val="left"/>
      </w:pPr>
      <w:r>
        <w:rPr/>
        <w:t>资金</w:t>
      </w:r>
      <w:r>
        <w:rPr>
          <w:rFonts w:ascii="宋体" w:hAnsi="宋体" w:cs="宋体" w:eastAsia="宋体" w:hint="default"/>
        </w:rPr>
        <w:t>30</w:t>
      </w:r>
      <w:r>
        <w:rPr/>
        <w:t>万元，其他项目视具体情况拨付资金。</w:t>
      </w:r>
    </w:p>
    <w:p>
      <w:pPr>
        <w:spacing w:line="240" w:lineRule="auto" w:before="9"/>
        <w:rPr>
          <w:rFonts w:ascii="宋体" w:hAnsi="宋体" w:cs="宋体" w:eastAsia="宋体" w:hint="default"/>
          <w:sz w:val="15"/>
          <w:szCs w:val="15"/>
        </w:rPr>
      </w:pPr>
    </w:p>
    <w:p>
      <w:pPr>
        <w:pStyle w:val="BodyText"/>
        <w:spacing w:line="420" w:lineRule="auto"/>
        <w:ind w:left="574" w:right="0"/>
        <w:jc w:val="left"/>
      </w:pPr>
      <w:r>
        <w:rPr/>
        <w:t>② 整体工作计划 </w:t>
      </w:r>
      <w:r>
        <w:rPr>
          <w:rFonts w:ascii="宋体" w:hAnsi="宋体" w:cs="宋体" w:eastAsia="宋体" w:hint="default"/>
          <w:spacing w:val="-1"/>
        </w:rPr>
        <w:t>A</w:t>
      </w:r>
      <w:r>
        <w:rPr>
          <w:spacing w:val="-1"/>
        </w:rPr>
        <w:t>．截至</w:t>
      </w:r>
      <w:r>
        <w:rPr>
          <w:rFonts w:ascii="宋体" w:hAnsi="宋体" w:cs="宋体" w:eastAsia="宋体" w:hint="default"/>
          <w:spacing w:val="-1"/>
        </w:rPr>
        <w:t>2018</w:t>
      </w:r>
      <w:r>
        <w:rPr>
          <w:spacing w:val="-1"/>
        </w:rPr>
        <w:t>年底，白水港村</w:t>
      </w:r>
      <w:r>
        <w:rPr>
          <w:rFonts w:ascii="宋体" w:hAnsi="宋体" w:cs="宋体" w:eastAsia="宋体" w:hint="default"/>
          <w:spacing w:val="-1"/>
        </w:rPr>
        <w:t>151</w:t>
      </w:r>
      <w:r>
        <w:rPr>
          <w:spacing w:val="-1"/>
        </w:rPr>
        <w:t>户（共</w:t>
      </w:r>
      <w:r>
        <w:rPr>
          <w:rFonts w:ascii="宋体" w:hAnsi="宋体" w:cs="宋体" w:eastAsia="宋体" w:hint="default"/>
          <w:spacing w:val="-1"/>
        </w:rPr>
        <w:t>641</w:t>
      </w:r>
      <w:r>
        <w:rPr>
          <w:spacing w:val="-1"/>
        </w:rPr>
        <w:t>人）全部实现脱贫，其中</w:t>
      </w:r>
      <w:r>
        <w:rPr>
          <w:rFonts w:ascii="宋体" w:hAnsi="宋体" w:cs="宋体" w:eastAsia="宋体" w:hint="default"/>
          <w:spacing w:val="-1"/>
        </w:rPr>
        <w:t>2018</w:t>
      </w:r>
      <w:r>
        <w:rPr>
          <w:spacing w:val="-1"/>
        </w:rPr>
        <w:t>年实现白水港村剩余的</w:t>
      </w:r>
      <w:r>
        <w:rPr>
          <w:rFonts w:ascii="宋体" w:hAnsi="宋体" w:cs="宋体" w:eastAsia="宋体" w:hint="default"/>
          <w:spacing w:val="-1"/>
        </w:rPr>
        <w:t>4</w:t>
      </w:r>
      <w:r>
        <w:rPr>
          <w:spacing w:val="-1"/>
        </w:rPr>
        <w:t>户贫</w:t>
      </w:r>
    </w:p>
    <w:p>
      <w:pPr>
        <w:pStyle w:val="BodyText"/>
        <w:spacing w:line="420" w:lineRule="auto" w:before="47"/>
        <w:ind w:right="0"/>
        <w:jc w:val="left"/>
      </w:pPr>
      <w:r>
        <w:rPr>
          <w:spacing w:val="-1"/>
        </w:rPr>
        <w:t>困户（共</w:t>
      </w:r>
      <w:r>
        <w:rPr>
          <w:rFonts w:ascii="宋体" w:hAnsi="宋体" w:cs="宋体" w:eastAsia="宋体" w:hint="default"/>
          <w:spacing w:val="-1"/>
        </w:rPr>
        <w:t>12</w:t>
      </w:r>
      <w:r>
        <w:rPr>
          <w:spacing w:val="-1"/>
        </w:rPr>
        <w:t>人）脱贫，巩固提升脱贫成果，防止已脱贫人员返贫。实现全村人口不愁吃、不愁穿，义务教</w:t>
      </w:r>
      <w:r>
        <w:rPr>
          <w:spacing w:val="-85"/>
        </w:rPr>
        <w:t> </w:t>
      </w:r>
      <w:r>
        <w:rPr>
          <w:spacing w:val="-85"/>
        </w:rPr>
      </w:r>
      <w:r>
        <w:rPr/>
        <w:t>育、基本医疗和住房安全有保障。</w:t>
      </w:r>
    </w:p>
    <w:p>
      <w:pPr>
        <w:pStyle w:val="BodyText"/>
        <w:spacing w:line="420" w:lineRule="auto" w:before="47"/>
        <w:ind w:left="574" w:right="0"/>
        <w:jc w:val="left"/>
      </w:pPr>
      <w:r>
        <w:rPr>
          <w:rFonts w:ascii="宋体" w:hAnsi="宋体" w:cs="宋体" w:eastAsia="宋体" w:hint="default"/>
        </w:rPr>
        <w:t>B</w:t>
      </w:r>
      <w:r>
        <w:rPr/>
        <w:t>．继续派出</w:t>
      </w:r>
      <w:r>
        <w:rPr>
          <w:rFonts w:ascii="宋体" w:hAnsi="宋体" w:cs="宋体" w:eastAsia="宋体" w:hint="default"/>
        </w:rPr>
        <w:t>1</w:t>
      </w:r>
      <w:r>
        <w:rPr/>
        <w:t>名驻村工作人员，深入开展扶贫工作。 </w:t>
      </w:r>
      <w:r>
        <w:rPr>
          <w:rFonts w:ascii="宋体" w:hAnsi="宋体" w:cs="宋体" w:eastAsia="宋体" w:hint="default"/>
        </w:rPr>
        <w:t>C</w:t>
      </w:r>
      <w:r>
        <w:rPr/>
        <w:t>．推动乡村旅游驿站建设。敦促加快旅游驿站建设进度，争取早日试营业；充分利用村子周边“灯</w:t>
      </w:r>
    </w:p>
    <w:p>
      <w:pPr>
        <w:pStyle w:val="BodyText"/>
        <w:spacing w:line="420" w:lineRule="auto" w:before="47"/>
        <w:ind w:right="0"/>
        <w:jc w:val="left"/>
      </w:pPr>
      <w:r>
        <w:rPr>
          <w:spacing w:val="-1"/>
        </w:rPr>
        <w:t>笼洞”、“佛面山”“白水溪”等旅游资源，以开发乡村旅游为龙头，帮助白水港村建设、完善住宿、餐</w:t>
      </w:r>
      <w:r>
        <w:rPr>
          <w:spacing w:val="-83"/>
        </w:rPr>
        <w:t> </w:t>
      </w:r>
      <w:r>
        <w:rPr>
          <w:spacing w:val="-83"/>
        </w:rPr>
      </w:r>
      <w:r>
        <w:rPr/>
        <w:t>饮、停车、导游、土特产销售等接待基础设施和环境条件。</w:t>
      </w:r>
    </w:p>
    <w:p>
      <w:pPr>
        <w:pStyle w:val="BodyText"/>
        <w:spacing w:line="420" w:lineRule="auto" w:before="47"/>
        <w:ind w:left="574" w:right="3087"/>
        <w:jc w:val="left"/>
      </w:pPr>
      <w:r>
        <w:rPr>
          <w:rFonts w:ascii="宋体" w:hAnsi="宋体" w:cs="宋体" w:eastAsia="宋体" w:hint="default"/>
        </w:rPr>
        <w:t>D</w:t>
      </w:r>
      <w:r>
        <w:rPr/>
        <w:t>．继续开展精准助学和“一对一”助学帮扶活动，帮助贫困户子女完成学业。 </w:t>
      </w:r>
      <w:r>
        <w:rPr>
          <w:rFonts w:ascii="宋体" w:hAnsi="宋体" w:cs="宋体" w:eastAsia="宋体" w:hint="default"/>
        </w:rPr>
        <w:t>E</w:t>
      </w:r>
      <w:r>
        <w:rPr/>
        <w:t>．帮助贫困户实施养殖、种植项目。</w:t>
      </w:r>
    </w:p>
    <w:p>
      <w:pPr>
        <w:spacing w:line="240" w:lineRule="auto" w:before="12"/>
        <w:rPr>
          <w:rFonts w:ascii="宋体" w:hAnsi="宋体" w:cs="宋体" w:eastAsia="宋体" w:hint="default"/>
          <w:sz w:val="14"/>
          <w:szCs w:val="14"/>
        </w:rPr>
      </w:pPr>
    </w:p>
    <w:p>
      <w:pPr>
        <w:pStyle w:val="Heading4"/>
        <w:spacing w:line="240" w:lineRule="auto"/>
        <w:ind w:right="0"/>
        <w:jc w:val="left"/>
        <w:rPr>
          <w:b w:val="0"/>
          <w:bCs w:val="0"/>
        </w:rPr>
      </w:pPr>
      <w:bookmarkStart w:name="（2）年度精准扶贫概要" w:id="101"/>
      <w:bookmarkEnd w:id="101"/>
      <w:r>
        <w:rPr>
          <w:b w:val="0"/>
          <w:bCs w:val="0"/>
        </w:rPr>
      </w:r>
      <w:r>
        <w:rPr/>
        <w:t>（</w:t>
      </w:r>
      <w:r>
        <w:rPr>
          <w:rFonts w:ascii="宋体" w:hAnsi="宋体" w:cs="宋体" w:eastAsia="宋体" w:hint="default"/>
        </w:rPr>
        <w:t>2</w:t>
      </w:r>
      <w:r>
        <w:rPr/>
        <w:t>）年度精准扶贫概要</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1129" w:firstLine="420"/>
        <w:jc w:val="both"/>
      </w:pPr>
      <w:r>
        <w:rPr>
          <w:rFonts w:ascii="宋体" w:hAnsi="宋体" w:cs="宋体" w:eastAsia="宋体" w:hint="default"/>
        </w:rPr>
        <w:t>2018</w:t>
      </w:r>
      <w:r>
        <w:rPr/>
        <w:t>年</w:t>
      </w:r>
      <w:r>
        <w:rPr>
          <w:rFonts w:ascii="宋体" w:hAnsi="宋体" w:cs="宋体" w:eastAsia="宋体" w:hint="default"/>
        </w:rPr>
        <w:t>3</w:t>
      </w:r>
      <w:r>
        <w:rPr/>
        <w:t>月份，公司扶贫工作（</w:t>
      </w:r>
      <w:r>
        <w:rPr>
          <w:rFonts w:ascii="宋体" w:hAnsi="宋体" w:cs="宋体" w:eastAsia="宋体" w:hint="default"/>
        </w:rPr>
        <w:t>2017</w:t>
      </w:r>
      <w:r>
        <w:rPr/>
        <w:t>年度）被海南省扶贫工作领导小组评为“良好”。</w:t>
      </w:r>
      <w:r>
        <w:rPr>
          <w:rFonts w:ascii="宋体" w:hAnsi="宋体" w:cs="宋体" w:eastAsia="宋体" w:hint="default"/>
        </w:rPr>
        <w:t>2018</w:t>
      </w:r>
      <w:r>
        <w:rPr/>
        <w:t>年，公司 共计投入资金</w:t>
      </w:r>
      <w:r>
        <w:rPr>
          <w:rFonts w:ascii="宋体" w:hAnsi="宋体" w:cs="宋体" w:eastAsia="宋体" w:hint="default"/>
        </w:rPr>
        <w:t>46.25</w:t>
      </w:r>
      <w:r>
        <w:rPr/>
        <w:t>万元，其中：金菠萝种植项目专项资金</w:t>
      </w:r>
      <w:r>
        <w:rPr>
          <w:rFonts w:ascii="宋体" w:hAnsi="宋体" w:cs="宋体" w:eastAsia="宋体" w:hint="default"/>
        </w:rPr>
        <w:t>30</w:t>
      </w:r>
      <w:r>
        <w:rPr/>
        <w:t>万元，精准助学金</w:t>
      </w:r>
      <w:r>
        <w:rPr>
          <w:rFonts w:ascii="宋体" w:hAnsi="宋体" w:cs="宋体" w:eastAsia="宋体" w:hint="default"/>
        </w:rPr>
        <w:t>13</w:t>
      </w:r>
      <w:r>
        <w:rPr/>
        <w:t>万元，春节前慰问金及</w:t>
      </w:r>
      <w:r>
        <w:rPr>
          <w:spacing w:val="-29"/>
        </w:rPr>
        <w:t> </w:t>
      </w:r>
      <w:r>
        <w:rPr>
          <w:spacing w:val="-29"/>
        </w:rPr>
      </w:r>
      <w:r>
        <w:rPr/>
        <w:t>其他帮扶金</w:t>
      </w:r>
      <w:r>
        <w:rPr>
          <w:rFonts w:ascii="宋体" w:hAnsi="宋体" w:cs="宋体" w:eastAsia="宋体" w:hint="default"/>
        </w:rPr>
        <w:t>3.25</w:t>
      </w:r>
      <w:r>
        <w:rPr/>
        <w:t>万元。公司</w:t>
      </w:r>
      <w:r>
        <w:rPr>
          <w:rFonts w:ascii="宋体" w:hAnsi="宋体" w:cs="宋体" w:eastAsia="宋体" w:hint="default"/>
        </w:rPr>
        <w:t>2018</w:t>
      </w:r>
      <w:r>
        <w:rPr/>
        <w:t>年开展的主要扶贫工作如下：</w:t>
      </w:r>
    </w:p>
    <w:p>
      <w:pPr>
        <w:pStyle w:val="BodyText"/>
        <w:spacing w:line="240" w:lineRule="auto" w:before="47"/>
        <w:ind w:left="574" w:right="0"/>
        <w:jc w:val="left"/>
      </w:pPr>
      <w:r>
        <w:rPr/>
        <w:t>①</w:t>
      </w:r>
      <w:r>
        <w:rPr>
          <w:spacing w:val="-1"/>
        </w:rPr>
        <w:t> </w:t>
      </w:r>
      <w:r>
        <w:rPr/>
        <w:t>推动乡村旅游驿站建设</w:t>
      </w:r>
    </w:p>
    <w:p>
      <w:pPr>
        <w:spacing w:after="0" w:line="240" w:lineRule="auto"/>
        <w:jc w:val="left"/>
        <w:sectPr>
          <w:headerReference w:type="default" r:id="rId29"/>
          <w:footerReference w:type="default" r:id="rId30"/>
          <w:pgSz w:w="11910" w:h="16840"/>
          <w:pgMar w:header="877" w:footer="979" w:top="1100" w:bottom="1160" w:left="980" w:right="0"/>
          <w:pgNumType w:start="81"/>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131" w:firstLine="420"/>
        <w:jc w:val="both"/>
      </w:pPr>
      <w:r>
        <w:rPr>
          <w:spacing w:val="-1"/>
        </w:rPr>
        <w:t>从</w:t>
      </w:r>
      <w:r>
        <w:rPr>
          <w:rFonts w:ascii="宋体" w:hAnsi="宋体" w:cs="宋体" w:eastAsia="宋体" w:hint="default"/>
          <w:spacing w:val="-1"/>
        </w:rPr>
        <w:t>2017</w:t>
      </w:r>
      <w:r>
        <w:rPr>
          <w:spacing w:val="-1"/>
        </w:rPr>
        <w:t>年开始，公司开始充分利用白水港村周边“灯笼洞”等旅游资源，以开发乡村旅游为龙头，帮</w:t>
      </w:r>
      <w:r>
        <w:rPr/>
        <w:t> </w:t>
      </w:r>
      <w:r>
        <w:rPr>
          <w:spacing w:val="-1"/>
        </w:rPr>
        <w:t>助村里建设、完善住宿、餐饮、停车、导游、土特产销售等接待基础设施和环境条件。主要项目是帮助白</w:t>
      </w:r>
      <w:r>
        <w:rPr>
          <w:spacing w:val="-83"/>
        </w:rPr>
        <w:t> </w:t>
      </w:r>
      <w:r>
        <w:rPr>
          <w:spacing w:val="-83"/>
        </w:rPr>
      </w:r>
      <w:r>
        <w:rPr/>
        <w:t>水港村建设旅游驿站试点，在村里建设一栋</w:t>
      </w:r>
      <w:r>
        <w:rPr>
          <w:rFonts w:ascii="宋体" w:hAnsi="宋体" w:cs="宋体" w:eastAsia="宋体" w:hint="default"/>
        </w:rPr>
        <w:t>200</w:t>
      </w:r>
      <w:r>
        <w:rPr/>
        <w:t>多平米的两层乡村楼舍，由村委会主任王仕东带领三户村</w:t>
      </w:r>
      <w:r>
        <w:rPr>
          <w:spacing w:val="-32"/>
        </w:rPr>
        <w:t> </w:t>
      </w:r>
      <w:r>
        <w:rPr>
          <w:spacing w:val="-32"/>
        </w:rPr>
      </w:r>
      <w:r>
        <w:rPr>
          <w:spacing w:val="-1"/>
        </w:rPr>
        <w:t>民进行建设、经营。由于村民个人资金有限，公司投资</w:t>
      </w:r>
      <w:r>
        <w:rPr>
          <w:rFonts w:ascii="宋体" w:hAnsi="宋体" w:cs="宋体" w:eastAsia="宋体" w:hint="default"/>
          <w:spacing w:val="-1"/>
        </w:rPr>
        <w:t>10</w:t>
      </w:r>
      <w:r>
        <w:rPr>
          <w:spacing w:val="-1"/>
        </w:rPr>
        <w:t>万元予以补足。公司多次敦促村委会主任王仕东</w:t>
      </w:r>
      <w:r>
        <w:rPr>
          <w:spacing w:val="-85"/>
        </w:rPr>
        <w:t> </w:t>
      </w:r>
      <w:r>
        <w:rPr>
          <w:spacing w:val="-85"/>
        </w:rPr>
      </w:r>
      <w:r>
        <w:rPr/>
        <w:t>加快旅游驿站建设进度，截至年底驿站主体工程已经竣工，装修工作和周边环境整治基本完成。</w:t>
      </w:r>
    </w:p>
    <w:p>
      <w:pPr>
        <w:pStyle w:val="BodyText"/>
        <w:spacing w:line="420" w:lineRule="auto" w:before="47"/>
        <w:ind w:left="574" w:right="0"/>
        <w:jc w:val="left"/>
      </w:pPr>
      <w:r>
        <w:rPr/>
        <w:t>② 帮助贫困户实施金菠萝种植项目 </w:t>
      </w:r>
      <w:r>
        <w:rPr>
          <w:rFonts w:ascii="宋体" w:hAnsi="宋体" w:cs="宋体" w:eastAsia="宋体" w:hint="default"/>
          <w:spacing w:val="-1"/>
        </w:rPr>
        <w:t>2018</w:t>
      </w:r>
      <w:r>
        <w:rPr>
          <w:spacing w:val="-1"/>
        </w:rPr>
        <w:t>年，经白水港村村委会建议和公司实地考察，公司决定帮助村里贫困户实施金菠萝种植项目。公</w:t>
      </w:r>
    </w:p>
    <w:p>
      <w:pPr>
        <w:pStyle w:val="BodyText"/>
        <w:spacing w:line="420" w:lineRule="auto" w:before="47"/>
        <w:ind w:right="0"/>
        <w:jc w:val="left"/>
      </w:pPr>
      <w:r>
        <w:rPr>
          <w:spacing w:val="-1"/>
        </w:rPr>
        <w:t>司拨付专项资金</w:t>
      </w:r>
      <w:r>
        <w:rPr>
          <w:rFonts w:ascii="宋体" w:hAnsi="宋体" w:cs="宋体" w:eastAsia="宋体" w:hint="default"/>
          <w:spacing w:val="-1"/>
        </w:rPr>
        <w:t>30</w:t>
      </w:r>
      <w:r>
        <w:rPr>
          <w:spacing w:val="-1"/>
        </w:rPr>
        <w:t>万元到细水乡的专项账户，用于扶持白水港村金菠萝种植产业。种植工作已于</w:t>
      </w:r>
      <w:r>
        <w:rPr>
          <w:rFonts w:ascii="宋体" w:hAnsi="宋体" w:cs="宋体" w:eastAsia="宋体" w:hint="default"/>
          <w:spacing w:val="-1"/>
        </w:rPr>
        <w:t>2018</w:t>
      </w:r>
      <w:r>
        <w:rPr>
          <w:spacing w:val="-1"/>
        </w:rPr>
        <w:t>年</w:t>
      </w:r>
      <w:r>
        <w:rPr>
          <w:rFonts w:ascii="宋体" w:hAnsi="宋体" w:cs="宋体" w:eastAsia="宋体" w:hint="default"/>
          <w:spacing w:val="-1"/>
        </w:rPr>
        <w:t>10</w:t>
      </w:r>
      <w:r>
        <w:rPr>
          <w:rFonts w:ascii="宋体" w:hAnsi="宋体" w:cs="宋体" w:eastAsia="宋体" w:hint="default"/>
          <w:spacing w:val="-82"/>
        </w:rPr>
        <w:t> </w:t>
      </w:r>
      <w:r>
        <w:rPr/>
        <w:t>月份全部完成，预计将于</w:t>
      </w:r>
      <w:r>
        <w:rPr>
          <w:rFonts w:ascii="宋体" w:hAnsi="宋体" w:cs="宋体" w:eastAsia="宋体" w:hint="default"/>
        </w:rPr>
        <w:t>2019</w:t>
      </w:r>
      <w:r>
        <w:rPr/>
        <w:t>年</w:t>
      </w:r>
      <w:r>
        <w:rPr>
          <w:rFonts w:ascii="宋体" w:hAnsi="宋体" w:cs="宋体" w:eastAsia="宋体" w:hint="default"/>
        </w:rPr>
        <w:t>10</w:t>
      </w:r>
      <w:r>
        <w:rPr/>
        <w:t>月份收获。</w:t>
      </w:r>
    </w:p>
    <w:p>
      <w:pPr>
        <w:pStyle w:val="BodyText"/>
        <w:spacing w:line="420" w:lineRule="auto" w:before="47"/>
        <w:ind w:left="574" w:right="0"/>
        <w:jc w:val="left"/>
      </w:pPr>
      <w:r>
        <w:rPr/>
        <w:t>③ 继续开展金秋助学活动 </w:t>
      </w:r>
      <w:r>
        <w:rPr>
          <w:rFonts w:ascii="宋体" w:hAnsi="宋体" w:cs="宋体" w:eastAsia="宋体" w:hint="default"/>
          <w:spacing w:val="-1"/>
        </w:rPr>
        <w:t>2018</w:t>
      </w:r>
      <w:r>
        <w:rPr>
          <w:spacing w:val="-1"/>
        </w:rPr>
        <w:t>年公司为白水港村</w:t>
      </w:r>
      <w:r>
        <w:rPr>
          <w:rFonts w:ascii="宋体" w:hAnsi="宋体" w:cs="宋体" w:eastAsia="宋体" w:hint="default"/>
          <w:spacing w:val="-1"/>
        </w:rPr>
        <w:t>55</w:t>
      </w:r>
      <w:r>
        <w:rPr>
          <w:spacing w:val="-1"/>
        </w:rPr>
        <w:t>名高中及大中专在读学生发放奖学金共计</w:t>
      </w:r>
      <w:r>
        <w:rPr>
          <w:rFonts w:ascii="宋体" w:hAnsi="宋体" w:cs="宋体" w:eastAsia="宋体" w:hint="default"/>
          <w:spacing w:val="-1"/>
        </w:rPr>
        <w:t>13</w:t>
      </w:r>
      <w:r>
        <w:rPr>
          <w:spacing w:val="-1"/>
        </w:rPr>
        <w:t>万元。包含</w:t>
      </w:r>
      <w:r>
        <w:rPr>
          <w:rFonts w:ascii="宋体" w:hAnsi="宋体" w:cs="宋体" w:eastAsia="宋体" w:hint="default"/>
          <w:spacing w:val="-1"/>
        </w:rPr>
        <w:t>2018</w:t>
      </w:r>
      <w:r>
        <w:rPr>
          <w:spacing w:val="-1"/>
        </w:rPr>
        <w:t>年新考上大中专</w:t>
      </w:r>
    </w:p>
    <w:p>
      <w:pPr>
        <w:pStyle w:val="BodyText"/>
        <w:spacing w:line="240" w:lineRule="auto" w:before="47"/>
        <w:ind w:right="0"/>
        <w:jc w:val="left"/>
      </w:pPr>
      <w:r>
        <w:rPr/>
        <w:t>院校的</w:t>
      </w:r>
      <w:r>
        <w:rPr>
          <w:rFonts w:ascii="宋体" w:hAnsi="宋体" w:cs="宋体" w:eastAsia="宋体" w:hint="default"/>
        </w:rPr>
        <w:t>9</w:t>
      </w:r>
      <w:r>
        <w:rPr/>
        <w:t>名学生和升入高中的</w:t>
      </w:r>
      <w:r>
        <w:rPr>
          <w:rFonts w:ascii="宋体" w:hAnsi="宋体" w:cs="宋体" w:eastAsia="宋体" w:hint="default"/>
        </w:rPr>
        <w:t>4</w:t>
      </w:r>
      <w:r>
        <w:rPr/>
        <w:t>名学生，以及往年</w:t>
      </w:r>
      <w:r>
        <w:rPr>
          <w:rFonts w:ascii="宋体" w:hAnsi="宋体" w:cs="宋体" w:eastAsia="宋体" w:hint="default"/>
        </w:rPr>
        <w:t>42</w:t>
      </w:r>
      <w:r>
        <w:rPr/>
        <w:t>名大中专和高中学生。</w:t>
      </w:r>
    </w:p>
    <w:p>
      <w:pPr>
        <w:spacing w:line="240" w:lineRule="auto" w:before="9"/>
        <w:rPr>
          <w:rFonts w:ascii="宋体" w:hAnsi="宋体" w:cs="宋体" w:eastAsia="宋体" w:hint="default"/>
          <w:sz w:val="15"/>
          <w:szCs w:val="15"/>
        </w:rPr>
      </w:pPr>
    </w:p>
    <w:p>
      <w:pPr>
        <w:pStyle w:val="BodyText"/>
        <w:spacing w:line="240" w:lineRule="auto"/>
        <w:ind w:left="574" w:right="0"/>
        <w:jc w:val="left"/>
      </w:pPr>
      <w:r>
        <w:rPr/>
        <w:t>④</w:t>
      </w:r>
      <w:r>
        <w:rPr>
          <w:spacing w:val="-1"/>
        </w:rPr>
        <w:t> </w:t>
      </w:r>
      <w:r>
        <w:rPr/>
        <w:t>认真落实海南省消费扶贫大会精神，全面宣传、开展脱贫攻坚“以购代捐”活动。</w:t>
      </w:r>
    </w:p>
    <w:p>
      <w:pPr>
        <w:spacing w:line="240" w:lineRule="auto" w:before="13"/>
        <w:rPr>
          <w:rFonts w:ascii="宋体" w:hAnsi="宋体" w:cs="宋体" w:eastAsia="宋体" w:hint="default"/>
          <w:sz w:val="26"/>
          <w:szCs w:val="26"/>
        </w:rPr>
      </w:pPr>
    </w:p>
    <w:p>
      <w:pPr>
        <w:pStyle w:val="Heading4"/>
        <w:spacing w:line="240" w:lineRule="auto"/>
        <w:ind w:right="0"/>
        <w:jc w:val="left"/>
        <w:rPr>
          <w:b w:val="0"/>
          <w:bCs w:val="0"/>
        </w:rPr>
      </w:pPr>
      <w:bookmarkStart w:name="（3）精准扶贫成效" w:id="102"/>
      <w:bookmarkEnd w:id="102"/>
      <w:r>
        <w:rPr>
          <w:b w:val="0"/>
          <w:bCs w:val="0"/>
        </w:rPr>
      </w:r>
      <w:r>
        <w:rPr/>
        <w:t>（</w:t>
      </w:r>
      <w:r>
        <w:rPr>
          <w:rFonts w:ascii="宋体" w:hAnsi="宋体" w:cs="宋体" w:eastAsia="宋体" w:hint="default"/>
        </w:rPr>
        <w:t>3</w:t>
      </w:r>
      <w:r>
        <w:rPr/>
        <w:t>）精准扶贫成效</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801"/>
        <w:gridCol w:w="1243"/>
        <w:gridCol w:w="4513"/>
      </w:tblGrid>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w:t>
            </w:r>
            <w:r>
              <w:rPr>
                <w:rFonts w:ascii="宋体" w:hAnsi="宋体" w:cs="宋体" w:eastAsia="宋体" w:hint="default"/>
                <w:sz w:val="18"/>
                <w:szCs w:val="18"/>
              </w:rPr>
              <w:t>开展情况</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z w:val="18"/>
                <w:szCs w:val="18"/>
              </w:rPr>
              <w:t>1.</w:t>
            </w:r>
            <w:r>
              <w:rPr>
                <w:rFonts w:ascii="宋体" w:hAnsi="宋体" w:cs="宋体" w:eastAsia="宋体" w:hint="default"/>
                <w:sz w:val="18"/>
                <w:szCs w:val="18"/>
              </w:rPr>
              <w:t>资金</w:t>
            </w:r>
          </w:p>
        </w:tc>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46.25</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7"/>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帮助建档立卡贫困人口脱贫数</w:t>
            </w:r>
          </w:p>
        </w:tc>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641</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产业发展脱贫</w:t>
            </w:r>
          </w:p>
        </w:tc>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产业发展脱贫项目类型</w:t>
            </w:r>
          </w:p>
        </w:tc>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94" w:right="0"/>
              <w:jc w:val="left"/>
              <w:rPr>
                <w:rFonts w:ascii="宋体" w:hAnsi="宋体" w:cs="宋体" w:eastAsia="宋体" w:hint="default"/>
                <w:sz w:val="18"/>
                <w:szCs w:val="18"/>
              </w:rPr>
            </w:pPr>
            <w:r>
              <w:rPr>
                <w:rFonts w:ascii="宋体" w:hAnsi="宋体" w:cs="宋体" w:eastAsia="宋体" w:hint="default"/>
                <w:sz w:val="18"/>
                <w:szCs w:val="18"/>
              </w:rPr>
              <w:t>农林产业扶贫</w:t>
            </w:r>
            <w:r>
              <w:rPr>
                <w:rFonts w:ascii="宋体" w:hAnsi="宋体" w:cs="宋体" w:eastAsia="宋体" w:hint="default"/>
                <w:sz w:val="18"/>
                <w:szCs w:val="18"/>
              </w:rPr>
              <w:t>;</w:t>
            </w:r>
            <w:r>
              <w:rPr>
                <w:rFonts w:ascii="宋体" w:hAnsi="宋体" w:cs="宋体" w:eastAsia="宋体" w:hint="default"/>
                <w:sz w:val="18"/>
                <w:szCs w:val="18"/>
              </w:rPr>
              <w:t>旅游扶贫</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产业发展脱贫项目个数</w:t>
            </w:r>
          </w:p>
        </w:tc>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5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3"/>
              <w:jc w:val="righ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产业发展脱贫项目投入金额</w:t>
            </w:r>
          </w:p>
        </w:tc>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转移就业脱贫</w:t>
            </w:r>
          </w:p>
        </w:tc>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易地搬迁脱贫</w:t>
            </w:r>
          </w:p>
        </w:tc>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教育扶贫</w:t>
            </w:r>
          </w:p>
        </w:tc>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宋体" w:hAnsi="宋体" w:cs="宋体" w:eastAsia="宋体" w:hint="default"/>
                <w:sz w:val="18"/>
                <w:szCs w:val="18"/>
              </w:rPr>
              <w:t>4.1</w:t>
            </w:r>
            <w:r>
              <w:rPr>
                <w:rFonts w:ascii="宋体" w:hAnsi="宋体" w:cs="宋体" w:eastAsia="宋体" w:hint="default"/>
                <w:spacing w:val="-46"/>
                <w:sz w:val="18"/>
                <w:szCs w:val="18"/>
              </w:rPr>
              <w:t> </w:t>
            </w:r>
            <w:r>
              <w:rPr>
                <w:rFonts w:ascii="宋体" w:hAnsi="宋体" w:cs="宋体" w:eastAsia="宋体" w:hint="default"/>
                <w:sz w:val="18"/>
                <w:szCs w:val="18"/>
              </w:rPr>
              <w:t>资助贫困学生投入金额</w:t>
            </w:r>
          </w:p>
        </w:tc>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4.2</w:t>
            </w:r>
            <w:r>
              <w:rPr>
                <w:rFonts w:ascii="宋体" w:hAnsi="宋体" w:cs="宋体" w:eastAsia="宋体" w:hint="default"/>
                <w:spacing w:val="-46"/>
                <w:sz w:val="18"/>
                <w:szCs w:val="18"/>
              </w:rPr>
              <w:t> </w:t>
            </w:r>
            <w:r>
              <w:rPr>
                <w:rFonts w:ascii="宋体" w:hAnsi="宋体" w:cs="宋体" w:eastAsia="宋体" w:hint="default"/>
                <w:sz w:val="18"/>
                <w:szCs w:val="18"/>
              </w:rPr>
              <w:t>资助贫困学生人数</w:t>
            </w:r>
          </w:p>
        </w:tc>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健康扶贫</w:t>
            </w:r>
          </w:p>
        </w:tc>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生态保护扶贫</w:t>
            </w:r>
          </w:p>
        </w:tc>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3817"/>
        <w:gridCol w:w="1216"/>
        <w:gridCol w:w="4524"/>
      </w:tblGrid>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兜底保障</w:t>
            </w:r>
          </w:p>
        </w:tc>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8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社会扶贫</w:t>
            </w:r>
          </w:p>
        </w:tc>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8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其他项目</w:t>
            </w:r>
          </w:p>
        </w:tc>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8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宋体" w:hAnsi="宋体" w:cs="宋体" w:eastAsia="宋体" w:hint="default"/>
                <w:sz w:val="18"/>
                <w:szCs w:val="18"/>
              </w:rPr>
              <w:t>9.1.</w:t>
            </w:r>
            <w:r>
              <w:rPr>
                <w:rFonts w:ascii="宋体" w:hAnsi="宋体" w:cs="宋体" w:eastAsia="宋体" w:hint="default"/>
                <w:sz w:val="18"/>
                <w:szCs w:val="18"/>
              </w:rPr>
              <w:t>项目个数</w:t>
            </w:r>
          </w:p>
        </w:tc>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9.2.</w:t>
            </w:r>
            <w:r>
              <w:rPr>
                <w:rFonts w:ascii="宋体" w:hAnsi="宋体" w:cs="宋体" w:eastAsia="宋体" w:hint="default"/>
                <w:sz w:val="18"/>
                <w:szCs w:val="18"/>
              </w:rPr>
              <w:t>投入金额</w:t>
            </w:r>
          </w:p>
        </w:tc>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3.25</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9.3.</w:t>
            </w:r>
            <w:r>
              <w:rPr>
                <w:rFonts w:ascii="宋体" w:hAnsi="宋体" w:cs="宋体" w:eastAsia="宋体" w:hint="default"/>
                <w:sz w:val="18"/>
                <w:szCs w:val="18"/>
              </w:rPr>
              <w:t>帮助建档立卡贫困人口脱贫数</w:t>
            </w:r>
          </w:p>
        </w:tc>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641</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83"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4）后续精准扶贫计划" w:id="103"/>
      <w:bookmarkEnd w:id="103"/>
      <w:r>
        <w:rPr>
          <w:b w:val="0"/>
          <w:bCs w:val="0"/>
        </w:rPr>
      </w:r>
      <w:r>
        <w:rPr/>
        <w:t>（</w:t>
      </w:r>
      <w:r>
        <w:rPr>
          <w:rFonts w:ascii="宋体" w:hAnsi="宋体" w:cs="宋体" w:eastAsia="宋体" w:hint="default"/>
        </w:rPr>
        <w:t>4</w:t>
      </w:r>
      <w:r>
        <w:rPr/>
        <w:t>）后续精准扶贫计划</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left="574" w:right="0"/>
        <w:jc w:val="left"/>
      </w:pPr>
      <w:r>
        <w:rPr/>
        <w:t>①</w:t>
      </w:r>
      <w:r>
        <w:rPr>
          <w:spacing w:val="-1"/>
        </w:rPr>
        <w:t> </w:t>
      </w:r>
      <w:r>
        <w:rPr/>
        <w:t>敦促白水港村村委会早日实现乡村旅游驿站开业。</w:t>
      </w:r>
    </w:p>
    <w:p>
      <w:pPr>
        <w:spacing w:line="240" w:lineRule="auto" w:before="9"/>
        <w:rPr>
          <w:rFonts w:ascii="宋体" w:hAnsi="宋体" w:cs="宋体" w:eastAsia="宋体" w:hint="default"/>
          <w:sz w:val="15"/>
          <w:szCs w:val="15"/>
        </w:rPr>
      </w:pPr>
    </w:p>
    <w:p>
      <w:pPr>
        <w:pStyle w:val="BodyText"/>
        <w:spacing w:line="240" w:lineRule="auto"/>
        <w:ind w:left="574" w:right="0"/>
        <w:jc w:val="left"/>
      </w:pPr>
      <w:r>
        <w:rPr/>
        <w:t>②</w:t>
      </w:r>
      <w:r>
        <w:rPr>
          <w:spacing w:val="-1"/>
        </w:rPr>
        <w:t> </w:t>
      </w:r>
      <w:r>
        <w:rPr/>
        <w:t>协助做好金菠萝项目的管理。</w:t>
      </w:r>
    </w:p>
    <w:p>
      <w:pPr>
        <w:spacing w:line="240" w:lineRule="auto" w:before="9"/>
        <w:rPr>
          <w:rFonts w:ascii="宋体" w:hAnsi="宋体" w:cs="宋体" w:eastAsia="宋体" w:hint="default"/>
          <w:sz w:val="15"/>
          <w:szCs w:val="15"/>
        </w:rPr>
      </w:pPr>
    </w:p>
    <w:p>
      <w:pPr>
        <w:pStyle w:val="BodyText"/>
        <w:spacing w:line="240" w:lineRule="auto"/>
        <w:ind w:left="574" w:right="0"/>
        <w:jc w:val="left"/>
      </w:pPr>
      <w:r>
        <w:rPr/>
        <w:t>③</w:t>
      </w:r>
      <w:r>
        <w:rPr>
          <w:spacing w:val="-3"/>
        </w:rPr>
        <w:t> </w:t>
      </w:r>
      <w:r>
        <w:rPr/>
        <w:t>积极开展乡村振兴工作，派驻</w:t>
      </w:r>
      <w:r>
        <w:rPr>
          <w:rFonts w:ascii="宋体" w:hAnsi="宋体" w:cs="宋体" w:eastAsia="宋体" w:hint="default"/>
        </w:rPr>
        <w:t>1</w:t>
      </w:r>
      <w:r>
        <w:rPr/>
        <w:t>名工作人员到白沙县牙叉镇探扭村驻村帮扶。</w:t>
      </w:r>
    </w:p>
    <w:p>
      <w:pPr>
        <w:spacing w:line="240" w:lineRule="auto" w:before="9"/>
        <w:rPr>
          <w:rFonts w:ascii="宋体" w:hAnsi="宋体" w:cs="宋体" w:eastAsia="宋体" w:hint="default"/>
          <w:sz w:val="15"/>
          <w:szCs w:val="15"/>
        </w:rPr>
      </w:pPr>
    </w:p>
    <w:p>
      <w:pPr>
        <w:spacing w:line="547" w:lineRule="auto" w:before="0"/>
        <w:ind w:left="154" w:right="4348" w:firstLine="420"/>
        <w:jc w:val="left"/>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pacing w:val="-1"/>
          <w:sz w:val="21"/>
          <w:szCs w:val="21"/>
        </w:rPr>
        <w:t> </w:t>
      </w:r>
      <w:r>
        <w:rPr>
          <w:rFonts w:ascii="宋体" w:hAnsi="宋体" w:cs="宋体" w:eastAsia="宋体" w:hint="default"/>
          <w:sz w:val="21"/>
          <w:szCs w:val="21"/>
        </w:rPr>
        <w:t>帮助白水港村争取建设“文明生态村”项目；助推乡村振兴。</w:t>
      </w:r>
      <w:r>
        <w:rPr>
          <w:rFonts w:ascii="宋体" w:hAnsi="宋体" w:cs="宋体" w:eastAsia="宋体" w:hint="default"/>
          <w:sz w:val="21"/>
          <w:szCs w:val="21"/>
        </w:rPr>
        <w:t> </w:t>
      </w:r>
      <w:bookmarkStart w:name="3、环境保护相关的情况" w:id="104"/>
      <w:bookmarkEnd w:id="104"/>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240" w:lineRule="auto" w:before="13"/>
        <w:rPr>
          <w:rFonts w:ascii="宋体" w:hAnsi="宋体" w:cs="宋体" w:eastAsia="宋体" w:hint="default"/>
          <w:b/>
          <w:bCs/>
          <w:sz w:val="16"/>
          <w:szCs w:val="16"/>
        </w:rPr>
      </w:pPr>
    </w:p>
    <w:p>
      <w:pPr>
        <w:pStyle w:val="BodyText"/>
        <w:spacing w:line="456" w:lineRule="auto"/>
        <w:ind w:right="4872"/>
        <w:jc w:val="left"/>
      </w:pPr>
      <w:r>
        <w:rPr/>
        <w:t>上市公司及其子公司是否属于环境保护部门公布的重点排污单位 否</w:t>
      </w:r>
    </w:p>
    <w:p>
      <w:pPr>
        <w:pStyle w:val="BodyText"/>
        <w:spacing w:line="240" w:lineRule="auto" w:before="55"/>
        <w:ind w:left="574" w:right="0"/>
        <w:jc w:val="left"/>
      </w:pPr>
      <w:r>
        <w:rPr/>
        <w:t>公司所从事的行业属于绿色生态产业和低能耗低污染产业。</w:t>
      </w:r>
    </w:p>
    <w:p>
      <w:pPr>
        <w:spacing w:line="240" w:lineRule="auto" w:before="9"/>
        <w:rPr>
          <w:rFonts w:ascii="宋体" w:hAnsi="宋体" w:cs="宋体" w:eastAsia="宋体" w:hint="default"/>
          <w:sz w:val="15"/>
          <w:szCs w:val="15"/>
        </w:rPr>
      </w:pPr>
    </w:p>
    <w:p>
      <w:pPr>
        <w:pStyle w:val="BodyText"/>
        <w:spacing w:line="420" w:lineRule="auto"/>
        <w:ind w:right="1110" w:firstLine="420"/>
        <w:jc w:val="both"/>
      </w:pPr>
      <w:r>
        <w:rPr/>
        <w:t>（</w:t>
      </w:r>
      <w:r>
        <w:rPr>
          <w:rFonts w:ascii="宋体" w:hAnsi="宋体" w:cs="宋体" w:eastAsia="宋体" w:hint="default"/>
        </w:rPr>
        <w:t>1</w:t>
      </w:r>
      <w:r>
        <w:rPr/>
        <w:t>）</w:t>
      </w:r>
      <w:r>
        <w:rPr>
          <w:rFonts w:ascii="宋体" w:hAnsi="宋体" w:cs="宋体" w:eastAsia="宋体" w:hint="default"/>
        </w:rPr>
        <w:t>2018</w:t>
      </w:r>
      <w:r>
        <w:rPr/>
        <w:t>年，公司主要从以下几个方面倡导节能环保：①要求员工下班后关闭所负责区域的照明及 </w:t>
      </w:r>
      <w:r>
        <w:rPr>
          <w:spacing w:val="-1"/>
        </w:rPr>
        <w:t>办公设备，平常杜绝使用高功率电器；②减少生活垃圾，减少塑料袋的使用，定期做好绿植维护；③提倡</w:t>
      </w:r>
      <w:r>
        <w:rPr>
          <w:spacing w:val="-83"/>
        </w:rPr>
        <w:t> </w:t>
      </w:r>
      <w:r>
        <w:rPr>
          <w:spacing w:val="-83"/>
        </w:rPr>
      </w:r>
      <w:r>
        <w:rPr/>
        <w:t>无纸化办公、避免纸张浪费，所有公文流转都在网上完成审批，完善</w:t>
      </w:r>
      <w:r>
        <w:rPr>
          <w:rFonts w:ascii="宋体" w:hAnsi="宋体" w:cs="宋体" w:eastAsia="宋体" w:hint="default"/>
        </w:rPr>
        <w:t>OA</w:t>
      </w:r>
      <w:r>
        <w:rPr/>
        <w:t>、</w:t>
      </w:r>
      <w:r>
        <w:rPr>
          <w:rFonts w:ascii="宋体" w:hAnsi="宋体" w:cs="宋体" w:eastAsia="宋体" w:hint="default"/>
        </w:rPr>
        <w:t>NC</w:t>
      </w:r>
      <w:r>
        <w:rPr/>
        <w:t>系统，推进网上信息化管理， 通过视频会议系统开会，减少异地出差频率，减少碳排放。</w:t>
      </w:r>
    </w:p>
    <w:p>
      <w:pPr>
        <w:pStyle w:val="BodyText"/>
        <w:spacing w:line="420" w:lineRule="auto" w:before="47"/>
        <w:ind w:right="1130" w:firstLine="420"/>
        <w:jc w:val="both"/>
      </w:pPr>
      <w:r>
        <w:rPr>
          <w:spacing w:val="-1"/>
        </w:rPr>
        <w:t>（</w:t>
      </w:r>
      <w:r>
        <w:rPr>
          <w:rFonts w:ascii="宋体" w:hAnsi="宋体" w:cs="宋体" w:eastAsia="宋体" w:hint="default"/>
          <w:spacing w:val="-1"/>
        </w:rPr>
        <w:t>2</w:t>
      </w:r>
      <w:r>
        <w:rPr>
          <w:spacing w:val="-1"/>
        </w:rPr>
        <w:t>）华商传媒子公司华商数码引进的高宝</w:t>
      </w:r>
      <w:r>
        <w:rPr>
          <w:rFonts w:ascii="宋体" w:hAnsi="宋体" w:cs="宋体" w:eastAsia="宋体" w:hint="default"/>
          <w:spacing w:val="-1"/>
        </w:rPr>
        <w:t>470</w:t>
      </w:r>
      <w:r>
        <w:rPr>
          <w:spacing w:val="-1"/>
        </w:rPr>
        <w:t>印刷设备是国内首套能够生产柏林版尺寸报纸的印刷设</w:t>
      </w:r>
      <w:r>
        <w:rPr/>
        <w:t> </w:t>
      </w:r>
      <w:r>
        <w:rPr>
          <w:spacing w:val="-1"/>
        </w:rPr>
        <w:t>备，是当今国际最为先进的印刷生产线之一，配备自动除尘装置，充分体现了绿色环保印刷概念。</w:t>
      </w:r>
      <w:r>
        <w:rPr>
          <w:rFonts w:ascii="宋体" w:hAnsi="宋体" w:cs="宋体" w:eastAsia="宋体" w:hint="default"/>
          <w:spacing w:val="-1"/>
        </w:rPr>
        <w:t>2018</w:t>
      </w:r>
      <w:r>
        <w:rPr>
          <w:spacing w:val="-1"/>
        </w:rPr>
        <w:t>年</w:t>
      </w:r>
      <w:r>
        <w:rPr>
          <w:spacing w:val="-82"/>
        </w:rPr>
        <w:t> </w:t>
      </w:r>
      <w:r>
        <w:rPr>
          <w:rFonts w:ascii="宋体" w:hAnsi="宋体" w:cs="宋体" w:eastAsia="宋体" w:hint="default"/>
          <w:spacing w:val="-1"/>
        </w:rPr>
        <w:t>3</w:t>
      </w:r>
      <w:r>
        <w:rPr>
          <w:spacing w:val="-1"/>
        </w:rPr>
        <w:t>月</w:t>
      </w:r>
      <w:r>
        <w:rPr>
          <w:rFonts w:ascii="宋体" w:hAnsi="宋体" w:cs="宋体" w:eastAsia="宋体" w:hint="default"/>
          <w:spacing w:val="-1"/>
        </w:rPr>
        <w:t>26</w:t>
      </w:r>
      <w:r>
        <w:rPr>
          <w:spacing w:val="-1"/>
        </w:rPr>
        <w:t>日，华商数码通过了中国质量认证中心西北评审中心的</w:t>
      </w:r>
      <w:r>
        <w:rPr>
          <w:rFonts w:ascii="宋体" w:hAnsi="宋体" w:cs="宋体" w:eastAsia="宋体" w:hint="default"/>
          <w:spacing w:val="-1"/>
        </w:rPr>
        <w:t>ISO9001</w:t>
      </w:r>
      <w:r>
        <w:rPr>
          <w:spacing w:val="-1"/>
        </w:rPr>
        <w:t>质量管理体系再认证审核；</w:t>
      </w:r>
      <w:r>
        <w:rPr>
          <w:rFonts w:ascii="宋体" w:hAnsi="宋体" w:cs="宋体" w:eastAsia="宋体" w:hint="default"/>
          <w:spacing w:val="-1"/>
        </w:rPr>
        <w:t>2018</w:t>
      </w:r>
      <w:r>
        <w:rPr>
          <w:spacing w:val="-1"/>
        </w:rPr>
        <w:t>年</w:t>
      </w:r>
      <w:r>
        <w:rPr>
          <w:rFonts w:ascii="宋体" w:hAnsi="宋体" w:cs="宋体" w:eastAsia="宋体" w:hint="default"/>
          <w:spacing w:val="-1"/>
        </w:rPr>
        <w:t>10</w:t>
      </w:r>
      <w:r>
        <w:rPr>
          <w:rFonts w:ascii="宋体" w:hAnsi="宋体" w:cs="宋体" w:eastAsia="宋体" w:hint="default"/>
          <w:spacing w:val="-78"/>
        </w:rPr>
        <w:t> </w:t>
      </w:r>
      <w:r>
        <w:rPr/>
        <w:t>月</w:t>
      </w:r>
      <w:r>
        <w:rPr>
          <w:rFonts w:ascii="宋体" w:hAnsi="宋体" w:cs="宋体" w:eastAsia="宋体" w:hint="default"/>
        </w:rPr>
        <w:t>16</w:t>
      </w:r>
      <w:r>
        <w:rPr/>
        <w:t>日，华商数码又通过中环联合（北京）认证中心有限公司的绿色印刷换证审核工作</w:t>
      </w:r>
    </w:p>
    <w:p>
      <w:pPr>
        <w:pStyle w:val="BodyText"/>
        <w:spacing w:line="420" w:lineRule="auto" w:before="47"/>
        <w:ind w:right="1132" w:firstLine="420"/>
        <w:jc w:val="both"/>
      </w:pPr>
      <w:r>
        <w:rPr>
          <w:spacing w:val="-1"/>
        </w:rPr>
        <w:t>（</w:t>
      </w:r>
      <w:r>
        <w:rPr>
          <w:rFonts w:ascii="宋体" w:hAnsi="宋体" w:cs="宋体" w:eastAsia="宋体" w:hint="default"/>
          <w:spacing w:val="-1"/>
        </w:rPr>
        <w:t>3</w:t>
      </w:r>
      <w:r>
        <w:rPr>
          <w:spacing w:val="-1"/>
        </w:rPr>
        <w:t>）华商传媒经营的《华商报》、《华商报·今日咸阳》于</w:t>
      </w:r>
      <w:r>
        <w:rPr>
          <w:rFonts w:ascii="宋体" w:hAnsi="宋体" w:cs="宋体" w:eastAsia="宋体" w:hint="default"/>
          <w:spacing w:val="-1"/>
        </w:rPr>
        <w:t>2018</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11</w:t>
      </w:r>
      <w:r>
        <w:rPr>
          <w:spacing w:val="-1"/>
        </w:rPr>
        <w:t>日上午联合沣西新城农林水</w:t>
      </w:r>
      <w:r>
        <w:rPr/>
        <w:t> 利局举办的“拥抱春天播种绿色”20</w:t>
      </w:r>
      <w:r>
        <w:rPr>
          <w:rFonts w:ascii="宋体" w:hAnsi="宋体" w:cs="宋体" w:eastAsia="宋体" w:hint="default"/>
        </w:rPr>
        <w:t>18</w:t>
      </w:r>
      <w:r>
        <w:rPr/>
        <w:t>年公益绿色环保植树活动在沣西新城马王街办大原村开展。</w:t>
      </w:r>
    </w:p>
    <w:p>
      <w:pPr>
        <w:pStyle w:val="BodyText"/>
        <w:spacing w:line="420" w:lineRule="auto" w:before="47"/>
        <w:ind w:right="1129" w:firstLine="420"/>
        <w:jc w:val="both"/>
      </w:pPr>
      <w:r>
        <w:rPr>
          <w:spacing w:val="-1"/>
        </w:rPr>
        <w:t>（</w:t>
      </w:r>
      <w:r>
        <w:rPr>
          <w:rFonts w:ascii="宋体" w:hAnsi="宋体" w:cs="宋体" w:eastAsia="宋体" w:hint="default"/>
          <w:spacing w:val="-1"/>
        </w:rPr>
        <w:t>4</w:t>
      </w:r>
      <w:r>
        <w:rPr>
          <w:spacing w:val="-1"/>
        </w:rPr>
        <w:t>）华商传媒经营的《新文化报》携手中国人民财产保险股份有限公司吉林省分公司于</w:t>
      </w:r>
      <w:r>
        <w:rPr>
          <w:rFonts w:ascii="宋体" w:hAnsi="宋体" w:cs="宋体" w:eastAsia="宋体" w:hint="default"/>
          <w:spacing w:val="-1"/>
        </w:rPr>
        <w:t>2018</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22 </w:t>
      </w:r>
      <w:r>
        <w:rPr>
          <w:spacing w:val="3"/>
        </w:rPr>
        <w:t>日即第</w:t>
      </w:r>
      <w:r>
        <w:rPr>
          <w:rFonts w:ascii="宋体" w:hAnsi="宋体" w:cs="宋体" w:eastAsia="宋体" w:hint="default"/>
          <w:spacing w:val="3"/>
        </w:rPr>
        <w:t>49</w:t>
      </w:r>
      <w:r>
        <w:rPr>
          <w:spacing w:val="3"/>
        </w:rPr>
        <w:t>个世界地球日在国家</w:t>
      </w:r>
      <w:r>
        <w:rPr>
          <w:rFonts w:ascii="宋体" w:hAnsi="宋体" w:cs="宋体" w:eastAsia="宋体" w:hint="default"/>
          <w:spacing w:val="3"/>
        </w:rPr>
        <w:t>5A</w:t>
      </w:r>
      <w:r>
        <w:rPr>
          <w:spacing w:val="3"/>
        </w:rPr>
        <w:t>级旅游景区净月潭国家森林公园的月亮女神广场共同举办“世界地球日</w:t>
      </w:r>
    </w:p>
    <w:p>
      <w:pPr>
        <w:spacing w:after="0" w:line="420"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394" w:right="0"/>
        <w:jc w:val="left"/>
      </w:pPr>
      <w:r>
        <w:rPr/>
        <w:t>——爱护环境从我做起”大型公益活动。</w:t>
      </w:r>
    </w:p>
    <w:p>
      <w:pPr>
        <w:spacing w:line="240" w:lineRule="auto" w:before="9"/>
        <w:rPr>
          <w:rFonts w:ascii="宋体" w:hAnsi="宋体" w:cs="宋体" w:eastAsia="宋体" w:hint="default"/>
          <w:sz w:val="15"/>
          <w:szCs w:val="15"/>
        </w:rPr>
      </w:pPr>
    </w:p>
    <w:p>
      <w:pPr>
        <w:pStyle w:val="BodyText"/>
        <w:spacing w:line="420" w:lineRule="auto"/>
        <w:ind w:left="394" w:right="0" w:firstLine="420"/>
        <w:jc w:val="left"/>
      </w:pPr>
      <w:r>
        <w:rPr/>
        <w:t>（</w:t>
      </w:r>
      <w:r>
        <w:rPr>
          <w:rFonts w:ascii="宋体" w:hAnsi="宋体" w:cs="宋体" w:eastAsia="宋体" w:hint="default"/>
        </w:rPr>
        <w:t>5</w:t>
      </w:r>
      <w:r>
        <w:rPr/>
        <w:t>）新海岸置业高度重视环境保护工作，多年来坚持组织员工清理、维护海口市江东新区东海岸沙 滩，为环境保护做出了贡献。</w:t>
      </w:r>
    </w:p>
    <w:p>
      <w:pPr>
        <w:pStyle w:val="Heading2"/>
        <w:spacing w:line="240" w:lineRule="auto" w:before="172"/>
        <w:ind w:left="394" w:right="0"/>
        <w:jc w:val="left"/>
        <w:rPr>
          <w:b w:val="0"/>
          <w:bCs w:val="0"/>
        </w:rPr>
      </w:pPr>
      <w:bookmarkStart w:name="十九、其他重大事项的说明" w:id="105"/>
      <w:bookmarkEnd w:id="105"/>
      <w:r>
        <w:rPr>
          <w:b w:val="0"/>
          <w:bCs w:val="0"/>
        </w:rPr>
      </w:r>
      <w:r>
        <w:rPr/>
        <w:t>十九、其他重大事项的说明</w:t>
      </w:r>
      <w:r>
        <w:rPr>
          <w:b w:val="0"/>
          <w:bCs w:val="0"/>
        </w:rPr>
      </w:r>
    </w:p>
    <w:p>
      <w:pPr>
        <w:spacing w:line="240" w:lineRule="auto" w:before="0"/>
        <w:rPr>
          <w:rFonts w:ascii="宋体" w:hAnsi="宋体" w:cs="宋体" w:eastAsia="宋体" w:hint="default"/>
          <w:b/>
          <w:bCs/>
          <w:sz w:val="24"/>
          <w:szCs w:val="24"/>
        </w:rPr>
      </w:pPr>
    </w:p>
    <w:p>
      <w:pPr>
        <w:pStyle w:val="BodyText"/>
        <w:spacing w:line="453" w:lineRule="auto" w:before="160"/>
        <w:ind w:left="814" w:right="4662" w:hanging="420"/>
        <w:jc w:val="left"/>
      </w:pPr>
      <w:r>
        <w:rPr/>
        <w:pict>
          <v:shape style="position:absolute;margin-left:42.119999pt;margin-top:51.043644pt;width:505.4pt;height:527.1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84"/>
                    <w:gridCol w:w="6757"/>
                    <w:gridCol w:w="2146"/>
                  </w:tblGrid>
                  <w:tr>
                    <w:trPr>
                      <w:trHeight w:val="352" w:hRule="exact"/>
                    </w:trPr>
                    <w:tc>
                      <w:tcPr>
                        <w:tcW w:w="1184" w:type="dxa"/>
                        <w:tcBorders>
                          <w:top w:val="single" w:sz="8" w:space="0" w:color="000000"/>
                          <w:left w:val="single" w:sz="6" w:space="0" w:color="000000"/>
                          <w:bottom w:val="single" w:sz="8" w:space="0" w:color="000000"/>
                          <w:right w:val="single" w:sz="6" w:space="0" w:color="000000"/>
                        </w:tcBorders>
                        <w:shd w:val="clear" w:color="auto" w:fill="D9D9D9"/>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公告编号</w:t>
                        </w:r>
                        <w:r>
                          <w:rPr>
                            <w:rFonts w:ascii="宋体" w:hAnsi="宋体" w:cs="宋体" w:eastAsia="宋体" w:hint="default"/>
                            <w:sz w:val="21"/>
                            <w:szCs w:val="21"/>
                          </w:rPr>
                        </w:r>
                      </w:p>
                    </w:tc>
                    <w:tc>
                      <w:tcPr>
                        <w:tcW w:w="6757" w:type="dxa"/>
                        <w:tcBorders>
                          <w:top w:val="single" w:sz="8" w:space="0" w:color="000000"/>
                          <w:left w:val="single" w:sz="6" w:space="0" w:color="000000"/>
                          <w:bottom w:val="single" w:sz="8" w:space="0" w:color="000000"/>
                          <w:right w:val="single" w:sz="6" w:space="0" w:color="000000"/>
                        </w:tcBorders>
                        <w:shd w:val="clear" w:color="auto" w:fill="D9D9D9"/>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公告标题</w:t>
                        </w:r>
                        <w:r>
                          <w:rPr>
                            <w:rFonts w:ascii="宋体" w:hAnsi="宋体" w:cs="宋体" w:eastAsia="宋体" w:hint="default"/>
                            <w:sz w:val="21"/>
                            <w:szCs w:val="21"/>
                          </w:rPr>
                        </w:r>
                      </w:p>
                    </w:tc>
                    <w:tc>
                      <w:tcPr>
                        <w:tcW w:w="2146" w:type="dxa"/>
                        <w:tcBorders>
                          <w:top w:val="single" w:sz="8" w:space="0" w:color="000000"/>
                          <w:left w:val="single" w:sz="6" w:space="0" w:color="000000"/>
                          <w:bottom w:val="single" w:sz="8" w:space="0" w:color="000000"/>
                          <w:right w:val="single" w:sz="6"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披露时间</w:t>
                        </w:r>
                        <w:r>
                          <w:rPr>
                            <w:rFonts w:ascii="宋体" w:hAnsi="宋体" w:cs="宋体" w:eastAsia="宋体" w:hint="default"/>
                            <w:sz w:val="21"/>
                            <w:szCs w:val="21"/>
                          </w:rPr>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2018-001</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关于全资子公司参与投资当涂鸿新智能制造产业基金（有限合伙）的公告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01</w:t>
                        </w:r>
                        <w:r>
                          <w:rPr>
                            <w:rFonts w:ascii="宋体" w:hAnsi="宋体" w:cs="宋体" w:eastAsia="宋体" w:hint="default"/>
                            <w:sz w:val="21"/>
                            <w:szCs w:val="21"/>
                          </w:rPr>
                          <w:t>月</w:t>
                        </w:r>
                        <w:r>
                          <w:rPr>
                            <w:rFonts w:ascii="宋体" w:hAnsi="宋体" w:cs="宋体" w:eastAsia="宋体" w:hint="default"/>
                            <w:sz w:val="21"/>
                            <w:szCs w:val="21"/>
                          </w:rPr>
                          <w:t>11</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2018-002</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关于限售股份解除限售的提示性公告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01</w:t>
                        </w:r>
                        <w:r>
                          <w:rPr>
                            <w:rFonts w:ascii="宋体" w:hAnsi="宋体" w:cs="宋体" w:eastAsia="宋体" w:hint="default"/>
                            <w:sz w:val="21"/>
                            <w:szCs w:val="21"/>
                          </w:rPr>
                          <w:t>月</w:t>
                        </w:r>
                        <w:r>
                          <w:rPr>
                            <w:rFonts w:ascii="宋体" w:hAnsi="宋体" w:cs="宋体" w:eastAsia="宋体" w:hint="default"/>
                            <w:sz w:val="21"/>
                            <w:szCs w:val="21"/>
                          </w:rPr>
                          <w:t>22</w:t>
                        </w:r>
                        <w:r>
                          <w:rPr>
                            <w:rFonts w:ascii="宋体" w:hAnsi="宋体" w:cs="宋体" w:eastAsia="宋体" w:hint="default"/>
                            <w:sz w:val="21"/>
                            <w:szCs w:val="21"/>
                          </w:rPr>
                          <w:t>日</w:t>
                        </w:r>
                      </w:p>
                    </w:tc>
                  </w:tr>
                  <w:tr>
                    <w:trPr>
                      <w:trHeight w:val="665"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5"/>
                          <w:jc w:val="left"/>
                          <w:rPr>
                            <w:rFonts w:ascii="宋体" w:hAnsi="宋体" w:cs="宋体" w:eastAsia="宋体" w:hint="default"/>
                            <w:sz w:val="21"/>
                            <w:szCs w:val="21"/>
                          </w:rPr>
                        </w:pPr>
                        <w:r>
                          <w:rPr>
                            <w:rFonts w:ascii="宋体" w:hAnsi="宋体" w:cs="宋体" w:eastAsia="宋体" w:hint="default"/>
                            <w:sz w:val="21"/>
                            <w:szCs w:val="21"/>
                          </w:rPr>
                          <w:t>民生证券股份有限公司关于公司相关股东有限售条件流通股上市流通的核</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查意见</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01</w:t>
                        </w:r>
                        <w:r>
                          <w:rPr>
                            <w:rFonts w:ascii="宋体" w:hAnsi="宋体" w:cs="宋体" w:eastAsia="宋体" w:hint="default"/>
                            <w:sz w:val="21"/>
                            <w:szCs w:val="21"/>
                          </w:rPr>
                          <w:t>月</w:t>
                        </w:r>
                        <w:r>
                          <w:rPr>
                            <w:rFonts w:ascii="宋体" w:hAnsi="宋体" w:cs="宋体" w:eastAsia="宋体" w:hint="default"/>
                            <w:sz w:val="21"/>
                            <w:szCs w:val="21"/>
                          </w:rPr>
                          <w:t>22</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2018-003</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年年度业绩预告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01</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2018-004</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关于重大事项停牌的公告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02</w:t>
                        </w:r>
                        <w:r>
                          <w:rPr>
                            <w:rFonts w:ascii="宋体" w:hAnsi="宋体" w:cs="宋体" w:eastAsia="宋体" w:hint="default"/>
                            <w:sz w:val="21"/>
                            <w:szCs w:val="21"/>
                          </w:rPr>
                          <w:t>月</w:t>
                        </w:r>
                        <w:r>
                          <w:rPr>
                            <w:rFonts w:ascii="宋体" w:hAnsi="宋体" w:cs="宋体" w:eastAsia="宋体" w:hint="default"/>
                            <w:sz w:val="21"/>
                            <w:szCs w:val="21"/>
                          </w:rPr>
                          <w:t>01</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2018-005</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第七届董事会</w:t>
                        </w:r>
                        <w:r>
                          <w:rPr>
                            <w:rFonts w:ascii="宋体" w:hAnsi="宋体" w:cs="宋体" w:eastAsia="宋体" w:hint="default"/>
                            <w:sz w:val="21"/>
                            <w:szCs w:val="21"/>
                          </w:rPr>
                          <w:t>2018</w:t>
                        </w:r>
                        <w:r>
                          <w:rPr>
                            <w:rFonts w:ascii="宋体" w:hAnsi="宋体" w:cs="宋体" w:eastAsia="宋体" w:hint="default"/>
                            <w:sz w:val="21"/>
                            <w:szCs w:val="21"/>
                          </w:rPr>
                          <w:t>年第二次临时会议决议公告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02</w:t>
                        </w:r>
                        <w:r>
                          <w:rPr>
                            <w:rFonts w:ascii="宋体" w:hAnsi="宋体" w:cs="宋体" w:eastAsia="宋体" w:hint="default"/>
                            <w:sz w:val="21"/>
                            <w:szCs w:val="21"/>
                          </w:rPr>
                          <w:t>月</w:t>
                        </w:r>
                        <w:r>
                          <w:rPr>
                            <w:rFonts w:ascii="宋体" w:hAnsi="宋体" w:cs="宋体" w:eastAsia="宋体" w:hint="default"/>
                            <w:sz w:val="21"/>
                            <w:szCs w:val="21"/>
                          </w:rPr>
                          <w:t>07</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2018-006</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第七届监事会</w:t>
                        </w:r>
                        <w:r>
                          <w:rPr>
                            <w:rFonts w:ascii="宋体" w:hAnsi="宋体" w:cs="宋体" w:eastAsia="宋体" w:hint="default"/>
                            <w:sz w:val="21"/>
                            <w:szCs w:val="21"/>
                          </w:rPr>
                          <w:t>2018</w:t>
                        </w:r>
                        <w:r>
                          <w:rPr>
                            <w:rFonts w:ascii="宋体" w:hAnsi="宋体" w:cs="宋体" w:eastAsia="宋体" w:hint="default"/>
                            <w:sz w:val="21"/>
                            <w:szCs w:val="21"/>
                          </w:rPr>
                          <w:t>年第一次临时会议决议公告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02</w:t>
                        </w:r>
                        <w:r>
                          <w:rPr>
                            <w:rFonts w:ascii="宋体" w:hAnsi="宋体" w:cs="宋体" w:eastAsia="宋体" w:hint="default"/>
                            <w:sz w:val="21"/>
                            <w:szCs w:val="21"/>
                          </w:rPr>
                          <w:t>月</w:t>
                        </w:r>
                        <w:r>
                          <w:rPr>
                            <w:rFonts w:ascii="宋体" w:hAnsi="宋体" w:cs="宋体" w:eastAsia="宋体" w:hint="default"/>
                            <w:sz w:val="21"/>
                            <w:szCs w:val="21"/>
                          </w:rPr>
                          <w:t>07</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股东大会议事规则（</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02</w:t>
                        </w:r>
                        <w:r>
                          <w:rPr>
                            <w:rFonts w:ascii="宋体" w:hAnsi="宋体" w:cs="宋体" w:eastAsia="宋体" w:hint="default"/>
                            <w:sz w:val="21"/>
                            <w:szCs w:val="21"/>
                          </w:rPr>
                          <w:t>月</w:t>
                        </w:r>
                        <w:r>
                          <w:rPr>
                            <w:rFonts w:ascii="宋体" w:hAnsi="宋体" w:cs="宋体" w:eastAsia="宋体" w:hint="default"/>
                            <w:sz w:val="21"/>
                            <w:szCs w:val="21"/>
                          </w:rPr>
                          <w:t>07</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董事会议事规则（</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02</w:t>
                        </w:r>
                        <w:r>
                          <w:rPr>
                            <w:rFonts w:ascii="宋体" w:hAnsi="宋体" w:cs="宋体" w:eastAsia="宋体" w:hint="default"/>
                            <w:sz w:val="21"/>
                            <w:szCs w:val="21"/>
                          </w:rPr>
                          <w:t>月</w:t>
                        </w:r>
                        <w:r>
                          <w:rPr>
                            <w:rFonts w:ascii="宋体" w:hAnsi="宋体" w:cs="宋体" w:eastAsia="宋体" w:hint="default"/>
                            <w:sz w:val="21"/>
                            <w:szCs w:val="21"/>
                          </w:rPr>
                          <w:t>07</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独立董事制度（</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02</w:t>
                        </w:r>
                        <w:r>
                          <w:rPr>
                            <w:rFonts w:ascii="宋体" w:hAnsi="宋体" w:cs="宋体" w:eastAsia="宋体" w:hint="default"/>
                            <w:sz w:val="21"/>
                            <w:szCs w:val="21"/>
                          </w:rPr>
                          <w:t>月</w:t>
                        </w:r>
                        <w:r>
                          <w:rPr>
                            <w:rFonts w:ascii="宋体" w:hAnsi="宋体" w:cs="宋体" w:eastAsia="宋体" w:hint="default"/>
                            <w:sz w:val="21"/>
                            <w:szCs w:val="21"/>
                          </w:rPr>
                          <w:t>07</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监事会议事规则（</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02</w:t>
                        </w:r>
                        <w:r>
                          <w:rPr>
                            <w:rFonts w:ascii="宋体" w:hAnsi="宋体" w:cs="宋体" w:eastAsia="宋体" w:hint="default"/>
                            <w:sz w:val="21"/>
                            <w:szCs w:val="21"/>
                          </w:rPr>
                          <w:t>月</w:t>
                        </w:r>
                        <w:r>
                          <w:rPr>
                            <w:rFonts w:ascii="宋体" w:hAnsi="宋体" w:cs="宋体" w:eastAsia="宋体" w:hint="default"/>
                            <w:sz w:val="21"/>
                            <w:szCs w:val="21"/>
                          </w:rPr>
                          <w:t>07</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2018-007</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关于受让新疆华商盈通股权投资有限公司股权的公告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02</w:t>
                        </w:r>
                        <w:r>
                          <w:rPr>
                            <w:rFonts w:ascii="宋体" w:hAnsi="宋体" w:cs="宋体" w:eastAsia="宋体" w:hint="default"/>
                            <w:sz w:val="21"/>
                            <w:szCs w:val="21"/>
                          </w:rPr>
                          <w:t>月</w:t>
                        </w:r>
                        <w:r>
                          <w:rPr>
                            <w:rFonts w:ascii="宋体" w:hAnsi="宋体" w:cs="宋体" w:eastAsia="宋体" w:hint="default"/>
                            <w:sz w:val="21"/>
                            <w:szCs w:val="21"/>
                          </w:rPr>
                          <w:t>07</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独立董事关于受让新疆华商盈通股权投资有限公司股权事项的独立意见</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02</w:t>
                        </w:r>
                        <w:r>
                          <w:rPr>
                            <w:rFonts w:ascii="宋体" w:hAnsi="宋体" w:cs="宋体" w:eastAsia="宋体" w:hint="default"/>
                            <w:sz w:val="21"/>
                            <w:szCs w:val="21"/>
                          </w:rPr>
                          <w:t>月</w:t>
                        </w:r>
                        <w:r>
                          <w:rPr>
                            <w:rFonts w:ascii="宋体" w:hAnsi="宋体" w:cs="宋体" w:eastAsia="宋体" w:hint="default"/>
                            <w:sz w:val="21"/>
                            <w:szCs w:val="21"/>
                          </w:rPr>
                          <w:t>07</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新疆华商盈通股权投资有限公司审计报告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02</w:t>
                        </w:r>
                        <w:r>
                          <w:rPr>
                            <w:rFonts w:ascii="宋体" w:hAnsi="宋体" w:cs="宋体" w:eastAsia="宋体" w:hint="default"/>
                            <w:sz w:val="21"/>
                            <w:szCs w:val="21"/>
                          </w:rPr>
                          <w:t>月</w:t>
                        </w:r>
                        <w:r>
                          <w:rPr>
                            <w:rFonts w:ascii="宋体" w:hAnsi="宋体" w:cs="宋体" w:eastAsia="宋体" w:hint="default"/>
                            <w:sz w:val="21"/>
                            <w:szCs w:val="21"/>
                          </w:rPr>
                          <w:t>07</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2018-008</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z w:val="21"/>
                            <w:szCs w:val="21"/>
                          </w:rPr>
                          <w:t>2018</w:t>
                        </w:r>
                        <w:r>
                          <w:rPr>
                            <w:rFonts w:ascii="宋体" w:hAnsi="宋体" w:cs="宋体" w:eastAsia="宋体" w:hint="default"/>
                            <w:sz w:val="21"/>
                            <w:szCs w:val="21"/>
                          </w:rPr>
                          <w:t>年第一次临时股东大会的通知</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02</w:t>
                        </w:r>
                        <w:r>
                          <w:rPr>
                            <w:rFonts w:ascii="宋体" w:hAnsi="宋体" w:cs="宋体" w:eastAsia="宋体" w:hint="default"/>
                            <w:sz w:val="21"/>
                            <w:szCs w:val="21"/>
                          </w:rPr>
                          <w:t>月</w:t>
                        </w:r>
                        <w:r>
                          <w:rPr>
                            <w:rFonts w:ascii="宋体" w:hAnsi="宋体" w:cs="宋体" w:eastAsia="宋体" w:hint="default"/>
                            <w:sz w:val="21"/>
                            <w:szCs w:val="21"/>
                          </w:rPr>
                          <w:t>07</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2018-009</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关于重大事项停牌的进展公告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02</w:t>
                        </w:r>
                        <w:r>
                          <w:rPr>
                            <w:rFonts w:ascii="宋体" w:hAnsi="宋体" w:cs="宋体" w:eastAsia="宋体" w:hint="default"/>
                            <w:sz w:val="21"/>
                            <w:szCs w:val="21"/>
                          </w:rPr>
                          <w:t>月</w:t>
                        </w:r>
                        <w:r>
                          <w:rPr>
                            <w:rFonts w:ascii="宋体" w:hAnsi="宋体" w:cs="宋体" w:eastAsia="宋体" w:hint="default"/>
                            <w:sz w:val="21"/>
                            <w:szCs w:val="21"/>
                          </w:rPr>
                          <w:t>08</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2018-010</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关于公司实际控制关系变更处于筹划阶段的提示性公告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02</w:t>
                        </w:r>
                        <w:r>
                          <w:rPr>
                            <w:rFonts w:ascii="宋体" w:hAnsi="宋体" w:cs="宋体" w:eastAsia="宋体" w:hint="default"/>
                            <w:sz w:val="21"/>
                            <w:szCs w:val="21"/>
                          </w:rPr>
                          <w:t>月</w:t>
                        </w:r>
                        <w:r>
                          <w:rPr>
                            <w:rFonts w:ascii="宋体" w:hAnsi="宋体" w:cs="宋体" w:eastAsia="宋体" w:hint="default"/>
                            <w:sz w:val="21"/>
                            <w:szCs w:val="21"/>
                          </w:rPr>
                          <w:t>14</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2018-011</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关于重大资产重组停牌公告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02</w:t>
                        </w:r>
                        <w:r>
                          <w:rPr>
                            <w:rFonts w:ascii="宋体" w:hAnsi="宋体" w:cs="宋体" w:eastAsia="宋体" w:hint="default"/>
                            <w:sz w:val="21"/>
                            <w:szCs w:val="21"/>
                          </w:rPr>
                          <w:t>月</w:t>
                        </w:r>
                        <w:r>
                          <w:rPr>
                            <w:rFonts w:ascii="宋体" w:hAnsi="宋体" w:cs="宋体" w:eastAsia="宋体" w:hint="default"/>
                            <w:sz w:val="21"/>
                            <w:szCs w:val="21"/>
                          </w:rPr>
                          <w:t>22</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2018-012</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年第一次临时股东大会决议公告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02</w:t>
                        </w:r>
                        <w:r>
                          <w:rPr>
                            <w:rFonts w:ascii="宋体" w:hAnsi="宋体" w:cs="宋体" w:eastAsia="宋体" w:hint="default"/>
                            <w:sz w:val="21"/>
                            <w:szCs w:val="21"/>
                          </w:rPr>
                          <w:t>月</w:t>
                        </w:r>
                        <w:r>
                          <w:rPr>
                            <w:rFonts w:ascii="宋体" w:hAnsi="宋体" w:cs="宋体" w:eastAsia="宋体" w:hint="default"/>
                            <w:sz w:val="21"/>
                            <w:szCs w:val="21"/>
                          </w:rPr>
                          <w:t>24</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年第一次临时股东大会的法律意见书</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02</w:t>
                        </w:r>
                        <w:r>
                          <w:rPr>
                            <w:rFonts w:ascii="宋体" w:hAnsi="宋体" w:cs="宋体" w:eastAsia="宋体" w:hint="default"/>
                            <w:sz w:val="21"/>
                            <w:szCs w:val="21"/>
                          </w:rPr>
                          <w:t>月</w:t>
                        </w:r>
                        <w:r>
                          <w:rPr>
                            <w:rFonts w:ascii="宋体" w:hAnsi="宋体" w:cs="宋体" w:eastAsia="宋体" w:hint="default"/>
                            <w:sz w:val="21"/>
                            <w:szCs w:val="21"/>
                          </w:rPr>
                          <w:t>24</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股东大会议事规则（</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02</w:t>
                        </w:r>
                        <w:r>
                          <w:rPr>
                            <w:rFonts w:ascii="宋体" w:hAnsi="宋体" w:cs="宋体" w:eastAsia="宋体" w:hint="default"/>
                            <w:sz w:val="21"/>
                            <w:szCs w:val="21"/>
                          </w:rPr>
                          <w:t>月</w:t>
                        </w:r>
                        <w:r>
                          <w:rPr>
                            <w:rFonts w:ascii="宋体" w:hAnsi="宋体" w:cs="宋体" w:eastAsia="宋体" w:hint="default"/>
                            <w:sz w:val="21"/>
                            <w:szCs w:val="21"/>
                          </w:rPr>
                          <w:t>24</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董事会议事规则（</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02</w:t>
                        </w:r>
                        <w:r>
                          <w:rPr>
                            <w:rFonts w:ascii="宋体" w:hAnsi="宋体" w:cs="宋体" w:eastAsia="宋体" w:hint="default"/>
                            <w:sz w:val="21"/>
                            <w:szCs w:val="21"/>
                          </w:rPr>
                          <w:t>月</w:t>
                        </w:r>
                        <w:r>
                          <w:rPr>
                            <w:rFonts w:ascii="宋体" w:hAnsi="宋体" w:cs="宋体" w:eastAsia="宋体" w:hint="default"/>
                            <w:sz w:val="21"/>
                            <w:szCs w:val="21"/>
                          </w:rPr>
                          <w:t>24</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监事会议事规则（</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02</w:t>
                        </w:r>
                        <w:r>
                          <w:rPr>
                            <w:rFonts w:ascii="宋体" w:hAnsi="宋体" w:cs="宋体" w:eastAsia="宋体" w:hint="default"/>
                            <w:sz w:val="21"/>
                            <w:szCs w:val="21"/>
                          </w:rPr>
                          <w:t>月</w:t>
                        </w:r>
                        <w:r>
                          <w:rPr>
                            <w:rFonts w:ascii="宋体" w:hAnsi="宋体" w:cs="宋体" w:eastAsia="宋体" w:hint="default"/>
                            <w:sz w:val="21"/>
                            <w:szCs w:val="21"/>
                          </w:rPr>
                          <w:t>24</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独立董事制度（</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02</w:t>
                        </w:r>
                        <w:r>
                          <w:rPr>
                            <w:rFonts w:ascii="宋体" w:hAnsi="宋体" w:cs="宋体" w:eastAsia="宋体" w:hint="default"/>
                            <w:sz w:val="21"/>
                            <w:szCs w:val="21"/>
                          </w:rPr>
                          <w:t>月</w:t>
                        </w:r>
                        <w:r>
                          <w:rPr>
                            <w:rFonts w:ascii="宋体" w:hAnsi="宋体" w:cs="宋体" w:eastAsia="宋体" w:hint="default"/>
                            <w:sz w:val="21"/>
                            <w:szCs w:val="21"/>
                          </w:rPr>
                          <w:t>24</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董事、监事薪酬制度（</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02</w:t>
                        </w:r>
                        <w:r>
                          <w:rPr>
                            <w:rFonts w:ascii="宋体" w:hAnsi="宋体" w:cs="宋体" w:eastAsia="宋体" w:hint="default"/>
                            <w:sz w:val="21"/>
                            <w:szCs w:val="21"/>
                          </w:rPr>
                          <w:t>月</w:t>
                        </w:r>
                        <w:r>
                          <w:rPr>
                            <w:rFonts w:ascii="宋体" w:hAnsi="宋体" w:cs="宋体" w:eastAsia="宋体" w:hint="default"/>
                            <w:sz w:val="21"/>
                            <w:szCs w:val="21"/>
                          </w:rPr>
                          <w:t>24</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2018-013</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关于筹划重组停牌期满申请继续停牌公告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03</w:t>
                        </w:r>
                        <w:r>
                          <w:rPr>
                            <w:rFonts w:ascii="宋体" w:hAnsi="宋体" w:cs="宋体" w:eastAsia="宋体" w:hint="default"/>
                            <w:sz w:val="21"/>
                            <w:szCs w:val="21"/>
                          </w:rPr>
                          <w:t>月</w:t>
                        </w:r>
                        <w:r>
                          <w:rPr>
                            <w:rFonts w:ascii="宋体" w:hAnsi="宋体" w:cs="宋体" w:eastAsia="宋体" w:hint="default"/>
                            <w:sz w:val="21"/>
                            <w:szCs w:val="21"/>
                          </w:rPr>
                          <w:t>01</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2018-014</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第七届董事会</w:t>
                        </w:r>
                        <w:r>
                          <w:rPr>
                            <w:rFonts w:ascii="宋体" w:hAnsi="宋体" w:cs="宋体" w:eastAsia="宋体" w:hint="default"/>
                            <w:sz w:val="21"/>
                            <w:szCs w:val="21"/>
                          </w:rPr>
                          <w:t>2018</w:t>
                        </w:r>
                        <w:r>
                          <w:rPr>
                            <w:rFonts w:ascii="宋体" w:hAnsi="宋体" w:cs="宋体" w:eastAsia="宋体" w:hint="default"/>
                            <w:sz w:val="21"/>
                            <w:szCs w:val="21"/>
                          </w:rPr>
                          <w:t>年第三次临时会议决议公告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03</w:t>
                        </w:r>
                        <w:r>
                          <w:rPr>
                            <w:rFonts w:ascii="宋体" w:hAnsi="宋体" w:cs="宋体" w:eastAsia="宋体" w:hint="default"/>
                            <w:sz w:val="21"/>
                            <w:szCs w:val="21"/>
                          </w:rPr>
                          <w:t>月</w:t>
                        </w:r>
                        <w:r>
                          <w:rPr>
                            <w:rFonts w:ascii="宋体" w:hAnsi="宋体" w:cs="宋体" w:eastAsia="宋体" w:hint="default"/>
                            <w:sz w:val="21"/>
                            <w:szCs w:val="21"/>
                          </w:rPr>
                          <w:t>02</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独立董事关于变更会计师事务所事项的独立意见</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03</w:t>
                        </w:r>
                        <w:r>
                          <w:rPr>
                            <w:rFonts w:ascii="宋体" w:hAnsi="宋体" w:cs="宋体" w:eastAsia="宋体" w:hint="default"/>
                            <w:sz w:val="21"/>
                            <w:szCs w:val="21"/>
                          </w:rPr>
                          <w:t>月</w:t>
                        </w:r>
                        <w:r>
                          <w:rPr>
                            <w:rFonts w:ascii="宋体" w:hAnsi="宋体" w:cs="宋体" w:eastAsia="宋体" w:hint="default"/>
                            <w:sz w:val="21"/>
                            <w:szCs w:val="21"/>
                          </w:rPr>
                          <w:t>02</w:t>
                        </w:r>
                        <w:r>
                          <w:rPr>
                            <w:rFonts w:ascii="宋体" w:hAnsi="宋体" w:cs="宋体" w:eastAsia="宋体" w:hint="default"/>
                            <w:sz w:val="21"/>
                            <w:szCs w:val="21"/>
                          </w:rPr>
                          <w:t>日</w:t>
                        </w:r>
                      </w:p>
                    </w:tc>
                  </w:tr>
                </w:tbl>
                <w:p>
                  <w:pPr/>
                </w:p>
              </w:txbxContent>
            </v:textbox>
            <w10:wrap type="none"/>
          </v:shape>
        </w:pict>
      </w:r>
      <w:r>
        <w:rPr/>
        <w:t>√ 适用 □</w:t>
      </w:r>
      <w:r>
        <w:rPr>
          <w:spacing w:val="-1"/>
        </w:rPr>
        <w:t> </w:t>
      </w:r>
      <w:r>
        <w:rPr/>
        <w:t>不适用</w:t>
      </w:r>
      <w:r>
        <w:rPr/>
        <w:t> 报告期内，公司在指定网站和公司网站披露的重要事项如下：</w:t>
      </w:r>
    </w:p>
    <w:p>
      <w:pPr>
        <w:spacing w:after="0" w:line="453" w:lineRule="auto"/>
        <w:jc w:val="left"/>
        <w:sectPr>
          <w:pgSz w:w="11910" w:h="16840"/>
          <w:pgMar w:header="877" w:footer="979" w:top="1100" w:bottom="1160" w:left="74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1184"/>
        <w:gridCol w:w="6757"/>
        <w:gridCol w:w="2146"/>
      </w:tblGrid>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2018-015</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关于转让国广东方网络（北京）有限公司部分股权暨关联交易的公告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03</w:t>
            </w:r>
            <w:r>
              <w:rPr>
                <w:rFonts w:ascii="宋体" w:hAnsi="宋体" w:cs="宋体" w:eastAsia="宋体" w:hint="default"/>
                <w:sz w:val="21"/>
                <w:szCs w:val="21"/>
              </w:rPr>
              <w:t>月</w:t>
            </w:r>
            <w:r>
              <w:rPr>
                <w:rFonts w:ascii="宋体" w:hAnsi="宋体" w:cs="宋体" w:eastAsia="宋体" w:hint="default"/>
                <w:sz w:val="21"/>
                <w:szCs w:val="21"/>
              </w:rPr>
              <w:t>02</w:t>
            </w:r>
            <w:r>
              <w:rPr>
                <w:rFonts w:ascii="宋体" w:hAnsi="宋体" w:cs="宋体" w:eastAsia="宋体" w:hint="default"/>
                <w:sz w:val="21"/>
                <w:szCs w:val="21"/>
              </w:rPr>
              <w:t>日</w:t>
            </w:r>
          </w:p>
        </w:tc>
      </w:tr>
      <w:tr>
        <w:trPr>
          <w:trHeight w:val="665"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5"/>
              <w:jc w:val="left"/>
              <w:rPr>
                <w:rFonts w:ascii="宋体" w:hAnsi="宋体" w:cs="宋体" w:eastAsia="宋体" w:hint="default"/>
                <w:sz w:val="21"/>
                <w:szCs w:val="21"/>
              </w:rPr>
            </w:pPr>
            <w:r>
              <w:rPr>
                <w:rFonts w:ascii="宋体" w:hAnsi="宋体" w:cs="宋体" w:eastAsia="宋体" w:hint="default"/>
                <w:sz w:val="21"/>
                <w:szCs w:val="21"/>
              </w:rPr>
              <w:t>独立董事关于转让国广东方网络（北京）有限公司部分股权暨关联交易事</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项之独立意见</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03</w:t>
            </w:r>
            <w:r>
              <w:rPr>
                <w:rFonts w:ascii="宋体" w:hAnsi="宋体" w:cs="宋体" w:eastAsia="宋体" w:hint="default"/>
                <w:sz w:val="21"/>
                <w:szCs w:val="21"/>
              </w:rPr>
              <w:t>月</w:t>
            </w:r>
            <w:r>
              <w:rPr>
                <w:rFonts w:ascii="宋体" w:hAnsi="宋体" w:cs="宋体" w:eastAsia="宋体" w:hint="default"/>
                <w:sz w:val="21"/>
                <w:szCs w:val="21"/>
              </w:rPr>
              <w:t>02</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发展战略规划纲要</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03</w:t>
            </w:r>
            <w:r>
              <w:rPr>
                <w:rFonts w:ascii="宋体" w:hAnsi="宋体" w:cs="宋体" w:eastAsia="宋体" w:hint="default"/>
                <w:sz w:val="21"/>
                <w:szCs w:val="21"/>
              </w:rPr>
              <w:t>月</w:t>
            </w:r>
            <w:r>
              <w:rPr>
                <w:rFonts w:ascii="宋体" w:hAnsi="宋体" w:cs="宋体" w:eastAsia="宋体" w:hint="default"/>
                <w:sz w:val="21"/>
                <w:szCs w:val="21"/>
              </w:rPr>
              <w:t>02</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2018-016</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z w:val="21"/>
                <w:szCs w:val="21"/>
              </w:rPr>
              <w:t>2018</w:t>
            </w:r>
            <w:r>
              <w:rPr>
                <w:rFonts w:ascii="宋体" w:hAnsi="宋体" w:cs="宋体" w:eastAsia="宋体" w:hint="default"/>
                <w:sz w:val="21"/>
                <w:szCs w:val="21"/>
              </w:rPr>
              <w:t>年第二次临时股东大会的通知</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03</w:t>
            </w:r>
            <w:r>
              <w:rPr>
                <w:rFonts w:ascii="宋体" w:hAnsi="宋体" w:cs="宋体" w:eastAsia="宋体" w:hint="default"/>
                <w:sz w:val="21"/>
                <w:szCs w:val="21"/>
              </w:rPr>
              <w:t>月</w:t>
            </w:r>
            <w:r>
              <w:rPr>
                <w:rFonts w:ascii="宋体" w:hAnsi="宋体" w:cs="宋体" w:eastAsia="宋体" w:hint="default"/>
                <w:sz w:val="21"/>
                <w:szCs w:val="21"/>
              </w:rPr>
              <w:t>02</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2018-017</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关于重大资产重组停牌进展的公告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03</w:t>
            </w:r>
            <w:r>
              <w:rPr>
                <w:rFonts w:ascii="宋体" w:hAnsi="宋体" w:cs="宋体" w:eastAsia="宋体" w:hint="default"/>
                <w:sz w:val="21"/>
                <w:szCs w:val="21"/>
              </w:rPr>
              <w:t>月</w:t>
            </w:r>
            <w:r>
              <w:rPr>
                <w:rFonts w:ascii="宋体" w:hAnsi="宋体" w:cs="宋体" w:eastAsia="宋体" w:hint="default"/>
                <w:sz w:val="21"/>
                <w:szCs w:val="21"/>
              </w:rPr>
              <w:t>08</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2018-018</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关于受让新疆华商盈通股权投资有限公司股权的进展公告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03</w:t>
            </w:r>
            <w:r>
              <w:rPr>
                <w:rFonts w:ascii="宋体" w:hAnsi="宋体" w:cs="宋体" w:eastAsia="宋体" w:hint="default"/>
                <w:sz w:val="21"/>
                <w:szCs w:val="21"/>
              </w:rPr>
              <w:t>月</w:t>
            </w:r>
            <w:r>
              <w:rPr>
                <w:rFonts w:ascii="宋体" w:hAnsi="宋体" w:cs="宋体" w:eastAsia="宋体" w:hint="default"/>
                <w:sz w:val="21"/>
                <w:szCs w:val="21"/>
              </w:rPr>
              <w:t>10</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2018-019</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关于重大资产重组停牌进展的公告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03</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2018-020</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年第二次临时股东大会决议公告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03</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年第二次临时股东大会的法律意见书</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03</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2018-021</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关于重大资产重组停牌进展的公告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03</w:t>
            </w:r>
            <w:r>
              <w:rPr>
                <w:rFonts w:ascii="宋体" w:hAnsi="宋体" w:cs="宋体" w:eastAsia="宋体" w:hint="default"/>
                <w:sz w:val="21"/>
                <w:szCs w:val="21"/>
              </w:rPr>
              <w:t>月</w:t>
            </w:r>
            <w:r>
              <w:rPr>
                <w:rFonts w:ascii="宋体" w:hAnsi="宋体" w:cs="宋体" w:eastAsia="宋体" w:hint="default"/>
                <w:sz w:val="21"/>
                <w:szCs w:val="21"/>
              </w:rPr>
              <w:t>22</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2018-022</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关于公司董事辞职的公告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03</w:t>
            </w:r>
            <w:r>
              <w:rPr>
                <w:rFonts w:ascii="宋体" w:hAnsi="宋体" w:cs="宋体" w:eastAsia="宋体" w:hint="default"/>
                <w:sz w:val="21"/>
                <w:szCs w:val="21"/>
              </w:rPr>
              <w:t>月</w:t>
            </w:r>
            <w:r>
              <w:rPr>
                <w:rFonts w:ascii="宋体" w:hAnsi="宋体" w:cs="宋体" w:eastAsia="宋体" w:hint="default"/>
                <w:sz w:val="21"/>
                <w:szCs w:val="21"/>
              </w:rPr>
              <w:t>27</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2018-023</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关于重大资产重组停牌进展的公告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03</w:t>
            </w:r>
            <w:r>
              <w:rPr>
                <w:rFonts w:ascii="宋体" w:hAnsi="宋体" w:cs="宋体" w:eastAsia="宋体" w:hint="default"/>
                <w:sz w:val="21"/>
                <w:szCs w:val="21"/>
              </w:rPr>
              <w:t>月</w:t>
            </w:r>
            <w:r>
              <w:rPr>
                <w:rFonts w:ascii="宋体" w:hAnsi="宋体" w:cs="宋体" w:eastAsia="宋体" w:hint="default"/>
                <w:sz w:val="21"/>
                <w:szCs w:val="21"/>
              </w:rPr>
              <w:t>29</w:t>
            </w:r>
            <w:r>
              <w:rPr>
                <w:rFonts w:ascii="宋体" w:hAnsi="宋体" w:cs="宋体" w:eastAsia="宋体" w:hint="default"/>
                <w:sz w:val="21"/>
                <w:szCs w:val="21"/>
              </w:rPr>
              <w:t>日</w:t>
            </w:r>
          </w:p>
        </w:tc>
      </w:tr>
      <w:tr>
        <w:trPr>
          <w:trHeight w:val="664"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2018-024</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5"/>
              <w:jc w:val="left"/>
              <w:rPr>
                <w:rFonts w:ascii="宋体" w:hAnsi="宋体" w:cs="宋体" w:eastAsia="宋体" w:hint="default"/>
                <w:sz w:val="21"/>
                <w:szCs w:val="21"/>
              </w:rPr>
            </w:pPr>
            <w:r>
              <w:rPr>
                <w:rFonts w:ascii="宋体" w:hAnsi="宋体" w:cs="宋体" w:eastAsia="宋体" w:hint="default"/>
                <w:sz w:val="21"/>
                <w:szCs w:val="21"/>
              </w:rPr>
              <w:t>关于公司发起设立的海南国文产业基金投资管理有限公司完成私募基金管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理人备案的公告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03</w:t>
            </w:r>
            <w:r>
              <w:rPr>
                <w:rFonts w:ascii="宋体" w:hAnsi="宋体" w:cs="宋体" w:eastAsia="宋体" w:hint="default"/>
                <w:sz w:val="21"/>
                <w:szCs w:val="21"/>
              </w:rPr>
              <w:t>月</w:t>
            </w:r>
            <w:r>
              <w:rPr>
                <w:rFonts w:ascii="宋体" w:hAnsi="宋体" w:cs="宋体" w:eastAsia="宋体" w:hint="default"/>
                <w:sz w:val="21"/>
                <w:szCs w:val="21"/>
              </w:rPr>
              <w:t>29</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2018-025</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第七届董事会</w:t>
            </w:r>
            <w:r>
              <w:rPr>
                <w:rFonts w:ascii="宋体" w:hAnsi="宋体" w:cs="宋体" w:eastAsia="宋体" w:hint="default"/>
                <w:sz w:val="21"/>
                <w:szCs w:val="21"/>
              </w:rPr>
              <w:t>2018</w:t>
            </w:r>
            <w:r>
              <w:rPr>
                <w:rFonts w:ascii="宋体" w:hAnsi="宋体" w:cs="宋体" w:eastAsia="宋体" w:hint="default"/>
                <w:sz w:val="21"/>
                <w:szCs w:val="21"/>
              </w:rPr>
              <w:t>年第五次临时会议决议公告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02</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2018-026</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关于购买深圳市麦游互动科技有限公司股权的公告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02</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2018-027</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关于筹划重组停牌期满申请继续停牌公告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02</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独立董事关于筹划重组停牌期满申请继续停牌事项的独立意见</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02</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2018-028</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z w:val="21"/>
                <w:szCs w:val="21"/>
              </w:rPr>
              <w:t>2018</w:t>
            </w:r>
            <w:r>
              <w:rPr>
                <w:rFonts w:ascii="宋体" w:hAnsi="宋体" w:cs="宋体" w:eastAsia="宋体" w:hint="default"/>
                <w:sz w:val="21"/>
                <w:szCs w:val="21"/>
              </w:rPr>
              <w:t>年度第一期中期票据发行结果的公告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09</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2018-029</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关于重大资产重组停牌进展的公告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11</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2018-030</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第七届董事会</w:t>
            </w:r>
            <w:r>
              <w:rPr>
                <w:rFonts w:ascii="宋体" w:hAnsi="宋体" w:cs="宋体" w:eastAsia="宋体" w:hint="default"/>
                <w:sz w:val="21"/>
                <w:szCs w:val="21"/>
              </w:rPr>
              <w:t>2018</w:t>
            </w:r>
            <w:r>
              <w:rPr>
                <w:rFonts w:ascii="宋体" w:hAnsi="宋体" w:cs="宋体" w:eastAsia="宋体" w:hint="default"/>
                <w:sz w:val="21"/>
                <w:szCs w:val="21"/>
              </w:rPr>
              <w:t>年第六次临时会议决议公告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12</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独立董事关于公司董事候选人之独立意见</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12</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2018-031</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关于召开股东大会审议继续停牌相关事项的公告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12</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华西证券股份有限公司关于公司重大资产重组申请延期复牌的核查意见</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12</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独立董事关于召开股东大会审议继续停牌相关事项的独立意见</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12</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2018-032</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关于签署上海鸿立股权投资有限公司《委托管理协议之补充协议》的公告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12</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2018-033</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关于新疆华商盈通股权投资有限公司参与投资设立有限合伙企业的公告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12</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2018-034</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z w:val="21"/>
                <w:szCs w:val="21"/>
              </w:rPr>
              <w:t>2018</w:t>
            </w:r>
            <w:r>
              <w:rPr>
                <w:rFonts w:ascii="宋体" w:hAnsi="宋体" w:cs="宋体" w:eastAsia="宋体" w:hint="default"/>
                <w:sz w:val="21"/>
                <w:szCs w:val="21"/>
              </w:rPr>
              <w:t>年第三次临时股东大会的通知</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12</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2018-035</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关于转让国广东方网络（北京）有限公司部分股权暨关联交易的进展公告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14</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2018-036</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z w:val="21"/>
                <w:szCs w:val="21"/>
              </w:rPr>
              <w:t>2013</w:t>
            </w:r>
            <w:r>
              <w:rPr>
                <w:rFonts w:ascii="宋体" w:hAnsi="宋体" w:cs="宋体" w:eastAsia="宋体" w:hint="default"/>
                <w:sz w:val="21"/>
                <w:szCs w:val="21"/>
              </w:rPr>
              <w:t>年度第一期中期票据兑付完成的公告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sz w:val="21"/>
                <w:szCs w:val="21"/>
              </w:rPr>
              <w:t>日</w:t>
            </w:r>
          </w:p>
        </w:tc>
      </w:tr>
      <w:tr>
        <w:trPr>
          <w:trHeight w:val="664"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2018-037</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5"/>
              <w:jc w:val="left"/>
              <w:rPr>
                <w:rFonts w:ascii="宋体" w:hAnsi="宋体" w:cs="宋体" w:eastAsia="宋体" w:hint="default"/>
                <w:sz w:val="21"/>
                <w:szCs w:val="21"/>
              </w:rPr>
            </w:pPr>
            <w:r>
              <w:rPr>
                <w:rFonts w:ascii="宋体" w:hAnsi="宋体" w:cs="宋体" w:eastAsia="宋体" w:hint="default"/>
                <w:sz w:val="21"/>
                <w:szCs w:val="21"/>
              </w:rPr>
              <w:t>关于新疆华商盈通股权投资有限公司参与投资设立有限合伙企业的补充公</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2018-038</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关于重大资产重组停牌进展的公告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2018-039</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关于购买深圳市麦游互动科技有限公司股权的进展公告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21</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2018-040</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关于重大资产重组停牌进展的公告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26</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2018-041</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第七届董事会第九次会议决议公告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2018-042</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第七届监事会第九次会议决议公告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2018-043</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z w:val="21"/>
                <w:szCs w:val="21"/>
              </w:rPr>
              <w:t>2017</w:t>
            </w:r>
            <w:r>
              <w:rPr>
                <w:rFonts w:ascii="宋体" w:hAnsi="宋体" w:cs="宋体" w:eastAsia="宋体" w:hint="default"/>
                <w:sz w:val="21"/>
                <w:szCs w:val="21"/>
              </w:rPr>
              <w:t>年度计提资产减值准备的公告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bl>
    <w:p>
      <w:pPr>
        <w:spacing w:after="0" w:line="271" w:lineRule="exact"/>
        <w:jc w:val="left"/>
        <w:rPr>
          <w:rFonts w:ascii="宋体" w:hAnsi="宋体" w:cs="宋体" w:eastAsia="宋体" w:hint="default"/>
          <w:sz w:val="21"/>
          <w:szCs w:val="21"/>
        </w:rPr>
        <w:sectPr>
          <w:pgSz w:w="11910" w:h="16840"/>
          <w:pgMar w:header="877" w:footer="979" w:top="1100" w:bottom="1160" w:left="74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1184"/>
        <w:gridCol w:w="6757"/>
        <w:gridCol w:w="2146"/>
      </w:tblGrid>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2018-044</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关于会计政策变更的公告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年年度报告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2018-045</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年年度报告摘要</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年年度审计报告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2018-046</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z w:val="21"/>
                <w:szCs w:val="21"/>
              </w:rPr>
              <w:t>2013</w:t>
            </w:r>
            <w:r>
              <w:rPr>
                <w:rFonts w:ascii="宋体" w:hAnsi="宋体" w:cs="宋体" w:eastAsia="宋体" w:hint="default"/>
                <w:sz w:val="21"/>
                <w:szCs w:val="21"/>
              </w:rPr>
              <w:t>年重大资产重组标的资产</w:t>
            </w:r>
            <w:r>
              <w:rPr>
                <w:rFonts w:ascii="宋体" w:hAnsi="宋体" w:cs="宋体" w:eastAsia="宋体" w:hint="default"/>
                <w:sz w:val="21"/>
                <w:szCs w:val="21"/>
              </w:rPr>
              <w:t>2017</w:t>
            </w:r>
            <w:r>
              <w:rPr>
                <w:rFonts w:ascii="宋体" w:hAnsi="宋体" w:cs="宋体" w:eastAsia="宋体" w:hint="default"/>
                <w:sz w:val="21"/>
                <w:szCs w:val="21"/>
              </w:rPr>
              <w:t>年度业绩承诺实现情况的公告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664"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z w:val="21"/>
                <w:szCs w:val="21"/>
              </w:rPr>
              <w:t>关于公司非公开发行股份购买资产暨关联交易事项标的资产</w:t>
            </w:r>
            <w:r>
              <w:rPr>
                <w:rFonts w:ascii="宋体" w:hAnsi="宋体" w:cs="宋体" w:eastAsia="宋体" w:hint="default"/>
                <w:sz w:val="21"/>
                <w:szCs w:val="21"/>
              </w:rPr>
              <w:t>2017</w:t>
            </w:r>
            <w:r>
              <w:rPr>
                <w:rFonts w:ascii="宋体" w:hAnsi="宋体" w:cs="宋体" w:eastAsia="宋体" w:hint="default"/>
                <w:sz w:val="21"/>
                <w:szCs w:val="21"/>
              </w:rPr>
              <w:t>年利润承</w:t>
            </w:r>
            <w:r>
              <w:rPr>
                <w:rFonts w:ascii="宋体" w:hAnsi="宋体" w:cs="宋体" w:eastAsia="宋体" w:hint="default"/>
                <w:spacing w:val="-95"/>
                <w:sz w:val="21"/>
                <w:szCs w:val="21"/>
              </w:rPr>
              <w:t> </w:t>
            </w:r>
            <w:r>
              <w:rPr>
                <w:rFonts w:ascii="宋体" w:hAnsi="宋体" w:cs="宋体" w:eastAsia="宋体" w:hint="default"/>
                <w:sz w:val="21"/>
                <w:szCs w:val="21"/>
              </w:rPr>
              <w:t>诺实现情况专项审核报告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664"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5"/>
              <w:jc w:val="left"/>
              <w:rPr>
                <w:rFonts w:ascii="宋体" w:hAnsi="宋体" w:cs="宋体" w:eastAsia="宋体" w:hint="default"/>
                <w:sz w:val="21"/>
                <w:szCs w:val="21"/>
              </w:rPr>
            </w:pPr>
            <w:r>
              <w:rPr>
                <w:rFonts w:ascii="宋体" w:hAnsi="宋体" w:cs="宋体" w:eastAsia="宋体" w:hint="default"/>
                <w:sz w:val="21"/>
                <w:szCs w:val="21"/>
              </w:rPr>
              <w:t>非公开发行股份购买资产暨关联交易事项之标的资产减值测试专项审核报</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非经营性资金占用及其他关联资金往来情况的专项审核说明</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独立董事关于</w:t>
            </w:r>
            <w:r>
              <w:rPr>
                <w:rFonts w:ascii="宋体" w:hAnsi="宋体" w:cs="宋体" w:eastAsia="宋体" w:hint="default"/>
                <w:sz w:val="21"/>
                <w:szCs w:val="21"/>
              </w:rPr>
              <w:t>2017</w:t>
            </w:r>
            <w:r>
              <w:rPr>
                <w:rFonts w:ascii="宋体" w:hAnsi="宋体" w:cs="宋体" w:eastAsia="宋体" w:hint="default"/>
                <w:sz w:val="21"/>
                <w:szCs w:val="21"/>
              </w:rPr>
              <w:t>年度公司对外担保情况等有关事项的独立意见</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年度董事会工作报告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2017</w:t>
            </w:r>
            <w:r>
              <w:rPr>
                <w:rFonts w:ascii="宋体" w:hAnsi="宋体" w:cs="宋体" w:eastAsia="宋体" w:hint="default"/>
                <w:sz w:val="21"/>
                <w:szCs w:val="21"/>
              </w:rPr>
              <w:t>年度述职报告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年度监事会工作报告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年度投资者关系管理工作计划</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年度内部控制审计报告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年度内部控制评价报告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年度社会责任报告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年第一季度报告全文</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2018-047</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年第一季度报告正文</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2018-048</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z w:val="21"/>
                <w:szCs w:val="21"/>
              </w:rPr>
              <w:t>2017</w:t>
            </w:r>
            <w:r>
              <w:rPr>
                <w:rFonts w:ascii="宋体" w:hAnsi="宋体" w:cs="宋体" w:eastAsia="宋体" w:hint="default"/>
                <w:sz w:val="21"/>
                <w:szCs w:val="21"/>
              </w:rPr>
              <w:t>年度股东大会的通知</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2018-049</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年第三次临时股东大会决议公告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05</w:t>
            </w:r>
            <w:r>
              <w:rPr>
                <w:rFonts w:ascii="宋体" w:hAnsi="宋体" w:cs="宋体" w:eastAsia="宋体" w:hint="default"/>
                <w:sz w:val="21"/>
                <w:szCs w:val="21"/>
              </w:rPr>
              <w:t>月</w:t>
            </w:r>
            <w:r>
              <w:rPr>
                <w:rFonts w:ascii="宋体" w:hAnsi="宋体" w:cs="宋体" w:eastAsia="宋体" w:hint="default"/>
                <w:sz w:val="21"/>
                <w:szCs w:val="21"/>
              </w:rPr>
              <w:t>02</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年第三次临时股东大会的法律意见书</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05</w:t>
            </w:r>
            <w:r>
              <w:rPr>
                <w:rFonts w:ascii="宋体" w:hAnsi="宋体" w:cs="宋体" w:eastAsia="宋体" w:hint="default"/>
                <w:sz w:val="21"/>
                <w:szCs w:val="21"/>
              </w:rPr>
              <w:t>月</w:t>
            </w:r>
            <w:r>
              <w:rPr>
                <w:rFonts w:ascii="宋体" w:hAnsi="宋体" w:cs="宋体" w:eastAsia="宋体" w:hint="default"/>
                <w:sz w:val="21"/>
                <w:szCs w:val="21"/>
              </w:rPr>
              <w:t>02</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2018-050</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关于筹划重组停牌期满申请继续停牌公告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05</w:t>
            </w:r>
            <w:r>
              <w:rPr>
                <w:rFonts w:ascii="宋体" w:hAnsi="宋体" w:cs="宋体" w:eastAsia="宋体" w:hint="default"/>
                <w:sz w:val="21"/>
                <w:szCs w:val="21"/>
              </w:rPr>
              <w:t>月</w:t>
            </w:r>
            <w:r>
              <w:rPr>
                <w:rFonts w:ascii="宋体" w:hAnsi="宋体" w:cs="宋体" w:eastAsia="宋体" w:hint="default"/>
                <w:sz w:val="21"/>
                <w:szCs w:val="21"/>
              </w:rPr>
              <w:t>02</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2018-051</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关于重大资产重组停牌进展的公告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05</w:t>
            </w:r>
            <w:r>
              <w:rPr>
                <w:rFonts w:ascii="宋体" w:hAnsi="宋体" w:cs="宋体" w:eastAsia="宋体" w:hint="default"/>
                <w:sz w:val="21"/>
                <w:szCs w:val="21"/>
              </w:rPr>
              <w:t>月</w:t>
            </w:r>
            <w:r>
              <w:rPr>
                <w:rFonts w:ascii="宋体" w:hAnsi="宋体" w:cs="宋体" w:eastAsia="宋体" w:hint="default"/>
                <w:sz w:val="21"/>
                <w:szCs w:val="21"/>
              </w:rPr>
              <w:t>09</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2018-052</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关于参加“海南辖区上市公司</w:t>
            </w:r>
            <w:r>
              <w:rPr>
                <w:rFonts w:ascii="宋体" w:hAnsi="宋体" w:cs="宋体" w:eastAsia="宋体" w:hint="default"/>
                <w:sz w:val="21"/>
                <w:szCs w:val="21"/>
              </w:rPr>
              <w:t>2017</w:t>
            </w:r>
            <w:r>
              <w:rPr>
                <w:rFonts w:ascii="宋体" w:hAnsi="宋体" w:cs="宋体" w:eastAsia="宋体" w:hint="default"/>
                <w:sz w:val="21"/>
                <w:szCs w:val="21"/>
              </w:rPr>
              <w:t>年度业绩网上集体说明会”的公告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05</w:t>
            </w:r>
            <w:r>
              <w:rPr>
                <w:rFonts w:ascii="宋体" w:hAnsi="宋体" w:cs="宋体" w:eastAsia="宋体" w:hint="default"/>
                <w:sz w:val="21"/>
                <w:szCs w:val="21"/>
              </w:rPr>
              <w:t>月</w:t>
            </w:r>
            <w:r>
              <w:rPr>
                <w:rFonts w:ascii="宋体" w:hAnsi="宋体" w:cs="宋体" w:eastAsia="宋体" w:hint="default"/>
                <w:sz w:val="21"/>
                <w:szCs w:val="21"/>
              </w:rPr>
              <w:t>11</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2018-053</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关于重大资产重组停牌进展的公告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05</w:t>
            </w:r>
            <w:r>
              <w:rPr>
                <w:rFonts w:ascii="宋体" w:hAnsi="宋体" w:cs="宋体" w:eastAsia="宋体" w:hint="default"/>
                <w:sz w:val="21"/>
                <w:szCs w:val="21"/>
              </w:rPr>
              <w:t>月</w:t>
            </w:r>
            <w:r>
              <w:rPr>
                <w:rFonts w:ascii="宋体" w:hAnsi="宋体" w:cs="宋体" w:eastAsia="宋体" w:hint="default"/>
                <w:sz w:val="21"/>
                <w:szCs w:val="21"/>
              </w:rPr>
              <w:t>16</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2018-054</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关于签订品牌转让及合作协议的公告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05</w:t>
            </w:r>
            <w:r>
              <w:rPr>
                <w:rFonts w:ascii="宋体" w:hAnsi="宋体" w:cs="宋体" w:eastAsia="宋体" w:hint="default"/>
                <w:sz w:val="21"/>
                <w:szCs w:val="21"/>
              </w:rPr>
              <w:t>月</w:t>
            </w:r>
            <w:r>
              <w:rPr>
                <w:rFonts w:ascii="宋体" w:hAnsi="宋体" w:cs="宋体" w:eastAsia="宋体" w:hint="default"/>
                <w:sz w:val="21"/>
                <w:szCs w:val="21"/>
              </w:rPr>
              <w:t>16</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2018-055</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年度股东大会决议公告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05</w:t>
            </w:r>
            <w:r>
              <w:rPr>
                <w:rFonts w:ascii="宋体" w:hAnsi="宋体" w:cs="宋体" w:eastAsia="宋体" w:hint="default"/>
                <w:sz w:val="21"/>
                <w:szCs w:val="21"/>
              </w:rPr>
              <w:t>月</w:t>
            </w:r>
            <w:r>
              <w:rPr>
                <w:rFonts w:ascii="宋体" w:hAnsi="宋体" w:cs="宋体" w:eastAsia="宋体" w:hint="default"/>
                <w:sz w:val="21"/>
                <w:szCs w:val="21"/>
              </w:rPr>
              <w:t>22</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年度股东大会的法律意见书</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05</w:t>
            </w:r>
            <w:r>
              <w:rPr>
                <w:rFonts w:ascii="宋体" w:hAnsi="宋体" w:cs="宋体" w:eastAsia="宋体" w:hint="default"/>
                <w:sz w:val="21"/>
                <w:szCs w:val="21"/>
              </w:rPr>
              <w:t>月</w:t>
            </w:r>
            <w:r>
              <w:rPr>
                <w:rFonts w:ascii="宋体" w:hAnsi="宋体" w:cs="宋体" w:eastAsia="宋体" w:hint="default"/>
                <w:sz w:val="21"/>
                <w:szCs w:val="21"/>
              </w:rPr>
              <w:t>22</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05</w:t>
            </w:r>
            <w:r>
              <w:rPr>
                <w:rFonts w:ascii="宋体" w:hAnsi="宋体" w:cs="宋体" w:eastAsia="宋体" w:hint="default"/>
                <w:sz w:val="21"/>
                <w:szCs w:val="21"/>
              </w:rPr>
              <w:t>月</w:t>
            </w:r>
            <w:r>
              <w:rPr>
                <w:rFonts w:ascii="宋体" w:hAnsi="宋体" w:cs="宋体" w:eastAsia="宋体" w:hint="default"/>
                <w:sz w:val="21"/>
                <w:szCs w:val="21"/>
              </w:rPr>
              <w:t>22</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2018-056</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关于重大资产重组停牌进展的公告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05</w:t>
            </w:r>
            <w:r>
              <w:rPr>
                <w:rFonts w:ascii="宋体" w:hAnsi="宋体" w:cs="宋体" w:eastAsia="宋体" w:hint="default"/>
                <w:sz w:val="21"/>
                <w:szCs w:val="21"/>
              </w:rPr>
              <w:t>月</w:t>
            </w:r>
            <w:r>
              <w:rPr>
                <w:rFonts w:ascii="宋体" w:hAnsi="宋体" w:cs="宋体" w:eastAsia="宋体" w:hint="default"/>
                <w:sz w:val="21"/>
                <w:szCs w:val="21"/>
              </w:rPr>
              <w:t>23</w:t>
            </w:r>
            <w:r>
              <w:rPr>
                <w:rFonts w:ascii="宋体" w:hAnsi="宋体" w:cs="宋体" w:eastAsia="宋体" w:hint="default"/>
                <w:sz w:val="21"/>
                <w:szCs w:val="21"/>
              </w:rPr>
              <w:t>日</w:t>
            </w:r>
          </w:p>
        </w:tc>
      </w:tr>
      <w:tr>
        <w:trPr>
          <w:trHeight w:val="665"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2018-057</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5"/>
              <w:jc w:val="left"/>
              <w:rPr>
                <w:rFonts w:ascii="宋体" w:hAnsi="宋体" w:cs="宋体" w:eastAsia="宋体" w:hint="default"/>
                <w:sz w:val="21"/>
                <w:szCs w:val="21"/>
              </w:rPr>
            </w:pPr>
            <w:r>
              <w:rPr>
                <w:rFonts w:ascii="宋体" w:hAnsi="宋体" w:cs="宋体" w:eastAsia="宋体" w:hint="default"/>
                <w:sz w:val="21"/>
                <w:szCs w:val="21"/>
              </w:rPr>
              <w:t>关于新疆华商盈通股权投资有限公司参与投资设立有限合伙企业的进展公</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05</w:t>
            </w:r>
            <w:r>
              <w:rPr>
                <w:rFonts w:ascii="宋体" w:hAnsi="宋体" w:cs="宋体" w:eastAsia="宋体" w:hint="default"/>
                <w:sz w:val="21"/>
                <w:szCs w:val="21"/>
              </w:rPr>
              <w:t>月</w:t>
            </w:r>
            <w:r>
              <w:rPr>
                <w:rFonts w:ascii="宋体" w:hAnsi="宋体" w:cs="宋体" w:eastAsia="宋体" w:hint="default"/>
                <w:sz w:val="21"/>
                <w:szCs w:val="21"/>
              </w:rPr>
              <w:t>23</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2018-058</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关于限售股份解除限售的提示性公告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05</w:t>
            </w:r>
            <w:r>
              <w:rPr>
                <w:rFonts w:ascii="宋体" w:hAnsi="宋体" w:cs="宋体" w:eastAsia="宋体" w:hint="default"/>
                <w:sz w:val="21"/>
                <w:szCs w:val="21"/>
              </w:rPr>
              <w:t>月</w:t>
            </w:r>
            <w:r>
              <w:rPr>
                <w:rFonts w:ascii="宋体" w:hAnsi="宋体" w:cs="宋体" w:eastAsia="宋体" w:hint="default"/>
                <w:sz w:val="21"/>
                <w:szCs w:val="21"/>
              </w:rPr>
              <w:t>24</w:t>
            </w:r>
            <w:r>
              <w:rPr>
                <w:rFonts w:ascii="宋体" w:hAnsi="宋体" w:cs="宋体" w:eastAsia="宋体" w:hint="default"/>
                <w:sz w:val="21"/>
                <w:szCs w:val="21"/>
              </w:rPr>
              <w:t>日</w:t>
            </w:r>
          </w:p>
        </w:tc>
      </w:tr>
      <w:tr>
        <w:trPr>
          <w:trHeight w:val="664"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5"/>
              <w:jc w:val="left"/>
              <w:rPr>
                <w:rFonts w:ascii="宋体" w:hAnsi="宋体" w:cs="宋体" w:eastAsia="宋体" w:hint="default"/>
                <w:sz w:val="21"/>
                <w:szCs w:val="21"/>
              </w:rPr>
            </w:pPr>
            <w:r>
              <w:rPr>
                <w:rFonts w:ascii="宋体" w:hAnsi="宋体" w:cs="宋体" w:eastAsia="宋体" w:hint="default"/>
                <w:sz w:val="21"/>
                <w:szCs w:val="21"/>
              </w:rPr>
              <w:t>渤海证券股份有限公司关于公司相关股东有限售条件流通股上市流通的核</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查意见</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05</w:t>
            </w:r>
            <w:r>
              <w:rPr>
                <w:rFonts w:ascii="宋体" w:hAnsi="宋体" w:cs="宋体" w:eastAsia="宋体" w:hint="default"/>
                <w:sz w:val="21"/>
                <w:szCs w:val="21"/>
              </w:rPr>
              <w:t>月</w:t>
            </w:r>
            <w:r>
              <w:rPr>
                <w:rFonts w:ascii="宋体" w:hAnsi="宋体" w:cs="宋体" w:eastAsia="宋体" w:hint="default"/>
                <w:sz w:val="21"/>
                <w:szCs w:val="21"/>
              </w:rPr>
              <w:t>24</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2018-059</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关于重大资产重组停牌进展的公告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05</w:t>
            </w:r>
            <w:r>
              <w:rPr>
                <w:rFonts w:ascii="宋体" w:hAnsi="宋体" w:cs="宋体" w:eastAsia="宋体" w:hint="default"/>
                <w:sz w:val="21"/>
                <w:szCs w:val="21"/>
              </w:rPr>
              <w:t>月</w:t>
            </w:r>
            <w:r>
              <w:rPr>
                <w:rFonts w:ascii="宋体" w:hAnsi="宋体" w:cs="宋体" w:eastAsia="宋体" w:hint="default"/>
                <w:sz w:val="21"/>
                <w:szCs w:val="21"/>
              </w:rPr>
              <w:t>30</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2018-060</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关于重大资产重组停牌进展的公告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06</w:t>
            </w:r>
            <w:r>
              <w:rPr>
                <w:rFonts w:ascii="宋体" w:hAnsi="宋体" w:cs="宋体" w:eastAsia="宋体" w:hint="default"/>
                <w:sz w:val="21"/>
                <w:szCs w:val="21"/>
              </w:rPr>
              <w:t>月</w:t>
            </w:r>
            <w:r>
              <w:rPr>
                <w:rFonts w:ascii="宋体" w:hAnsi="宋体" w:cs="宋体" w:eastAsia="宋体" w:hint="default"/>
                <w:sz w:val="21"/>
                <w:szCs w:val="21"/>
              </w:rPr>
              <w:t>06</w:t>
            </w:r>
            <w:r>
              <w:rPr>
                <w:rFonts w:ascii="宋体" w:hAnsi="宋体" w:cs="宋体" w:eastAsia="宋体" w:hint="default"/>
                <w:sz w:val="21"/>
                <w:szCs w:val="21"/>
              </w:rPr>
              <w:t>日</w:t>
            </w:r>
          </w:p>
        </w:tc>
      </w:tr>
    </w:tbl>
    <w:p>
      <w:pPr>
        <w:spacing w:after="0" w:line="271" w:lineRule="exact"/>
        <w:jc w:val="left"/>
        <w:rPr>
          <w:rFonts w:ascii="宋体" w:hAnsi="宋体" w:cs="宋体" w:eastAsia="宋体" w:hint="default"/>
          <w:sz w:val="21"/>
          <w:szCs w:val="21"/>
        </w:rPr>
        <w:sectPr>
          <w:pgSz w:w="11910" w:h="16840"/>
          <w:pgMar w:header="877" w:footer="979" w:top="1100" w:bottom="1160" w:left="74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1184"/>
        <w:gridCol w:w="6757"/>
        <w:gridCol w:w="2146"/>
      </w:tblGrid>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2018-061</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关于重大资产重组停牌进展的公告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06</w:t>
            </w:r>
            <w:r>
              <w:rPr>
                <w:rFonts w:ascii="宋体" w:hAnsi="宋体" w:cs="宋体" w:eastAsia="宋体" w:hint="default"/>
                <w:sz w:val="21"/>
                <w:szCs w:val="21"/>
              </w:rPr>
              <w:t>月</w:t>
            </w:r>
            <w:r>
              <w:rPr>
                <w:rFonts w:ascii="宋体" w:hAnsi="宋体" w:cs="宋体" w:eastAsia="宋体" w:hint="default"/>
                <w:sz w:val="21"/>
                <w:szCs w:val="21"/>
              </w:rPr>
              <w:t>13</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2018-062</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关于公司完成工商变更登记暨变更公司英文名称的公告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06</w:t>
            </w:r>
            <w:r>
              <w:rPr>
                <w:rFonts w:ascii="宋体" w:hAnsi="宋体" w:cs="宋体" w:eastAsia="宋体" w:hint="default"/>
                <w:sz w:val="21"/>
                <w:szCs w:val="21"/>
              </w:rPr>
              <w:t>月</w:t>
            </w:r>
            <w:r>
              <w:rPr>
                <w:rFonts w:ascii="宋体" w:hAnsi="宋体" w:cs="宋体" w:eastAsia="宋体" w:hint="default"/>
                <w:sz w:val="21"/>
                <w:szCs w:val="21"/>
              </w:rPr>
              <w:t>13</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2018-063</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关于重大资产重组停牌进展的公告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06</w:t>
            </w:r>
            <w:r>
              <w:rPr>
                <w:rFonts w:ascii="宋体" w:hAnsi="宋体" w:cs="宋体" w:eastAsia="宋体" w:hint="default"/>
                <w:sz w:val="21"/>
                <w:szCs w:val="21"/>
              </w:rPr>
              <w:t>月</w:t>
            </w:r>
            <w:r>
              <w:rPr>
                <w:rFonts w:ascii="宋体" w:hAnsi="宋体" w:cs="宋体" w:eastAsia="宋体" w:hint="default"/>
                <w:sz w:val="21"/>
                <w:szCs w:val="21"/>
              </w:rPr>
              <w:t>21</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2018-064</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第七届董事会</w:t>
            </w:r>
            <w:r>
              <w:rPr>
                <w:rFonts w:ascii="宋体" w:hAnsi="宋体" w:cs="宋体" w:eastAsia="宋体" w:hint="default"/>
                <w:sz w:val="21"/>
                <w:szCs w:val="21"/>
              </w:rPr>
              <w:t>2018</w:t>
            </w:r>
            <w:r>
              <w:rPr>
                <w:rFonts w:ascii="宋体" w:hAnsi="宋体" w:cs="宋体" w:eastAsia="宋体" w:hint="default"/>
                <w:sz w:val="21"/>
                <w:szCs w:val="21"/>
              </w:rPr>
              <w:t>年第八次临时会议决议公告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06</w:t>
            </w:r>
            <w:r>
              <w:rPr>
                <w:rFonts w:ascii="宋体" w:hAnsi="宋体" w:cs="宋体" w:eastAsia="宋体" w:hint="default"/>
                <w:sz w:val="21"/>
                <w:szCs w:val="21"/>
              </w:rPr>
              <w:t>月</w:t>
            </w:r>
            <w:r>
              <w:rPr>
                <w:rFonts w:ascii="宋体" w:hAnsi="宋体" w:cs="宋体" w:eastAsia="宋体" w:hint="default"/>
                <w:sz w:val="21"/>
                <w:szCs w:val="21"/>
              </w:rPr>
              <w:t>26</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2018-065</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关于为全资子公司综合授信额度提供担保的公告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06</w:t>
            </w:r>
            <w:r>
              <w:rPr>
                <w:rFonts w:ascii="宋体" w:hAnsi="宋体" w:cs="宋体" w:eastAsia="宋体" w:hint="default"/>
                <w:sz w:val="21"/>
                <w:szCs w:val="21"/>
              </w:rPr>
              <w:t>月</w:t>
            </w:r>
            <w:r>
              <w:rPr>
                <w:rFonts w:ascii="宋体" w:hAnsi="宋体" w:cs="宋体" w:eastAsia="宋体" w:hint="default"/>
                <w:sz w:val="21"/>
                <w:szCs w:val="21"/>
              </w:rPr>
              <w:t>26</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2018-066</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关于向中国国际广播电台转让注册商标暨关联交易的公告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06</w:t>
            </w:r>
            <w:r>
              <w:rPr>
                <w:rFonts w:ascii="宋体" w:hAnsi="宋体" w:cs="宋体" w:eastAsia="宋体" w:hint="default"/>
                <w:sz w:val="21"/>
                <w:szCs w:val="21"/>
              </w:rPr>
              <w:t>月</w:t>
            </w:r>
            <w:r>
              <w:rPr>
                <w:rFonts w:ascii="宋体" w:hAnsi="宋体" w:cs="宋体" w:eastAsia="宋体" w:hint="default"/>
                <w:sz w:val="21"/>
                <w:szCs w:val="21"/>
              </w:rPr>
              <w:t>26</w:t>
            </w:r>
            <w:r>
              <w:rPr>
                <w:rFonts w:ascii="宋体" w:hAnsi="宋体" w:cs="宋体" w:eastAsia="宋体" w:hint="default"/>
                <w:sz w:val="21"/>
                <w:szCs w:val="21"/>
              </w:rPr>
              <w:t>日</w:t>
            </w:r>
          </w:p>
        </w:tc>
      </w:tr>
      <w:tr>
        <w:trPr>
          <w:trHeight w:val="664"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5"/>
              <w:jc w:val="left"/>
              <w:rPr>
                <w:rFonts w:ascii="宋体" w:hAnsi="宋体" w:cs="宋体" w:eastAsia="宋体" w:hint="default"/>
                <w:sz w:val="21"/>
                <w:szCs w:val="21"/>
              </w:rPr>
            </w:pPr>
            <w:r>
              <w:rPr>
                <w:rFonts w:ascii="宋体" w:hAnsi="宋体" w:cs="宋体" w:eastAsia="宋体" w:hint="default"/>
                <w:sz w:val="21"/>
                <w:szCs w:val="21"/>
              </w:rPr>
              <w:t>独立董事关于向中国国际广播电台转让注册商标暨关联交易事项之独立意</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见</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06</w:t>
            </w:r>
            <w:r>
              <w:rPr>
                <w:rFonts w:ascii="宋体" w:hAnsi="宋体" w:cs="宋体" w:eastAsia="宋体" w:hint="default"/>
                <w:sz w:val="21"/>
                <w:szCs w:val="21"/>
              </w:rPr>
              <w:t>月</w:t>
            </w:r>
            <w:r>
              <w:rPr>
                <w:rFonts w:ascii="宋体" w:hAnsi="宋体" w:cs="宋体" w:eastAsia="宋体" w:hint="default"/>
                <w:sz w:val="21"/>
                <w:szCs w:val="21"/>
              </w:rPr>
              <w:t>26</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06</w:t>
            </w:r>
            <w:r>
              <w:rPr>
                <w:rFonts w:ascii="宋体" w:hAnsi="宋体" w:cs="宋体" w:eastAsia="宋体" w:hint="default"/>
                <w:sz w:val="21"/>
                <w:szCs w:val="21"/>
              </w:rPr>
              <w:t>月</w:t>
            </w:r>
            <w:r>
              <w:rPr>
                <w:rFonts w:ascii="宋体" w:hAnsi="宋体" w:cs="宋体" w:eastAsia="宋体" w:hint="default"/>
                <w:sz w:val="21"/>
                <w:szCs w:val="21"/>
              </w:rPr>
              <w:t>26</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2018-067</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关于重大资产重组停牌进展的公告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06</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2018-068</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关于重大资产重组停牌进展的公告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05</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2018-069</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关于对深圳证券交易所</w:t>
            </w:r>
            <w:r>
              <w:rPr>
                <w:rFonts w:ascii="宋体" w:hAnsi="宋体" w:cs="宋体" w:eastAsia="宋体" w:hint="default"/>
                <w:sz w:val="21"/>
                <w:szCs w:val="21"/>
              </w:rPr>
              <w:t>2017</w:t>
            </w:r>
            <w:r>
              <w:rPr>
                <w:rFonts w:ascii="宋体" w:hAnsi="宋体" w:cs="宋体" w:eastAsia="宋体" w:hint="default"/>
                <w:sz w:val="21"/>
                <w:szCs w:val="21"/>
              </w:rPr>
              <w:t>年年报问询函的回复公告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07</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关于公司年报问询函的专项说明</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07</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2018-070</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年度分红派息实施公告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10</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2018-071</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关于重大资产重组停牌进展的公告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12</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2018-072</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关于公司实际控制人权益变动的提示性公告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12</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简式权益变动报告书</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12</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详式权益变动报告书</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12</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2018-073</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年半年度业绩预告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14</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2018-074</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关于公司实际控制人股权转让完成工商变更登记的公告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16</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2018-075</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关于实际控制人拟增持公司股份的公告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16</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2018-076</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第七届董事会</w:t>
            </w:r>
            <w:r>
              <w:rPr>
                <w:rFonts w:ascii="宋体" w:hAnsi="宋体" w:cs="宋体" w:eastAsia="宋体" w:hint="default"/>
                <w:sz w:val="21"/>
                <w:szCs w:val="21"/>
              </w:rPr>
              <w:t>2018</w:t>
            </w:r>
            <w:r>
              <w:rPr>
                <w:rFonts w:ascii="宋体" w:hAnsi="宋体" w:cs="宋体" w:eastAsia="宋体" w:hint="default"/>
                <w:sz w:val="21"/>
                <w:szCs w:val="21"/>
              </w:rPr>
              <w:t>年第九次临时会议决议公告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16</w:t>
            </w:r>
            <w:r>
              <w:rPr>
                <w:rFonts w:ascii="宋体" w:hAnsi="宋体" w:cs="宋体" w:eastAsia="宋体" w:hint="default"/>
                <w:sz w:val="21"/>
                <w:szCs w:val="21"/>
              </w:rPr>
              <w:t>日</w:t>
            </w:r>
          </w:p>
        </w:tc>
      </w:tr>
      <w:tr>
        <w:trPr>
          <w:trHeight w:val="664"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2018-077</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5"/>
              <w:jc w:val="left"/>
              <w:rPr>
                <w:rFonts w:ascii="宋体" w:hAnsi="宋体" w:cs="宋体" w:eastAsia="宋体" w:hint="default"/>
                <w:sz w:val="21"/>
                <w:szCs w:val="21"/>
              </w:rPr>
            </w:pPr>
            <w:r>
              <w:rPr>
                <w:rFonts w:ascii="宋体" w:hAnsi="宋体" w:cs="宋体" w:eastAsia="宋体" w:hint="default"/>
                <w:sz w:val="21"/>
                <w:szCs w:val="21"/>
              </w:rPr>
              <w:t>关于终止筹划重大资产重组事项暨继续推进现金收购事项及公司股票复牌</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16</w:t>
            </w:r>
            <w:r>
              <w:rPr>
                <w:rFonts w:ascii="宋体" w:hAnsi="宋体" w:cs="宋体" w:eastAsia="宋体" w:hint="default"/>
                <w:sz w:val="21"/>
                <w:szCs w:val="21"/>
              </w:rPr>
              <w:t>日</w:t>
            </w:r>
          </w:p>
        </w:tc>
      </w:tr>
      <w:tr>
        <w:trPr>
          <w:trHeight w:val="665"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5"/>
              <w:jc w:val="left"/>
              <w:rPr>
                <w:rFonts w:ascii="宋体" w:hAnsi="宋体" w:cs="宋体" w:eastAsia="宋体" w:hint="default"/>
                <w:sz w:val="21"/>
                <w:szCs w:val="21"/>
              </w:rPr>
            </w:pPr>
            <w:r>
              <w:rPr>
                <w:rFonts w:ascii="宋体" w:hAnsi="宋体" w:cs="宋体" w:eastAsia="宋体" w:hint="default"/>
                <w:sz w:val="21"/>
                <w:szCs w:val="21"/>
              </w:rPr>
              <w:t>独立董事关于终止筹划重大资产重组事项暨继续推进现金收购事项的独立</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意见</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16</w:t>
            </w:r>
            <w:r>
              <w:rPr>
                <w:rFonts w:ascii="宋体" w:hAnsi="宋体" w:cs="宋体" w:eastAsia="宋体" w:hint="default"/>
                <w:sz w:val="21"/>
                <w:szCs w:val="21"/>
              </w:rPr>
              <w:t>日</w:t>
            </w:r>
          </w:p>
        </w:tc>
      </w:tr>
      <w:tr>
        <w:trPr>
          <w:trHeight w:val="664"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5"/>
              <w:jc w:val="left"/>
              <w:rPr>
                <w:rFonts w:ascii="宋体" w:hAnsi="宋体" w:cs="宋体" w:eastAsia="宋体" w:hint="default"/>
                <w:sz w:val="21"/>
                <w:szCs w:val="21"/>
              </w:rPr>
            </w:pPr>
            <w:r>
              <w:rPr>
                <w:rFonts w:ascii="宋体" w:hAnsi="宋体" w:cs="宋体" w:eastAsia="宋体" w:hint="default"/>
                <w:sz w:val="21"/>
                <w:szCs w:val="21"/>
              </w:rPr>
              <w:t>华西证券股份有限公司关于公司终止重大资产重组相关事项的专项核查意</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见</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16</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2018-078</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第七届董事会</w:t>
            </w:r>
            <w:r>
              <w:rPr>
                <w:rFonts w:ascii="宋体" w:hAnsi="宋体" w:cs="宋体" w:eastAsia="宋体" w:hint="default"/>
                <w:sz w:val="21"/>
                <w:szCs w:val="21"/>
              </w:rPr>
              <w:t>2018</w:t>
            </w:r>
            <w:r>
              <w:rPr>
                <w:rFonts w:ascii="宋体" w:hAnsi="宋体" w:cs="宋体" w:eastAsia="宋体" w:hint="default"/>
                <w:sz w:val="21"/>
                <w:szCs w:val="21"/>
              </w:rPr>
              <w:t>年第十次临时会议决议公告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17</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2018-079</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关于购买车音智能科技有限公司股权的公告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17</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车音智能科技有限公司</w:t>
            </w:r>
            <w:r>
              <w:rPr>
                <w:rFonts w:ascii="宋体" w:hAnsi="宋体" w:cs="宋体" w:eastAsia="宋体" w:hint="default"/>
                <w:sz w:val="21"/>
                <w:szCs w:val="21"/>
              </w:rPr>
              <w:t>2016</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日至</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30</w:t>
            </w:r>
            <w:r>
              <w:rPr>
                <w:rFonts w:ascii="宋体" w:hAnsi="宋体" w:cs="宋体" w:eastAsia="宋体" w:hint="default"/>
                <w:sz w:val="21"/>
                <w:szCs w:val="21"/>
              </w:rPr>
              <w:t>日审计报告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17</w:t>
            </w:r>
            <w:r>
              <w:rPr>
                <w:rFonts w:ascii="宋体" w:hAnsi="宋体" w:cs="宋体" w:eastAsia="宋体" w:hint="default"/>
                <w:sz w:val="21"/>
                <w:szCs w:val="21"/>
              </w:rPr>
              <w:t>日</w:t>
            </w:r>
          </w:p>
        </w:tc>
      </w:tr>
      <w:tr>
        <w:trPr>
          <w:trHeight w:val="664"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2018-080</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z w:val="21"/>
                <w:szCs w:val="21"/>
              </w:rPr>
              <w:t>关于召开终止筹划重大资产重组事项暨继续推进现金收购事项投资者说明</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会的提示性公告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17</w:t>
            </w:r>
            <w:r>
              <w:rPr>
                <w:rFonts w:ascii="宋体" w:hAnsi="宋体" w:cs="宋体" w:eastAsia="宋体" w:hint="default"/>
                <w:sz w:val="21"/>
                <w:szCs w:val="21"/>
              </w:rPr>
              <w:t>日</w:t>
            </w:r>
          </w:p>
        </w:tc>
      </w:tr>
      <w:tr>
        <w:trPr>
          <w:trHeight w:val="665"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2018-081</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5"/>
              <w:jc w:val="left"/>
              <w:rPr>
                <w:rFonts w:ascii="宋体" w:hAnsi="宋体" w:cs="宋体" w:eastAsia="宋体" w:hint="default"/>
                <w:sz w:val="21"/>
                <w:szCs w:val="21"/>
              </w:rPr>
            </w:pPr>
            <w:r>
              <w:rPr>
                <w:rFonts w:ascii="宋体" w:hAnsi="宋体" w:cs="宋体" w:eastAsia="宋体" w:hint="default"/>
                <w:sz w:val="21"/>
                <w:szCs w:val="21"/>
              </w:rPr>
              <w:t>关于终止筹划重大资产重组事项暨继续推进现金收购事项投资者说明会召</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开情况的公告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2018-082</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关于控股股东质押股份被司法冻结和触及平仓线的公告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2018-083</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2018-084</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23</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2018-085</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关于控股股东间接持有的部分股份遭遇平仓被动减持的公告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2018-086</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w:t>
            </w:r>
          </w:p>
        </w:tc>
      </w:tr>
    </w:tbl>
    <w:p>
      <w:pPr>
        <w:spacing w:after="0" w:line="271" w:lineRule="exact"/>
        <w:jc w:val="left"/>
        <w:rPr>
          <w:rFonts w:ascii="宋体" w:hAnsi="宋体" w:cs="宋体" w:eastAsia="宋体" w:hint="default"/>
          <w:sz w:val="21"/>
          <w:szCs w:val="21"/>
        </w:rPr>
        <w:sectPr>
          <w:pgSz w:w="11910" w:h="16840"/>
          <w:pgMar w:header="877" w:footer="979" w:top="1100" w:bottom="1160" w:left="74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1184"/>
        <w:gridCol w:w="6757"/>
        <w:gridCol w:w="2146"/>
      </w:tblGrid>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2018-087</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关于公司董事辞职的公告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27</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2018-088</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关于公司监事辞职的公告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27</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2018-089</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关于控股股东持有的部分股份遭遇平仓被动减持及被司法冻结的公告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07</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2018-090</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关于对深圳证券交易所关注函的回复公告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08</w:t>
            </w:r>
            <w:r>
              <w:rPr>
                <w:rFonts w:ascii="宋体" w:hAnsi="宋体" w:cs="宋体" w:eastAsia="宋体" w:hint="default"/>
                <w:sz w:val="21"/>
                <w:szCs w:val="21"/>
              </w:rPr>
              <w:t>月</w:t>
            </w:r>
            <w:r>
              <w:rPr>
                <w:rFonts w:ascii="宋体" w:hAnsi="宋体" w:cs="宋体" w:eastAsia="宋体" w:hint="default"/>
                <w:sz w:val="21"/>
                <w:szCs w:val="21"/>
              </w:rPr>
              <w:t>07</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年半年度报告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08</w:t>
            </w:r>
            <w:r>
              <w:rPr>
                <w:rFonts w:ascii="宋体" w:hAnsi="宋体" w:cs="宋体" w:eastAsia="宋体" w:hint="default"/>
                <w:sz w:val="21"/>
                <w:szCs w:val="21"/>
              </w:rPr>
              <w:t>月</w:t>
            </w:r>
            <w:r>
              <w:rPr>
                <w:rFonts w:ascii="宋体" w:hAnsi="宋体" w:cs="宋体" w:eastAsia="宋体" w:hint="default"/>
                <w:sz w:val="21"/>
                <w:szCs w:val="21"/>
              </w:rPr>
              <w:t>11</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2018-091</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年半年度报告摘要</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08</w:t>
            </w:r>
            <w:r>
              <w:rPr>
                <w:rFonts w:ascii="宋体" w:hAnsi="宋体" w:cs="宋体" w:eastAsia="宋体" w:hint="default"/>
                <w:sz w:val="21"/>
                <w:szCs w:val="21"/>
              </w:rPr>
              <w:t>月</w:t>
            </w:r>
            <w:r>
              <w:rPr>
                <w:rFonts w:ascii="宋体" w:hAnsi="宋体" w:cs="宋体" w:eastAsia="宋体" w:hint="default"/>
                <w:sz w:val="21"/>
                <w:szCs w:val="21"/>
              </w:rPr>
              <w:t>11</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年半年度财务报告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08</w:t>
            </w:r>
            <w:r>
              <w:rPr>
                <w:rFonts w:ascii="宋体" w:hAnsi="宋体" w:cs="宋体" w:eastAsia="宋体" w:hint="default"/>
                <w:sz w:val="21"/>
                <w:szCs w:val="21"/>
              </w:rPr>
              <w:t>月</w:t>
            </w:r>
            <w:r>
              <w:rPr>
                <w:rFonts w:ascii="宋体" w:hAnsi="宋体" w:cs="宋体" w:eastAsia="宋体" w:hint="default"/>
                <w:sz w:val="21"/>
                <w:szCs w:val="21"/>
              </w:rPr>
              <w:t>11</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2018-092</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关于购买车音智能科技有限公司股权的进展公告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08</w:t>
            </w:r>
            <w:r>
              <w:rPr>
                <w:rFonts w:ascii="宋体" w:hAnsi="宋体" w:cs="宋体" w:eastAsia="宋体" w:hint="default"/>
                <w:sz w:val="21"/>
                <w:szCs w:val="21"/>
              </w:rPr>
              <w:t>月</w:t>
            </w:r>
            <w:r>
              <w:rPr>
                <w:rFonts w:ascii="宋体" w:hAnsi="宋体" w:cs="宋体" w:eastAsia="宋体" w:hint="default"/>
                <w:sz w:val="21"/>
                <w:szCs w:val="21"/>
              </w:rPr>
              <w:t>14</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2018-093</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关于收到海南证监局行政监管措施决定书的公告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09</w:t>
            </w:r>
            <w:r>
              <w:rPr>
                <w:rFonts w:ascii="宋体" w:hAnsi="宋体" w:cs="宋体" w:eastAsia="宋体" w:hint="default"/>
                <w:sz w:val="21"/>
                <w:szCs w:val="21"/>
              </w:rPr>
              <w:t>月</w:t>
            </w:r>
            <w:r>
              <w:rPr>
                <w:rFonts w:ascii="宋体" w:hAnsi="宋体" w:cs="宋体" w:eastAsia="宋体" w:hint="default"/>
                <w:sz w:val="21"/>
                <w:szCs w:val="21"/>
              </w:rPr>
              <w:t>01</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2018-094</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第七届董事会</w:t>
            </w:r>
            <w:r>
              <w:rPr>
                <w:rFonts w:ascii="宋体" w:hAnsi="宋体" w:cs="宋体" w:eastAsia="宋体" w:hint="default"/>
                <w:sz w:val="21"/>
                <w:szCs w:val="21"/>
              </w:rPr>
              <w:t>2018</w:t>
            </w:r>
            <w:r>
              <w:rPr>
                <w:rFonts w:ascii="宋体" w:hAnsi="宋体" w:cs="宋体" w:eastAsia="宋体" w:hint="default"/>
                <w:sz w:val="21"/>
                <w:szCs w:val="21"/>
              </w:rPr>
              <w:t>年第十一次临时会议决议公告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09</w:t>
            </w:r>
            <w:r>
              <w:rPr>
                <w:rFonts w:ascii="宋体" w:hAnsi="宋体" w:cs="宋体" w:eastAsia="宋体" w:hint="default"/>
                <w:sz w:val="21"/>
                <w:szCs w:val="21"/>
              </w:rPr>
              <w:t>月</w:t>
            </w:r>
            <w:r>
              <w:rPr>
                <w:rFonts w:ascii="宋体" w:hAnsi="宋体" w:cs="宋体" w:eastAsia="宋体" w:hint="default"/>
                <w:sz w:val="21"/>
                <w:szCs w:val="21"/>
              </w:rPr>
              <w:t>01</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独立董事关于前期会计差错及追溯调整事项的独立意见</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09</w:t>
            </w:r>
            <w:r>
              <w:rPr>
                <w:rFonts w:ascii="宋体" w:hAnsi="宋体" w:cs="宋体" w:eastAsia="宋体" w:hint="default"/>
                <w:sz w:val="21"/>
                <w:szCs w:val="21"/>
              </w:rPr>
              <w:t>月</w:t>
            </w:r>
            <w:r>
              <w:rPr>
                <w:rFonts w:ascii="宋体" w:hAnsi="宋体" w:cs="宋体" w:eastAsia="宋体" w:hint="default"/>
                <w:sz w:val="21"/>
                <w:szCs w:val="21"/>
              </w:rPr>
              <w:t>01</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2018-095</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第七届监事会</w:t>
            </w:r>
            <w:r>
              <w:rPr>
                <w:rFonts w:ascii="宋体" w:hAnsi="宋体" w:cs="宋体" w:eastAsia="宋体" w:hint="default"/>
                <w:sz w:val="21"/>
                <w:szCs w:val="21"/>
              </w:rPr>
              <w:t>2018</w:t>
            </w:r>
            <w:r>
              <w:rPr>
                <w:rFonts w:ascii="宋体" w:hAnsi="宋体" w:cs="宋体" w:eastAsia="宋体" w:hint="default"/>
                <w:sz w:val="21"/>
                <w:szCs w:val="21"/>
              </w:rPr>
              <w:t>年第二次临时会议决议公告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09</w:t>
            </w:r>
            <w:r>
              <w:rPr>
                <w:rFonts w:ascii="宋体" w:hAnsi="宋体" w:cs="宋体" w:eastAsia="宋体" w:hint="default"/>
                <w:sz w:val="21"/>
                <w:szCs w:val="21"/>
              </w:rPr>
              <w:t>月</w:t>
            </w:r>
            <w:r>
              <w:rPr>
                <w:rFonts w:ascii="宋体" w:hAnsi="宋体" w:cs="宋体" w:eastAsia="宋体" w:hint="default"/>
                <w:sz w:val="21"/>
                <w:szCs w:val="21"/>
              </w:rPr>
              <w:t>01</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2018-096</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关于发行短期融资券的公告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09</w:t>
            </w:r>
            <w:r>
              <w:rPr>
                <w:rFonts w:ascii="宋体" w:hAnsi="宋体" w:cs="宋体" w:eastAsia="宋体" w:hint="default"/>
                <w:sz w:val="21"/>
                <w:szCs w:val="21"/>
              </w:rPr>
              <w:t>月</w:t>
            </w:r>
            <w:r>
              <w:rPr>
                <w:rFonts w:ascii="宋体" w:hAnsi="宋体" w:cs="宋体" w:eastAsia="宋体" w:hint="default"/>
                <w:sz w:val="21"/>
                <w:szCs w:val="21"/>
              </w:rPr>
              <w:t>01</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2018-097</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关于前期会计差错及追溯调整的公告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09</w:t>
            </w:r>
            <w:r>
              <w:rPr>
                <w:rFonts w:ascii="宋体" w:hAnsi="宋体" w:cs="宋体" w:eastAsia="宋体" w:hint="default"/>
                <w:sz w:val="21"/>
                <w:szCs w:val="21"/>
              </w:rPr>
              <w:t>月</w:t>
            </w:r>
            <w:r>
              <w:rPr>
                <w:rFonts w:ascii="宋体" w:hAnsi="宋体" w:cs="宋体" w:eastAsia="宋体" w:hint="default"/>
                <w:sz w:val="21"/>
                <w:szCs w:val="21"/>
              </w:rPr>
              <w:t>01</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前期差错更正专项说明的审核报告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09</w:t>
            </w:r>
            <w:r>
              <w:rPr>
                <w:rFonts w:ascii="宋体" w:hAnsi="宋体" w:cs="宋体" w:eastAsia="宋体" w:hint="default"/>
                <w:sz w:val="21"/>
                <w:szCs w:val="21"/>
              </w:rPr>
              <w:t>月</w:t>
            </w:r>
            <w:r>
              <w:rPr>
                <w:rFonts w:ascii="宋体" w:hAnsi="宋体" w:cs="宋体" w:eastAsia="宋体" w:hint="default"/>
                <w:sz w:val="21"/>
                <w:szCs w:val="21"/>
              </w:rPr>
              <w:t>01</w:t>
            </w:r>
            <w:r>
              <w:rPr>
                <w:rFonts w:ascii="宋体" w:hAnsi="宋体" w:cs="宋体" w:eastAsia="宋体" w:hint="default"/>
                <w:sz w:val="21"/>
                <w:szCs w:val="21"/>
              </w:rPr>
              <w:t>日</w:t>
            </w:r>
          </w:p>
        </w:tc>
      </w:tr>
      <w:tr>
        <w:trPr>
          <w:trHeight w:val="664"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2018-098</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pacing w:val="2"/>
                <w:sz w:val="21"/>
                <w:szCs w:val="21"/>
              </w:rPr>
              <w:t>关于</w:t>
            </w:r>
            <w:r>
              <w:rPr>
                <w:rFonts w:ascii="宋体" w:hAnsi="宋体" w:cs="宋体" w:eastAsia="宋体" w:hint="default"/>
                <w:spacing w:val="2"/>
                <w:sz w:val="21"/>
                <w:szCs w:val="21"/>
              </w:rPr>
              <w:t>2014</w:t>
            </w:r>
            <w:r>
              <w:rPr>
                <w:rFonts w:ascii="宋体" w:hAnsi="宋体" w:cs="宋体" w:eastAsia="宋体" w:hint="default"/>
                <w:spacing w:val="2"/>
                <w:sz w:val="21"/>
                <w:szCs w:val="21"/>
              </w:rPr>
              <w:t>年重大资产重组部分标的资产</w:t>
            </w:r>
            <w:r>
              <w:rPr>
                <w:rFonts w:ascii="宋体" w:hAnsi="宋体" w:cs="宋体" w:eastAsia="宋体" w:hint="default"/>
                <w:spacing w:val="2"/>
                <w:sz w:val="21"/>
                <w:szCs w:val="21"/>
              </w:rPr>
              <w:t>2014-2016</w:t>
            </w:r>
            <w:r>
              <w:rPr>
                <w:rFonts w:ascii="宋体" w:hAnsi="宋体" w:cs="宋体" w:eastAsia="宋体" w:hint="default"/>
                <w:spacing w:val="2"/>
                <w:sz w:val="21"/>
                <w:szCs w:val="21"/>
              </w:rPr>
              <w:t>年度业绩承诺实现情况</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更正的公告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09</w:t>
            </w:r>
            <w:r>
              <w:rPr>
                <w:rFonts w:ascii="宋体" w:hAnsi="宋体" w:cs="宋体" w:eastAsia="宋体" w:hint="default"/>
                <w:sz w:val="21"/>
                <w:szCs w:val="21"/>
              </w:rPr>
              <w:t>月</w:t>
            </w:r>
            <w:r>
              <w:rPr>
                <w:rFonts w:ascii="宋体" w:hAnsi="宋体" w:cs="宋体" w:eastAsia="宋体" w:hint="default"/>
                <w:sz w:val="21"/>
                <w:szCs w:val="21"/>
              </w:rPr>
              <w:t>01</w:t>
            </w:r>
            <w:r>
              <w:rPr>
                <w:rFonts w:ascii="宋体" w:hAnsi="宋体" w:cs="宋体" w:eastAsia="宋体" w:hint="default"/>
                <w:sz w:val="21"/>
                <w:szCs w:val="21"/>
              </w:rPr>
              <w:t>日</w:t>
            </w:r>
          </w:p>
        </w:tc>
      </w:tr>
      <w:tr>
        <w:trPr>
          <w:trHeight w:val="665"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z w:val="21"/>
                <w:szCs w:val="21"/>
              </w:rPr>
              <w:t>关于公司发行股份及支付现金购买资产并募集配套资金事项标的资产</w:t>
            </w:r>
            <w:r>
              <w:rPr>
                <w:rFonts w:ascii="宋体" w:hAnsi="宋体" w:cs="宋体" w:eastAsia="宋体" w:hint="default"/>
                <w:sz w:val="21"/>
                <w:szCs w:val="21"/>
              </w:rPr>
              <w:t>2014</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z w:val="21"/>
                <w:szCs w:val="21"/>
              </w:rPr>
              <w:t>年利润承诺实现情况专项审核报告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09</w:t>
            </w:r>
            <w:r>
              <w:rPr>
                <w:rFonts w:ascii="宋体" w:hAnsi="宋体" w:cs="宋体" w:eastAsia="宋体" w:hint="default"/>
                <w:sz w:val="21"/>
                <w:szCs w:val="21"/>
              </w:rPr>
              <w:t>月</w:t>
            </w:r>
            <w:r>
              <w:rPr>
                <w:rFonts w:ascii="宋体" w:hAnsi="宋体" w:cs="宋体" w:eastAsia="宋体" w:hint="default"/>
                <w:sz w:val="21"/>
                <w:szCs w:val="21"/>
              </w:rPr>
              <w:t>01</w:t>
            </w:r>
            <w:r>
              <w:rPr>
                <w:rFonts w:ascii="宋体" w:hAnsi="宋体" w:cs="宋体" w:eastAsia="宋体" w:hint="default"/>
                <w:sz w:val="21"/>
                <w:szCs w:val="21"/>
              </w:rPr>
              <w:t>日</w:t>
            </w:r>
          </w:p>
        </w:tc>
      </w:tr>
      <w:tr>
        <w:trPr>
          <w:trHeight w:val="664"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2018-099</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4"/>
              <w:jc w:val="left"/>
              <w:rPr>
                <w:rFonts w:ascii="宋体" w:hAnsi="宋体" w:cs="宋体" w:eastAsia="宋体" w:hint="default"/>
                <w:sz w:val="21"/>
                <w:szCs w:val="21"/>
              </w:rPr>
            </w:pPr>
            <w:r>
              <w:rPr>
                <w:rFonts w:ascii="宋体" w:hAnsi="宋体" w:cs="宋体" w:eastAsia="宋体" w:hint="default"/>
                <w:spacing w:val="2"/>
                <w:sz w:val="21"/>
                <w:szCs w:val="21"/>
              </w:rPr>
              <w:t>关于</w:t>
            </w:r>
            <w:r>
              <w:rPr>
                <w:rFonts w:ascii="宋体" w:hAnsi="宋体" w:cs="宋体" w:eastAsia="宋体" w:hint="default"/>
                <w:spacing w:val="2"/>
                <w:sz w:val="21"/>
                <w:szCs w:val="21"/>
              </w:rPr>
              <w:t>2014</w:t>
            </w:r>
            <w:r>
              <w:rPr>
                <w:rFonts w:ascii="宋体" w:hAnsi="宋体" w:cs="宋体" w:eastAsia="宋体" w:hint="default"/>
                <w:spacing w:val="2"/>
                <w:sz w:val="21"/>
                <w:szCs w:val="21"/>
              </w:rPr>
              <w:t>年重大资产重组部分标的资产补充</w:t>
            </w:r>
            <w:r>
              <w:rPr>
                <w:rFonts w:ascii="宋体" w:hAnsi="宋体" w:cs="宋体" w:eastAsia="宋体" w:hint="default"/>
                <w:spacing w:val="2"/>
                <w:sz w:val="21"/>
                <w:szCs w:val="21"/>
              </w:rPr>
              <w:t>2014-2016</w:t>
            </w:r>
            <w:r>
              <w:rPr>
                <w:rFonts w:ascii="宋体" w:hAnsi="宋体" w:cs="宋体" w:eastAsia="宋体" w:hint="default"/>
                <w:spacing w:val="2"/>
                <w:sz w:val="21"/>
                <w:szCs w:val="21"/>
              </w:rPr>
              <w:t>年度业绩承诺股份</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补偿实施方案的公告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09</w:t>
            </w:r>
            <w:r>
              <w:rPr>
                <w:rFonts w:ascii="宋体" w:hAnsi="宋体" w:cs="宋体" w:eastAsia="宋体" w:hint="default"/>
                <w:sz w:val="21"/>
                <w:szCs w:val="21"/>
              </w:rPr>
              <w:t>月</w:t>
            </w:r>
            <w:r>
              <w:rPr>
                <w:rFonts w:ascii="宋体" w:hAnsi="宋体" w:cs="宋体" w:eastAsia="宋体" w:hint="default"/>
                <w:sz w:val="21"/>
                <w:szCs w:val="21"/>
              </w:rPr>
              <w:t>01</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2018-100</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z w:val="21"/>
                <w:szCs w:val="21"/>
              </w:rPr>
              <w:t>2018</w:t>
            </w:r>
            <w:r>
              <w:rPr>
                <w:rFonts w:ascii="宋体" w:hAnsi="宋体" w:cs="宋体" w:eastAsia="宋体" w:hint="default"/>
                <w:sz w:val="21"/>
                <w:szCs w:val="21"/>
              </w:rPr>
              <w:t>年第四次临时股东大会的通知</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09</w:t>
            </w:r>
            <w:r>
              <w:rPr>
                <w:rFonts w:ascii="宋体" w:hAnsi="宋体" w:cs="宋体" w:eastAsia="宋体" w:hint="default"/>
                <w:sz w:val="21"/>
                <w:szCs w:val="21"/>
              </w:rPr>
              <w:t>月</w:t>
            </w:r>
            <w:r>
              <w:rPr>
                <w:rFonts w:ascii="宋体" w:hAnsi="宋体" w:cs="宋体" w:eastAsia="宋体" w:hint="default"/>
                <w:sz w:val="21"/>
                <w:szCs w:val="21"/>
              </w:rPr>
              <w:t>01</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2018-101</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关于全资子公司持有的东海证券股份有限公司股份被司法冻结的公告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09</w:t>
            </w:r>
            <w:r>
              <w:rPr>
                <w:rFonts w:ascii="宋体" w:hAnsi="宋体" w:cs="宋体" w:eastAsia="宋体" w:hint="default"/>
                <w:sz w:val="21"/>
                <w:szCs w:val="21"/>
              </w:rPr>
              <w:t>月</w:t>
            </w:r>
            <w:r>
              <w:rPr>
                <w:rFonts w:ascii="宋体" w:hAnsi="宋体" w:cs="宋体" w:eastAsia="宋体" w:hint="default"/>
                <w:sz w:val="21"/>
                <w:szCs w:val="21"/>
              </w:rPr>
              <w:t>08</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2018-102</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关于控股子公司与海南银行股份有限公司签订全面合作协议的公告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09</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w:t>
            </w:r>
          </w:p>
        </w:tc>
      </w:tr>
      <w:tr>
        <w:trPr>
          <w:trHeight w:val="664"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2018-103</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z w:val="21"/>
                <w:szCs w:val="21"/>
              </w:rPr>
              <w:t>关于补充披露涉及更正事项的</w:t>
            </w:r>
            <w:r>
              <w:rPr>
                <w:rFonts w:ascii="宋体" w:hAnsi="宋体" w:cs="宋体" w:eastAsia="宋体" w:hint="default"/>
                <w:sz w:val="21"/>
                <w:szCs w:val="21"/>
              </w:rPr>
              <w:t>2017</w:t>
            </w:r>
            <w:r>
              <w:rPr>
                <w:rFonts w:ascii="宋体" w:hAnsi="宋体" w:cs="宋体" w:eastAsia="宋体" w:hint="default"/>
                <w:sz w:val="21"/>
                <w:szCs w:val="21"/>
              </w:rPr>
              <w:t>年度与</w:t>
            </w:r>
            <w:r>
              <w:rPr>
                <w:rFonts w:ascii="宋体" w:hAnsi="宋体" w:cs="宋体" w:eastAsia="宋体" w:hint="default"/>
                <w:sz w:val="21"/>
                <w:szCs w:val="21"/>
              </w:rPr>
              <w:t>2018</w:t>
            </w:r>
            <w:r>
              <w:rPr>
                <w:rFonts w:ascii="宋体" w:hAnsi="宋体" w:cs="宋体" w:eastAsia="宋体" w:hint="default"/>
                <w:sz w:val="21"/>
                <w:szCs w:val="21"/>
              </w:rPr>
              <w:t>年半年度财务报表及相关附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注的公告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09</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年年度财务报表及相关附注</w:t>
            </w:r>
            <w:r>
              <w:rPr>
                <w:rFonts w:ascii="宋体" w:hAnsi="宋体" w:cs="宋体" w:eastAsia="宋体" w:hint="default"/>
                <w:sz w:val="21"/>
                <w:szCs w:val="21"/>
              </w:rPr>
              <w:t>(</w:t>
            </w:r>
            <w:r>
              <w:rPr>
                <w:rFonts w:ascii="宋体" w:hAnsi="宋体" w:cs="宋体" w:eastAsia="宋体" w:hint="default"/>
                <w:sz w:val="21"/>
                <w:szCs w:val="21"/>
              </w:rPr>
              <w:t>调整后</w:t>
            </w:r>
            <w:r>
              <w:rPr>
                <w:rFonts w:ascii="宋体" w:hAnsi="宋体" w:cs="宋体" w:eastAsia="宋体" w:hint="default"/>
                <w:sz w:val="21"/>
                <w:szCs w:val="21"/>
              </w:rPr>
              <w:t>)</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09</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年半年度财务报表及相关附注</w:t>
            </w:r>
            <w:r>
              <w:rPr>
                <w:rFonts w:ascii="宋体" w:hAnsi="宋体" w:cs="宋体" w:eastAsia="宋体" w:hint="default"/>
                <w:sz w:val="21"/>
                <w:szCs w:val="21"/>
              </w:rPr>
              <w:t>(</w:t>
            </w:r>
            <w:r>
              <w:rPr>
                <w:rFonts w:ascii="宋体" w:hAnsi="宋体" w:cs="宋体" w:eastAsia="宋体" w:hint="default"/>
                <w:sz w:val="21"/>
                <w:szCs w:val="21"/>
              </w:rPr>
              <w:t>调整后</w:t>
            </w:r>
            <w:r>
              <w:rPr>
                <w:rFonts w:ascii="宋体" w:hAnsi="宋体" w:cs="宋体" w:eastAsia="宋体" w:hint="default"/>
                <w:sz w:val="21"/>
                <w:szCs w:val="21"/>
              </w:rPr>
              <w:t>)</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09</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2018-104</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年第四次临时股东大会决议公告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09</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2018-105</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关于实施股份回购并注销事项债权人通知的公告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09</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年第四次临时股东大会的法律意见书</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09</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z w:val="21"/>
                <w:szCs w:val="21"/>
              </w:rPr>
              <w:t>)</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09</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2018-106</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关于控股子公司与海南银行股份有限公司签订全面合作协议的补充公告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09</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2018-107</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关于参与投资扬州亚商中欧投资管理合伙企业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r>
              <w:rPr>
                <w:rFonts w:ascii="宋体" w:hAnsi="宋体" w:cs="宋体" w:eastAsia="宋体" w:hint="default"/>
                <w:sz w:val="21"/>
                <w:szCs w:val="21"/>
              </w:rPr>
              <w:t>的进展公告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10</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2018-108</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年前三季度业绩预告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2018-109</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关于对深圳证券交易所关注函的回复公告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16</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2018-110</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关于控股股东直接持有的股份被轮候冻结的公告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17</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2018-111</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关于公司就有关方侵害公司投资款事宜向公安机关报案的公告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24</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年第三季度报告全文</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27</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2018-112</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年第三季度报告正文</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27</w:t>
            </w:r>
            <w:r>
              <w:rPr>
                <w:rFonts w:ascii="宋体" w:hAnsi="宋体" w:cs="宋体" w:eastAsia="宋体" w:hint="default"/>
                <w:sz w:val="21"/>
                <w:szCs w:val="21"/>
              </w:rPr>
              <w:t>日</w:t>
            </w:r>
          </w:p>
        </w:tc>
      </w:tr>
    </w:tbl>
    <w:p>
      <w:pPr>
        <w:spacing w:after="0" w:line="271" w:lineRule="exact"/>
        <w:jc w:val="left"/>
        <w:rPr>
          <w:rFonts w:ascii="宋体" w:hAnsi="宋体" w:cs="宋体" w:eastAsia="宋体" w:hint="default"/>
          <w:sz w:val="21"/>
          <w:szCs w:val="21"/>
        </w:rPr>
        <w:sectPr>
          <w:pgSz w:w="11910" w:h="16840"/>
          <w:pgMar w:header="877" w:footer="979" w:top="1100" w:bottom="1160" w:left="74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1184"/>
        <w:gridCol w:w="6757"/>
        <w:gridCol w:w="2146"/>
      </w:tblGrid>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2018-113</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关于公司总裁辞职的公告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17</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2018-114</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关于公司实际控制关系变动的提示性公告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21</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简式权益变动报告书</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21</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详式权益变动报告书</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21</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2018-115</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关于完成股份回购及注销的公告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24</w:t>
            </w:r>
            <w:r>
              <w:rPr>
                <w:rFonts w:ascii="宋体" w:hAnsi="宋体" w:cs="宋体" w:eastAsia="宋体" w:hint="default"/>
                <w:sz w:val="21"/>
                <w:szCs w:val="21"/>
              </w:rPr>
              <w:t>日</w:t>
            </w:r>
          </w:p>
        </w:tc>
      </w:tr>
      <w:tr>
        <w:trPr>
          <w:trHeight w:val="664"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7"/>
              <w:jc w:val="left"/>
              <w:rPr>
                <w:rFonts w:ascii="宋体" w:hAnsi="宋体" w:cs="宋体" w:eastAsia="宋体" w:hint="default"/>
                <w:sz w:val="21"/>
                <w:szCs w:val="21"/>
              </w:rPr>
            </w:pPr>
            <w:r>
              <w:rPr>
                <w:rFonts w:ascii="宋体" w:hAnsi="宋体" w:cs="宋体" w:eastAsia="宋体" w:hint="default"/>
                <w:spacing w:val="6"/>
                <w:sz w:val="21"/>
                <w:szCs w:val="21"/>
              </w:rPr>
              <w:t>民生证券股份有限公司关于公司</w:t>
            </w:r>
            <w:r>
              <w:rPr>
                <w:rFonts w:ascii="宋体" w:hAnsi="宋体" w:cs="宋体" w:eastAsia="宋体" w:hint="default"/>
                <w:spacing w:val="6"/>
                <w:sz w:val="21"/>
                <w:szCs w:val="21"/>
              </w:rPr>
              <w:t>2014</w:t>
            </w:r>
            <w:r>
              <w:rPr>
                <w:rFonts w:ascii="宋体" w:hAnsi="宋体" w:cs="宋体" w:eastAsia="宋体" w:hint="default"/>
                <w:spacing w:val="6"/>
                <w:sz w:val="21"/>
                <w:szCs w:val="21"/>
              </w:rPr>
              <w:t>年重大资产重组部分标的资产补充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2016</w:t>
            </w:r>
            <w:r>
              <w:rPr>
                <w:rFonts w:ascii="宋体" w:hAnsi="宋体" w:cs="宋体" w:eastAsia="宋体" w:hint="default"/>
                <w:sz w:val="21"/>
                <w:szCs w:val="21"/>
              </w:rPr>
              <w:t>年度业绩承诺股份补偿事项的核查意见</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24</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2018-116</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第七届董事会</w:t>
            </w:r>
            <w:r>
              <w:rPr>
                <w:rFonts w:ascii="宋体" w:hAnsi="宋体" w:cs="宋体" w:eastAsia="宋体" w:hint="default"/>
                <w:sz w:val="21"/>
                <w:szCs w:val="21"/>
              </w:rPr>
              <w:t>2018</w:t>
            </w:r>
            <w:r>
              <w:rPr>
                <w:rFonts w:ascii="宋体" w:hAnsi="宋体" w:cs="宋体" w:eastAsia="宋体" w:hint="default"/>
                <w:sz w:val="21"/>
                <w:szCs w:val="21"/>
              </w:rPr>
              <w:t>年第十四次临时会议决议公告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2018-117</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关于控股股东直接持有的股份被轮候冻结的公告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05</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2018-118</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关于限售股份解除限售的提示性公告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13</w:t>
            </w:r>
            <w:r>
              <w:rPr>
                <w:rFonts w:ascii="宋体" w:hAnsi="宋体" w:cs="宋体" w:eastAsia="宋体" w:hint="default"/>
                <w:sz w:val="21"/>
                <w:szCs w:val="21"/>
              </w:rPr>
              <w:t>日</w:t>
            </w:r>
          </w:p>
        </w:tc>
      </w:tr>
      <w:tr>
        <w:trPr>
          <w:trHeight w:val="665"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5"/>
              <w:jc w:val="left"/>
              <w:rPr>
                <w:rFonts w:ascii="宋体" w:hAnsi="宋体" w:cs="宋体" w:eastAsia="宋体" w:hint="default"/>
                <w:sz w:val="21"/>
                <w:szCs w:val="21"/>
              </w:rPr>
            </w:pPr>
            <w:r>
              <w:rPr>
                <w:rFonts w:ascii="宋体" w:hAnsi="宋体" w:cs="宋体" w:eastAsia="宋体" w:hint="default"/>
                <w:sz w:val="21"/>
                <w:szCs w:val="21"/>
              </w:rPr>
              <w:t>民生证券股份有限公司关于公司相关股东有限售条件流通股上市流通的核</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查意见</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13</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2018-119</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关于公司实际控制关系变动的进展公告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2018-120</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关于公司工商注册信息变更的公告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21</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2018-121</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关于限售股份解除限售的提示性公告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664" w:hRule="exact"/>
        </w:trPr>
        <w:tc>
          <w:tcPr>
            <w:tcW w:w="1184" w:type="dxa"/>
            <w:tcBorders>
              <w:top w:val="single" w:sz="8" w:space="0" w:color="000000"/>
              <w:left w:val="single" w:sz="6" w:space="0" w:color="000000"/>
              <w:bottom w:val="single" w:sz="8" w:space="0" w:color="000000"/>
              <w:right w:val="single" w:sz="6" w:space="0" w:color="000000"/>
            </w:tcBorders>
          </w:tcPr>
          <w:p>
            <w:pP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5"/>
              <w:jc w:val="left"/>
              <w:rPr>
                <w:rFonts w:ascii="宋体" w:hAnsi="宋体" w:cs="宋体" w:eastAsia="宋体" w:hint="default"/>
                <w:sz w:val="21"/>
                <w:szCs w:val="21"/>
              </w:rPr>
            </w:pPr>
            <w:r>
              <w:rPr>
                <w:rFonts w:ascii="宋体" w:hAnsi="宋体" w:cs="宋体" w:eastAsia="宋体" w:hint="default"/>
                <w:sz w:val="21"/>
                <w:szCs w:val="21"/>
              </w:rPr>
              <w:t>渤海证券股份有限公司关于公司相关股东有限售条件流通股上市流通的核</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查意见</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2018-122</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关于对深圳证券交易所关注函的回复公告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29</w:t>
            </w:r>
            <w:r>
              <w:rPr>
                <w:rFonts w:ascii="宋体" w:hAnsi="宋体" w:cs="宋体" w:eastAsia="宋体" w:hint="default"/>
                <w:sz w:val="21"/>
                <w:szCs w:val="21"/>
              </w:rPr>
              <w:t>日</w:t>
            </w:r>
          </w:p>
        </w:tc>
      </w:tr>
      <w:tr>
        <w:trPr>
          <w:trHeight w:val="665"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2018-123</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pacing w:val="3"/>
                <w:sz w:val="21"/>
                <w:szCs w:val="21"/>
              </w:rPr>
              <w:t>关于参与投资湖北省资产管理有限公司和义乌商阜创赢投资中心</w:t>
            </w:r>
            <w:r>
              <w:rPr>
                <w:rFonts w:ascii="宋体" w:hAnsi="宋体" w:cs="宋体" w:eastAsia="宋体" w:hint="default"/>
                <w:spacing w:val="3"/>
                <w:sz w:val="21"/>
                <w:szCs w:val="21"/>
              </w:rPr>
              <w:t>(</w:t>
            </w:r>
            <w:r>
              <w:rPr>
                <w:rFonts w:ascii="宋体" w:hAnsi="宋体" w:cs="宋体" w:eastAsia="宋体" w:hint="default"/>
                <w:spacing w:val="3"/>
                <w:sz w:val="21"/>
                <w:szCs w:val="21"/>
              </w:rPr>
              <w:t>有限合</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伙</w:t>
            </w:r>
            <w:r>
              <w:rPr>
                <w:rFonts w:ascii="宋体" w:hAnsi="宋体" w:cs="宋体" w:eastAsia="宋体" w:hint="default"/>
                <w:sz w:val="21"/>
                <w:szCs w:val="21"/>
              </w:rPr>
              <w:t>)</w:t>
            </w:r>
            <w:r>
              <w:rPr>
                <w:rFonts w:ascii="宋体" w:hAnsi="宋体" w:cs="宋体" w:eastAsia="宋体" w:hint="default"/>
                <w:sz w:val="21"/>
                <w:szCs w:val="21"/>
              </w:rPr>
              <w:t>有关情况的补充公告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2"/>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29</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2018-124</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第七届董事会</w:t>
            </w:r>
            <w:r>
              <w:rPr>
                <w:rFonts w:ascii="宋体" w:hAnsi="宋体" w:cs="宋体" w:eastAsia="宋体" w:hint="default"/>
                <w:sz w:val="21"/>
                <w:szCs w:val="21"/>
              </w:rPr>
              <w:t>2018</w:t>
            </w:r>
            <w:r>
              <w:rPr>
                <w:rFonts w:ascii="宋体" w:hAnsi="宋体" w:cs="宋体" w:eastAsia="宋体" w:hint="default"/>
                <w:sz w:val="21"/>
                <w:szCs w:val="21"/>
              </w:rPr>
              <w:t>年第十六次临时会议决议公告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29</w:t>
            </w:r>
            <w:r>
              <w:rPr>
                <w:rFonts w:ascii="宋体" w:hAnsi="宋体" w:cs="宋体" w:eastAsia="宋体" w:hint="default"/>
                <w:sz w:val="21"/>
                <w:szCs w:val="21"/>
              </w:rPr>
              <w:t>日</w:t>
            </w:r>
          </w:p>
        </w:tc>
      </w:tr>
      <w:tr>
        <w:trPr>
          <w:trHeight w:val="352"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2018-125</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关于为控股子公司固定资产贷款提供担保的公告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29</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2018-126</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关于控股子公司与华商报社调整经营性协议的公告</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29</w:t>
            </w:r>
            <w:r>
              <w:rPr>
                <w:rFonts w:ascii="宋体" w:hAnsi="宋体" w:cs="宋体" w:eastAsia="宋体" w:hint="default"/>
                <w:sz w:val="21"/>
                <w:szCs w:val="21"/>
              </w:rPr>
              <w:t>日</w:t>
            </w:r>
          </w:p>
        </w:tc>
      </w:tr>
      <w:tr>
        <w:trPr>
          <w:trHeight w:val="353" w:hRule="exact"/>
        </w:trPr>
        <w:tc>
          <w:tcPr>
            <w:tcW w:w="1184"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2018-127</w:t>
            </w:r>
          </w:p>
        </w:tc>
        <w:tc>
          <w:tcPr>
            <w:tcW w:w="6757"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z w:val="21"/>
                <w:szCs w:val="21"/>
              </w:rPr>
              <w:t>2019</w:t>
            </w:r>
            <w:r>
              <w:rPr>
                <w:rFonts w:ascii="宋体" w:hAnsi="宋体" w:cs="宋体" w:eastAsia="宋体" w:hint="default"/>
                <w:sz w:val="21"/>
                <w:szCs w:val="21"/>
              </w:rPr>
              <w:t>年第一次临时股东大会的通知</w:t>
            </w:r>
          </w:p>
        </w:tc>
        <w:tc>
          <w:tcPr>
            <w:tcW w:w="214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29</w:t>
            </w:r>
            <w:r>
              <w:rPr>
                <w:rFonts w:ascii="宋体" w:hAnsi="宋体" w:cs="宋体" w:eastAsia="宋体" w:hint="default"/>
                <w:sz w:val="21"/>
                <w:szCs w:val="21"/>
              </w:rPr>
              <w:t>日</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7"/>
          <w:szCs w:val="27"/>
        </w:rPr>
      </w:pPr>
    </w:p>
    <w:p>
      <w:pPr>
        <w:pStyle w:val="Heading2"/>
        <w:spacing w:line="240" w:lineRule="auto"/>
        <w:ind w:left="394" w:right="0"/>
        <w:jc w:val="left"/>
        <w:rPr>
          <w:b w:val="0"/>
          <w:bCs w:val="0"/>
        </w:rPr>
      </w:pPr>
      <w:bookmarkStart w:name="二十、公司子公司重大事项" w:id="106"/>
      <w:bookmarkEnd w:id="106"/>
      <w:r>
        <w:rPr>
          <w:b w:val="0"/>
          <w:bCs w:val="0"/>
        </w:rPr>
      </w:r>
      <w:r>
        <w:rPr/>
        <w:t>二十、公司子公司重大事项</w:t>
      </w:r>
      <w:r>
        <w:rPr>
          <w:b w:val="0"/>
          <w:bCs w:val="0"/>
        </w:rPr>
      </w:r>
    </w:p>
    <w:p>
      <w:pPr>
        <w:spacing w:line="240" w:lineRule="auto" w:before="0"/>
        <w:rPr>
          <w:rFonts w:ascii="宋体" w:hAnsi="宋体" w:cs="宋体" w:eastAsia="宋体" w:hint="default"/>
          <w:b/>
          <w:bCs/>
          <w:sz w:val="24"/>
          <w:szCs w:val="24"/>
        </w:rPr>
      </w:pPr>
    </w:p>
    <w:p>
      <w:pPr>
        <w:pStyle w:val="BodyText"/>
        <w:spacing w:line="420" w:lineRule="auto" w:before="160"/>
        <w:ind w:left="814" w:right="0" w:hanging="420"/>
        <w:jc w:val="left"/>
      </w:pPr>
      <w:r>
        <w:rPr/>
        <w:t>√ 适用 □</w:t>
      </w:r>
      <w:r>
        <w:rPr>
          <w:spacing w:val="-1"/>
        </w:rPr>
        <w:t> </w:t>
      </w:r>
      <w:r>
        <w:rPr/>
        <w:t>不适用</w:t>
      </w:r>
      <w:r>
        <w:rPr/>
        <w:t> </w:t>
      </w:r>
      <w:r>
        <w:rPr>
          <w:spacing w:val="-1"/>
        </w:rPr>
        <w:t>公司子公司重大事项，具体详见“第四节、经营情况讨论与分析”中的“五、投资状况分析”之“2、</w:t>
      </w:r>
    </w:p>
    <w:p>
      <w:pPr>
        <w:pStyle w:val="BodyText"/>
        <w:spacing w:line="240" w:lineRule="auto" w:before="47"/>
        <w:ind w:left="394" w:right="0"/>
        <w:jc w:val="left"/>
      </w:pPr>
      <w:r>
        <w:rPr/>
        <w:t>报告期内获取的重大的股权投资情况”。</w:t>
      </w:r>
    </w:p>
    <w:p>
      <w:pPr>
        <w:spacing w:after="0" w:line="240" w:lineRule="auto"/>
        <w:jc w:val="left"/>
        <w:sectPr>
          <w:pgSz w:w="11910" w:h="16840"/>
          <w:pgMar w:header="877" w:footer="979" w:top="1100" w:bottom="1160" w:left="7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066" w:right="1023"/>
        <w:jc w:val="left"/>
        <w:rPr>
          <w:b w:val="0"/>
          <w:bCs w:val="0"/>
        </w:rPr>
      </w:pPr>
      <w:bookmarkStart w:name="第六节 股份变动及股东情况" w:id="107"/>
      <w:bookmarkEnd w:id="107"/>
      <w:r>
        <w:rPr>
          <w:b w:val="0"/>
          <w:bCs w:val="0"/>
        </w:rPr>
      </w:r>
      <w:bookmarkStart w:name="_bookmark4" w:id="108"/>
      <w:bookmarkEnd w:id="108"/>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left="254" w:right="1023"/>
        <w:jc w:val="left"/>
        <w:rPr>
          <w:b w:val="0"/>
          <w:bCs w:val="0"/>
        </w:rPr>
      </w:pPr>
      <w:bookmarkStart w:name="一、股份变动情况" w:id="109"/>
      <w:bookmarkEnd w:id="109"/>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254" w:right="1023"/>
        <w:jc w:val="left"/>
        <w:rPr>
          <w:b w:val="0"/>
          <w:bCs w:val="0"/>
        </w:rPr>
      </w:pPr>
      <w:bookmarkStart w:name="1、股份变动情况" w:id="110"/>
      <w:bookmarkEnd w:id="110"/>
      <w:r>
        <w:rPr>
          <w:b w:val="0"/>
          <w:bCs w:val="0"/>
        </w:rPr>
      </w:r>
      <w:r>
        <w:rPr>
          <w:rFonts w:ascii="宋体" w:hAnsi="宋体" w:cs="宋体" w:eastAsia="宋体" w:hint="default"/>
        </w:rPr>
        <w:t>1</w:t>
      </w:r>
      <w:r>
        <w:rPr/>
        <w:t>、股份变动情况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204"/>
        <w:gridCol w:w="1330"/>
        <w:gridCol w:w="824"/>
        <w:gridCol w:w="451"/>
        <w:gridCol w:w="284"/>
        <w:gridCol w:w="425"/>
        <w:gridCol w:w="1134"/>
        <w:gridCol w:w="1134"/>
        <w:gridCol w:w="1277"/>
        <w:gridCol w:w="793"/>
      </w:tblGrid>
      <w:tr>
        <w:trPr>
          <w:trHeight w:val="402" w:hRule="exact"/>
        </w:trPr>
        <w:tc>
          <w:tcPr>
            <w:tcW w:w="2204" w:type="dxa"/>
            <w:vMerge w:val="restart"/>
            <w:tcBorders>
              <w:top w:val="single" w:sz="4" w:space="0" w:color="000000"/>
              <w:left w:val="single" w:sz="4" w:space="0" w:color="000000"/>
              <w:right w:val="single" w:sz="4" w:space="0" w:color="000000"/>
            </w:tcBorders>
            <w:shd w:val="clear" w:color="auto" w:fill="D2D2D2"/>
          </w:tcPr>
          <w:p>
            <w:pPr/>
          </w:p>
        </w:tc>
        <w:tc>
          <w:tcPr>
            <w:tcW w:w="21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42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39" w:hRule="exact"/>
        </w:trPr>
        <w:tc>
          <w:tcPr>
            <w:tcW w:w="2204" w:type="dxa"/>
            <w:vMerge/>
            <w:tcBorders>
              <w:left w:val="single" w:sz="4" w:space="0" w:color="000000"/>
              <w:bottom w:val="nil" w:sz="6" w:space="0" w:color="auto"/>
              <w:right w:val="single" w:sz="4" w:space="0" w:color="000000"/>
            </w:tcBorders>
            <w:shd w:val="clear" w:color="auto" w:fill="D2D2D2"/>
          </w:tcPr>
          <w:p>
            <w:pPr/>
          </w:p>
        </w:tc>
        <w:tc>
          <w:tcPr>
            <w:tcW w:w="1330" w:type="dxa"/>
            <w:vMerge w:val="restart"/>
            <w:tcBorders>
              <w:top w:val="single" w:sz="4" w:space="0" w:color="000000"/>
              <w:left w:val="single" w:sz="4" w:space="0" w:color="000000"/>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
        </w:tc>
        <w:tc>
          <w:tcPr>
            <w:tcW w:w="451"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6" w:right="26"/>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793" w:type="dxa"/>
            <w:vMerge w:val="restart"/>
            <w:tcBorders>
              <w:top w:val="single" w:sz="4" w:space="0" w:color="000000"/>
              <w:left w:val="single" w:sz="4" w:space="0" w:color="000000"/>
              <w:right w:val="single" w:sz="4" w:space="0" w:color="000000"/>
            </w:tcBorders>
            <w:shd w:val="clear" w:color="auto" w:fill="D2D2D2"/>
          </w:tcPr>
          <w:p>
            <w:pPr/>
          </w:p>
        </w:tc>
      </w:tr>
      <w:tr>
        <w:trPr>
          <w:trHeight w:val="178"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1330"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45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40" w:right="38"/>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28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48" w:right="44"/>
              <w:jc w:val="left"/>
              <w:rPr>
                <w:rFonts w:ascii="宋体" w:hAnsi="宋体" w:cs="宋体" w:eastAsia="宋体" w:hint="default"/>
                <w:sz w:val="18"/>
                <w:szCs w:val="18"/>
              </w:rPr>
            </w:pPr>
            <w:r>
              <w:rPr>
                <w:rFonts w:ascii="宋体" w:hAnsi="宋体" w:cs="宋体" w:eastAsia="宋体" w:hint="default"/>
                <w:sz w:val="18"/>
                <w:szCs w:val="18"/>
              </w:rPr>
              <w:t>送 股</w:t>
            </w:r>
          </w:p>
        </w:tc>
        <w:tc>
          <w:tcPr>
            <w:tcW w:w="425"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93" w:type="dxa"/>
            <w:vMerge/>
            <w:tcBorders>
              <w:left w:val="single" w:sz="4" w:space="0" w:color="000000"/>
              <w:bottom w:val="nil" w:sz="6" w:space="0" w:color="auto"/>
              <w:right w:val="single" w:sz="4" w:space="0" w:color="000000"/>
            </w:tcBorders>
            <w:shd w:val="clear" w:color="auto" w:fill="D2D2D2"/>
          </w:tcPr>
          <w:p>
            <w:pPr/>
          </w:p>
        </w:tc>
      </w:tr>
      <w:tr>
        <w:trPr>
          <w:trHeight w:val="191" w:hRule="exact"/>
        </w:trPr>
        <w:tc>
          <w:tcPr>
            <w:tcW w:w="2204" w:type="dxa"/>
            <w:vMerge/>
            <w:tcBorders>
              <w:left w:val="single" w:sz="4" w:space="0" w:color="000000"/>
              <w:bottom w:val="nil" w:sz="6" w:space="0" w:color="auto"/>
              <w:right w:val="single" w:sz="4" w:space="0" w:color="000000"/>
            </w:tcBorders>
            <w:shd w:val="clear" w:color="auto" w:fill="D2D2D2"/>
          </w:tcPr>
          <w:p>
            <w:pPr/>
          </w:p>
        </w:tc>
        <w:tc>
          <w:tcPr>
            <w:tcW w:w="13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51"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1330"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93"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204" w:type="dxa"/>
            <w:vMerge/>
            <w:tcBorders>
              <w:left w:val="single" w:sz="4" w:space="0" w:color="000000"/>
              <w:right w:val="single" w:sz="4" w:space="0" w:color="000000"/>
            </w:tcBorders>
            <w:shd w:val="clear" w:color="auto" w:fill="D2D2D2"/>
          </w:tcPr>
          <w:p>
            <w:pPr/>
          </w:p>
        </w:tc>
        <w:tc>
          <w:tcPr>
            <w:tcW w:w="1330" w:type="dxa"/>
            <w:vMerge w:val="restart"/>
            <w:tcBorders>
              <w:top w:val="nil" w:sz="6" w:space="0" w:color="auto"/>
              <w:left w:val="single" w:sz="4" w:space="0" w:color="000000"/>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
        </w:tc>
        <w:tc>
          <w:tcPr>
            <w:tcW w:w="451" w:type="dxa"/>
            <w:vMerge/>
            <w:tcBorders>
              <w:left w:val="single" w:sz="4" w:space="0" w:color="000000"/>
              <w:bottom w:val="nil" w:sz="6" w:space="0" w:color="auto"/>
              <w:right w:val="single" w:sz="4" w:space="0" w:color="000000"/>
            </w:tcBorders>
            <w:shd w:val="clear" w:color="auto" w:fill="D2D2D2"/>
          </w:tcPr>
          <w:p>
            <w:pPr/>
          </w:p>
        </w:tc>
        <w:tc>
          <w:tcPr>
            <w:tcW w:w="284"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7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204"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451" w:type="dxa"/>
            <w:tcBorders>
              <w:top w:val="nil" w:sz="6" w:space="0" w:color="auto"/>
              <w:left w:val="single" w:sz="4" w:space="0" w:color="000000"/>
              <w:bottom w:val="single" w:sz="4" w:space="0" w:color="000000"/>
              <w:right w:val="single" w:sz="4" w:space="0" w:color="000000"/>
            </w:tcBorders>
            <w:shd w:val="clear" w:color="auto" w:fill="D2D2D2"/>
          </w:tcPr>
          <w:p>
            <w:pPr/>
          </w:p>
        </w:tc>
        <w:tc>
          <w:tcPr>
            <w:tcW w:w="284"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79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128,522,696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6.42%</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-70,256,098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-70,256,098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58,266,598</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2.92%</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128,522,696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6.42%</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-70,256,098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-70,256,098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58,266,598</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2.92%</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120,943,749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6.04%</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-66,357,822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-66,357,822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54,585,927</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2.73%</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7,578,947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0.38%</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-3,898,276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-3,898,276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3,680,671</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0.18%</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1,872,772,044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93.58%</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66,206,815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66,206,815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1,938,978,859</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97.08%</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1,872,772,044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93.58%</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66,206,815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66,206,815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1,938,978,859</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97.08%</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2,001,294,740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-4,049,283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-4,049,283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1,997,245,457</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bl>
    <w:p>
      <w:pPr>
        <w:spacing w:line="240" w:lineRule="auto" w:before="12"/>
        <w:rPr>
          <w:rFonts w:ascii="宋体" w:hAnsi="宋体" w:cs="宋体" w:eastAsia="宋体" w:hint="default"/>
          <w:sz w:val="7"/>
          <w:szCs w:val="7"/>
        </w:rPr>
      </w:pPr>
    </w:p>
    <w:p>
      <w:pPr>
        <w:pStyle w:val="BodyText"/>
        <w:spacing w:line="240" w:lineRule="auto" w:before="35"/>
        <w:ind w:left="254" w:right="1023"/>
        <w:jc w:val="left"/>
      </w:pPr>
      <w:r>
        <w:rPr/>
        <w:t>股份变动的原因</w:t>
      </w:r>
    </w:p>
    <w:p>
      <w:pPr>
        <w:spacing w:line="240" w:lineRule="auto" w:before="9"/>
        <w:rPr>
          <w:rFonts w:ascii="宋体" w:hAnsi="宋体" w:cs="宋体" w:eastAsia="宋体" w:hint="default"/>
          <w:sz w:val="15"/>
          <w:szCs w:val="15"/>
        </w:rPr>
      </w:pPr>
    </w:p>
    <w:p>
      <w:pPr>
        <w:pStyle w:val="BodyText"/>
        <w:spacing w:line="420" w:lineRule="auto"/>
        <w:ind w:left="674" w:right="1023" w:hanging="420"/>
        <w:jc w:val="left"/>
      </w:pPr>
      <w:r>
        <w:rPr/>
        <w:t>√ 适用 □</w:t>
      </w:r>
      <w:r>
        <w:rPr>
          <w:spacing w:val="-1"/>
        </w:rPr>
        <w:t> </w:t>
      </w:r>
      <w:r>
        <w:rPr/>
        <w:t>不适用</w:t>
      </w:r>
      <w:r>
        <w:rPr/>
        <w:t> 报告期内，有限售条件股份减少</w:t>
      </w:r>
      <w:r>
        <w:rPr>
          <w:rFonts w:ascii="宋体" w:hAnsi="宋体" w:cs="宋体" w:eastAsia="宋体" w:hint="default"/>
        </w:rPr>
        <w:t>70,256,098</w:t>
      </w:r>
      <w:r>
        <w:rPr/>
        <w:t>股、股份总数减少</w:t>
      </w:r>
      <w:r>
        <w:rPr>
          <w:rFonts w:ascii="宋体" w:hAnsi="宋体" w:cs="宋体" w:eastAsia="宋体" w:hint="default"/>
        </w:rPr>
        <w:t>4,049,283</w:t>
      </w:r>
      <w:r>
        <w:rPr/>
        <w:t>股的原因为：①公司无偿回</w:t>
      </w:r>
    </w:p>
    <w:p>
      <w:pPr>
        <w:pStyle w:val="BodyText"/>
        <w:spacing w:line="420" w:lineRule="auto" w:before="47"/>
        <w:ind w:left="254" w:right="1023"/>
        <w:jc w:val="left"/>
      </w:pPr>
      <w:r>
        <w:rPr>
          <w:spacing w:val="-3"/>
        </w:rPr>
        <w:t>购并注销精视投资、莫昂投资、李菊莲及曾子帆</w:t>
      </w:r>
      <w:r>
        <w:rPr>
          <w:rFonts w:ascii="宋体" w:hAnsi="宋体" w:cs="宋体" w:eastAsia="宋体" w:hint="default"/>
          <w:spacing w:val="-3"/>
        </w:rPr>
        <w:t>2014-2016</w:t>
      </w:r>
      <w:r>
        <w:rPr>
          <w:spacing w:val="-3"/>
        </w:rPr>
        <w:t>年度应补充补偿股份数合计</w:t>
      </w:r>
      <w:r>
        <w:rPr>
          <w:rFonts w:ascii="宋体" w:hAnsi="宋体" w:cs="宋体" w:eastAsia="宋体" w:hint="default"/>
          <w:spacing w:val="-3"/>
        </w:rPr>
        <w:t>4,049,283</w:t>
      </w:r>
      <w:r>
        <w:rPr>
          <w:spacing w:val="-3"/>
        </w:rPr>
        <w:t>股，其中，</w:t>
      </w:r>
      <w:r>
        <w:rPr>
          <w:spacing w:val="-67"/>
        </w:rPr>
        <w:t> </w:t>
      </w:r>
      <w:r>
        <w:rPr>
          <w:spacing w:val="-67"/>
        </w:rPr>
      </w:r>
      <w:r>
        <w:rPr/>
        <w:t>回购并注销李菊莲持有的有限售条件股份</w:t>
      </w:r>
      <w:r>
        <w:rPr>
          <w:rFonts w:ascii="宋体" w:hAnsi="宋体" w:cs="宋体" w:eastAsia="宋体" w:hint="default"/>
        </w:rPr>
        <w:t>1,088,016</w:t>
      </w:r>
      <w:r>
        <w:rPr/>
        <w:t>股，回购并注销精视投资、莫昂投资、李菊莲及曾子</w:t>
      </w:r>
      <w:r>
        <w:rPr>
          <w:spacing w:val="-32"/>
        </w:rPr>
        <w:t> </w:t>
      </w:r>
      <w:r>
        <w:rPr>
          <w:spacing w:val="-32"/>
        </w:rPr>
      </w:r>
      <w:r>
        <w:rPr/>
        <w:t>帆合计持有的无限售条件股份</w:t>
      </w:r>
      <w:r>
        <w:rPr>
          <w:rFonts w:ascii="宋体" w:hAnsi="宋体" w:cs="宋体" w:eastAsia="宋体" w:hint="default"/>
        </w:rPr>
        <w:t>2,961,267</w:t>
      </w:r>
      <w:r>
        <w:rPr/>
        <w:t>股；②公司申请将</w:t>
      </w:r>
      <w:r>
        <w:rPr>
          <w:rFonts w:ascii="宋体" w:hAnsi="宋体" w:cs="宋体" w:eastAsia="宋体" w:hint="default"/>
        </w:rPr>
        <w:t>69,168,082</w:t>
      </w:r>
      <w:r>
        <w:rPr/>
        <w:t>股解除限售。</w:t>
      </w:r>
    </w:p>
    <w:p>
      <w:pPr>
        <w:spacing w:after="0" w:line="420" w:lineRule="auto"/>
        <w:jc w:val="left"/>
        <w:sectPr>
          <w:pgSz w:w="11910" w:h="16840"/>
          <w:pgMar w:header="877" w:footer="979" w:top="1100" w:bottom="1160" w:left="8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股份变动的批准情况</w:t>
      </w:r>
    </w:p>
    <w:p>
      <w:pPr>
        <w:spacing w:line="240" w:lineRule="auto" w:before="9"/>
        <w:rPr>
          <w:rFonts w:ascii="宋体" w:hAnsi="宋体" w:cs="宋体" w:eastAsia="宋体" w:hint="default"/>
          <w:sz w:val="15"/>
          <w:szCs w:val="15"/>
        </w:rPr>
      </w:pPr>
    </w:p>
    <w:p>
      <w:pPr>
        <w:pStyle w:val="BodyText"/>
        <w:spacing w:line="420" w:lineRule="auto"/>
        <w:ind w:left="574" w:right="0" w:hanging="420"/>
        <w:jc w:val="left"/>
      </w:pPr>
      <w:r>
        <w:rPr/>
        <w:t>√ 适用 □</w:t>
      </w:r>
      <w:r>
        <w:rPr>
          <w:spacing w:val="-1"/>
        </w:rPr>
        <w:t> </w:t>
      </w:r>
      <w:r>
        <w:rPr/>
        <w:t>不适用</w:t>
      </w:r>
      <w:r>
        <w:rPr/>
        <w:t> 公司于</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31</w:t>
      </w:r>
      <w:r>
        <w:rPr/>
        <w:t>日召开的第七届董事会</w:t>
      </w:r>
      <w:r>
        <w:rPr>
          <w:rFonts w:ascii="宋体" w:hAnsi="宋体" w:cs="宋体" w:eastAsia="宋体" w:hint="default"/>
        </w:rPr>
        <w:t>2018</w:t>
      </w:r>
      <w:r>
        <w:rPr/>
        <w:t>年第十一次临时会议审议通过了《关于</w:t>
      </w:r>
      <w:r>
        <w:rPr>
          <w:rFonts w:ascii="宋体" w:hAnsi="宋体" w:cs="宋体" w:eastAsia="宋体" w:hint="default"/>
        </w:rPr>
        <w:t>2014</w:t>
      </w:r>
      <w:r>
        <w:rPr/>
        <w:t>年重大资</w:t>
      </w:r>
    </w:p>
    <w:p>
      <w:pPr>
        <w:pStyle w:val="BodyText"/>
        <w:spacing w:line="420" w:lineRule="auto" w:before="48"/>
        <w:ind w:right="0"/>
        <w:jc w:val="left"/>
      </w:pPr>
      <w:r>
        <w:rPr>
          <w:spacing w:val="-1"/>
        </w:rPr>
        <w:t>产重组部分标的资产补充</w:t>
      </w:r>
      <w:r>
        <w:rPr>
          <w:rFonts w:ascii="宋体" w:hAnsi="宋体" w:cs="宋体" w:eastAsia="宋体" w:hint="default"/>
          <w:spacing w:val="-1"/>
        </w:rPr>
        <w:t>2014-2016</w:t>
      </w:r>
      <w:r>
        <w:rPr>
          <w:spacing w:val="-1"/>
        </w:rPr>
        <w:t>年度业绩承诺股份补偿实施方案的议案》，并于</w:t>
      </w:r>
      <w:r>
        <w:rPr>
          <w:rFonts w:ascii="宋体" w:hAnsi="宋体" w:cs="宋体" w:eastAsia="宋体" w:hint="default"/>
          <w:spacing w:val="-1"/>
        </w:rPr>
        <w:t>2018</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17</w:t>
      </w:r>
      <w:r>
        <w:rPr>
          <w:spacing w:val="-1"/>
        </w:rPr>
        <w:t>日召开的</w:t>
      </w:r>
      <w:r>
        <w:rPr>
          <w:spacing w:val="-78"/>
        </w:rPr>
        <w:t> </w:t>
      </w:r>
      <w:r>
        <w:rPr>
          <w:rFonts w:ascii="宋体" w:hAnsi="宋体" w:cs="宋体" w:eastAsia="宋体" w:hint="default"/>
        </w:rPr>
        <w:t>2018</w:t>
      </w:r>
      <w:r>
        <w:rPr/>
        <w:t>年第四次临时股东大会，以现场投票表决和网络投票表决相结合的方式，审议通过了上述议案。</w:t>
      </w:r>
    </w:p>
    <w:p>
      <w:pPr>
        <w:spacing w:line="240" w:lineRule="auto" w:before="6"/>
        <w:rPr>
          <w:rFonts w:ascii="宋体" w:hAnsi="宋体" w:cs="宋体" w:eastAsia="宋体" w:hint="default"/>
          <w:sz w:val="27"/>
          <w:szCs w:val="27"/>
        </w:rPr>
      </w:pPr>
    </w:p>
    <w:p>
      <w:pPr>
        <w:pStyle w:val="BodyText"/>
        <w:spacing w:line="240" w:lineRule="auto"/>
        <w:ind w:right="0"/>
        <w:jc w:val="left"/>
      </w:pPr>
      <w:r>
        <w:rPr/>
        <w:t>股份变动的过户情况</w:t>
      </w:r>
    </w:p>
    <w:p>
      <w:pPr>
        <w:spacing w:line="240" w:lineRule="auto" w:before="9"/>
        <w:rPr>
          <w:rFonts w:ascii="宋体" w:hAnsi="宋体" w:cs="宋体" w:eastAsia="宋体" w:hint="default"/>
          <w:sz w:val="15"/>
          <w:szCs w:val="15"/>
        </w:rPr>
      </w:pPr>
    </w:p>
    <w:p>
      <w:pPr>
        <w:pStyle w:val="BodyText"/>
        <w:spacing w:line="285" w:lineRule="auto"/>
        <w:ind w:left="577" w:right="1194" w:hanging="424"/>
        <w:jc w:val="left"/>
      </w:pPr>
      <w:r>
        <w:rPr/>
        <w:t>√ 适用 □</w:t>
      </w:r>
      <w:r>
        <w:rPr>
          <w:spacing w:val="-1"/>
        </w:rPr>
        <w:t> </w:t>
      </w:r>
      <w:r>
        <w:rPr/>
        <w:t>不适用</w:t>
      </w:r>
      <w:r>
        <w:rPr/>
        <w:t> 本次回购的</w:t>
      </w:r>
      <w:r>
        <w:rPr>
          <w:rFonts w:ascii="宋体" w:hAnsi="宋体" w:cs="宋体" w:eastAsia="宋体" w:hint="default"/>
        </w:rPr>
        <w:t>4,049,283</w:t>
      </w:r>
      <w:r>
        <w:rPr/>
        <w:t>股股份于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22</w:t>
      </w:r>
      <w:r>
        <w:rPr/>
        <w:t>日转入公司回购专用证券账户，不享有表决权。公司董</w:t>
      </w:r>
    </w:p>
    <w:p>
      <w:pPr>
        <w:pStyle w:val="BodyText"/>
        <w:spacing w:line="272" w:lineRule="exact"/>
        <w:ind w:right="0"/>
        <w:jc w:val="left"/>
      </w:pPr>
      <w:r>
        <w:rPr/>
        <w:t>事会在回购后办理了注销手续，截至</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22</w:t>
      </w:r>
      <w:r>
        <w:rPr/>
        <w:t>日，该等回购后的股份已完成注销。</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ind w:right="0"/>
        <w:jc w:val="left"/>
      </w:pPr>
      <w:r>
        <w:rPr/>
        <w:t>股份回购的实施进展情况</w:t>
      </w:r>
    </w:p>
    <w:p>
      <w:pPr>
        <w:spacing w:line="240" w:lineRule="auto" w:before="9"/>
        <w:rPr>
          <w:rFonts w:ascii="宋体" w:hAnsi="宋体" w:cs="宋体" w:eastAsia="宋体" w:hint="default"/>
          <w:sz w:val="15"/>
          <w:szCs w:val="15"/>
        </w:rPr>
      </w:pPr>
    </w:p>
    <w:p>
      <w:pPr>
        <w:pStyle w:val="BodyText"/>
        <w:spacing w:line="420" w:lineRule="auto"/>
        <w:ind w:right="6342"/>
        <w:jc w:val="left"/>
      </w:pPr>
      <w:r>
        <w:rPr/>
        <w:t>□ 适用 √</w:t>
      </w:r>
      <w:r>
        <w:rPr>
          <w:spacing w:val="-1"/>
        </w:rPr>
        <w:t> </w:t>
      </w:r>
      <w:r>
        <w:rPr/>
        <w:t>不适用</w:t>
      </w:r>
      <w:r>
        <w:rPr/>
        <w:t> 采用集中竞价方式减持回购股份的实施进展情况</w:t>
      </w:r>
    </w:p>
    <w:p>
      <w:pPr>
        <w:pStyle w:val="BodyText"/>
        <w:spacing w:line="420" w:lineRule="auto" w:before="47"/>
        <w:ind w:right="0"/>
        <w:jc w:val="left"/>
      </w:pPr>
      <w:r>
        <w:rPr/>
        <w:t>□ 适用 √</w:t>
      </w:r>
      <w:r>
        <w:rPr>
          <w:spacing w:val="-1"/>
        </w:rPr>
        <w:t> </w:t>
      </w:r>
      <w:r>
        <w:rPr/>
        <w:t>不适用</w:t>
      </w:r>
      <w:r>
        <w:rPr/>
        <w:t> </w:t>
      </w:r>
      <w:r>
        <w:rPr>
          <w:spacing w:val="-1"/>
        </w:rPr>
        <w:t>股份变动对最近一年和最近一期基本每股收益和稀释每股收益、归属于公司普通股股东的每股净资产等财</w:t>
      </w:r>
      <w:r>
        <w:rPr>
          <w:spacing w:val="-81"/>
        </w:rPr>
        <w:t> </w:t>
      </w:r>
      <w:r>
        <w:rPr>
          <w:spacing w:val="-81"/>
        </w:rPr>
      </w:r>
      <w:r>
        <w:rPr/>
        <w:t>务指标的影响</w:t>
      </w:r>
    </w:p>
    <w:p>
      <w:pPr>
        <w:pStyle w:val="BodyText"/>
        <w:spacing w:line="420" w:lineRule="auto" w:before="47"/>
        <w:ind w:left="574" w:right="0" w:hanging="420"/>
        <w:jc w:val="left"/>
      </w:pPr>
      <w:r>
        <w:rPr/>
        <w:t>√ 适用 □</w:t>
      </w:r>
      <w:r>
        <w:rPr>
          <w:spacing w:val="-1"/>
        </w:rPr>
        <w:t> </w:t>
      </w:r>
      <w:r>
        <w:rPr/>
        <w:t>不适用</w:t>
      </w:r>
      <w:r>
        <w:rPr/>
        <w:t> 本次回购并注销</w:t>
      </w:r>
      <w:r>
        <w:rPr>
          <w:rFonts w:ascii="宋体" w:hAnsi="宋体" w:cs="宋体" w:eastAsia="宋体" w:hint="default"/>
        </w:rPr>
        <w:t>4,049,283</w:t>
      </w:r>
      <w:r>
        <w:rPr/>
        <w:t>股股份对</w:t>
      </w:r>
      <w:r>
        <w:rPr>
          <w:rFonts w:ascii="宋体" w:hAnsi="宋体" w:cs="宋体" w:eastAsia="宋体" w:hint="default"/>
        </w:rPr>
        <w:t>2018</w:t>
      </w:r>
      <w:r>
        <w:rPr/>
        <w:t>年的基本每股收益和稀释每股收益影响为：股份回购并注销</w:t>
      </w:r>
    </w:p>
    <w:p>
      <w:pPr>
        <w:pStyle w:val="BodyText"/>
        <w:spacing w:line="420" w:lineRule="auto" w:before="47"/>
        <w:ind w:right="1132"/>
        <w:jc w:val="left"/>
      </w:pPr>
      <w:r>
        <w:rPr/>
        <w:t>前基本每股收益</w:t>
      </w:r>
      <w:r>
        <w:rPr>
          <w:rFonts w:ascii="宋体" w:hAnsi="宋体" w:cs="宋体" w:eastAsia="宋体" w:hint="default"/>
        </w:rPr>
        <w:t>-2.4937</w:t>
      </w:r>
      <w:r>
        <w:rPr/>
        <w:t>元，稀释每股收益</w:t>
      </w:r>
      <w:r>
        <w:rPr>
          <w:rFonts w:ascii="宋体" w:hAnsi="宋体" w:cs="宋体" w:eastAsia="宋体" w:hint="default"/>
        </w:rPr>
        <w:t>-2.4937</w:t>
      </w:r>
      <w:r>
        <w:rPr/>
        <w:t>元，股份回购并注销后基本每股收益</w:t>
      </w:r>
      <w:r>
        <w:rPr>
          <w:rFonts w:ascii="宋体" w:hAnsi="宋体" w:cs="宋体" w:eastAsia="宋体" w:hint="default"/>
        </w:rPr>
        <w:t>-2.4950</w:t>
      </w:r>
      <w:r>
        <w:rPr/>
        <w:t>元，稀释</w:t>
      </w:r>
      <w:r>
        <w:rPr>
          <w:spacing w:val="-33"/>
        </w:rPr>
        <w:t> </w:t>
      </w:r>
      <w:r>
        <w:rPr>
          <w:spacing w:val="-33"/>
        </w:rPr>
      </w:r>
      <w:r>
        <w:rPr/>
        <w:t>每股收益</w:t>
      </w:r>
      <w:r>
        <w:rPr>
          <w:rFonts w:ascii="宋体" w:hAnsi="宋体" w:cs="宋体" w:eastAsia="宋体" w:hint="default"/>
        </w:rPr>
        <w:t>-2.4950</w:t>
      </w:r>
      <w:r>
        <w:rPr/>
        <w:t>元；对</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日归属于公司普通股股东的每股净资产的影响为：股份回购并注销</w:t>
      </w:r>
      <w:r>
        <w:rPr>
          <w:spacing w:val="-40"/>
        </w:rPr>
        <w:t> </w:t>
      </w:r>
      <w:r>
        <w:rPr>
          <w:spacing w:val="-40"/>
        </w:rPr>
      </w:r>
      <w:r>
        <w:rPr/>
        <w:t>前每股净资产</w:t>
      </w:r>
      <w:r>
        <w:rPr>
          <w:rFonts w:ascii="宋体" w:hAnsi="宋体" w:cs="宋体" w:eastAsia="宋体" w:hint="default"/>
        </w:rPr>
        <w:t>2.3502</w:t>
      </w:r>
      <w:r>
        <w:rPr/>
        <w:t>元，股份回购并注销后每股净资产</w:t>
      </w:r>
      <w:r>
        <w:rPr>
          <w:rFonts w:ascii="宋体" w:hAnsi="宋体" w:cs="宋体" w:eastAsia="宋体" w:hint="default"/>
        </w:rPr>
        <w:t>2.3514</w:t>
      </w:r>
      <w:r>
        <w:rPr/>
        <w:t>元，每股净资产增加</w:t>
      </w:r>
      <w:r>
        <w:rPr>
          <w:rFonts w:ascii="宋体" w:hAnsi="宋体" w:cs="宋体" w:eastAsia="宋体" w:hint="default"/>
        </w:rPr>
        <w:t>0.0012</w:t>
      </w:r>
      <w:r>
        <w:rPr/>
        <w:t>元。 公司认为必要或证券监管机构要求披露的其他内容</w:t>
      </w:r>
    </w:p>
    <w:p>
      <w:pPr>
        <w:spacing w:line="547" w:lineRule="auto" w:before="47"/>
        <w:ind w:left="154" w:right="8749"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限售股份变动情况" w:id="111"/>
      <w:bookmarkEnd w:id="111"/>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4"/>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877" w:footer="979" w:top="1100" w:bottom="1160" w:left="980" w:right="0"/>
        </w:sectPr>
      </w:pPr>
    </w:p>
    <w:p>
      <w:pPr>
        <w:pStyle w:val="BodyText"/>
        <w:spacing w:line="240" w:lineRule="auto" w:before="35"/>
        <w:ind w:right="-20"/>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39" w:space="6980"/>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1134"/>
        <w:gridCol w:w="1134"/>
        <w:gridCol w:w="851"/>
        <w:gridCol w:w="1134"/>
        <w:gridCol w:w="1702"/>
        <w:gridCol w:w="2480"/>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新疆锐盈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0" w:right="0"/>
              <w:jc w:val="left"/>
              <w:rPr>
                <w:rFonts w:ascii="宋体" w:hAnsi="宋体" w:cs="宋体" w:eastAsia="宋体" w:hint="default"/>
                <w:sz w:val="18"/>
                <w:szCs w:val="18"/>
              </w:rPr>
            </w:pPr>
            <w:r>
              <w:rPr>
                <w:rFonts w:ascii="宋体"/>
                <w:sz w:val="18"/>
              </w:rPr>
              <w:t>30,023,475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0" w:right="0"/>
              <w:jc w:val="left"/>
              <w:rPr>
                <w:rFonts w:ascii="宋体" w:hAnsi="宋体" w:cs="宋体" w:eastAsia="宋体" w:hint="default"/>
                <w:sz w:val="18"/>
                <w:szCs w:val="18"/>
              </w:rPr>
            </w:pPr>
            <w:r>
              <w:rPr>
                <w:rFonts w:ascii="宋体"/>
                <w:sz w:val="18"/>
              </w:rPr>
              <w:t>30,023,475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5"/>
                <w:sz w:val="18"/>
                <w:szCs w:val="18"/>
              </w:rPr>
              <w:t> </w:t>
            </w:r>
            <w:r>
              <w:rPr>
                <w:rFonts w:ascii="宋体" w:hAnsi="宋体" w:cs="宋体" w:eastAsia="宋体" w:hint="default"/>
                <w:sz w:val="18"/>
                <w:szCs w:val="18"/>
              </w:rPr>
              <w:t>年以相关资产认</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62"/>
                <w:sz w:val="18"/>
                <w:szCs w:val="18"/>
              </w:rPr>
              <w:t> </w:t>
            </w:r>
            <w:r>
              <w:rPr>
                <w:rFonts w:ascii="宋体" w:hAnsi="宋体" w:cs="宋体" w:eastAsia="宋体" w:hint="default"/>
                <w:sz w:val="18"/>
                <w:szCs w:val="18"/>
              </w:rPr>
              <w:t>61,666,667</w:t>
            </w:r>
            <w:r>
              <w:rPr>
                <w:rFonts w:ascii="宋体" w:hAnsi="宋体" w:cs="宋体" w:eastAsia="宋体" w:hint="default"/>
                <w:spacing w:val="-62"/>
                <w:sz w:val="18"/>
                <w:szCs w:val="18"/>
              </w:rPr>
              <w:t> </w:t>
            </w:r>
            <w:r>
              <w:rPr>
                <w:rFonts w:ascii="宋体" w:hAnsi="宋体" w:cs="宋体" w:eastAsia="宋体" w:hint="default"/>
                <w:sz w:val="18"/>
                <w:szCs w:val="18"/>
              </w:rPr>
              <w:t>股于</w:t>
            </w:r>
            <w:r>
              <w:rPr>
                <w:rFonts w:ascii="宋体" w:hAnsi="宋体" w:cs="宋体" w:eastAsia="宋体" w:hint="default"/>
                <w:spacing w:val="-62"/>
                <w:sz w:val="18"/>
                <w:szCs w:val="18"/>
              </w:rPr>
              <w:t> </w:t>
            </w:r>
            <w:r>
              <w:rPr>
                <w:rFonts w:ascii="宋体" w:hAnsi="宋体" w:cs="宋体" w:eastAsia="宋体" w:hint="default"/>
                <w:sz w:val="18"/>
                <w:szCs w:val="18"/>
              </w:rPr>
              <w:t>2015</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5pt;height:680.9pt;mso-position-horizontal-relative:page;mso-position-vertical-relative:page;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4"/>
                    <w:gridCol w:w="1134"/>
                    <w:gridCol w:w="1134"/>
                    <w:gridCol w:w="851"/>
                    <w:gridCol w:w="1134"/>
                    <w:gridCol w:w="1702"/>
                    <w:gridCol w:w="2480"/>
                  </w:tblGrid>
                  <w:tr>
                    <w:trPr>
                      <w:trHeight w:val="4731" w:hRule="exact"/>
                    </w:trPr>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购公司发行的股份</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日上市流通，限售股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6"/>
                            <w:sz w:val="18"/>
                            <w:szCs w:val="18"/>
                          </w:rPr>
                          <w:t> </w:t>
                        </w:r>
                        <w:r>
                          <w:rPr>
                            <w:rFonts w:ascii="宋体" w:hAnsi="宋体" w:cs="宋体" w:eastAsia="宋体" w:hint="default"/>
                            <w:sz w:val="18"/>
                            <w:szCs w:val="18"/>
                          </w:rPr>
                          <w:t>30,833,333</w:t>
                        </w:r>
                        <w:r>
                          <w:rPr>
                            <w:rFonts w:ascii="宋体" w:hAnsi="宋体" w:cs="宋体" w:eastAsia="宋体" w:hint="default"/>
                            <w:spacing w:val="-45"/>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日上市流通，限售股份</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22,345,236</w:t>
                        </w:r>
                        <w:r>
                          <w:rPr>
                            <w:rFonts w:ascii="宋体" w:hAnsi="宋体" w:cs="宋体" w:eastAsia="宋体" w:hint="default"/>
                            <w:spacing w:val="-56"/>
                            <w:sz w:val="18"/>
                            <w:szCs w:val="18"/>
                          </w:rPr>
                          <w:t> </w:t>
                        </w:r>
                        <w:r>
                          <w:rPr>
                            <w:rFonts w:ascii="宋体" w:hAnsi="宋体" w:cs="宋体" w:eastAsia="宋体" w:hint="default"/>
                            <w:sz w:val="18"/>
                            <w:szCs w:val="18"/>
                          </w:rPr>
                          <w:t>股已于</w:t>
                        </w:r>
                        <w:r>
                          <w:rPr>
                            <w:rFonts w:ascii="宋体" w:hAnsi="宋体" w:cs="宋体" w:eastAsia="宋体" w:hint="default"/>
                            <w:spacing w:val="-56"/>
                            <w:sz w:val="18"/>
                            <w:szCs w:val="18"/>
                          </w:rPr>
                          <w:t> </w:t>
                        </w: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6</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日用于华商传媒及其八家附</w:t>
                        </w:r>
                      </w:p>
                      <w:p>
                        <w:pPr>
                          <w:pStyle w:val="TableParagraph"/>
                          <w:spacing w:line="316" w:lineRule="auto" w:before="76"/>
                          <w:ind w:left="22" w:right="19"/>
                          <w:jc w:val="left"/>
                          <w:rPr>
                            <w:rFonts w:ascii="宋体" w:hAnsi="宋体" w:cs="宋体" w:eastAsia="宋体" w:hint="default"/>
                            <w:sz w:val="18"/>
                            <w:szCs w:val="18"/>
                          </w:rPr>
                        </w:pPr>
                        <w:r>
                          <w:rPr>
                            <w:rFonts w:ascii="宋体" w:hAnsi="宋体" w:cs="宋体" w:eastAsia="宋体" w:hint="default"/>
                            <w:sz w:val="18"/>
                            <w:szCs w:val="18"/>
                          </w:rPr>
                          <w:t>属公司少数股东权益</w:t>
                        </w:r>
                        <w:r>
                          <w:rPr>
                            <w:rFonts w:ascii="宋体" w:hAnsi="宋体" w:cs="宋体" w:eastAsia="宋体" w:hint="default"/>
                            <w:spacing w:val="-48"/>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年业</w:t>
                        </w:r>
                        <w:r>
                          <w:rPr>
                            <w:rFonts w:ascii="宋体" w:hAnsi="宋体" w:cs="宋体" w:eastAsia="宋体" w:hint="default"/>
                            <w:spacing w:val="1"/>
                            <w:sz w:val="18"/>
                            <w:szCs w:val="18"/>
                          </w:rPr>
                          <w:t> </w:t>
                        </w:r>
                        <w:r>
                          <w:rPr>
                            <w:rFonts w:ascii="宋体" w:hAnsi="宋体" w:cs="宋体" w:eastAsia="宋体" w:hint="default"/>
                            <w:sz w:val="18"/>
                            <w:szCs w:val="18"/>
                          </w:rPr>
                          <w:t>绩承诺未完成的补偿，限售股</w:t>
                        </w:r>
                        <w:r>
                          <w:rPr>
                            <w:rFonts w:ascii="宋体" w:hAnsi="宋体" w:cs="宋体" w:eastAsia="宋体" w:hint="default"/>
                            <w:sz w:val="18"/>
                            <w:szCs w:val="18"/>
                          </w:rPr>
                          <w:t> 份</w:t>
                        </w:r>
                        <w:r>
                          <w:rPr>
                            <w:rFonts w:ascii="宋体" w:hAnsi="宋体" w:cs="宋体" w:eastAsia="宋体" w:hint="default"/>
                            <w:spacing w:val="-46"/>
                            <w:sz w:val="18"/>
                            <w:szCs w:val="18"/>
                          </w:rPr>
                          <w:t> </w:t>
                        </w:r>
                        <w:r>
                          <w:rPr>
                            <w:rFonts w:ascii="宋体" w:hAnsi="宋体" w:cs="宋体" w:eastAsia="宋体" w:hint="default"/>
                            <w:sz w:val="18"/>
                            <w:szCs w:val="18"/>
                          </w:rPr>
                          <w:t>9,297,956</w:t>
                        </w:r>
                        <w:r>
                          <w:rPr>
                            <w:rFonts w:ascii="宋体" w:hAnsi="宋体" w:cs="宋体" w:eastAsia="宋体" w:hint="default"/>
                            <w:spacing w:val="-45"/>
                            <w:sz w:val="18"/>
                            <w:szCs w:val="18"/>
                          </w:rPr>
                          <w:t> </w:t>
                        </w:r>
                        <w:r>
                          <w:rPr>
                            <w:rFonts w:ascii="宋体" w:hAnsi="宋体" w:cs="宋体" w:eastAsia="宋体" w:hint="default"/>
                            <w:sz w:val="18"/>
                            <w:szCs w:val="18"/>
                          </w:rPr>
                          <w:t>股已于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8"/>
                            <w:sz w:val="18"/>
                            <w:szCs w:val="18"/>
                          </w:rPr>
                          <w:t> </w:t>
                        </w:r>
                        <w:r>
                          <w:rPr>
                            <w:rFonts w:ascii="宋体" w:hAnsi="宋体" w:cs="宋体" w:eastAsia="宋体" w:hint="default"/>
                            <w:sz w:val="18"/>
                            <w:szCs w:val="18"/>
                          </w:rPr>
                          <w:t>日用于华商传媒及其八家</w:t>
                        </w:r>
                      </w:p>
                      <w:p>
                        <w:pPr>
                          <w:pStyle w:val="TableParagraph"/>
                          <w:spacing w:line="316" w:lineRule="auto" w:before="76"/>
                          <w:ind w:left="22" w:right="20"/>
                          <w:jc w:val="left"/>
                          <w:rPr>
                            <w:rFonts w:ascii="宋体" w:hAnsi="宋体" w:cs="宋体" w:eastAsia="宋体" w:hint="default"/>
                            <w:sz w:val="18"/>
                            <w:szCs w:val="18"/>
                          </w:rPr>
                        </w:pPr>
                        <w:r>
                          <w:rPr>
                            <w:rFonts w:ascii="宋体" w:hAnsi="宋体" w:cs="宋体" w:eastAsia="宋体" w:hint="default"/>
                            <w:sz w:val="18"/>
                            <w:szCs w:val="18"/>
                          </w:rPr>
                          <w:t>附属公司少数股东权益</w:t>
                        </w:r>
                        <w:r>
                          <w:rPr>
                            <w:rFonts w:ascii="宋体" w:hAnsi="宋体" w:cs="宋体" w:eastAsia="宋体" w:hint="default"/>
                            <w:spacing w:val="-48"/>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 业绩承诺未完成的补偿，限售 股份</w:t>
                        </w:r>
                        <w:r>
                          <w:rPr>
                            <w:rFonts w:ascii="宋体" w:hAnsi="宋体" w:cs="宋体" w:eastAsia="宋体" w:hint="default"/>
                            <w:spacing w:val="-56"/>
                            <w:sz w:val="18"/>
                            <w:szCs w:val="18"/>
                          </w:rPr>
                          <w:t> </w:t>
                        </w:r>
                        <w:r>
                          <w:rPr>
                            <w:rFonts w:ascii="宋体" w:hAnsi="宋体" w:cs="宋体" w:eastAsia="宋体" w:hint="default"/>
                            <w:sz w:val="18"/>
                            <w:szCs w:val="18"/>
                          </w:rPr>
                          <w:t>17,771,127</w:t>
                        </w:r>
                        <w:r>
                          <w:rPr>
                            <w:rFonts w:ascii="宋体" w:hAnsi="宋体" w:cs="宋体" w:eastAsia="宋体" w:hint="default"/>
                            <w:spacing w:val="-56"/>
                            <w:sz w:val="18"/>
                            <w:szCs w:val="18"/>
                          </w:rPr>
                          <w:t> </w:t>
                        </w:r>
                        <w:r>
                          <w:rPr>
                            <w:rFonts w:ascii="宋体" w:hAnsi="宋体" w:cs="宋体" w:eastAsia="宋体" w:hint="default"/>
                            <w:sz w:val="18"/>
                            <w:szCs w:val="18"/>
                          </w:rPr>
                          <w:t>股于</w:t>
                        </w:r>
                        <w:r>
                          <w:rPr>
                            <w:rFonts w:ascii="宋体" w:hAnsi="宋体" w:cs="宋体" w:eastAsia="宋体" w:hint="default"/>
                            <w:spacing w:val="-56"/>
                            <w:sz w:val="18"/>
                            <w:szCs w:val="18"/>
                          </w:rPr>
                          <w:t> </w:t>
                        </w:r>
                        <w:r>
                          <w:rPr>
                            <w:rFonts w:ascii="宋体" w:hAnsi="宋体" w:cs="宋体" w:eastAsia="宋体" w:hint="default"/>
                            <w:sz w:val="18"/>
                            <w:szCs w:val="18"/>
                          </w:rPr>
                          <w:t>2018</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5</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日上市流通，限售股份</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12,252,348 </w:t>
                        </w:r>
                        <w:r>
                          <w:rPr>
                            <w:rFonts w:ascii="宋体" w:hAnsi="宋体" w:cs="宋体" w:eastAsia="宋体" w:hint="default"/>
                            <w:sz w:val="18"/>
                            <w:szCs w:val="18"/>
                          </w:rPr>
                          <w:t>股于</w:t>
                        </w:r>
                        <w:r>
                          <w:rPr>
                            <w:rFonts w:ascii="宋体" w:hAnsi="宋体" w:cs="宋体" w:eastAsia="宋体" w:hint="default"/>
                            <w:spacing w:val="-56"/>
                            <w:sz w:val="18"/>
                            <w:szCs w:val="18"/>
                          </w:rPr>
                          <w:t> </w:t>
                        </w:r>
                        <w:r>
                          <w:rPr>
                            <w:rFonts w:ascii="宋体" w:hAnsi="宋体" w:cs="宋体" w:eastAsia="宋体" w:hint="default"/>
                            <w:sz w:val="18"/>
                            <w:szCs w:val="18"/>
                          </w:rPr>
                          <w:t>2019</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日上市流通</w:t>
                        </w:r>
                      </w:p>
                    </w:tc>
                  </w:tr>
                  <w:tr>
                    <w:trPr>
                      <w:trHeight w:val="477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华路新材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18"/>
                            <w:szCs w:val="18"/>
                          </w:rPr>
                        </w:pPr>
                        <w:r>
                          <w:rPr>
                            <w:rFonts w:ascii="宋体"/>
                            <w:sz w:val="18"/>
                          </w:rPr>
                          <w:t>17,386,979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18"/>
                            <w:szCs w:val="18"/>
                          </w:rPr>
                        </w:pPr>
                        <w:r>
                          <w:rPr>
                            <w:rFonts w:ascii="宋体"/>
                            <w:sz w:val="18"/>
                          </w:rPr>
                          <w:t>17,386,979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62"/>
                            <w:sz w:val="18"/>
                            <w:szCs w:val="18"/>
                          </w:rPr>
                          <w:t> </w:t>
                        </w:r>
                        <w:r>
                          <w:rPr>
                            <w:rFonts w:ascii="宋体" w:hAnsi="宋体" w:cs="宋体" w:eastAsia="宋体" w:hint="default"/>
                            <w:sz w:val="18"/>
                            <w:szCs w:val="18"/>
                          </w:rPr>
                          <w:t>30,671,296</w:t>
                        </w:r>
                        <w:r>
                          <w:rPr>
                            <w:rFonts w:ascii="宋体" w:hAnsi="宋体" w:cs="宋体" w:eastAsia="宋体" w:hint="default"/>
                            <w:spacing w:val="-62"/>
                            <w:sz w:val="18"/>
                            <w:szCs w:val="18"/>
                          </w:rPr>
                          <w:t> </w:t>
                        </w:r>
                        <w:r>
                          <w:rPr>
                            <w:rFonts w:ascii="宋体" w:hAnsi="宋体" w:cs="宋体" w:eastAsia="宋体" w:hint="default"/>
                            <w:sz w:val="18"/>
                            <w:szCs w:val="18"/>
                          </w:rPr>
                          <w:t>股于</w:t>
                        </w:r>
                        <w:r>
                          <w:rPr>
                            <w:rFonts w:ascii="宋体" w:hAnsi="宋体" w:cs="宋体" w:eastAsia="宋体" w:hint="default"/>
                            <w:spacing w:val="-62"/>
                            <w:sz w:val="18"/>
                            <w:szCs w:val="18"/>
                          </w:rPr>
                          <w:t> </w:t>
                        </w:r>
                        <w:r>
                          <w:rPr>
                            <w:rFonts w:ascii="宋体" w:hAnsi="宋体" w:cs="宋体" w:eastAsia="宋体" w:hint="default"/>
                            <w:sz w:val="18"/>
                            <w:szCs w:val="18"/>
                          </w:rPr>
                          <w:t>2015</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日上市流通，限售股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6"/>
                            <w:sz w:val="18"/>
                            <w:szCs w:val="18"/>
                          </w:rPr>
                          <w:t> </w:t>
                        </w:r>
                        <w:r>
                          <w:rPr>
                            <w:rFonts w:ascii="宋体" w:hAnsi="宋体" w:cs="宋体" w:eastAsia="宋体" w:hint="default"/>
                            <w:sz w:val="18"/>
                            <w:szCs w:val="18"/>
                          </w:rPr>
                          <w:t>15,335,648</w:t>
                        </w:r>
                        <w:r>
                          <w:rPr>
                            <w:rFonts w:ascii="宋体" w:hAnsi="宋体" w:cs="宋体" w:eastAsia="宋体" w:hint="default"/>
                            <w:spacing w:val="-45"/>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日上市流通，限售股份</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11,517,482</w:t>
                        </w:r>
                        <w:r>
                          <w:rPr>
                            <w:rFonts w:ascii="宋体" w:hAnsi="宋体" w:cs="宋体" w:eastAsia="宋体" w:hint="default"/>
                            <w:spacing w:val="-56"/>
                            <w:sz w:val="18"/>
                            <w:szCs w:val="18"/>
                          </w:rPr>
                          <w:t> </w:t>
                        </w:r>
                        <w:r>
                          <w:rPr>
                            <w:rFonts w:ascii="宋体" w:hAnsi="宋体" w:cs="宋体" w:eastAsia="宋体" w:hint="default"/>
                            <w:sz w:val="18"/>
                            <w:szCs w:val="18"/>
                          </w:rPr>
                          <w:t>股已于</w:t>
                        </w:r>
                        <w:r>
                          <w:rPr>
                            <w:rFonts w:ascii="宋体" w:hAnsi="宋体" w:cs="宋体" w:eastAsia="宋体" w:hint="default"/>
                            <w:spacing w:val="-56"/>
                            <w:sz w:val="18"/>
                            <w:szCs w:val="18"/>
                          </w:rPr>
                          <w:t> </w:t>
                        </w: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6</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8"/>
                            <w:sz w:val="18"/>
                            <w:szCs w:val="18"/>
                          </w:rPr>
                          <w:t> </w:t>
                        </w:r>
                        <w:r>
                          <w:rPr>
                            <w:rFonts w:ascii="宋体" w:hAnsi="宋体" w:cs="宋体" w:eastAsia="宋体" w:hint="default"/>
                            <w:sz w:val="18"/>
                            <w:szCs w:val="18"/>
                          </w:rPr>
                          <w:t>日用于华商传媒</w:t>
                        </w:r>
                        <w:r>
                          <w:rPr>
                            <w:rFonts w:ascii="宋体" w:hAnsi="宋体" w:cs="宋体" w:eastAsia="宋体" w:hint="default"/>
                            <w:spacing w:val="-48"/>
                            <w:sz w:val="18"/>
                            <w:szCs w:val="18"/>
                          </w:rPr>
                          <w:t> </w:t>
                        </w:r>
                        <w:r>
                          <w:rPr>
                            <w:rFonts w:ascii="宋体" w:hAnsi="宋体" w:cs="宋体" w:eastAsia="宋体" w:hint="default"/>
                            <w:sz w:val="18"/>
                            <w:szCs w:val="18"/>
                          </w:rPr>
                          <w:t>38.75%</w:t>
                        </w:r>
                        <w:r>
                          <w:rPr>
                            <w:rFonts w:ascii="宋体" w:hAnsi="宋体" w:cs="宋体" w:eastAsia="宋体" w:hint="default"/>
                            <w:sz w:val="18"/>
                            <w:szCs w:val="18"/>
                          </w:rPr>
                          <w:t>股权</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年业绩承诺未完成的补</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偿，限售股份</w:t>
                        </w:r>
                        <w:r>
                          <w:rPr>
                            <w:rFonts w:ascii="宋体" w:hAnsi="宋体" w:cs="宋体" w:eastAsia="宋体" w:hint="default"/>
                            <w:spacing w:val="-46"/>
                            <w:sz w:val="18"/>
                            <w:szCs w:val="18"/>
                          </w:rPr>
                          <w:t> </w:t>
                        </w:r>
                        <w:r>
                          <w:rPr>
                            <w:rFonts w:ascii="宋体" w:hAnsi="宋体" w:cs="宋体" w:eastAsia="宋体" w:hint="default"/>
                            <w:sz w:val="18"/>
                            <w:szCs w:val="18"/>
                          </w:rPr>
                          <w:t>1,766,836</w:t>
                        </w:r>
                        <w:r>
                          <w:rPr>
                            <w:rFonts w:ascii="宋体" w:hAnsi="宋体" w:cs="宋体" w:eastAsia="宋体" w:hint="default"/>
                            <w:spacing w:val="-46"/>
                            <w:sz w:val="18"/>
                            <w:szCs w:val="18"/>
                          </w:rPr>
                          <w:t> </w:t>
                        </w:r>
                        <w:r>
                          <w:rPr>
                            <w:rFonts w:ascii="宋体" w:hAnsi="宋体" w:cs="宋体" w:eastAsia="宋体" w:hint="default"/>
                            <w:sz w:val="18"/>
                            <w:szCs w:val="18"/>
                          </w:rPr>
                          <w:t>股已</w:t>
                        </w:r>
                      </w:p>
                      <w:p>
                        <w:pPr>
                          <w:pStyle w:val="TableParagraph"/>
                          <w:spacing w:line="316" w:lineRule="auto" w:before="76"/>
                          <w:ind w:left="22" w:right="2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日用于华商 传媒</w:t>
                        </w:r>
                        <w:r>
                          <w:rPr>
                            <w:rFonts w:ascii="宋体" w:hAnsi="宋体" w:cs="宋体" w:eastAsia="宋体" w:hint="default"/>
                            <w:spacing w:val="-63"/>
                            <w:sz w:val="18"/>
                            <w:szCs w:val="18"/>
                          </w:rPr>
                          <w:t> </w:t>
                        </w:r>
                        <w:r>
                          <w:rPr>
                            <w:rFonts w:ascii="宋体" w:hAnsi="宋体" w:cs="宋体" w:eastAsia="宋体" w:hint="default"/>
                            <w:sz w:val="18"/>
                            <w:szCs w:val="18"/>
                          </w:rPr>
                          <w:t>38.75%</w:t>
                        </w:r>
                        <w:r>
                          <w:rPr>
                            <w:rFonts w:ascii="宋体" w:hAnsi="宋体" w:cs="宋体" w:eastAsia="宋体" w:hint="default"/>
                            <w:sz w:val="18"/>
                            <w:szCs w:val="18"/>
                          </w:rPr>
                          <w:t>股权</w:t>
                        </w:r>
                        <w:r>
                          <w:rPr>
                            <w:rFonts w:ascii="宋体" w:hAnsi="宋体" w:cs="宋体" w:eastAsia="宋体" w:hint="default"/>
                            <w:spacing w:val="-63"/>
                            <w:sz w:val="18"/>
                            <w:szCs w:val="18"/>
                          </w:rPr>
                          <w:t> </w:t>
                        </w:r>
                        <w:r>
                          <w:rPr>
                            <w:rFonts w:ascii="宋体" w:hAnsi="宋体" w:cs="宋体" w:eastAsia="宋体" w:hint="default"/>
                            <w:sz w:val="18"/>
                            <w:szCs w:val="18"/>
                          </w:rPr>
                          <w:t>2016</w:t>
                        </w:r>
                        <w:r>
                          <w:rPr>
                            <w:rFonts w:ascii="宋体" w:hAnsi="宋体" w:cs="宋体" w:eastAsia="宋体" w:hint="default"/>
                            <w:spacing w:val="-63"/>
                            <w:sz w:val="18"/>
                            <w:szCs w:val="18"/>
                          </w:rPr>
                          <w:t> </w:t>
                        </w:r>
                        <w:r>
                          <w:rPr>
                            <w:rFonts w:ascii="宋体" w:hAnsi="宋体" w:cs="宋体" w:eastAsia="宋体" w:hint="default"/>
                            <w:sz w:val="18"/>
                            <w:szCs w:val="18"/>
                          </w:rPr>
                          <w:t>年业绩承 诺未完成的补偿，限售股份 </w:t>
                        </w:r>
                        <w:r>
                          <w:rPr>
                            <w:rFonts w:ascii="宋体" w:hAnsi="宋体" w:cs="宋体" w:eastAsia="宋体" w:hint="default"/>
                            <w:sz w:val="18"/>
                            <w:szCs w:val="18"/>
                          </w:rPr>
                          <w:t>11,047,587</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日上市流通，限售股份</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6,339,392</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日上市流通</w:t>
                        </w:r>
                      </w:p>
                    </w:tc>
                  </w:tr>
                  <w:tr>
                    <w:trPr>
                      <w:trHeight w:val="410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拉萨观道</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10,456,799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10,456,799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3,624,989</w:t>
                        </w:r>
                        <w:r>
                          <w:rPr>
                            <w:rFonts w:ascii="宋体" w:hAnsi="宋体" w:cs="宋体" w:eastAsia="宋体" w:hint="default"/>
                            <w:spacing w:val="-46"/>
                            <w:sz w:val="18"/>
                            <w:szCs w:val="18"/>
                          </w:rPr>
                          <w:t> </w:t>
                        </w:r>
                        <w:r>
                          <w:rPr>
                            <w:rFonts w:ascii="宋体" w:hAnsi="宋体" w:cs="宋体" w:eastAsia="宋体" w:hint="default"/>
                            <w:sz w:val="18"/>
                            <w:szCs w:val="18"/>
                          </w:rPr>
                          <w:t>股已于</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7</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25</w:t>
                        </w:r>
                        <w:r>
                          <w:rPr>
                            <w:rFonts w:ascii="宋体" w:hAnsi="宋体" w:cs="宋体" w:eastAsia="宋体" w:hint="default"/>
                            <w:spacing w:val="-54"/>
                            <w:sz w:val="18"/>
                            <w:szCs w:val="18"/>
                          </w:rPr>
                          <w:t> </w:t>
                        </w:r>
                        <w:r>
                          <w:rPr>
                            <w:rFonts w:ascii="宋体" w:hAnsi="宋体" w:cs="宋体" w:eastAsia="宋体" w:hint="default"/>
                            <w:sz w:val="18"/>
                            <w:szCs w:val="18"/>
                          </w:rPr>
                          <w:t>日用于澄怀科技</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年度业绩承诺未完成的补</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偿，限售股份</w:t>
                        </w:r>
                        <w:r>
                          <w:rPr>
                            <w:rFonts w:ascii="宋体" w:hAnsi="宋体" w:cs="宋体" w:eastAsia="宋体" w:hint="default"/>
                            <w:spacing w:val="-49"/>
                            <w:sz w:val="18"/>
                            <w:szCs w:val="18"/>
                          </w:rPr>
                          <w:t> </w:t>
                        </w:r>
                        <w:r>
                          <w:rPr>
                            <w:rFonts w:ascii="宋体" w:hAnsi="宋体" w:cs="宋体" w:eastAsia="宋体" w:hint="default"/>
                            <w:sz w:val="18"/>
                            <w:szCs w:val="18"/>
                          </w:rPr>
                          <w:t>13,356,790</w:t>
                        </w:r>
                        <w:r>
                          <w:rPr>
                            <w:rFonts w:ascii="宋体" w:hAnsi="宋体" w:cs="宋体" w:eastAsia="宋体" w:hint="default"/>
                            <w:spacing w:val="-49"/>
                            <w:sz w:val="18"/>
                            <w:szCs w:val="18"/>
                          </w:rPr>
                          <w:t> </w:t>
                        </w:r>
                        <w:r>
                          <w:rPr>
                            <w:rFonts w:ascii="宋体" w:hAnsi="宋体" w:cs="宋体" w:eastAsia="宋体" w:hint="default"/>
                            <w:sz w:val="18"/>
                            <w:szCs w:val="18"/>
                          </w:rPr>
                          <w:t>股于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日上市流通，限</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7"/>
                            <w:sz w:val="18"/>
                            <w:szCs w:val="18"/>
                          </w:rPr>
                          <w:t> </w:t>
                        </w:r>
                        <w:r>
                          <w:rPr>
                            <w:rFonts w:ascii="宋体" w:hAnsi="宋体" w:cs="宋体" w:eastAsia="宋体" w:hint="default"/>
                            <w:sz w:val="18"/>
                            <w:szCs w:val="18"/>
                          </w:rPr>
                          <w:t>5,953,397</w:t>
                        </w:r>
                        <w:r>
                          <w:rPr>
                            <w:rFonts w:ascii="宋体" w:hAnsi="宋体" w:cs="宋体" w:eastAsia="宋体" w:hint="default"/>
                            <w:spacing w:val="-47"/>
                            <w:sz w:val="18"/>
                            <w:szCs w:val="18"/>
                          </w:rPr>
                          <w:t> </w:t>
                        </w:r>
                        <w:r>
                          <w:rPr>
                            <w:rFonts w:ascii="宋体" w:hAnsi="宋体" w:cs="宋体" w:eastAsia="宋体" w:hint="default"/>
                            <w:sz w:val="18"/>
                            <w:szCs w:val="18"/>
                          </w:rPr>
                          <w:t>股于</w:t>
                        </w:r>
                        <w:r>
                          <w:rPr>
                            <w:rFonts w:ascii="宋体" w:hAnsi="宋体" w:cs="宋体" w:eastAsia="宋体" w:hint="default"/>
                            <w:spacing w:val="-47"/>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p>
                      <w:p>
                        <w:pPr>
                          <w:pStyle w:val="TableParagraph"/>
                          <w:spacing w:line="316" w:lineRule="auto" w:before="76"/>
                          <w:ind w:left="22" w:right="11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日拟计划解除限售股份 </w:t>
                        </w:r>
                        <w:r>
                          <w:rPr>
                            <w:rFonts w:ascii="宋体" w:hAnsi="宋体" w:cs="宋体" w:eastAsia="宋体" w:hint="default"/>
                            <w:sz w:val="18"/>
                            <w:szCs w:val="18"/>
                          </w:rPr>
                          <w:t>5,953,397</w:t>
                        </w:r>
                        <w:r>
                          <w:rPr>
                            <w:rFonts w:ascii="宋体" w:hAnsi="宋体" w:cs="宋体" w:eastAsia="宋体" w:hint="default"/>
                            <w:spacing w:val="-42"/>
                            <w:sz w:val="18"/>
                            <w:szCs w:val="18"/>
                          </w:rPr>
                          <w:t> </w:t>
                        </w:r>
                        <w:r>
                          <w:rPr>
                            <w:rFonts w:ascii="宋体" w:hAnsi="宋体" w:cs="宋体" w:eastAsia="宋体" w:hint="default"/>
                            <w:spacing w:val="-16"/>
                            <w:sz w:val="18"/>
                            <w:szCs w:val="18"/>
                          </w:rPr>
                          <w:t>股（尚未解除限售）</w:t>
                        </w:r>
                        <w:r>
                          <w:rPr>
                            <w:rFonts w:ascii="宋体" w:hAnsi="宋体" w:cs="宋体" w:eastAsia="宋体" w:hint="default"/>
                            <w:sz w:val="18"/>
                            <w:szCs w:val="18"/>
                          </w:rPr>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日拟解除限售股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份 </w:t>
                        </w:r>
                        <w:r>
                          <w:rPr>
                            <w:rFonts w:ascii="宋体" w:hAnsi="宋体" w:cs="宋体" w:eastAsia="宋体" w:hint="default"/>
                            <w:sz w:val="18"/>
                            <w:szCs w:val="18"/>
                          </w:rPr>
                          <w:t>2,976,699</w:t>
                        </w:r>
                        <w:r>
                          <w:rPr>
                            <w:rFonts w:ascii="宋体" w:hAnsi="宋体" w:cs="宋体" w:eastAsia="宋体" w:hint="default"/>
                            <w:spacing w:val="-46"/>
                            <w:sz w:val="18"/>
                            <w:szCs w:val="18"/>
                          </w:rPr>
                          <w:t> </w:t>
                        </w:r>
                        <w:r>
                          <w:rPr>
                            <w:rFonts w:ascii="宋体" w:hAnsi="宋体" w:cs="宋体" w:eastAsia="宋体" w:hint="default"/>
                            <w:sz w:val="18"/>
                            <w:szCs w:val="18"/>
                          </w:rPr>
                          <w:t>股（尚未解除限</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90"/>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日拟解</w:t>
                        </w:r>
                        <w:r>
                          <w:rPr>
                            <w:rFonts w:ascii="宋体" w:hAnsi="宋体" w:cs="宋体" w:eastAsia="宋体" w:hint="default"/>
                            <w:spacing w:val="1"/>
                            <w:sz w:val="18"/>
                            <w:szCs w:val="18"/>
                          </w:rPr>
                          <w:t>除</w:t>
                        </w:r>
                        <w:r>
                          <w:rPr>
                            <w:rFonts w:ascii="宋体" w:hAnsi="宋体" w:cs="宋体" w:eastAsia="宋体" w:hint="default"/>
                            <w:sz w:val="18"/>
                            <w:szCs w:val="18"/>
                          </w:rPr>
                          <w:t>限</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6"/>
                            <w:sz w:val="18"/>
                            <w:szCs w:val="18"/>
                          </w:rPr>
                          <w:t> </w:t>
                        </w:r>
                        <w:r>
                          <w:rPr>
                            <w:rFonts w:ascii="宋体" w:hAnsi="宋体" w:cs="宋体" w:eastAsia="宋体" w:hint="default"/>
                            <w:sz w:val="18"/>
                            <w:szCs w:val="18"/>
                          </w:rPr>
                          <w:t>1,526,703</w:t>
                        </w:r>
                        <w:r>
                          <w:rPr>
                            <w:rFonts w:ascii="宋体" w:hAnsi="宋体" w:cs="宋体" w:eastAsia="宋体" w:hint="default"/>
                            <w:spacing w:val="-46"/>
                            <w:sz w:val="18"/>
                            <w:szCs w:val="18"/>
                          </w:rPr>
                          <w:t> </w:t>
                        </w:r>
                        <w:r>
                          <w:rPr>
                            <w:rFonts w:ascii="宋体" w:hAnsi="宋体" w:cs="宋体" w:eastAsia="宋体" w:hint="default"/>
                            <w:sz w:val="18"/>
                            <w:szCs w:val="18"/>
                          </w:rPr>
                          <w:t>股（尚未解</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5pt;height:689.9pt;mso-position-horizontal-relative:page;mso-position-vertical-relative:page;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4"/>
                    <w:gridCol w:w="1134"/>
                    <w:gridCol w:w="1134"/>
                    <w:gridCol w:w="851"/>
                    <w:gridCol w:w="1134"/>
                    <w:gridCol w:w="1702"/>
                    <w:gridCol w:w="2480"/>
                  </w:tblGrid>
                  <w:tr>
                    <w:trPr>
                      <w:trHeight w:val="362" w:hRule="exact"/>
                    </w:trPr>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除限售）</w:t>
                        </w:r>
                      </w:p>
                    </w:tc>
                  </w:tr>
                  <w:tr>
                    <w:trPr>
                      <w:trHeight w:val="445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拉萨澄怀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7,892,286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7,892,286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906,247</w:t>
                        </w:r>
                        <w:r>
                          <w:rPr>
                            <w:rFonts w:ascii="宋体" w:hAnsi="宋体" w:cs="宋体" w:eastAsia="宋体" w:hint="default"/>
                            <w:spacing w:val="-46"/>
                            <w:sz w:val="18"/>
                            <w:szCs w:val="18"/>
                          </w:rPr>
                          <w:t> </w:t>
                        </w:r>
                        <w:r>
                          <w:rPr>
                            <w:rFonts w:ascii="宋体" w:hAnsi="宋体" w:cs="宋体" w:eastAsia="宋体" w:hint="default"/>
                            <w:sz w:val="18"/>
                            <w:szCs w:val="18"/>
                          </w:rPr>
                          <w:t>股已于</w:t>
                        </w:r>
                        <w:r>
                          <w:rPr>
                            <w:rFonts w:ascii="宋体" w:hAnsi="宋体" w:cs="宋体" w:eastAsia="宋体" w:hint="default"/>
                            <w:spacing w:val="-46"/>
                            <w:sz w:val="18"/>
                            <w:szCs w:val="18"/>
                          </w:rPr>
                          <w:t> </w:t>
                        </w:r>
                        <w:r>
                          <w:rPr>
                            <w:rFonts w:ascii="宋体" w:hAnsi="宋体" w:cs="宋体" w:eastAsia="宋体" w:hint="default"/>
                            <w:sz w:val="18"/>
                            <w:szCs w:val="18"/>
                          </w:rPr>
                          <w:t>2014</w:t>
                        </w:r>
                      </w:p>
                      <w:p>
                        <w:pPr>
                          <w:pStyle w:val="TableParagraph"/>
                          <w:spacing w:line="319" w:lineRule="auto" w:before="75"/>
                          <w:ind w:left="22"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7</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25</w:t>
                        </w:r>
                        <w:r>
                          <w:rPr>
                            <w:rFonts w:ascii="宋体" w:hAnsi="宋体" w:cs="宋体" w:eastAsia="宋体" w:hint="default"/>
                            <w:spacing w:val="-56"/>
                            <w:sz w:val="18"/>
                            <w:szCs w:val="18"/>
                          </w:rPr>
                          <w:t> </w:t>
                        </w:r>
                        <w:r>
                          <w:rPr>
                            <w:rFonts w:ascii="宋体" w:hAnsi="宋体" w:cs="宋体" w:eastAsia="宋体" w:hint="default"/>
                            <w:sz w:val="18"/>
                            <w:szCs w:val="18"/>
                          </w:rPr>
                          <w:t>日用于澄怀科技</w:t>
                        </w:r>
                        <w:r>
                          <w:rPr>
                            <w:rFonts w:ascii="宋体" w:hAnsi="宋体" w:cs="宋体" w:eastAsia="宋体" w:hint="default"/>
                            <w:spacing w:val="-56"/>
                            <w:sz w:val="18"/>
                            <w:szCs w:val="18"/>
                          </w:rPr>
                          <w:t> </w:t>
                        </w:r>
                        <w:r>
                          <w:rPr>
                            <w:rFonts w:ascii="宋体" w:hAnsi="宋体" w:cs="宋体" w:eastAsia="宋体" w:hint="default"/>
                            <w:sz w:val="18"/>
                            <w:szCs w:val="18"/>
                          </w:rPr>
                          <w:t>2013 </w:t>
                        </w:r>
                        <w:r>
                          <w:rPr>
                            <w:rFonts w:ascii="宋体" w:hAnsi="宋体" w:cs="宋体" w:eastAsia="宋体" w:hint="default"/>
                            <w:sz w:val="18"/>
                            <w:szCs w:val="18"/>
                          </w:rPr>
                          <w:t>年度业绩承诺未完成的补偿， 限售股份</w:t>
                        </w:r>
                        <w:r>
                          <w:rPr>
                            <w:rFonts w:ascii="宋体" w:hAnsi="宋体" w:cs="宋体" w:eastAsia="宋体" w:hint="default"/>
                            <w:spacing w:val="-46"/>
                            <w:sz w:val="18"/>
                            <w:szCs w:val="18"/>
                          </w:rPr>
                          <w:t> </w:t>
                        </w:r>
                        <w:r>
                          <w:rPr>
                            <w:rFonts w:ascii="宋体" w:hAnsi="宋体" w:cs="宋体" w:eastAsia="宋体" w:hint="default"/>
                            <w:sz w:val="18"/>
                            <w:szCs w:val="18"/>
                          </w:rPr>
                          <w:t>8,617,284</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p>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日上市流通，限售股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6"/>
                            <w:sz w:val="18"/>
                            <w:szCs w:val="18"/>
                          </w:rPr>
                          <w:t> </w:t>
                        </w:r>
                        <w:r>
                          <w:rPr>
                            <w:rFonts w:ascii="宋体" w:hAnsi="宋体" w:cs="宋体" w:eastAsia="宋体" w:hint="default"/>
                            <w:sz w:val="18"/>
                            <w:szCs w:val="18"/>
                          </w:rPr>
                          <w:t>4,127,393</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p>
                      <w:p>
                        <w:pPr>
                          <w:pStyle w:val="TableParagraph"/>
                          <w:spacing w:line="316" w:lineRule="auto" w:before="76"/>
                          <w:ind w:left="22" w:right="61"/>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日上市流通，</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 </w:t>
                        </w:r>
                        <w:r>
                          <w:rPr>
                            <w:rFonts w:ascii="宋体" w:hAnsi="宋体" w:cs="宋体" w:eastAsia="宋体" w:hint="default"/>
                            <w:sz w:val="18"/>
                            <w:szCs w:val="18"/>
                          </w:rPr>
                          <w:t>日拟计划解除限售股份 </w:t>
                        </w:r>
                        <w:r>
                          <w:rPr>
                            <w:rFonts w:ascii="宋体" w:hAnsi="宋体" w:cs="宋体" w:eastAsia="宋体" w:hint="default"/>
                            <w:sz w:val="18"/>
                            <w:szCs w:val="18"/>
                          </w:rPr>
                          <w:t>4,127,393</w:t>
                        </w:r>
                        <w:r>
                          <w:rPr>
                            <w:rFonts w:ascii="宋体" w:hAnsi="宋体" w:cs="宋体" w:eastAsia="宋体" w:hint="default"/>
                            <w:spacing w:val="-42"/>
                            <w:sz w:val="18"/>
                            <w:szCs w:val="18"/>
                          </w:rPr>
                          <w:t> </w:t>
                        </w:r>
                        <w:r>
                          <w:rPr>
                            <w:rFonts w:ascii="宋体" w:hAnsi="宋体" w:cs="宋体" w:eastAsia="宋体" w:hint="default"/>
                            <w:spacing w:val="-16"/>
                            <w:sz w:val="18"/>
                            <w:szCs w:val="18"/>
                          </w:rPr>
                          <w:t>股（尚未解除限售）</w:t>
                        </w:r>
                        <w:r>
                          <w:rPr>
                            <w:rFonts w:ascii="宋体" w:hAnsi="宋体" w:cs="宋体" w:eastAsia="宋体" w:hint="default"/>
                            <w:sz w:val="18"/>
                            <w:szCs w:val="18"/>
                          </w:rPr>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日拟解除限售股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6"/>
                            <w:sz w:val="18"/>
                            <w:szCs w:val="18"/>
                          </w:rPr>
                          <w:t> </w:t>
                        </w:r>
                        <w:r>
                          <w:rPr>
                            <w:rFonts w:ascii="宋体" w:hAnsi="宋体" w:cs="宋体" w:eastAsia="宋体" w:hint="default"/>
                            <w:sz w:val="18"/>
                            <w:szCs w:val="18"/>
                          </w:rPr>
                          <w:t>2,063,696</w:t>
                        </w:r>
                        <w:r>
                          <w:rPr>
                            <w:rFonts w:ascii="宋体" w:hAnsi="宋体" w:cs="宋体" w:eastAsia="宋体" w:hint="default"/>
                            <w:spacing w:val="-45"/>
                            <w:sz w:val="18"/>
                            <w:szCs w:val="18"/>
                          </w:rPr>
                          <w:t> </w:t>
                        </w:r>
                        <w:r>
                          <w:rPr>
                            <w:rFonts w:ascii="宋体" w:hAnsi="宋体" w:cs="宋体" w:eastAsia="宋体" w:hint="default"/>
                            <w:sz w:val="18"/>
                            <w:szCs w:val="18"/>
                          </w:rPr>
                          <w:t>股（尚未解除限</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90"/>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日拟解</w:t>
                        </w:r>
                        <w:r>
                          <w:rPr>
                            <w:rFonts w:ascii="宋体" w:hAnsi="宋体" w:cs="宋体" w:eastAsia="宋体" w:hint="default"/>
                            <w:spacing w:val="1"/>
                            <w:sz w:val="18"/>
                            <w:szCs w:val="18"/>
                          </w:rPr>
                          <w:t>除</w:t>
                        </w:r>
                        <w:r>
                          <w:rPr>
                            <w:rFonts w:ascii="宋体" w:hAnsi="宋体" w:cs="宋体" w:eastAsia="宋体" w:hint="default"/>
                            <w:sz w:val="18"/>
                            <w:szCs w:val="18"/>
                          </w:rPr>
                          <w:t>限</w:t>
                        </w:r>
                      </w:p>
                      <w:p>
                        <w:pPr>
                          <w:pStyle w:val="TableParagraph"/>
                          <w:spacing w:line="319" w:lineRule="auto" w:before="76"/>
                          <w:ind w:left="22" w:right="107"/>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6"/>
                            <w:sz w:val="18"/>
                            <w:szCs w:val="18"/>
                          </w:rPr>
                          <w:t> </w:t>
                        </w:r>
                        <w:r>
                          <w:rPr>
                            <w:rFonts w:ascii="宋体" w:hAnsi="宋体" w:cs="宋体" w:eastAsia="宋体" w:hint="default"/>
                            <w:sz w:val="18"/>
                            <w:szCs w:val="18"/>
                          </w:rPr>
                          <w:t>1,701,197</w:t>
                        </w:r>
                        <w:r>
                          <w:rPr>
                            <w:rFonts w:ascii="宋体" w:hAnsi="宋体" w:cs="宋体" w:eastAsia="宋体" w:hint="default"/>
                            <w:spacing w:val="-46"/>
                            <w:sz w:val="18"/>
                            <w:szCs w:val="18"/>
                          </w:rPr>
                          <w:t> </w:t>
                        </w:r>
                        <w:r>
                          <w:rPr>
                            <w:rFonts w:ascii="宋体" w:hAnsi="宋体" w:cs="宋体" w:eastAsia="宋体" w:hint="default"/>
                            <w:sz w:val="18"/>
                            <w:szCs w:val="18"/>
                          </w:rPr>
                          <w:t>股（尚未解 除限售）</w:t>
                        </w:r>
                      </w:p>
                    </w:tc>
                  </w:tr>
                  <w:tr>
                    <w:trPr>
                      <w:trHeight w:val="196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西藏风网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3"/>
                          <w:jc w:val="right"/>
                          <w:rPr>
                            <w:rFonts w:ascii="宋体" w:hAnsi="宋体" w:cs="宋体" w:eastAsia="宋体" w:hint="default"/>
                            <w:sz w:val="18"/>
                            <w:szCs w:val="18"/>
                          </w:rPr>
                        </w:pPr>
                        <w:r>
                          <w:rPr>
                            <w:rFonts w:ascii="宋体"/>
                            <w:sz w:val="18"/>
                          </w:rPr>
                          <w:t>35,486,842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3"/>
                          <w:jc w:val="right"/>
                          <w:rPr>
                            <w:rFonts w:ascii="宋体" w:hAnsi="宋体" w:cs="宋体" w:eastAsia="宋体" w:hint="default"/>
                            <w:sz w:val="18"/>
                            <w:szCs w:val="18"/>
                          </w:rPr>
                        </w:pPr>
                        <w:r>
                          <w:rPr>
                            <w:rFonts w:ascii="宋体"/>
                            <w:sz w:val="18"/>
                          </w:rPr>
                          <w:t>35,486,842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62"/>
                            <w:sz w:val="18"/>
                            <w:szCs w:val="18"/>
                          </w:rPr>
                          <w:t> </w:t>
                        </w:r>
                        <w:r>
                          <w:rPr>
                            <w:rFonts w:ascii="宋体" w:hAnsi="宋体" w:cs="宋体" w:eastAsia="宋体" w:hint="default"/>
                            <w:sz w:val="18"/>
                            <w:szCs w:val="18"/>
                          </w:rPr>
                          <w:t>23,657,894</w:t>
                        </w:r>
                        <w:r>
                          <w:rPr>
                            <w:rFonts w:ascii="宋体" w:hAnsi="宋体" w:cs="宋体" w:eastAsia="宋体" w:hint="default"/>
                            <w:spacing w:val="-62"/>
                            <w:sz w:val="18"/>
                            <w:szCs w:val="18"/>
                          </w:rPr>
                          <w:t> </w:t>
                        </w:r>
                        <w:r>
                          <w:rPr>
                            <w:rFonts w:ascii="宋体" w:hAnsi="宋体" w:cs="宋体" w:eastAsia="宋体" w:hint="default"/>
                            <w:sz w:val="18"/>
                            <w:szCs w:val="18"/>
                          </w:rPr>
                          <w:t>股于</w:t>
                        </w:r>
                        <w:r>
                          <w:rPr>
                            <w:rFonts w:ascii="宋体" w:hAnsi="宋体" w:cs="宋体" w:eastAsia="宋体" w:hint="default"/>
                            <w:spacing w:val="-62"/>
                            <w:sz w:val="18"/>
                            <w:szCs w:val="18"/>
                          </w:rPr>
                          <w:t> </w:t>
                        </w:r>
                        <w:r>
                          <w:rPr>
                            <w:rFonts w:ascii="宋体" w:hAnsi="宋体" w:cs="宋体" w:eastAsia="宋体" w:hint="default"/>
                            <w:sz w:val="18"/>
                            <w:szCs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日上市流通，</w:t>
                        </w:r>
                        <w:r>
                          <w:rPr>
                            <w:rFonts w:ascii="宋体" w:hAnsi="宋体" w:cs="宋体" w:eastAsia="宋体" w:hint="default"/>
                            <w:sz w:val="18"/>
                            <w:szCs w:val="18"/>
                          </w:rPr>
                          <w:t>2018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17,743,421</w:t>
                        </w:r>
                        <w:r>
                          <w:rPr>
                            <w:rFonts w:ascii="宋体" w:hAnsi="宋体" w:cs="宋体" w:eastAsia="宋体" w:hint="default"/>
                            <w:spacing w:val="-46"/>
                            <w:sz w:val="18"/>
                            <w:szCs w:val="18"/>
                          </w:rPr>
                          <w:t> </w:t>
                        </w:r>
                        <w:r>
                          <w:rPr>
                            <w:rFonts w:ascii="宋体" w:hAnsi="宋体" w:cs="宋体" w:eastAsia="宋体" w:hint="default"/>
                            <w:sz w:val="18"/>
                            <w:szCs w:val="18"/>
                          </w:rPr>
                          <w:t>股（尚未解除限</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90"/>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w:t>
                        </w:r>
                        <w:r>
                          <w:rPr>
                            <w:rFonts w:ascii="宋体" w:hAnsi="宋体" w:cs="宋体" w:eastAsia="宋体" w:hint="default"/>
                            <w:spacing w:val="1"/>
                            <w:sz w:val="18"/>
                            <w:szCs w:val="18"/>
                          </w:rPr>
                          <w:t>解</w:t>
                        </w:r>
                        <w:r>
                          <w:rPr>
                            <w:rFonts w:ascii="宋体" w:hAnsi="宋体" w:cs="宋体" w:eastAsia="宋体" w:hint="default"/>
                            <w:sz w:val="18"/>
                            <w:szCs w:val="18"/>
                          </w:rPr>
                          <w:t>除</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17,743,421</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21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程顺玲</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4,150,357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2,075,179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2,075,178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22"/>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8"/>
                            <w:sz w:val="18"/>
                            <w:szCs w:val="18"/>
                          </w:rPr>
                          <w:t> </w:t>
                        </w:r>
                        <w:r>
                          <w:rPr>
                            <w:rFonts w:ascii="宋体" w:hAnsi="宋体" w:cs="宋体" w:eastAsia="宋体" w:hint="default"/>
                            <w:sz w:val="18"/>
                            <w:szCs w:val="18"/>
                          </w:rPr>
                          <w:t>6,225,537 </w:t>
                        </w:r>
                        <w:r>
                          <w:rPr>
                            <w:rFonts w:ascii="宋体" w:hAnsi="宋体" w:cs="宋体" w:eastAsia="宋体" w:hint="default"/>
                            <w:sz w:val="18"/>
                            <w:szCs w:val="18"/>
                          </w:rPr>
                          <w:t>股于</w:t>
                        </w:r>
                        <w:r>
                          <w:rPr>
                            <w:rFonts w:ascii="宋体" w:hAnsi="宋体" w:cs="宋体" w:eastAsia="宋体" w:hint="default"/>
                            <w:spacing w:val="-48"/>
                            <w:sz w:val="18"/>
                            <w:szCs w:val="18"/>
                          </w:rPr>
                          <w:t> </w:t>
                        </w:r>
                        <w:r>
                          <w:rPr>
                            <w:rFonts w:ascii="宋体" w:hAnsi="宋体" w:cs="宋体" w:eastAsia="宋体" w:hint="default"/>
                            <w:sz w:val="18"/>
                            <w:szCs w:val="18"/>
                          </w:rPr>
                          <w:t>2015</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日上市流通，限售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6"/>
                            <w:sz w:val="18"/>
                            <w:szCs w:val="18"/>
                          </w:rPr>
                          <w:t> </w:t>
                        </w:r>
                        <w:r>
                          <w:rPr>
                            <w:rFonts w:ascii="宋体" w:hAnsi="宋体" w:cs="宋体" w:eastAsia="宋体" w:hint="default"/>
                            <w:sz w:val="18"/>
                            <w:szCs w:val="18"/>
                          </w:rPr>
                          <w:t>6,225,537</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日上市流通，限售股份</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4,150,358</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日上市流通，限售股份</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2,075,179</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日上市流通，</w:t>
                        </w:r>
                        <w:r>
                          <w:rPr>
                            <w:rFonts w:ascii="宋体" w:hAnsi="宋体" w:cs="宋体" w:eastAsia="宋体" w:hint="default"/>
                            <w:spacing w:val="-5"/>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2,075,178</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795"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李菊莲</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2,887,285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464,428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23"/>
                          <w:jc w:val="right"/>
                          <w:rPr>
                            <w:rFonts w:ascii="宋体" w:hAnsi="宋体" w:cs="宋体" w:eastAsia="宋体" w:hint="default"/>
                            <w:sz w:val="18"/>
                            <w:szCs w:val="18"/>
                          </w:rPr>
                        </w:pPr>
                        <w:r>
                          <w:rPr>
                            <w:rFonts w:ascii="宋体"/>
                            <w:sz w:val="18"/>
                          </w:rPr>
                          <w:t>1,334,841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4,330,926</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日上市流通，限售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6"/>
                            <w:sz w:val="18"/>
                            <w:szCs w:val="18"/>
                          </w:rPr>
                          <w:t> </w:t>
                        </w:r>
                        <w:r>
                          <w:rPr>
                            <w:rFonts w:ascii="宋体" w:hAnsi="宋体" w:cs="宋体" w:eastAsia="宋体" w:hint="default"/>
                            <w:sz w:val="18"/>
                            <w:szCs w:val="18"/>
                          </w:rPr>
                          <w:t>4,330,926</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日上市流通，限售股份</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2,887,284</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日上市流通，限售股份</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1,088,016</w:t>
                        </w:r>
                        <w:r>
                          <w:rPr>
                            <w:rFonts w:ascii="宋体" w:hAnsi="宋体" w:cs="宋体" w:eastAsia="宋体" w:hint="default"/>
                            <w:spacing w:val="-56"/>
                            <w:sz w:val="18"/>
                            <w:szCs w:val="18"/>
                          </w:rPr>
                          <w:t> </w:t>
                        </w:r>
                        <w:r>
                          <w:rPr>
                            <w:rFonts w:ascii="宋体" w:hAnsi="宋体" w:cs="宋体" w:eastAsia="宋体" w:hint="default"/>
                            <w:sz w:val="18"/>
                            <w:szCs w:val="18"/>
                          </w:rPr>
                          <w:t>股已于</w:t>
                        </w:r>
                        <w:r>
                          <w:rPr>
                            <w:rFonts w:ascii="宋体" w:hAnsi="宋体" w:cs="宋体" w:eastAsia="宋体" w:hint="default"/>
                            <w:spacing w:val="-56"/>
                            <w:sz w:val="18"/>
                            <w:szCs w:val="18"/>
                          </w:rPr>
                          <w:t> </w:t>
                        </w:r>
                        <w:r>
                          <w:rPr>
                            <w:rFonts w:ascii="宋体" w:hAnsi="宋体" w:cs="宋体" w:eastAsia="宋体" w:hint="default"/>
                            <w:sz w:val="18"/>
                            <w:szCs w:val="18"/>
                          </w:rPr>
                          <w:t>2018</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日用于邦富软件</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年及</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年业绩承诺未完成的补</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偿</w:t>
                        </w:r>
                        <w:r>
                          <w:rPr>
                            <w:rFonts w:ascii="宋体" w:hAnsi="宋体" w:cs="宋体" w:eastAsia="宋体" w:hint="default"/>
                            <w:spacing w:val="-90"/>
                            <w:sz w:val="18"/>
                            <w:szCs w:val="18"/>
                          </w:rPr>
                          <w:t>，</w:t>
                        </w:r>
                        <w:r>
                          <w:rPr>
                            <w:rFonts w:ascii="宋体" w:hAnsi="宋体" w:cs="宋体" w:eastAsia="宋体" w:hint="default"/>
                            <w:sz w:val="18"/>
                            <w:szCs w:val="18"/>
                          </w:rPr>
                          <w:t>限售股份</w:t>
                        </w:r>
                        <w:r>
                          <w:rPr>
                            <w:rFonts w:ascii="宋体" w:hAnsi="宋体" w:cs="宋体" w:eastAsia="宋体" w:hint="default"/>
                            <w:spacing w:val="-62"/>
                            <w:sz w:val="18"/>
                            <w:szCs w:val="18"/>
                          </w:rPr>
                          <w:t> </w:t>
                        </w:r>
                        <w:r>
                          <w:rPr>
                            <w:rFonts w:ascii="宋体" w:hAnsi="宋体" w:cs="宋体" w:eastAsia="宋体" w:hint="default"/>
                            <w:sz w:val="18"/>
                            <w:szCs w:val="18"/>
                          </w:rPr>
                          <w:t>464,428</w:t>
                        </w:r>
                        <w:r>
                          <w:rPr>
                            <w:rFonts w:ascii="宋体" w:hAnsi="宋体" w:cs="宋体" w:eastAsia="宋体" w:hint="default"/>
                            <w:spacing w:val="-62"/>
                            <w:sz w:val="18"/>
                            <w:szCs w:val="18"/>
                          </w:rPr>
                          <w:t> </w:t>
                        </w:r>
                        <w:r>
                          <w:rPr>
                            <w:rFonts w:ascii="宋体" w:hAnsi="宋体" w:cs="宋体" w:eastAsia="宋体" w:hint="default"/>
                            <w:sz w:val="18"/>
                            <w:szCs w:val="18"/>
                          </w:rPr>
                          <w:t>股于</w:t>
                        </w:r>
                        <w:r>
                          <w:rPr>
                            <w:rFonts w:ascii="宋体" w:hAnsi="宋体" w:cs="宋体" w:eastAsia="宋体" w:hint="default"/>
                            <w:spacing w:val="-62"/>
                            <w:sz w:val="18"/>
                            <w:szCs w:val="18"/>
                          </w:rPr>
                          <w:t> </w:t>
                        </w:r>
                        <w:r>
                          <w:rPr>
                            <w:rFonts w:ascii="宋体" w:hAnsi="宋体" w:cs="宋体" w:eastAsia="宋体" w:hint="default"/>
                            <w:sz w:val="18"/>
                            <w:szCs w:val="18"/>
                          </w:rPr>
                          <w:t>2018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日上市流通，</w:t>
                        </w:r>
                        <w:r>
                          <w:rPr>
                            <w:rFonts w:ascii="宋体" w:hAnsi="宋体" w:cs="宋体" w:eastAsia="宋体" w:hint="default"/>
                            <w:spacing w:val="-51"/>
                            <w:sz w:val="18"/>
                            <w:szCs w:val="18"/>
                          </w:rPr>
                          <w:t> </w:t>
                        </w:r>
                        <w:r>
                          <w:rPr>
                            <w:rFonts w:ascii="宋体" w:hAnsi="宋体" w:cs="宋体" w:eastAsia="宋体" w:hint="default"/>
                            <w:sz w:val="18"/>
                            <w:szCs w:val="18"/>
                          </w:rPr>
                          <w:t>2019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34"/>
        <w:gridCol w:w="1134"/>
        <w:gridCol w:w="1134"/>
        <w:gridCol w:w="851"/>
        <w:gridCol w:w="1134"/>
        <w:gridCol w:w="1702"/>
        <w:gridCol w:w="2480"/>
      </w:tblGrid>
      <w:tr>
        <w:trPr>
          <w:trHeight w:val="362" w:hRule="exact"/>
        </w:trPr>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1,334,841</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289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曾子帆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3"/>
              <w:jc w:val="right"/>
              <w:rPr>
                <w:rFonts w:ascii="宋体" w:hAnsi="宋体" w:cs="宋体" w:eastAsia="宋体" w:hint="default"/>
                <w:sz w:val="18"/>
                <w:szCs w:val="18"/>
              </w:rPr>
            </w:pPr>
            <w:r>
              <w:rPr>
                <w:rFonts w:ascii="宋体"/>
                <w:sz w:val="18"/>
              </w:rPr>
              <w:t>541,305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3"/>
              <w:jc w:val="right"/>
              <w:rPr>
                <w:rFonts w:ascii="宋体" w:hAnsi="宋体" w:cs="宋体" w:eastAsia="宋体" w:hint="default"/>
                <w:sz w:val="18"/>
                <w:szCs w:val="18"/>
              </w:rPr>
            </w:pPr>
            <w:r>
              <w:rPr>
                <w:rFonts w:ascii="宋体"/>
                <w:sz w:val="18"/>
              </w:rPr>
              <w:t>270,653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3"/>
              <w:jc w:val="right"/>
              <w:rPr>
                <w:rFonts w:ascii="宋体" w:hAnsi="宋体" w:cs="宋体" w:eastAsia="宋体" w:hint="default"/>
                <w:sz w:val="18"/>
                <w:szCs w:val="18"/>
              </w:rPr>
            </w:pPr>
            <w:r>
              <w:rPr>
                <w:rFonts w:ascii="宋体"/>
                <w:sz w:val="18"/>
              </w:rPr>
              <w:t>270,652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宋体" w:hAnsi="宋体" w:cs="宋体" w:eastAsia="宋体" w:hint="default"/>
                <w:sz w:val="18"/>
                <w:szCs w:val="18"/>
              </w:rPr>
              <w:t>811,958</w:t>
            </w:r>
            <w:r>
              <w:rPr>
                <w:rFonts w:ascii="宋体" w:hAnsi="宋体" w:cs="宋体" w:eastAsia="宋体" w:hint="default"/>
                <w:spacing w:val="-47"/>
                <w:sz w:val="18"/>
                <w:szCs w:val="18"/>
              </w:rPr>
              <w:t> </w:t>
            </w:r>
            <w:r>
              <w:rPr>
                <w:rFonts w:ascii="宋体" w:hAnsi="宋体" w:cs="宋体" w:eastAsia="宋体" w:hint="default"/>
                <w:sz w:val="18"/>
                <w:szCs w:val="18"/>
              </w:rPr>
              <w:t>股于</w:t>
            </w:r>
            <w:r>
              <w:rPr>
                <w:rFonts w:ascii="宋体" w:hAnsi="宋体" w:cs="宋体" w:eastAsia="宋体" w:hint="default"/>
                <w:spacing w:val="-47"/>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pacing w:val="-5"/>
                <w:sz w:val="18"/>
                <w:szCs w:val="18"/>
              </w:rPr>
              <w:t>日上市流通，限售股份</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811,958</w:t>
            </w:r>
            <w:r>
              <w:rPr>
                <w:rFonts w:ascii="宋体" w:hAnsi="宋体" w:cs="宋体" w:eastAsia="宋体" w:hint="default"/>
                <w:spacing w:val="-53"/>
                <w:sz w:val="18"/>
                <w:szCs w:val="18"/>
              </w:rPr>
              <w:t> </w:t>
            </w:r>
            <w:r>
              <w:rPr>
                <w:rFonts w:ascii="宋体" w:hAnsi="宋体" w:cs="宋体" w:eastAsia="宋体" w:hint="default"/>
                <w:sz w:val="18"/>
                <w:szCs w:val="18"/>
              </w:rPr>
              <w:t>股于</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4</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26</w:t>
            </w:r>
            <w:r>
              <w:rPr>
                <w:rFonts w:ascii="宋体" w:hAnsi="宋体" w:cs="宋体" w:eastAsia="宋体" w:hint="default"/>
                <w:spacing w:val="-54"/>
                <w:sz w:val="18"/>
                <w:szCs w:val="18"/>
              </w:rPr>
              <w:t> </w:t>
            </w:r>
            <w:r>
              <w:rPr>
                <w:rFonts w:ascii="宋体" w:hAnsi="宋体" w:cs="宋体" w:eastAsia="宋体" w:hint="default"/>
                <w:sz w:val="18"/>
                <w:szCs w:val="18"/>
              </w:rPr>
              <w:t>日</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上市流通，限售股份</w:t>
            </w:r>
            <w:r>
              <w:rPr>
                <w:rFonts w:ascii="宋体" w:hAnsi="宋体" w:cs="宋体" w:eastAsia="宋体" w:hint="default"/>
                <w:spacing w:val="-46"/>
                <w:sz w:val="18"/>
                <w:szCs w:val="18"/>
              </w:rPr>
              <w:t> </w:t>
            </w:r>
            <w:r>
              <w:rPr>
                <w:rFonts w:ascii="宋体" w:hAnsi="宋体" w:cs="宋体" w:eastAsia="宋体" w:hint="default"/>
                <w:sz w:val="18"/>
                <w:szCs w:val="18"/>
              </w:rPr>
              <w:t>541,305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股于</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r>
              <w:rPr>
                <w:rFonts w:ascii="宋体" w:hAnsi="宋体" w:cs="宋体" w:eastAsia="宋体" w:hint="default"/>
                <w:spacing w:val="-47"/>
                <w:sz w:val="18"/>
                <w:szCs w:val="18"/>
              </w:rPr>
              <w:t> </w:t>
            </w:r>
            <w:r>
              <w:rPr>
                <w:rFonts w:ascii="宋体" w:hAnsi="宋体" w:cs="宋体" w:eastAsia="宋体" w:hint="default"/>
                <w:sz w:val="18"/>
                <w:szCs w:val="18"/>
              </w:rPr>
              <w:t>日上市流</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pacing w:val="-90"/>
                <w:sz w:val="18"/>
                <w:szCs w:val="18"/>
              </w:rPr>
              <w:t>，</w:t>
            </w:r>
            <w:r>
              <w:rPr>
                <w:rFonts w:ascii="宋体" w:hAnsi="宋体" w:cs="宋体" w:eastAsia="宋体" w:hint="default"/>
                <w:sz w:val="18"/>
                <w:szCs w:val="18"/>
              </w:rPr>
              <w:t>限售股份</w:t>
            </w:r>
            <w:r>
              <w:rPr>
                <w:rFonts w:ascii="宋体" w:hAnsi="宋体" w:cs="宋体" w:eastAsia="宋体" w:hint="default"/>
                <w:spacing w:val="-62"/>
                <w:sz w:val="18"/>
                <w:szCs w:val="18"/>
              </w:rPr>
              <w:t> </w:t>
            </w:r>
            <w:r>
              <w:rPr>
                <w:rFonts w:ascii="宋体" w:hAnsi="宋体" w:cs="宋体" w:eastAsia="宋体" w:hint="default"/>
                <w:sz w:val="18"/>
                <w:szCs w:val="18"/>
              </w:rPr>
              <w:t>270,653</w:t>
            </w:r>
            <w:r>
              <w:rPr>
                <w:rFonts w:ascii="宋体" w:hAnsi="宋体" w:cs="宋体" w:eastAsia="宋体" w:hint="default"/>
                <w:spacing w:val="-62"/>
                <w:sz w:val="18"/>
                <w:szCs w:val="18"/>
              </w:rPr>
              <w:t> </w:t>
            </w:r>
            <w:r>
              <w:rPr>
                <w:rFonts w:ascii="宋体" w:hAnsi="宋体" w:cs="宋体" w:eastAsia="宋体" w:hint="default"/>
                <w:sz w:val="18"/>
                <w:szCs w:val="18"/>
              </w:rPr>
              <w:t>股于</w:t>
            </w:r>
            <w:r>
              <w:rPr>
                <w:rFonts w:ascii="宋体" w:hAnsi="宋体" w:cs="宋体" w:eastAsia="宋体" w:hint="default"/>
                <w:spacing w:val="-62"/>
                <w:sz w:val="18"/>
                <w:szCs w:val="18"/>
              </w:rPr>
              <w:t> </w:t>
            </w:r>
            <w:r>
              <w:rPr>
                <w:rFonts w:ascii="宋体" w:hAnsi="宋体" w:cs="宋体" w:eastAsia="宋体" w:hint="default"/>
                <w:sz w:val="18"/>
                <w:szCs w:val="18"/>
              </w:rPr>
              <w:t>2018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日上市流通，</w:t>
            </w:r>
            <w:r>
              <w:rPr>
                <w:rFonts w:ascii="宋体" w:hAnsi="宋体" w:cs="宋体" w:eastAsia="宋体" w:hint="default"/>
                <w:sz w:val="18"/>
                <w:szCs w:val="18"/>
              </w:rPr>
              <w:t>2019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270,652</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精视投资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13,039,049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13,039,049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62"/>
                <w:sz w:val="18"/>
                <w:szCs w:val="18"/>
              </w:rPr>
              <w:t> </w:t>
            </w:r>
            <w:r>
              <w:rPr>
                <w:rFonts w:ascii="宋体" w:hAnsi="宋体" w:cs="宋体" w:eastAsia="宋体" w:hint="default"/>
                <w:sz w:val="18"/>
                <w:szCs w:val="18"/>
              </w:rPr>
              <w:t>13,039,049</w:t>
            </w:r>
            <w:r>
              <w:rPr>
                <w:rFonts w:ascii="宋体" w:hAnsi="宋体" w:cs="宋体" w:eastAsia="宋体" w:hint="default"/>
                <w:spacing w:val="-62"/>
                <w:sz w:val="18"/>
                <w:szCs w:val="18"/>
              </w:rPr>
              <w:t> </w:t>
            </w:r>
            <w:r>
              <w:rPr>
                <w:rFonts w:ascii="宋体" w:hAnsi="宋体" w:cs="宋体" w:eastAsia="宋体" w:hint="default"/>
                <w:sz w:val="18"/>
                <w:szCs w:val="18"/>
              </w:rPr>
              <w:t>股于</w:t>
            </w:r>
            <w:r>
              <w:rPr>
                <w:rFonts w:ascii="宋体" w:hAnsi="宋体" w:cs="宋体" w:eastAsia="宋体" w:hint="default"/>
                <w:spacing w:val="-62"/>
                <w:sz w:val="18"/>
                <w:szCs w:val="18"/>
              </w:rPr>
              <w:t> </w:t>
            </w:r>
            <w:r>
              <w:rPr>
                <w:rFonts w:ascii="宋体" w:hAnsi="宋体" w:cs="宋体" w:eastAsia="宋体" w:hint="default"/>
                <w:sz w:val="18"/>
                <w:szCs w:val="18"/>
              </w:rPr>
              <w:t>2018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日上市流通</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莫昂投资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5,908,319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5,908,319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5"/>
                <w:sz w:val="18"/>
                <w:szCs w:val="18"/>
              </w:rPr>
              <w:t> </w:t>
            </w:r>
            <w:r>
              <w:rPr>
                <w:rFonts w:ascii="宋体" w:hAnsi="宋体" w:cs="宋体" w:eastAsia="宋体" w:hint="default"/>
                <w:sz w:val="18"/>
                <w:szCs w:val="18"/>
              </w:rPr>
              <w:t>年以相关资产认 购公司发行的股份</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5,908,319</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日上市流通</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海口市长秀 工程公司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股改</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尚未办理上市流通手续</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128,522,696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69,168,082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58,266,598</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二、证券发行与上市情况" w:id="112"/>
      <w:bookmarkEnd w:id="112"/>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13"/>
      <w:bookmarkEnd w:id="113"/>
      <w:r>
        <w:rPr>
          <w:b w:val="0"/>
          <w:bCs w:val="0"/>
        </w:rPr>
      </w:r>
      <w:r>
        <w:rPr>
          <w:rFonts w:ascii="宋体" w:hAnsi="宋体" w:cs="宋体" w:eastAsia="宋体" w:hint="default"/>
        </w:rPr>
        <w:t>1</w:t>
      </w:r>
      <w:r>
        <w:rPr/>
        <w:t>、报告期内证券发行（不含优先股）情况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spacing w:line="547" w:lineRule="auto" w:before="0"/>
        <w:ind w:left="154" w:right="340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公司股份总数及股东结构的变动、公司资产和负债结构的变动情况说明" w:id="114"/>
      <w:bookmarkEnd w:id="114"/>
      <w:r>
        <w:rPr>
          <w:rFonts w:ascii="宋体" w:hAnsi="宋体" w:cs="宋体" w:eastAsia="宋体" w:hint="default"/>
          <w:sz w:val="21"/>
          <w:szCs w:val="21"/>
        </w:rPr>
      </w:r>
      <w:r>
        <w:rPr>
          <w:rFonts w:ascii="宋体" w:hAnsi="宋体" w:cs="宋体" w:eastAsia="宋体" w:hint="default"/>
          <w:b/>
          <w:bCs/>
          <w:w w:val="95"/>
          <w:sz w:val="21"/>
          <w:szCs w:val="21"/>
        </w:rPr>
        <w:t>2</w:t>
      </w:r>
      <w:r>
        <w:rPr>
          <w:rFonts w:ascii="宋体" w:hAnsi="宋体" w:cs="宋体" w:eastAsia="宋体" w:hint="default"/>
          <w:b/>
          <w:bCs/>
          <w:w w:val="95"/>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1"/>
        <w:rPr>
          <w:rFonts w:ascii="宋体" w:hAnsi="宋体" w:cs="宋体" w:eastAsia="宋体" w:hint="default"/>
          <w:b/>
          <w:bCs/>
          <w:sz w:val="17"/>
          <w:szCs w:val="17"/>
        </w:rPr>
      </w:pPr>
    </w:p>
    <w:p>
      <w:pPr>
        <w:pStyle w:val="BodyText"/>
        <w:spacing w:line="240" w:lineRule="auto"/>
        <w:ind w:right="0"/>
        <w:jc w:val="left"/>
      </w:pPr>
      <w:r>
        <w:rPr/>
        <w:t>√ 适用 □</w:t>
      </w:r>
      <w:r>
        <w:rPr>
          <w:spacing w:val="-1"/>
        </w:rPr>
        <w:t> </w:t>
      </w:r>
      <w:r>
        <w:rPr/>
        <w:t>不适用</w:t>
      </w:r>
    </w:p>
    <w:p>
      <w:pPr>
        <w:spacing w:line="240" w:lineRule="auto" w:before="10"/>
        <w:rPr>
          <w:rFonts w:ascii="宋体" w:hAnsi="宋体" w:cs="宋体" w:eastAsia="宋体" w:hint="default"/>
          <w:sz w:val="18"/>
          <w:szCs w:val="18"/>
        </w:rPr>
      </w:pPr>
    </w:p>
    <w:p>
      <w:pPr>
        <w:pStyle w:val="BodyText"/>
        <w:spacing w:line="240" w:lineRule="auto"/>
        <w:ind w:left="574" w:right="0"/>
        <w:jc w:val="left"/>
      </w:pPr>
      <w:r>
        <w:rPr/>
        <w:t>本次股份回购并注销前，公司总股本为</w:t>
      </w:r>
      <w:r>
        <w:rPr>
          <w:spacing w:val="-59"/>
        </w:rPr>
        <w:t> </w:t>
      </w:r>
      <w:r>
        <w:rPr>
          <w:rFonts w:ascii="宋体" w:hAnsi="宋体" w:cs="宋体" w:eastAsia="宋体" w:hint="default"/>
        </w:rPr>
        <w:t>2,001,294,740</w:t>
      </w:r>
      <w:r>
        <w:rPr>
          <w:rFonts w:ascii="宋体" w:hAnsi="宋体" w:cs="宋体" w:eastAsia="宋体" w:hint="default"/>
          <w:spacing w:val="-59"/>
        </w:rPr>
        <w:t> </w:t>
      </w:r>
      <w:r>
        <w:rPr/>
        <w:t>股，本次回购并注销</w:t>
      </w:r>
      <w:r>
        <w:rPr>
          <w:spacing w:val="-59"/>
        </w:rPr>
        <w:t> </w:t>
      </w:r>
      <w:r>
        <w:rPr>
          <w:rFonts w:ascii="宋体" w:hAnsi="宋体" w:cs="宋体" w:eastAsia="宋体" w:hint="default"/>
        </w:rPr>
        <w:t>4,049,283</w:t>
      </w:r>
      <w:r>
        <w:rPr>
          <w:rFonts w:ascii="宋体" w:hAnsi="宋体" w:cs="宋体" w:eastAsia="宋体" w:hint="default"/>
          <w:spacing w:val="-59"/>
        </w:rPr>
        <w:t> </w:t>
      </w:r>
      <w:r>
        <w:rPr/>
        <w:t>股，截至目前</w:t>
      </w:r>
    </w:p>
    <w:p>
      <w:pPr>
        <w:spacing w:line="240" w:lineRule="auto" w:before="9"/>
        <w:rPr>
          <w:rFonts w:ascii="宋体" w:hAnsi="宋体" w:cs="宋体" w:eastAsia="宋体" w:hint="default"/>
          <w:sz w:val="15"/>
          <w:szCs w:val="15"/>
        </w:rPr>
      </w:pPr>
    </w:p>
    <w:p>
      <w:pPr>
        <w:pStyle w:val="BodyText"/>
        <w:spacing w:line="240" w:lineRule="auto"/>
        <w:ind w:right="0"/>
        <w:jc w:val="left"/>
      </w:pPr>
      <w:r>
        <w:rPr/>
        <w:t>公司总股本为</w:t>
      </w:r>
      <w:r>
        <w:rPr>
          <w:spacing w:val="-53"/>
        </w:rPr>
        <w:t> </w:t>
      </w:r>
      <w:r>
        <w:rPr>
          <w:rFonts w:ascii="宋体" w:hAnsi="宋体" w:cs="宋体" w:eastAsia="宋体" w:hint="default"/>
        </w:rPr>
        <w:t>1,997,245,457</w:t>
      </w:r>
      <w:r>
        <w:rPr>
          <w:rFonts w:ascii="宋体" w:hAnsi="宋体" w:cs="宋体" w:eastAsia="宋体" w:hint="default"/>
          <w:spacing w:val="-53"/>
        </w:rPr>
        <w:t> </w:t>
      </w:r>
      <w:r>
        <w:rPr/>
        <w:t>股。本次回购并注销前后公司的股本结构变化如下表所示：</w:t>
      </w:r>
    </w:p>
    <w:p>
      <w:pPr>
        <w:spacing w:line="240" w:lineRule="auto" w:before="7"/>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410"/>
        <w:gridCol w:w="1773"/>
        <w:gridCol w:w="1772"/>
        <w:gridCol w:w="1772"/>
        <w:gridCol w:w="1772"/>
      </w:tblGrid>
      <w:tr>
        <w:trPr>
          <w:trHeight w:val="341" w:hRule="exact"/>
        </w:trPr>
        <w:tc>
          <w:tcPr>
            <w:tcW w:w="2410" w:type="dxa"/>
            <w:vMerge w:val="restart"/>
            <w:tcBorders>
              <w:top w:val="single" w:sz="6" w:space="0" w:color="000000"/>
              <w:left w:val="single" w:sz="6" w:space="0" w:color="000000"/>
              <w:right w:val="single" w:sz="6" w:space="0" w:color="000000"/>
            </w:tcBorders>
            <w:shd w:val="clear" w:color="auto" w:fill="CCCCCC"/>
          </w:tcPr>
          <w:p>
            <w:pPr/>
          </w:p>
        </w:tc>
        <w:tc>
          <w:tcPr>
            <w:tcW w:w="3545"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left="1135" w:right="0"/>
              <w:jc w:val="left"/>
              <w:rPr>
                <w:rFonts w:ascii="宋体" w:hAnsi="宋体" w:cs="宋体" w:eastAsia="宋体" w:hint="default"/>
                <w:sz w:val="18"/>
                <w:szCs w:val="18"/>
              </w:rPr>
            </w:pPr>
            <w:r>
              <w:rPr>
                <w:rFonts w:ascii="宋体" w:hAnsi="宋体" w:cs="宋体" w:eastAsia="宋体" w:hint="default"/>
                <w:sz w:val="18"/>
                <w:szCs w:val="18"/>
              </w:rPr>
              <w:t>本次回购注销前</w:t>
            </w:r>
          </w:p>
        </w:tc>
        <w:tc>
          <w:tcPr>
            <w:tcW w:w="3544"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left="1134" w:right="0"/>
              <w:jc w:val="left"/>
              <w:rPr>
                <w:rFonts w:ascii="宋体" w:hAnsi="宋体" w:cs="宋体" w:eastAsia="宋体" w:hint="default"/>
                <w:sz w:val="18"/>
                <w:szCs w:val="18"/>
              </w:rPr>
            </w:pPr>
            <w:r>
              <w:rPr>
                <w:rFonts w:ascii="宋体" w:hAnsi="宋体" w:cs="宋体" w:eastAsia="宋体" w:hint="default"/>
                <w:sz w:val="18"/>
                <w:szCs w:val="18"/>
              </w:rPr>
              <w:t>本次回购注销后</w:t>
            </w:r>
          </w:p>
        </w:tc>
      </w:tr>
      <w:tr>
        <w:trPr>
          <w:trHeight w:val="342" w:hRule="exact"/>
        </w:trPr>
        <w:tc>
          <w:tcPr>
            <w:tcW w:w="2410" w:type="dxa"/>
            <w:vMerge/>
            <w:tcBorders>
              <w:left w:val="single" w:sz="6" w:space="0" w:color="000000"/>
              <w:bottom w:val="single" w:sz="6" w:space="0" w:color="000000"/>
              <w:right w:val="single" w:sz="6" w:space="0" w:color="000000"/>
            </w:tcBorders>
            <w:shd w:val="clear" w:color="auto" w:fill="CCCCCC"/>
          </w:tcPr>
          <w:p>
            <w:pPr/>
          </w:p>
        </w:tc>
        <w:tc>
          <w:tcPr>
            <w:tcW w:w="177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29" w:right="0"/>
              <w:jc w:val="left"/>
              <w:rPr>
                <w:rFonts w:ascii="宋体" w:hAnsi="宋体" w:cs="宋体" w:eastAsia="宋体" w:hint="default"/>
                <w:sz w:val="18"/>
                <w:szCs w:val="18"/>
              </w:rPr>
            </w:pPr>
            <w:r>
              <w:rPr>
                <w:rFonts w:ascii="宋体" w:hAnsi="宋体" w:cs="宋体" w:eastAsia="宋体" w:hint="default"/>
                <w:sz w:val="18"/>
                <w:szCs w:val="18"/>
              </w:rPr>
              <w:t>数量（股）</w:t>
            </w:r>
          </w:p>
        </w:tc>
        <w:tc>
          <w:tcPr>
            <w:tcW w:w="177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77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28" w:right="0"/>
              <w:jc w:val="left"/>
              <w:rPr>
                <w:rFonts w:ascii="宋体" w:hAnsi="宋体" w:cs="宋体" w:eastAsia="宋体" w:hint="default"/>
                <w:sz w:val="18"/>
                <w:szCs w:val="18"/>
              </w:rPr>
            </w:pPr>
            <w:r>
              <w:rPr>
                <w:rFonts w:ascii="宋体" w:hAnsi="宋体" w:cs="宋体" w:eastAsia="宋体" w:hint="default"/>
                <w:sz w:val="18"/>
                <w:szCs w:val="18"/>
              </w:rPr>
              <w:t>数量（股）</w:t>
            </w:r>
          </w:p>
        </w:tc>
        <w:tc>
          <w:tcPr>
            <w:tcW w:w="177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32" w:hRule="exact"/>
        </w:trPr>
        <w:tc>
          <w:tcPr>
            <w:tcW w:w="24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77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59"/>
              <w:jc w:val="right"/>
              <w:rPr>
                <w:rFonts w:ascii="宋体" w:hAnsi="宋体" w:cs="宋体" w:eastAsia="宋体" w:hint="default"/>
                <w:sz w:val="18"/>
                <w:szCs w:val="18"/>
              </w:rPr>
            </w:pPr>
            <w:r>
              <w:rPr>
                <w:rFonts w:ascii="宋体"/>
                <w:sz w:val="18"/>
              </w:rPr>
              <w:t>80,756,614</w:t>
            </w:r>
          </w:p>
        </w:tc>
        <w:tc>
          <w:tcPr>
            <w:tcW w:w="177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60"/>
              <w:jc w:val="right"/>
              <w:rPr>
                <w:rFonts w:ascii="宋体" w:hAnsi="宋体" w:cs="宋体" w:eastAsia="宋体" w:hint="default"/>
                <w:sz w:val="18"/>
                <w:szCs w:val="18"/>
              </w:rPr>
            </w:pPr>
            <w:r>
              <w:rPr>
                <w:rFonts w:ascii="宋体"/>
                <w:sz w:val="18"/>
              </w:rPr>
              <w:t>4.04%</w:t>
            </w:r>
          </w:p>
        </w:tc>
        <w:tc>
          <w:tcPr>
            <w:tcW w:w="177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59"/>
              <w:jc w:val="right"/>
              <w:rPr>
                <w:rFonts w:ascii="宋体" w:hAnsi="宋体" w:cs="宋体" w:eastAsia="宋体" w:hint="default"/>
                <w:sz w:val="18"/>
                <w:szCs w:val="18"/>
              </w:rPr>
            </w:pPr>
            <w:r>
              <w:rPr>
                <w:rFonts w:ascii="宋体"/>
                <w:sz w:val="18"/>
              </w:rPr>
              <w:t>79,668,598</w:t>
            </w:r>
          </w:p>
        </w:tc>
        <w:tc>
          <w:tcPr>
            <w:tcW w:w="177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59"/>
              <w:jc w:val="right"/>
              <w:rPr>
                <w:rFonts w:ascii="宋体" w:hAnsi="宋体" w:cs="宋体" w:eastAsia="宋体" w:hint="default"/>
                <w:sz w:val="18"/>
                <w:szCs w:val="18"/>
              </w:rPr>
            </w:pPr>
            <w:r>
              <w:rPr>
                <w:rFonts w:ascii="宋体"/>
                <w:sz w:val="18"/>
              </w:rPr>
              <w:t>3.99%</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其中：国有法人持股</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9"/>
              <w:jc w:val="right"/>
              <w:rPr>
                <w:rFonts w:ascii="宋体" w:hAnsi="宋体" w:cs="宋体" w:eastAsia="宋体" w:hint="default"/>
                <w:sz w:val="18"/>
                <w:szCs w:val="18"/>
              </w:rPr>
            </w:pPr>
            <w:r>
              <w:rPr>
                <w:rFonts w:ascii="宋体"/>
                <w:sz w:val="18"/>
              </w:rPr>
              <w:t>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0"/>
              <w:jc w:val="right"/>
              <w:rPr>
                <w:rFonts w:ascii="宋体" w:hAnsi="宋体" w:cs="宋体" w:eastAsia="宋体" w:hint="default"/>
                <w:sz w:val="18"/>
                <w:szCs w:val="18"/>
              </w:rPr>
            </w:pPr>
            <w:r>
              <w:rPr>
                <w:rFonts w:ascii="宋体"/>
                <w:sz w:val="18"/>
              </w:rPr>
              <w:t>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9"/>
              <w:jc w:val="right"/>
              <w:rPr>
                <w:rFonts w:ascii="宋体" w:hAnsi="宋体" w:cs="宋体" w:eastAsia="宋体" w:hint="default"/>
                <w:sz w:val="18"/>
                <w:szCs w:val="18"/>
              </w:rPr>
            </w:pPr>
            <w:r>
              <w:rPr>
                <w:rFonts w:ascii="宋体"/>
                <w:sz w:val="18"/>
              </w:rPr>
              <w:t>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9"/>
              <w:jc w:val="right"/>
              <w:rPr>
                <w:rFonts w:ascii="宋体" w:hAnsi="宋体" w:cs="宋体" w:eastAsia="宋体" w:hint="default"/>
                <w:sz w:val="18"/>
                <w:szCs w:val="18"/>
              </w:rPr>
            </w:pPr>
            <w:r>
              <w:rPr>
                <w:rFonts w:ascii="宋体"/>
                <w:sz w:val="18"/>
              </w:rPr>
              <w:t>0.00%</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9"/>
              <w:jc w:val="right"/>
              <w:rPr>
                <w:rFonts w:ascii="宋体" w:hAnsi="宋体" w:cs="宋体" w:eastAsia="宋体" w:hint="default"/>
                <w:sz w:val="18"/>
                <w:szCs w:val="18"/>
              </w:rPr>
            </w:pPr>
            <w:r>
              <w:rPr>
                <w:rFonts w:ascii="宋体"/>
                <w:sz w:val="18"/>
              </w:rPr>
              <w:t>1,920,538,126</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0"/>
              <w:jc w:val="right"/>
              <w:rPr>
                <w:rFonts w:ascii="宋体" w:hAnsi="宋体" w:cs="宋体" w:eastAsia="宋体" w:hint="default"/>
                <w:sz w:val="18"/>
                <w:szCs w:val="18"/>
              </w:rPr>
            </w:pPr>
            <w:r>
              <w:rPr>
                <w:rFonts w:ascii="宋体"/>
                <w:sz w:val="18"/>
              </w:rPr>
              <w:t>95.96%</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9"/>
              <w:jc w:val="right"/>
              <w:rPr>
                <w:rFonts w:ascii="宋体" w:hAnsi="宋体" w:cs="宋体" w:eastAsia="宋体" w:hint="default"/>
                <w:sz w:val="18"/>
                <w:szCs w:val="18"/>
              </w:rPr>
            </w:pPr>
            <w:r>
              <w:rPr>
                <w:rFonts w:ascii="宋体"/>
                <w:sz w:val="18"/>
              </w:rPr>
              <w:t>1,917,576,859</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9"/>
              <w:jc w:val="right"/>
              <w:rPr>
                <w:rFonts w:ascii="宋体" w:hAnsi="宋体" w:cs="宋体" w:eastAsia="宋体" w:hint="default"/>
                <w:sz w:val="18"/>
                <w:szCs w:val="18"/>
              </w:rPr>
            </w:pPr>
            <w:r>
              <w:rPr>
                <w:rFonts w:ascii="宋体"/>
                <w:sz w:val="18"/>
              </w:rPr>
              <w:t>96.01%</w:t>
            </w:r>
          </w:p>
        </w:tc>
      </w:tr>
      <w:tr>
        <w:trPr>
          <w:trHeight w:val="428" w:hRule="exact"/>
        </w:trPr>
        <w:tc>
          <w:tcPr>
            <w:tcW w:w="24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9"/>
              <w:jc w:val="right"/>
              <w:rPr>
                <w:rFonts w:ascii="宋体" w:hAnsi="宋体" w:cs="宋体" w:eastAsia="宋体" w:hint="default"/>
                <w:sz w:val="18"/>
                <w:szCs w:val="18"/>
              </w:rPr>
            </w:pPr>
            <w:r>
              <w:rPr>
                <w:rFonts w:ascii="宋体"/>
                <w:sz w:val="18"/>
              </w:rPr>
              <w:t>2,001,294,740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0"/>
              <w:jc w:val="right"/>
              <w:rPr>
                <w:rFonts w:ascii="宋体" w:hAnsi="宋体" w:cs="宋体" w:eastAsia="宋体" w:hint="default"/>
                <w:sz w:val="18"/>
                <w:szCs w:val="18"/>
              </w:rPr>
            </w:pPr>
            <w:r>
              <w:rPr>
                <w:rFonts w:ascii="宋体"/>
                <w:sz w:val="18"/>
              </w:rPr>
              <w:t>100.00%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9"/>
              <w:jc w:val="right"/>
              <w:rPr>
                <w:rFonts w:ascii="宋体" w:hAnsi="宋体" w:cs="宋体" w:eastAsia="宋体" w:hint="default"/>
                <w:sz w:val="18"/>
                <w:szCs w:val="18"/>
              </w:rPr>
            </w:pPr>
            <w:r>
              <w:rPr>
                <w:rFonts w:ascii="宋体"/>
                <w:sz w:val="18"/>
              </w:rPr>
              <w:t>1,997,245,457</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9"/>
              <w:jc w:val="right"/>
              <w:rPr>
                <w:rFonts w:ascii="宋体" w:hAnsi="宋体" w:cs="宋体" w:eastAsia="宋体" w:hint="default"/>
                <w:sz w:val="18"/>
                <w:szCs w:val="18"/>
              </w:rPr>
            </w:pPr>
            <w:r>
              <w:rPr>
                <w:rFonts w:ascii="宋体"/>
                <w:sz w:val="18"/>
              </w:rPr>
              <w:t>100.00%</w:t>
            </w:r>
          </w:p>
        </w:tc>
      </w:tr>
    </w:tbl>
    <w:p>
      <w:pPr>
        <w:spacing w:line="240" w:lineRule="auto" w:before="12"/>
        <w:rPr>
          <w:rFonts w:ascii="宋体" w:hAnsi="宋体" w:cs="宋体" w:eastAsia="宋体" w:hint="default"/>
          <w:sz w:val="10"/>
          <w:szCs w:val="10"/>
        </w:rPr>
      </w:pPr>
    </w:p>
    <w:p>
      <w:pPr>
        <w:pStyle w:val="BodyText"/>
        <w:spacing w:line="240" w:lineRule="auto" w:before="35"/>
        <w:ind w:left="574" w:right="0"/>
        <w:jc w:val="left"/>
      </w:pPr>
      <w:r>
        <w:rPr/>
        <w:t>本次回购并注销前后公司资产和负债结构的变动情况如下：</w:t>
      </w:r>
    </w:p>
    <w:p>
      <w:pPr>
        <w:pStyle w:val="BodyText"/>
        <w:spacing w:line="240" w:lineRule="auto" w:before="92"/>
        <w:ind w:left="0" w:right="1130"/>
        <w:jc w:val="right"/>
      </w:pPr>
      <w:r>
        <w:rPr/>
        <w:t>单位：万元</w:t>
      </w:r>
    </w:p>
    <w:p>
      <w:pPr>
        <w:spacing w:after="0" w:line="240" w:lineRule="auto"/>
        <w:jc w:val="right"/>
        <w:sectPr>
          <w:pgSz w:w="11910" w:h="16840"/>
          <w:pgMar w:header="877" w:footer="979" w:top="1100" w:bottom="1160" w:left="980" w:right="0"/>
        </w:sectPr>
      </w:pPr>
    </w:p>
    <w:p>
      <w:pPr>
        <w:spacing w:line="240" w:lineRule="auto" w:before="7"/>
        <w:rPr>
          <w:rFonts w:ascii="宋体" w:hAnsi="宋体" w:cs="宋体" w:eastAsia="宋体" w:hint="default"/>
          <w:sz w:val="24"/>
          <w:szCs w:val="24"/>
        </w:rPr>
      </w:pPr>
    </w:p>
    <w:tbl>
      <w:tblPr>
        <w:tblW w:w="0" w:type="auto"/>
        <w:jc w:val="left"/>
        <w:tblInd w:w="572" w:type="dxa"/>
        <w:tblLayout w:type="fixed"/>
        <w:tblCellMar>
          <w:top w:w="0" w:type="dxa"/>
          <w:left w:w="0" w:type="dxa"/>
          <w:bottom w:w="0" w:type="dxa"/>
          <w:right w:w="0" w:type="dxa"/>
        </w:tblCellMar>
        <w:tblLook w:val="01E0"/>
      </w:tblPr>
      <w:tblGrid>
        <w:gridCol w:w="2976"/>
        <w:gridCol w:w="1688"/>
        <w:gridCol w:w="1559"/>
        <w:gridCol w:w="1294"/>
        <w:gridCol w:w="1116"/>
      </w:tblGrid>
      <w:tr>
        <w:trPr>
          <w:trHeight w:val="427" w:hRule="exact"/>
        </w:trPr>
        <w:tc>
          <w:tcPr>
            <w:tcW w:w="2976"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88" w:type="dxa"/>
            <w:vMerge w:val="restart"/>
            <w:tcBorders>
              <w:top w:val="single" w:sz="6" w:space="0" w:color="000000"/>
              <w:left w:val="single" w:sz="6" w:space="0" w:color="000000"/>
              <w:right w:val="single" w:sz="6" w:space="0" w:color="000000"/>
            </w:tcBorders>
            <w:shd w:val="clear" w:color="auto" w:fill="CCCCCC"/>
          </w:tcPr>
          <w:p>
            <w:pPr>
              <w:pStyle w:val="TableParagraph"/>
              <w:spacing w:line="316" w:lineRule="auto" w:before="61"/>
              <w:ind w:left="295" w:right="117" w:hanging="180"/>
              <w:jc w:val="left"/>
              <w:rPr>
                <w:rFonts w:ascii="宋体" w:hAnsi="宋体" w:cs="宋体" w:eastAsia="宋体" w:hint="default"/>
                <w:sz w:val="18"/>
                <w:szCs w:val="18"/>
              </w:rPr>
            </w:pPr>
            <w:r>
              <w:rPr>
                <w:rFonts w:ascii="宋体" w:hAnsi="宋体" w:cs="宋体" w:eastAsia="宋体" w:hint="default"/>
                <w:sz w:val="18"/>
                <w:szCs w:val="18"/>
              </w:rPr>
              <w:t>本次回购并注销后 </w:t>
            </w:r>
            <w:r>
              <w:rPr>
                <w:rFonts w:ascii="宋体" w:hAnsi="宋体" w:cs="宋体" w:eastAsia="宋体" w:hint="default"/>
                <w:sz w:val="18"/>
                <w:szCs w:val="18"/>
              </w:rPr>
              <w:t>(2018-12-31)</w:t>
            </w:r>
          </w:p>
        </w:tc>
        <w:tc>
          <w:tcPr>
            <w:tcW w:w="1559" w:type="dxa"/>
            <w:vMerge w:val="restart"/>
            <w:tcBorders>
              <w:top w:val="single" w:sz="6" w:space="0" w:color="000000"/>
              <w:left w:val="single" w:sz="6" w:space="0" w:color="000000"/>
              <w:right w:val="single" w:sz="6" w:space="0" w:color="000000"/>
            </w:tcBorders>
            <w:shd w:val="clear" w:color="auto" w:fill="CCCCCC"/>
          </w:tcPr>
          <w:p>
            <w:pPr>
              <w:pStyle w:val="TableParagraph"/>
              <w:spacing w:line="316" w:lineRule="auto" w:before="61"/>
              <w:ind w:left="231" w:right="50" w:hanging="180"/>
              <w:jc w:val="left"/>
              <w:rPr>
                <w:rFonts w:ascii="宋体" w:hAnsi="宋体" w:cs="宋体" w:eastAsia="宋体" w:hint="default"/>
                <w:sz w:val="18"/>
                <w:szCs w:val="18"/>
              </w:rPr>
            </w:pPr>
            <w:r>
              <w:rPr>
                <w:rFonts w:ascii="宋体" w:hAnsi="宋体" w:cs="宋体" w:eastAsia="宋体" w:hint="default"/>
                <w:sz w:val="18"/>
                <w:szCs w:val="18"/>
              </w:rPr>
              <w:t>本次回购并注销前 </w:t>
            </w:r>
            <w:r>
              <w:rPr>
                <w:rFonts w:ascii="宋体" w:hAnsi="宋体" w:cs="宋体" w:eastAsia="宋体" w:hint="default"/>
                <w:sz w:val="18"/>
                <w:szCs w:val="18"/>
              </w:rPr>
              <w:t>(2018-12-31)</w:t>
            </w:r>
          </w:p>
        </w:tc>
        <w:tc>
          <w:tcPr>
            <w:tcW w:w="2410"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left="207" w:right="0"/>
              <w:jc w:val="left"/>
              <w:rPr>
                <w:rFonts w:ascii="宋体" w:hAnsi="宋体" w:cs="宋体" w:eastAsia="宋体" w:hint="default"/>
                <w:sz w:val="18"/>
                <w:szCs w:val="18"/>
              </w:rPr>
            </w:pPr>
            <w:r>
              <w:rPr>
                <w:rFonts w:ascii="宋体" w:hAnsi="宋体" w:cs="宋体" w:eastAsia="宋体" w:hint="default"/>
                <w:sz w:val="18"/>
                <w:szCs w:val="18"/>
              </w:rPr>
              <w:t>本次回购并注销前后比较</w:t>
            </w:r>
          </w:p>
        </w:tc>
      </w:tr>
      <w:tr>
        <w:trPr>
          <w:trHeight w:val="431" w:hRule="exact"/>
        </w:trPr>
        <w:tc>
          <w:tcPr>
            <w:tcW w:w="2976" w:type="dxa"/>
            <w:vMerge/>
            <w:tcBorders>
              <w:left w:val="single" w:sz="6" w:space="0" w:color="000000"/>
              <w:bottom w:val="single" w:sz="6" w:space="0" w:color="000000"/>
              <w:right w:val="single" w:sz="6" w:space="0" w:color="000000"/>
            </w:tcBorders>
            <w:shd w:val="clear" w:color="auto" w:fill="CCCCCC"/>
          </w:tcPr>
          <w:p>
            <w:pPr/>
          </w:p>
        </w:tc>
        <w:tc>
          <w:tcPr>
            <w:tcW w:w="1688" w:type="dxa"/>
            <w:vMerge/>
            <w:tcBorders>
              <w:left w:val="single" w:sz="6" w:space="0" w:color="000000"/>
              <w:bottom w:val="single" w:sz="6" w:space="0" w:color="000000"/>
              <w:right w:val="single" w:sz="6" w:space="0" w:color="000000"/>
            </w:tcBorders>
            <w:shd w:val="clear" w:color="auto" w:fill="CCCCCC"/>
          </w:tcPr>
          <w:p>
            <w:pPr/>
          </w:p>
        </w:tc>
        <w:tc>
          <w:tcPr>
            <w:tcW w:w="1559" w:type="dxa"/>
            <w:vMerge/>
            <w:tcBorders>
              <w:left w:val="single" w:sz="6" w:space="0" w:color="000000"/>
              <w:bottom w:val="single" w:sz="6" w:space="0" w:color="000000"/>
              <w:right w:val="single" w:sz="6" w:space="0" w:color="000000"/>
            </w:tcBorders>
            <w:shd w:val="clear" w:color="auto" w:fill="CCCCCC"/>
          </w:tcPr>
          <w:p>
            <w:pPr/>
          </w:p>
        </w:tc>
        <w:tc>
          <w:tcPr>
            <w:tcW w:w="129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370" w:right="0"/>
              <w:jc w:val="left"/>
              <w:rPr>
                <w:rFonts w:ascii="宋体" w:hAnsi="宋体" w:cs="宋体" w:eastAsia="宋体" w:hint="default"/>
                <w:sz w:val="18"/>
                <w:szCs w:val="18"/>
              </w:rPr>
            </w:pPr>
            <w:r>
              <w:rPr>
                <w:rFonts w:ascii="宋体" w:hAnsi="宋体" w:cs="宋体" w:eastAsia="宋体" w:hint="default"/>
                <w:sz w:val="18"/>
                <w:szCs w:val="18"/>
              </w:rPr>
              <w:t>增长额</w:t>
            </w:r>
          </w:p>
        </w:tc>
        <w:tc>
          <w:tcPr>
            <w:tcW w:w="111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80" w:right="0"/>
              <w:jc w:val="left"/>
              <w:rPr>
                <w:rFonts w:ascii="宋体" w:hAnsi="宋体" w:cs="宋体" w:eastAsia="宋体" w:hint="default"/>
                <w:sz w:val="18"/>
                <w:szCs w:val="18"/>
              </w:rPr>
            </w:pPr>
            <w:r>
              <w:rPr>
                <w:rFonts w:ascii="宋体" w:hAnsi="宋体" w:cs="宋体" w:eastAsia="宋体" w:hint="default"/>
                <w:sz w:val="18"/>
                <w:szCs w:val="18"/>
              </w:rPr>
              <w:t>增长率</w:t>
            </w:r>
          </w:p>
        </w:tc>
      </w:tr>
      <w:tr>
        <w:trPr>
          <w:trHeight w:val="422" w:hRule="exact"/>
        </w:trPr>
        <w:tc>
          <w:tcPr>
            <w:tcW w:w="297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宋体" w:hAnsi="宋体" w:cs="宋体" w:eastAsia="宋体" w:hint="default"/>
                <w:sz w:val="18"/>
                <w:szCs w:val="18"/>
              </w:rPr>
            </w:pPr>
            <w:r>
              <w:rPr>
                <w:rFonts w:ascii="宋体"/>
                <w:sz w:val="18"/>
              </w:rPr>
              <w:t>413,520.77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宋体" w:hAnsi="宋体" w:cs="宋体" w:eastAsia="宋体" w:hint="default"/>
                <w:sz w:val="18"/>
                <w:szCs w:val="18"/>
              </w:rPr>
            </w:pPr>
            <w:r>
              <w:rPr>
                <w:rFonts w:ascii="宋体"/>
                <w:sz w:val="18"/>
              </w:rPr>
              <w:t>413,520.77</w:t>
            </w:r>
          </w:p>
        </w:tc>
        <w:tc>
          <w:tcPr>
            <w:tcW w:w="129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0.00</w:t>
            </w:r>
          </w:p>
        </w:tc>
        <w:tc>
          <w:tcPr>
            <w:tcW w:w="111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0.00%</w:t>
            </w:r>
          </w:p>
        </w:tc>
      </w:tr>
      <w:tr>
        <w:trPr>
          <w:trHeight w:val="428" w:hRule="exact"/>
        </w:trPr>
        <w:tc>
          <w:tcPr>
            <w:tcW w:w="297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877,038.76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877,038.76</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0.00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0.00%</w:t>
            </w:r>
          </w:p>
        </w:tc>
      </w:tr>
      <w:tr>
        <w:trPr>
          <w:trHeight w:val="427" w:hRule="exact"/>
        </w:trPr>
        <w:tc>
          <w:tcPr>
            <w:tcW w:w="297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1,290,559.53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1,290,559.53</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0.00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0.00%</w:t>
            </w:r>
          </w:p>
        </w:tc>
      </w:tr>
      <w:tr>
        <w:trPr>
          <w:trHeight w:val="427" w:hRule="exact"/>
        </w:trPr>
        <w:tc>
          <w:tcPr>
            <w:tcW w:w="297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288,456.81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288,456.81</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0.00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0.00%</w:t>
            </w:r>
          </w:p>
        </w:tc>
      </w:tr>
      <w:tr>
        <w:trPr>
          <w:trHeight w:val="427" w:hRule="exact"/>
        </w:trPr>
        <w:tc>
          <w:tcPr>
            <w:tcW w:w="297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454,496.87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454,496.87</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0.00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0.00%</w:t>
            </w:r>
          </w:p>
        </w:tc>
      </w:tr>
      <w:tr>
        <w:trPr>
          <w:trHeight w:val="427" w:hRule="exact"/>
        </w:trPr>
        <w:tc>
          <w:tcPr>
            <w:tcW w:w="297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742,953.69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742,953.69</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0.00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0.00%</w:t>
            </w:r>
          </w:p>
        </w:tc>
      </w:tr>
      <w:tr>
        <w:trPr>
          <w:trHeight w:val="426" w:hRule="exact"/>
        </w:trPr>
        <w:tc>
          <w:tcPr>
            <w:tcW w:w="297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470,342.18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470,342.18</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z w:val="18"/>
              </w:rPr>
              <w:t>0.00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z w:val="18"/>
              </w:rPr>
              <w:t>0.00%</w:t>
            </w:r>
          </w:p>
        </w:tc>
      </w:tr>
      <w:tr>
        <w:trPr>
          <w:trHeight w:val="427" w:hRule="exact"/>
        </w:trPr>
        <w:tc>
          <w:tcPr>
            <w:tcW w:w="297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547,605.84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547,605.84</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0.00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0.00%</w:t>
            </w:r>
          </w:p>
        </w:tc>
      </w:tr>
      <w:tr>
        <w:trPr>
          <w:trHeight w:val="428" w:hRule="exact"/>
        </w:trPr>
        <w:tc>
          <w:tcPr>
            <w:tcW w:w="297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57.57%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57.57%</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0.00%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现存的内部职工股情况" w:id="115"/>
      <w:bookmarkEnd w:id="115"/>
      <w:r>
        <w:rPr>
          <w:b w:val="0"/>
          <w:bCs w:val="0"/>
        </w:rPr>
      </w:r>
      <w:r>
        <w:rPr>
          <w:rFonts w:ascii="宋体" w:hAnsi="宋体" w:cs="宋体" w:eastAsia="宋体" w:hint="default"/>
        </w:rPr>
        <w:t>3</w:t>
      </w:r>
      <w:r>
        <w:rPr/>
        <w:t>、现存的内部职工股情况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spacing w:line="506" w:lineRule="auto" w:before="0"/>
        <w:ind w:left="154" w:right="718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三、股东和实际控制人情况" w:id="116"/>
      <w:bookmarkEnd w:id="116"/>
      <w:r>
        <w:rPr>
          <w:rFonts w:ascii="宋体" w:hAnsi="宋体" w:cs="宋体" w:eastAsia="宋体" w:hint="default"/>
          <w:sz w:val="21"/>
          <w:szCs w:val="21"/>
        </w:rPr>
      </w:r>
      <w:r>
        <w:rPr>
          <w:rFonts w:ascii="宋体" w:hAnsi="宋体" w:cs="宋体" w:eastAsia="宋体" w:hint="default"/>
          <w:b/>
          <w:bCs/>
          <w:w w:val="95"/>
          <w:sz w:val="24"/>
          <w:szCs w:val="24"/>
        </w:rPr>
        <w:t>三、股东和实际控制人情况</w:t>
      </w:r>
      <w:r>
        <w:rPr>
          <w:rFonts w:ascii="宋体" w:hAnsi="宋体" w:cs="宋体" w:eastAsia="宋体" w:hint="default"/>
          <w:b/>
          <w:bCs/>
          <w:spacing w:val="18"/>
          <w:w w:val="95"/>
          <w:sz w:val="24"/>
          <w:szCs w:val="24"/>
        </w:rPr>
        <w:t> </w:t>
      </w:r>
      <w:bookmarkStart w:name="1、公司股东数量及持股情况" w:id="117"/>
      <w:bookmarkEnd w:id="117"/>
      <w:r>
        <w:rPr>
          <w:rFonts w:ascii="宋体" w:hAnsi="宋体" w:cs="宋体" w:eastAsia="宋体" w:hint="default"/>
          <w:b/>
          <w:bCs/>
          <w:spacing w:val="18"/>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before="130"/>
        <w:ind w:left="0" w:right="1130" w:firstLine="0"/>
        <w:jc w:val="right"/>
        <w:rPr>
          <w:rFonts w:ascii="宋体" w:hAnsi="宋体" w:cs="宋体" w:eastAsia="宋体" w:hint="default"/>
          <w:sz w:val="18"/>
          <w:szCs w:val="18"/>
        </w:rPr>
      </w:pPr>
      <w:r>
        <w:rPr/>
        <w:pict>
          <v:shape style="position:absolute;margin-left:455.937012pt;margin-top:66.991714pt;width:79pt;height:23.4pt;mso-position-horizontal-relative:page;mso-position-vertical-relative:paragraph;z-index:-1491688" type="#_x0000_t202" filled="false" stroked="false">
            <v:textbox inset="0,0,0,0">
              <w:txbxContent>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9.119995pt;margin-top:66.991714pt;width:45.8pt;height:23.4pt;mso-position-horizontal-relative:page;mso-position-vertical-relative:paragraph;z-index:-1491664" coordorigin="9782,1340" coordsize="916,468">
            <v:shape style="position:absolute;left:9782;top:1340;width:916;height:468" coordorigin="9782,1340" coordsize="916,468" path="m9782,1808l10698,1808,10698,1340,9782,1340,9782,1808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1208"/>
        <w:gridCol w:w="852"/>
        <w:gridCol w:w="561"/>
        <w:gridCol w:w="1145"/>
        <w:gridCol w:w="987"/>
        <w:gridCol w:w="284"/>
        <w:gridCol w:w="707"/>
        <w:gridCol w:w="379"/>
        <w:gridCol w:w="755"/>
        <w:gridCol w:w="426"/>
        <w:gridCol w:w="125"/>
        <w:gridCol w:w="446"/>
        <w:gridCol w:w="491"/>
      </w:tblGrid>
      <w:tr>
        <w:trPr>
          <w:trHeight w:val="162" w:hRule="exact"/>
        </w:trPr>
        <w:tc>
          <w:tcPr>
            <w:tcW w:w="1202" w:type="dxa"/>
            <w:vMerge w:val="restart"/>
            <w:tcBorders>
              <w:top w:val="single" w:sz="4" w:space="0" w:color="000000"/>
              <w:left w:val="single" w:sz="4" w:space="0" w:color="000000"/>
              <w:right w:val="single" w:sz="4" w:space="0" w:color="000000"/>
            </w:tcBorders>
            <w:shd w:val="clear" w:color="auto" w:fill="D2D2D2"/>
          </w:tcPr>
          <w:p>
            <w:pPr/>
          </w:p>
        </w:tc>
        <w:tc>
          <w:tcPr>
            <w:tcW w:w="1208" w:type="dxa"/>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15" w:right="0"/>
              <w:jc w:val="left"/>
              <w:rPr>
                <w:rFonts w:ascii="宋体" w:hAnsi="宋体" w:cs="宋体" w:eastAsia="宋体" w:hint="default"/>
                <w:sz w:val="18"/>
                <w:szCs w:val="18"/>
              </w:rPr>
            </w:pPr>
            <w:r>
              <w:rPr>
                <w:rFonts w:ascii="宋体"/>
                <w:sz w:val="18"/>
              </w:rPr>
              <w:t>91,531</w:t>
            </w:r>
          </w:p>
        </w:tc>
        <w:tc>
          <w:tcPr>
            <w:tcW w:w="141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45" w:type="dxa"/>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69" w:right="0"/>
              <w:jc w:val="left"/>
              <w:rPr>
                <w:rFonts w:ascii="宋体" w:hAnsi="宋体" w:cs="宋体" w:eastAsia="宋体" w:hint="default"/>
                <w:sz w:val="18"/>
                <w:szCs w:val="18"/>
              </w:rPr>
            </w:pPr>
            <w:r>
              <w:rPr>
                <w:rFonts w:ascii="宋体"/>
                <w:sz w:val="18"/>
              </w:rPr>
              <w:t>100,333</w:t>
            </w:r>
          </w:p>
        </w:tc>
        <w:tc>
          <w:tcPr>
            <w:tcW w:w="127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7" w:right="9"/>
              <w:jc w:val="left"/>
              <w:rPr>
                <w:rFonts w:ascii="宋体" w:hAnsi="宋体" w:cs="宋体" w:eastAsia="宋体" w:hint="default"/>
                <w:sz w:val="18"/>
                <w:szCs w:val="18"/>
              </w:rPr>
            </w:pPr>
            <w:r>
              <w:rPr>
                <w:rFonts w:ascii="宋体" w:hAnsi="宋体" w:cs="宋体" w:eastAsia="宋体" w:hint="default"/>
                <w:sz w:val="18"/>
                <w:szCs w:val="18"/>
              </w:rPr>
              <w:t>报告期末表决 权恢复的优先 </w:t>
            </w:r>
            <w:r>
              <w:rPr>
                <w:rFonts w:ascii="宋体" w:hAnsi="宋体" w:cs="宋体" w:eastAsia="宋体" w:hint="default"/>
                <w:spacing w:val="-4"/>
                <w:sz w:val="18"/>
                <w:szCs w:val="18"/>
              </w:rPr>
              <w:t>股股东总数（如</w:t>
            </w:r>
            <w:r>
              <w:rPr>
                <w:rFonts w:ascii="宋体" w:hAnsi="宋体" w:cs="宋体" w:eastAsia="宋体" w:hint="default"/>
                <w:sz w:val="18"/>
                <w:szCs w:val="18"/>
              </w:rPr>
              <w:t> 有）</w:t>
            </w:r>
          </w:p>
        </w:tc>
        <w:tc>
          <w:tcPr>
            <w:tcW w:w="1086" w:type="dxa"/>
            <w:gridSpan w:val="2"/>
            <w:vMerge w:val="restart"/>
            <w:tcBorders>
              <w:top w:val="single" w:sz="4" w:space="0" w:color="000000"/>
              <w:left w:val="single" w:sz="13"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0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tc>
        <w:tc>
          <w:tcPr>
            <w:tcW w:w="446" w:type="dxa"/>
            <w:tcBorders>
              <w:top w:val="single" w:sz="4" w:space="0" w:color="000000"/>
              <w:left w:val="single" w:sz="13" w:space="0" w:color="D2D2D2"/>
              <w:bottom w:val="nil" w:sz="6" w:space="0" w:color="auto"/>
              <w:right w:val="nil" w:sz="6" w:space="0" w:color="auto"/>
            </w:tcBorders>
          </w:tcPr>
          <w:p>
            <w:pPr/>
          </w:p>
        </w:tc>
        <w:tc>
          <w:tcPr>
            <w:tcW w:w="491"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202"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10" w:space="0" w:color="D2D2D2"/>
              <w:right w:val="single" w:sz="9" w:space="0" w:color="D2D2D2"/>
            </w:tcBorders>
          </w:tcPr>
          <w:p>
            <w:pPr/>
          </w:p>
        </w:tc>
        <w:tc>
          <w:tcPr>
            <w:tcW w:w="141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0"/>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45" w:type="dxa"/>
            <w:vMerge/>
            <w:tcBorders>
              <w:left w:val="single" w:sz="9" w:space="0" w:color="D2D2D2"/>
              <w:right w:val="single" w:sz="13" w:space="0" w:color="D2D2D2"/>
            </w:tcBorders>
          </w:tcPr>
          <w:p>
            <w:pPr/>
          </w:p>
        </w:tc>
        <w:tc>
          <w:tcPr>
            <w:tcW w:w="1271"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13" w:space="0" w:color="D2D2D2"/>
              <w:right w:val="single" w:sz="13" w:space="0" w:color="D2D2D2"/>
            </w:tcBorders>
          </w:tcPr>
          <w:p>
            <w:pPr/>
          </w:p>
        </w:tc>
        <w:tc>
          <w:tcPr>
            <w:tcW w:w="1306" w:type="dxa"/>
            <w:gridSpan w:val="3"/>
            <w:vMerge/>
            <w:tcBorders>
              <w:left w:val="single" w:sz="4" w:space="0" w:color="000000"/>
              <w:right w:val="single" w:sz="4" w:space="0" w:color="000000"/>
            </w:tcBorders>
            <w:shd w:val="clear" w:color="auto" w:fill="D2D2D2"/>
          </w:tcPr>
          <w:p>
            <w:pPr/>
          </w:p>
        </w:tc>
        <w:tc>
          <w:tcPr>
            <w:tcW w:w="446" w:type="dxa"/>
            <w:vMerge w:val="restart"/>
            <w:tcBorders>
              <w:top w:val="nil" w:sz="6" w:space="0" w:color="auto"/>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2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vMerge/>
            <w:tcBorders>
              <w:left w:val="single" w:sz="10" w:space="0" w:color="D2D2D2"/>
              <w:right w:val="single" w:sz="9" w:space="0" w:color="D2D2D2"/>
            </w:tcBorders>
          </w:tcPr>
          <w:p>
            <w:pPr/>
          </w:p>
        </w:tc>
        <w:tc>
          <w:tcPr>
            <w:tcW w:w="1413" w:type="dxa"/>
            <w:gridSpan w:val="2"/>
            <w:vMerge/>
            <w:tcBorders>
              <w:left w:val="single" w:sz="4" w:space="0" w:color="000000"/>
              <w:right w:val="single" w:sz="4" w:space="0" w:color="000000"/>
            </w:tcBorders>
            <w:shd w:val="clear" w:color="auto" w:fill="D2D2D2"/>
          </w:tcPr>
          <w:p>
            <w:pPr/>
          </w:p>
        </w:tc>
        <w:tc>
          <w:tcPr>
            <w:tcW w:w="1145" w:type="dxa"/>
            <w:vMerge/>
            <w:tcBorders>
              <w:left w:val="single" w:sz="9" w:space="0" w:color="D2D2D2"/>
              <w:right w:val="single" w:sz="13" w:space="0" w:color="D2D2D2"/>
            </w:tcBorders>
          </w:tcPr>
          <w:p>
            <w:pPr/>
          </w:p>
        </w:tc>
        <w:tc>
          <w:tcPr>
            <w:tcW w:w="1271"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13" w:space="0" w:color="D2D2D2"/>
              <w:right w:val="single" w:sz="13" w:space="0" w:color="D2D2D2"/>
            </w:tcBorders>
          </w:tcPr>
          <w:p>
            <w:pPr/>
          </w:p>
        </w:tc>
        <w:tc>
          <w:tcPr>
            <w:tcW w:w="1306" w:type="dxa"/>
            <w:gridSpan w:val="3"/>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156" w:hRule="exact"/>
        </w:trPr>
        <w:tc>
          <w:tcPr>
            <w:tcW w:w="1202" w:type="dxa"/>
            <w:vMerge w:val="restart"/>
            <w:tcBorders>
              <w:top w:val="nil" w:sz="6" w:space="0" w:color="auto"/>
              <w:left w:val="single" w:sz="4" w:space="0" w:color="000000"/>
              <w:right w:val="single" w:sz="4" w:space="0" w:color="000000"/>
            </w:tcBorders>
            <w:shd w:val="clear" w:color="auto" w:fill="D2D2D2"/>
          </w:tcPr>
          <w:p>
            <w:pPr/>
          </w:p>
        </w:tc>
        <w:tc>
          <w:tcPr>
            <w:tcW w:w="1208" w:type="dxa"/>
            <w:vMerge/>
            <w:tcBorders>
              <w:left w:val="single" w:sz="10" w:space="0" w:color="D2D2D2"/>
              <w:right w:val="single" w:sz="9" w:space="0" w:color="D2D2D2"/>
            </w:tcBorders>
          </w:tcPr>
          <w:p>
            <w:pPr/>
          </w:p>
        </w:tc>
        <w:tc>
          <w:tcPr>
            <w:tcW w:w="1413" w:type="dxa"/>
            <w:gridSpan w:val="2"/>
            <w:vMerge/>
            <w:tcBorders>
              <w:left w:val="single" w:sz="4" w:space="0" w:color="000000"/>
              <w:bottom w:val="nil" w:sz="6" w:space="0" w:color="auto"/>
              <w:right w:val="single" w:sz="4" w:space="0" w:color="000000"/>
            </w:tcBorders>
            <w:shd w:val="clear" w:color="auto" w:fill="D2D2D2"/>
          </w:tcPr>
          <w:p>
            <w:pPr/>
          </w:p>
        </w:tc>
        <w:tc>
          <w:tcPr>
            <w:tcW w:w="1145" w:type="dxa"/>
            <w:vMerge/>
            <w:tcBorders>
              <w:left w:val="single" w:sz="9" w:space="0" w:color="D2D2D2"/>
              <w:right w:val="single" w:sz="13" w:space="0" w:color="D2D2D2"/>
            </w:tcBorders>
          </w:tcPr>
          <w:p>
            <w:pPr/>
          </w:p>
        </w:tc>
        <w:tc>
          <w:tcPr>
            <w:tcW w:w="1271"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13" w:space="0" w:color="D2D2D2"/>
              <w:right w:val="single" w:sz="13" w:space="0" w:color="D2D2D2"/>
            </w:tcBorders>
          </w:tcPr>
          <w:p>
            <w:pPr/>
          </w:p>
        </w:tc>
        <w:tc>
          <w:tcPr>
            <w:tcW w:w="1306" w:type="dxa"/>
            <w:gridSpan w:val="3"/>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67" w:hRule="exact"/>
        </w:trPr>
        <w:tc>
          <w:tcPr>
            <w:tcW w:w="1202" w:type="dxa"/>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9" w:space="0" w:color="D2D2D2"/>
            </w:tcBorders>
          </w:tcPr>
          <w:p>
            <w:pPr/>
          </w:p>
        </w:tc>
        <w:tc>
          <w:tcPr>
            <w:tcW w:w="141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9" w:space="0" w:color="D2D2D2"/>
              <w:bottom w:val="single" w:sz="4" w:space="0" w:color="000000"/>
              <w:right w:val="single" w:sz="13" w:space="0" w:color="D2D2D2"/>
            </w:tcBorders>
          </w:tcPr>
          <w:p>
            <w:pPr/>
          </w:p>
        </w:tc>
        <w:tc>
          <w:tcPr>
            <w:tcW w:w="1271" w:type="dxa"/>
            <w:gridSpan w:val="2"/>
            <w:vMerge/>
            <w:tcBorders>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13" w:space="0" w:color="D2D2D2"/>
              <w:bottom w:val="single" w:sz="4" w:space="0" w:color="000000"/>
              <w:right w:val="single" w:sz="13" w:space="0" w:color="D2D2D2"/>
            </w:tcBorders>
          </w:tcPr>
          <w:p>
            <w:pPr/>
          </w:p>
        </w:tc>
        <w:tc>
          <w:tcPr>
            <w:tcW w:w="1306" w:type="dxa"/>
            <w:gridSpan w:val="3"/>
            <w:vMerge/>
            <w:tcBorders>
              <w:left w:val="single" w:sz="4" w:space="0" w:color="000000"/>
              <w:bottom w:val="single" w:sz="4" w:space="0" w:color="000000"/>
              <w:right w:val="single" w:sz="4" w:space="0" w:color="000000"/>
            </w:tcBorders>
            <w:shd w:val="clear" w:color="auto" w:fill="D2D2D2"/>
          </w:tcPr>
          <w:p>
            <w:pPr/>
          </w:p>
        </w:tc>
        <w:tc>
          <w:tcPr>
            <w:tcW w:w="446" w:type="dxa"/>
            <w:vMerge/>
            <w:tcBorders>
              <w:left w:val="single" w:sz="13" w:space="0" w:color="D2D2D2"/>
              <w:bottom w:val="single" w:sz="4" w:space="0" w:color="000000"/>
              <w:right w:val="nil" w:sz="6" w:space="0" w:color="auto"/>
            </w:tcBorders>
          </w:tcPr>
          <w:p>
            <w:pPr/>
          </w:p>
        </w:tc>
        <w:tc>
          <w:tcPr>
            <w:tcW w:w="491"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9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211" w:hRule="exact"/>
        </w:trPr>
        <w:tc>
          <w:tcPr>
            <w:tcW w:w="2410" w:type="dxa"/>
            <w:gridSpan w:val="2"/>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5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98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3" w:right="10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48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10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6" w:hRule="exact"/>
        </w:trPr>
        <w:tc>
          <w:tcPr>
            <w:tcW w:w="2410" w:type="dxa"/>
            <w:gridSpan w:val="2"/>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56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98" w:right="91"/>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97" w:right="116"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5"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488" w:type="dxa"/>
            <w:gridSpan w:val="4"/>
            <w:vMerge/>
            <w:tcBorders>
              <w:left w:val="single" w:sz="4" w:space="0" w:color="000000"/>
              <w:bottom w:val="single" w:sz="4" w:space="0" w:color="000000"/>
              <w:right w:val="single" w:sz="4" w:space="0" w:color="000000"/>
            </w:tcBorders>
            <w:shd w:val="clear" w:color="auto" w:fill="D2D2D2"/>
          </w:tcPr>
          <w:p>
            <w:pPr/>
          </w:p>
        </w:tc>
      </w:tr>
      <w:tr>
        <w:trPr>
          <w:trHeight w:val="182" w:hRule="exact"/>
        </w:trPr>
        <w:tc>
          <w:tcPr>
            <w:tcW w:w="241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6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561" w:type="dxa"/>
            <w:vMerge/>
            <w:tcBorders>
              <w:left w:val="single" w:sz="4" w:space="0" w:color="000000"/>
              <w:right w:val="single" w:sz="4" w:space="0" w:color="000000"/>
            </w:tcBorders>
            <w:shd w:val="clear" w:color="auto" w:fill="D2D2D2"/>
          </w:tcPr>
          <w:p>
            <w:pPr/>
          </w:p>
        </w:tc>
        <w:tc>
          <w:tcPr>
            <w:tcW w:w="1145" w:type="dxa"/>
            <w:vMerge/>
            <w:tcBorders>
              <w:left w:val="single" w:sz="4" w:space="0" w:color="000000"/>
              <w:right w:val="single" w:sz="4" w:space="0" w:color="000000"/>
            </w:tcBorders>
            <w:shd w:val="clear" w:color="auto" w:fill="D2D2D2"/>
          </w:tcPr>
          <w:p>
            <w:pPr/>
          </w:p>
        </w:tc>
        <w:tc>
          <w:tcPr>
            <w:tcW w:w="987"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27" w:right="26"/>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062" w:type="dxa"/>
            <w:gridSpan w:val="3"/>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410" w:type="dxa"/>
            <w:gridSpan w:val="2"/>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561" w:type="dxa"/>
            <w:vMerge/>
            <w:tcBorders>
              <w:left w:val="single" w:sz="4" w:space="0" w:color="000000"/>
              <w:right w:val="single" w:sz="4" w:space="0" w:color="000000"/>
            </w:tcBorders>
            <w:shd w:val="clear" w:color="auto" w:fill="D2D2D2"/>
          </w:tcPr>
          <w:p>
            <w:pPr/>
          </w:p>
        </w:tc>
        <w:tc>
          <w:tcPr>
            <w:tcW w:w="1145" w:type="dxa"/>
            <w:vMerge/>
            <w:tcBorders>
              <w:left w:val="single" w:sz="4" w:space="0" w:color="000000"/>
              <w:right w:val="single" w:sz="4" w:space="0" w:color="000000"/>
            </w:tcBorders>
            <w:shd w:val="clear" w:color="auto" w:fill="D2D2D2"/>
          </w:tcPr>
          <w:p>
            <w:pPr/>
          </w:p>
        </w:tc>
        <w:tc>
          <w:tcPr>
            <w:tcW w:w="987"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1062"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78" w:hRule="exact"/>
        </w:trPr>
        <w:tc>
          <w:tcPr>
            <w:tcW w:w="2410" w:type="dxa"/>
            <w:gridSpan w:val="2"/>
            <w:vMerge w:val="restart"/>
            <w:tcBorders>
              <w:top w:val="nil" w:sz="6" w:space="0" w:color="auto"/>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561" w:type="dxa"/>
            <w:vMerge/>
            <w:tcBorders>
              <w:left w:val="single" w:sz="4" w:space="0" w:color="000000"/>
              <w:bottom w:val="nil" w:sz="6" w:space="0" w:color="auto"/>
              <w:right w:val="single" w:sz="4" w:space="0" w:color="000000"/>
            </w:tcBorders>
            <w:shd w:val="clear" w:color="auto" w:fill="D2D2D2"/>
          </w:tcPr>
          <w:p>
            <w:pPr/>
          </w:p>
        </w:tc>
        <w:tc>
          <w:tcPr>
            <w:tcW w:w="1145" w:type="dxa"/>
            <w:vMerge/>
            <w:tcBorders>
              <w:left w:val="single" w:sz="4" w:space="0" w:color="000000"/>
              <w:bottom w:val="nil" w:sz="6" w:space="0" w:color="auto"/>
              <w:right w:val="single" w:sz="4" w:space="0" w:color="000000"/>
            </w:tcBorders>
            <w:shd w:val="clear" w:color="auto" w:fill="D2D2D2"/>
          </w:tcPr>
          <w:p>
            <w:pPr/>
          </w:p>
        </w:tc>
        <w:tc>
          <w:tcPr>
            <w:tcW w:w="987" w:type="dxa"/>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1062" w:type="dxa"/>
            <w:gridSpan w:val="3"/>
            <w:vMerge/>
            <w:tcBorders>
              <w:left w:val="single" w:sz="4" w:space="0" w:color="000000"/>
              <w:bottom w:val="nil" w:sz="6" w:space="0" w:color="auto"/>
              <w:right w:val="single" w:sz="4" w:space="0" w:color="000000"/>
            </w:tcBorders>
            <w:shd w:val="clear" w:color="auto" w:fill="D2D2D2"/>
          </w:tcPr>
          <w:p>
            <w:pPr/>
          </w:p>
        </w:tc>
      </w:tr>
      <w:tr>
        <w:trPr>
          <w:trHeight w:val="183" w:hRule="exact"/>
        </w:trPr>
        <w:tc>
          <w:tcPr>
            <w:tcW w:w="2410" w:type="dxa"/>
            <w:gridSpan w:val="2"/>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5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tcBorders>
              <w:top w:val="nil" w:sz="6" w:space="0" w:color="auto"/>
              <w:left w:val="single" w:sz="4" w:space="0" w:color="000000"/>
              <w:bottom w:val="single" w:sz="4" w:space="0" w:color="000000"/>
              <w:right w:val="single" w:sz="4" w:space="0" w:color="000000"/>
            </w:tcBorders>
            <w:shd w:val="clear" w:color="auto" w:fill="D2D2D2"/>
          </w:tcPr>
          <w:p>
            <w:pPr/>
          </w:p>
        </w:tc>
        <w:tc>
          <w:tcPr>
            <w:tcW w:w="98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1062" w:type="dxa"/>
            <w:gridSpan w:val="3"/>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410"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国广环球资产管理有限公司</w:t>
            </w:r>
          </w:p>
        </w:tc>
        <w:tc>
          <w:tcPr>
            <w:tcW w:w="852" w:type="dxa"/>
            <w:vMerge w:val="restart"/>
            <w:tcBorders>
              <w:top w:val="single" w:sz="4" w:space="0" w:color="000000"/>
              <w:left w:val="single" w:sz="4" w:space="0" w:color="000000"/>
              <w:right w:val="single" w:sz="4" w:space="0" w:color="000000"/>
            </w:tcBorders>
          </w:tcPr>
          <w:p>
            <w:pPr>
              <w:pStyle w:val="TableParagraph"/>
              <w:spacing w:line="316" w:lineRule="auto" w:before="97"/>
              <w:ind w:left="24" w:right="96"/>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56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sz w:val="18"/>
              </w:rPr>
              <w:t>8.20%</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6" w:right="0"/>
              <w:jc w:val="left"/>
              <w:rPr>
                <w:rFonts w:ascii="宋体" w:hAnsi="宋体" w:cs="宋体" w:eastAsia="宋体" w:hint="default"/>
                <w:sz w:val="18"/>
                <w:szCs w:val="18"/>
              </w:rPr>
            </w:pPr>
            <w:r>
              <w:rPr>
                <w:rFonts w:ascii="宋体"/>
                <w:sz w:val="18"/>
              </w:rPr>
              <w:t>163,800,244</w:t>
            </w:r>
          </w:p>
        </w:tc>
        <w:tc>
          <w:tcPr>
            <w:tcW w:w="98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3" w:right="0"/>
              <w:jc w:val="left"/>
              <w:rPr>
                <w:rFonts w:ascii="宋体" w:hAnsi="宋体" w:cs="宋体" w:eastAsia="宋体" w:hint="default"/>
                <w:sz w:val="18"/>
                <w:szCs w:val="18"/>
              </w:rPr>
            </w:pPr>
            <w:r>
              <w:rPr>
                <w:rFonts w:ascii="宋体"/>
                <w:sz w:val="18"/>
              </w:rPr>
              <w:t>-4,439,000</w:t>
            </w:r>
          </w:p>
        </w:tc>
        <w:tc>
          <w:tcPr>
            <w:tcW w:w="991" w:type="dxa"/>
            <w:gridSpan w:val="2"/>
            <w:vMerge w:val="restart"/>
            <w:tcBorders>
              <w:top w:val="single" w:sz="18" w:space="0" w:color="D2D2D2"/>
              <w:left w:val="single" w:sz="4" w:space="0" w:color="000000"/>
              <w:right w:val="single" w:sz="4" w:space="0" w:color="000000"/>
            </w:tcBorders>
          </w:tcPr>
          <w:p>
            <w:pPr/>
          </w:p>
        </w:tc>
        <w:tc>
          <w:tcPr>
            <w:tcW w:w="1134" w:type="dxa"/>
            <w:gridSpan w:val="2"/>
            <w:vMerge w:val="restart"/>
            <w:tcBorders>
              <w:top w:val="single" w:sz="18"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sz w:val="18"/>
              </w:rPr>
              <w:t>163,800,244</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质押</w:t>
            </w:r>
          </w:p>
        </w:tc>
        <w:tc>
          <w:tcPr>
            <w:tcW w:w="10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 w:right="0"/>
              <w:jc w:val="left"/>
              <w:rPr>
                <w:rFonts w:ascii="宋体" w:hAnsi="宋体" w:cs="宋体" w:eastAsia="宋体" w:hint="default"/>
                <w:sz w:val="18"/>
                <w:szCs w:val="18"/>
              </w:rPr>
            </w:pPr>
            <w:r>
              <w:rPr>
                <w:rFonts w:ascii="宋体"/>
                <w:sz w:val="18"/>
              </w:rPr>
              <w:t>163,451,494</w:t>
            </w:r>
          </w:p>
        </w:tc>
      </w:tr>
      <w:tr>
        <w:trPr>
          <w:trHeight w:val="402" w:hRule="exact"/>
        </w:trPr>
        <w:tc>
          <w:tcPr>
            <w:tcW w:w="2410" w:type="dxa"/>
            <w:gridSpan w:val="2"/>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1145" w:type="dxa"/>
            <w:vMerge/>
            <w:tcBorders>
              <w:left w:val="single" w:sz="4" w:space="0" w:color="000000"/>
              <w:bottom w:val="single" w:sz="4" w:space="0" w:color="000000"/>
              <w:right w:val="single" w:sz="4" w:space="0" w:color="000000"/>
            </w:tcBorders>
          </w:tcPr>
          <w:p>
            <w:pPr/>
          </w:p>
        </w:tc>
        <w:tc>
          <w:tcPr>
            <w:tcW w:w="987" w:type="dxa"/>
            <w:vMerge/>
            <w:tcBorders>
              <w:left w:val="single" w:sz="4" w:space="0" w:color="000000"/>
              <w:bottom w:val="single" w:sz="4" w:space="0" w:color="000000"/>
              <w:right w:val="single" w:sz="4" w:space="0" w:color="000000"/>
            </w:tcBorders>
          </w:tcPr>
          <w:p>
            <w:pPr/>
          </w:p>
        </w:tc>
        <w:tc>
          <w:tcPr>
            <w:tcW w:w="991" w:type="dxa"/>
            <w:gridSpan w:val="2"/>
            <w:vMerge/>
            <w:tcBorders>
              <w:left w:val="single" w:sz="4" w:space="0" w:color="000000"/>
              <w:bottom w:val="single" w:sz="4" w:space="0" w:color="000000"/>
              <w:right w:val="single" w:sz="4" w:space="0" w:color="000000"/>
            </w:tcBorders>
          </w:tcPr>
          <w:p>
            <w:pPr/>
          </w:p>
        </w:tc>
        <w:tc>
          <w:tcPr>
            <w:tcW w:w="1134" w:type="dxa"/>
            <w:gridSpan w:val="2"/>
            <w:vMerge/>
            <w:tcBorders>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冻结</w:t>
            </w:r>
          </w:p>
        </w:tc>
        <w:tc>
          <w:tcPr>
            <w:tcW w:w="10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 w:right="0"/>
              <w:jc w:val="left"/>
              <w:rPr>
                <w:rFonts w:ascii="宋体" w:hAnsi="宋体" w:cs="宋体" w:eastAsia="宋体" w:hint="default"/>
                <w:sz w:val="18"/>
                <w:szCs w:val="18"/>
              </w:rPr>
            </w:pPr>
            <w:r>
              <w:rPr>
                <w:rFonts w:ascii="宋体"/>
                <w:sz w:val="18"/>
              </w:rPr>
              <w:t>163,800,244</w:t>
            </w:r>
          </w:p>
        </w:tc>
      </w:tr>
      <w:tr>
        <w:trPr>
          <w:trHeight w:val="1026"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4"/>
              <w:jc w:val="both"/>
              <w:rPr>
                <w:rFonts w:ascii="宋体" w:hAnsi="宋体" w:cs="宋体" w:eastAsia="宋体" w:hint="default"/>
                <w:sz w:val="18"/>
                <w:szCs w:val="18"/>
              </w:rPr>
            </w:pPr>
            <w:r>
              <w:rPr>
                <w:rFonts w:ascii="宋体" w:hAnsi="宋体" w:cs="宋体" w:eastAsia="宋体" w:hint="default"/>
                <w:sz w:val="18"/>
                <w:szCs w:val="18"/>
              </w:rPr>
              <w:t>前海开源基金－浦发银行－渤 海国际信托－渤海信托·煦沁 聚和</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号集合资金信托计划</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5"/>
              <w:jc w:val="right"/>
              <w:rPr>
                <w:rFonts w:ascii="宋体" w:hAnsi="宋体" w:cs="宋体" w:eastAsia="宋体" w:hint="default"/>
                <w:sz w:val="18"/>
                <w:szCs w:val="18"/>
              </w:rPr>
            </w:pPr>
            <w:r>
              <w:rPr>
                <w:rFonts w:ascii="宋体"/>
                <w:sz w:val="18"/>
              </w:rPr>
              <w:t>6.14%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7"/>
              <w:jc w:val="right"/>
              <w:rPr>
                <w:rFonts w:ascii="宋体" w:hAnsi="宋体" w:cs="宋体" w:eastAsia="宋体" w:hint="default"/>
                <w:sz w:val="18"/>
                <w:szCs w:val="18"/>
              </w:rPr>
            </w:pPr>
            <w:r>
              <w:rPr>
                <w:rFonts w:ascii="宋体"/>
                <w:sz w:val="18"/>
              </w:rPr>
              <w:t>122,721,037</w:t>
            </w:r>
          </w:p>
        </w:tc>
        <w:tc>
          <w:tcPr>
            <w:tcW w:w="987"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2" w:right="0"/>
              <w:jc w:val="left"/>
              <w:rPr>
                <w:rFonts w:ascii="宋体" w:hAnsi="宋体" w:cs="宋体" w:eastAsia="宋体" w:hint="default"/>
                <w:sz w:val="18"/>
                <w:szCs w:val="18"/>
              </w:rPr>
            </w:pPr>
            <w:r>
              <w:rPr>
                <w:rFonts w:ascii="宋体"/>
                <w:sz w:val="18"/>
              </w:rPr>
              <w:t>122,721,037</w:t>
            </w:r>
          </w:p>
        </w:tc>
        <w:tc>
          <w:tcPr>
            <w:tcW w:w="426"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4"/>
              <w:jc w:val="left"/>
              <w:rPr>
                <w:rFonts w:ascii="宋体" w:hAnsi="宋体" w:cs="宋体" w:eastAsia="宋体" w:hint="default"/>
                <w:sz w:val="18"/>
                <w:szCs w:val="18"/>
              </w:rPr>
            </w:pPr>
            <w:r>
              <w:rPr>
                <w:rFonts w:ascii="宋体" w:hAnsi="宋体" w:cs="宋体" w:eastAsia="宋体" w:hint="default"/>
                <w:sz w:val="18"/>
                <w:szCs w:val="18"/>
              </w:rPr>
              <w:t>长信基金－浦发银行－长信－ 浦发－粤信</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号资产管理计划</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z w:val="18"/>
              </w:rPr>
              <w:t>5.14%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sz w:val="18"/>
              </w:rPr>
              <w:t>102,561,435</w:t>
            </w:r>
          </w:p>
        </w:tc>
        <w:tc>
          <w:tcPr>
            <w:tcW w:w="987"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sz w:val="18"/>
              </w:rPr>
              <w:t>102,561,435</w:t>
            </w:r>
          </w:p>
        </w:tc>
        <w:tc>
          <w:tcPr>
            <w:tcW w:w="426"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四川信托有限公司－四川信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3.93%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7"/>
              <w:jc w:val="right"/>
              <w:rPr>
                <w:rFonts w:ascii="宋体" w:hAnsi="宋体" w:cs="宋体" w:eastAsia="宋体" w:hint="default"/>
                <w:sz w:val="18"/>
                <w:szCs w:val="18"/>
              </w:rPr>
            </w:pPr>
            <w:r>
              <w:rPr>
                <w:rFonts w:ascii="宋体"/>
                <w:sz w:val="18"/>
              </w:rPr>
              <w:t>78,506,261</w:t>
            </w:r>
          </w:p>
        </w:tc>
        <w:tc>
          <w:tcPr>
            <w:tcW w:w="987"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2" w:right="0"/>
              <w:jc w:val="left"/>
              <w:rPr>
                <w:rFonts w:ascii="宋体" w:hAnsi="宋体" w:cs="宋体" w:eastAsia="宋体" w:hint="default"/>
                <w:sz w:val="18"/>
                <w:szCs w:val="18"/>
              </w:rPr>
            </w:pPr>
            <w:r>
              <w:rPr>
                <w:rFonts w:ascii="宋体"/>
                <w:sz w:val="18"/>
              </w:rPr>
              <w:t>78,506,261</w:t>
            </w:r>
          </w:p>
        </w:tc>
        <w:tc>
          <w:tcPr>
            <w:tcW w:w="426" w:type="dxa"/>
            <w:tcBorders>
              <w:top w:val="single" w:sz="4" w:space="0" w:color="000000"/>
              <w:left w:val="single" w:sz="4" w:space="0" w:color="000000"/>
              <w:bottom w:val="single" w:sz="4" w:space="0" w:color="000000"/>
              <w:right w:val="single" w:sz="4" w:space="0" w:color="000000"/>
            </w:tcBorders>
          </w:tcPr>
          <w:p>
            <w:pPr/>
          </w:p>
        </w:tc>
        <w:tc>
          <w:tcPr>
            <w:tcW w:w="1062"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410"/>
        <w:gridCol w:w="852"/>
        <w:gridCol w:w="567"/>
        <w:gridCol w:w="1134"/>
        <w:gridCol w:w="568"/>
        <w:gridCol w:w="425"/>
        <w:gridCol w:w="991"/>
        <w:gridCol w:w="568"/>
        <w:gridCol w:w="566"/>
        <w:gridCol w:w="426"/>
        <w:gridCol w:w="1062"/>
      </w:tblGrid>
      <w:tr>
        <w:trPr>
          <w:trHeight w:val="36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托·星光</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号单一资金信托</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方正东亚信托有限责任公司－ 腾翼投资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号单一资金信托</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59,088,209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8" w:right="0"/>
              <w:jc w:val="left"/>
              <w:rPr>
                <w:rFonts w:ascii="宋体" w:hAnsi="宋体" w:cs="宋体" w:eastAsia="宋体" w:hint="default"/>
                <w:sz w:val="18"/>
                <w:szCs w:val="18"/>
              </w:rPr>
            </w:pPr>
            <w:r>
              <w:rPr>
                <w:rFonts w:ascii="宋体"/>
                <w:sz w:val="18"/>
              </w:rPr>
              <w:t>-100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sz w:val="18"/>
              </w:rPr>
              <w:t>59,088,209</w:t>
            </w:r>
          </w:p>
        </w:tc>
        <w:tc>
          <w:tcPr>
            <w:tcW w:w="42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58,041,315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48" w:right="0"/>
              <w:jc w:val="left"/>
              <w:rPr>
                <w:rFonts w:ascii="宋体" w:hAnsi="宋体" w:cs="宋体" w:eastAsia="宋体" w:hint="default"/>
                <w:sz w:val="18"/>
                <w:szCs w:val="18"/>
              </w:rPr>
            </w:pPr>
            <w:r>
              <w:rPr>
                <w:rFonts w:ascii="宋体"/>
                <w:sz w:val="18"/>
              </w:rPr>
              <w:t>6,550,007</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sz w:val="18"/>
              </w:rPr>
              <w:t>58,041,315</w:t>
            </w:r>
          </w:p>
        </w:tc>
        <w:tc>
          <w:tcPr>
            <w:tcW w:w="42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西藏风网科技有限公司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37,954,736</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8" w:right="0"/>
              <w:jc w:val="left"/>
              <w:rPr>
                <w:rFonts w:ascii="宋体" w:hAnsi="宋体" w:cs="宋体" w:eastAsia="宋体" w:hint="default"/>
                <w:sz w:val="18"/>
                <w:szCs w:val="18"/>
              </w:rPr>
            </w:pPr>
            <w:r>
              <w:rPr>
                <w:rFonts w:ascii="宋体"/>
                <w:sz w:val="18"/>
              </w:rPr>
              <w:t>35,486,842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sz w:val="18"/>
              </w:rPr>
              <w:t>2,467,894</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9" w:right="0"/>
              <w:jc w:val="left"/>
              <w:rPr>
                <w:rFonts w:ascii="宋体" w:hAnsi="宋体" w:cs="宋体" w:eastAsia="宋体" w:hint="default"/>
                <w:sz w:val="18"/>
                <w:szCs w:val="18"/>
              </w:rPr>
            </w:pPr>
            <w:r>
              <w:rPr>
                <w:rFonts w:ascii="宋体"/>
                <w:sz w:val="18"/>
              </w:rPr>
              <w:t>37,740,000</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前海开源基金－浦发银行－前 海开源聚和资产管理计划</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30,515,332</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sz w:val="18"/>
              </w:rPr>
              <w:t>30,515,332</w:t>
            </w:r>
          </w:p>
        </w:tc>
        <w:tc>
          <w:tcPr>
            <w:tcW w:w="42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新疆锐盈股权投资合伙企业</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30,023,475</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sz w:val="18"/>
              </w:rPr>
              <w:t>30,023,475</w:t>
            </w:r>
          </w:p>
        </w:tc>
        <w:tc>
          <w:tcPr>
            <w:tcW w:w="42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云南国际信托有限公司－峻茂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号单一资金信托</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25,605,883</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宋体"/>
                <w:sz w:val="18"/>
              </w:rPr>
              <w:t>25,605,883</w:t>
            </w:r>
          </w:p>
        </w:tc>
        <w:tc>
          <w:tcPr>
            <w:tcW w:w="42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2345" w:hRule="exact"/>
        </w:trPr>
        <w:tc>
          <w:tcPr>
            <w:tcW w:w="326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07" w:type="dxa"/>
            <w:gridSpan w:val="9"/>
            <w:vMerge w:val="restart"/>
            <w:tcBorders>
              <w:top w:val="single" w:sz="4" w:space="0" w:color="000000"/>
              <w:left w:val="single" w:sz="9" w:space="0" w:color="D2D2D2"/>
              <w:right w:val="single" w:sz="4" w:space="0" w:color="000000"/>
            </w:tcBorders>
          </w:tcPr>
          <w:p>
            <w:pPr>
              <w:pStyle w:val="TableParagraph"/>
              <w:spacing w:line="316"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截至报告期末，国广资产合计持有公司股份</w:t>
            </w:r>
            <w:r>
              <w:rPr>
                <w:rFonts w:ascii="宋体" w:hAnsi="宋体" w:cs="宋体" w:eastAsia="宋体" w:hint="default"/>
                <w:spacing w:val="-54"/>
                <w:sz w:val="18"/>
                <w:szCs w:val="18"/>
              </w:rPr>
              <w:t> </w:t>
            </w:r>
            <w:r>
              <w:rPr>
                <w:rFonts w:ascii="宋体" w:hAnsi="宋体" w:cs="宋体" w:eastAsia="宋体" w:hint="default"/>
                <w:sz w:val="18"/>
                <w:szCs w:val="18"/>
              </w:rPr>
              <w:t>242,306,505</w:t>
            </w:r>
            <w:r>
              <w:rPr>
                <w:rFonts w:ascii="宋体" w:hAnsi="宋体" w:cs="宋体" w:eastAsia="宋体" w:hint="default"/>
                <w:spacing w:val="-54"/>
                <w:sz w:val="18"/>
                <w:szCs w:val="18"/>
              </w:rPr>
              <w:t> </w:t>
            </w:r>
            <w:r>
              <w:rPr>
                <w:rFonts w:ascii="宋体" w:hAnsi="宋体" w:cs="宋体" w:eastAsia="宋体" w:hint="default"/>
                <w:spacing w:val="-3"/>
                <w:sz w:val="18"/>
                <w:szCs w:val="18"/>
              </w:rPr>
              <w:t>股（占公司已发行股份</w:t>
            </w:r>
            <w:r>
              <w:rPr>
                <w:rFonts w:ascii="宋体" w:hAnsi="宋体" w:cs="宋体" w:eastAsia="宋体" w:hint="default"/>
                <w:sz w:val="18"/>
                <w:szCs w:val="18"/>
              </w:rPr>
              <w:t> 的</w:t>
            </w:r>
            <w:r>
              <w:rPr>
                <w:rFonts w:ascii="宋体" w:hAnsi="宋体" w:cs="宋体" w:eastAsia="宋体" w:hint="default"/>
                <w:spacing w:val="-39"/>
                <w:sz w:val="18"/>
                <w:szCs w:val="18"/>
              </w:rPr>
              <w:t> </w:t>
            </w:r>
            <w:r>
              <w:rPr>
                <w:rFonts w:ascii="宋体" w:hAnsi="宋体" w:cs="宋体" w:eastAsia="宋体" w:hint="default"/>
                <w:spacing w:val="-5"/>
                <w:sz w:val="18"/>
                <w:szCs w:val="18"/>
              </w:rPr>
              <w:t>12.13%</w:t>
            </w:r>
            <w:r>
              <w:rPr>
                <w:rFonts w:ascii="宋体" w:hAnsi="宋体" w:cs="宋体" w:eastAsia="宋体" w:hint="default"/>
                <w:spacing w:val="-5"/>
                <w:sz w:val="18"/>
                <w:szCs w:val="18"/>
              </w:rPr>
              <w:t>），其中：国广资产直接持有公司股份</w:t>
            </w:r>
            <w:r>
              <w:rPr>
                <w:rFonts w:ascii="宋体" w:hAnsi="宋体" w:cs="宋体" w:eastAsia="宋体" w:hint="default"/>
                <w:spacing w:val="-39"/>
                <w:sz w:val="18"/>
                <w:szCs w:val="18"/>
              </w:rPr>
              <w:t> </w:t>
            </w:r>
            <w:r>
              <w:rPr>
                <w:rFonts w:ascii="宋体" w:hAnsi="宋体" w:cs="宋体" w:eastAsia="宋体" w:hint="default"/>
                <w:sz w:val="18"/>
                <w:szCs w:val="18"/>
              </w:rPr>
              <w:t>163,800,244</w:t>
            </w:r>
            <w:r>
              <w:rPr>
                <w:rFonts w:ascii="宋体" w:hAnsi="宋体" w:cs="宋体" w:eastAsia="宋体" w:hint="default"/>
                <w:spacing w:val="-39"/>
                <w:sz w:val="18"/>
                <w:szCs w:val="18"/>
              </w:rPr>
              <w:t> </w:t>
            </w:r>
            <w:r>
              <w:rPr>
                <w:rFonts w:ascii="宋体" w:hAnsi="宋体" w:cs="宋体" w:eastAsia="宋体" w:hint="default"/>
                <w:spacing w:val="-1"/>
                <w:sz w:val="18"/>
                <w:szCs w:val="18"/>
              </w:rPr>
              <w:t>股（占公司已发行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股份的</w:t>
            </w:r>
            <w:r>
              <w:rPr>
                <w:rFonts w:ascii="宋体" w:hAnsi="宋体" w:cs="宋体" w:eastAsia="宋体" w:hint="default"/>
                <w:spacing w:val="-43"/>
                <w:sz w:val="18"/>
                <w:szCs w:val="18"/>
              </w:rPr>
              <w:t> </w:t>
            </w:r>
            <w:r>
              <w:rPr>
                <w:rFonts w:ascii="宋体" w:hAnsi="宋体" w:cs="宋体" w:eastAsia="宋体" w:hint="default"/>
                <w:spacing w:val="-4"/>
                <w:sz w:val="18"/>
                <w:szCs w:val="18"/>
              </w:rPr>
              <w:t>8.20%</w:t>
            </w:r>
            <w:r>
              <w:rPr>
                <w:rFonts w:ascii="宋体" w:hAnsi="宋体" w:cs="宋体" w:eastAsia="宋体" w:hint="default"/>
                <w:spacing w:val="-4"/>
                <w:sz w:val="18"/>
                <w:szCs w:val="18"/>
              </w:rPr>
              <w:t>），通过“四川信托有限公司－四川信托•星光</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号单一资金信托” 持有公司</w:t>
            </w:r>
            <w:r>
              <w:rPr>
                <w:rFonts w:ascii="宋体" w:hAnsi="宋体" w:cs="宋体" w:eastAsia="宋体" w:hint="default"/>
                <w:spacing w:val="-42"/>
                <w:sz w:val="18"/>
                <w:szCs w:val="18"/>
              </w:rPr>
              <w:t> </w:t>
            </w:r>
            <w:r>
              <w:rPr>
                <w:rFonts w:ascii="宋体" w:hAnsi="宋体" w:cs="宋体" w:eastAsia="宋体" w:hint="default"/>
                <w:sz w:val="18"/>
                <w:szCs w:val="18"/>
              </w:rPr>
              <w:t>78,506,261</w:t>
            </w:r>
            <w:r>
              <w:rPr>
                <w:rFonts w:ascii="宋体" w:hAnsi="宋体" w:cs="宋体" w:eastAsia="宋体" w:hint="default"/>
                <w:spacing w:val="-42"/>
                <w:sz w:val="18"/>
                <w:szCs w:val="18"/>
              </w:rPr>
              <w:t> </w:t>
            </w:r>
            <w:r>
              <w:rPr>
                <w:rFonts w:ascii="宋体" w:hAnsi="宋体" w:cs="宋体" w:eastAsia="宋体" w:hint="default"/>
                <w:spacing w:val="-1"/>
                <w:sz w:val="18"/>
                <w:szCs w:val="18"/>
              </w:rPr>
              <w:t>股（占公司已发行股份的</w:t>
            </w:r>
            <w:r>
              <w:rPr>
                <w:rFonts w:ascii="宋体" w:hAnsi="宋体" w:cs="宋体" w:eastAsia="宋体" w:hint="default"/>
                <w:spacing w:val="-42"/>
                <w:sz w:val="18"/>
                <w:szCs w:val="18"/>
              </w:rPr>
              <w:t> </w:t>
            </w:r>
            <w:r>
              <w:rPr>
                <w:rFonts w:ascii="宋体" w:hAnsi="宋体" w:cs="宋体" w:eastAsia="宋体" w:hint="default"/>
                <w:spacing w:val="-6"/>
                <w:sz w:val="18"/>
                <w:szCs w:val="18"/>
              </w:rPr>
              <w:t>3.93%</w:t>
            </w:r>
            <w:r>
              <w:rPr>
                <w:rFonts w:ascii="宋体" w:hAnsi="宋体" w:cs="宋体" w:eastAsia="宋体" w:hint="default"/>
                <w:spacing w:val="-6"/>
                <w:sz w:val="18"/>
                <w:szCs w:val="18"/>
              </w:rPr>
              <w:t>）。常州煦沁投资中心（有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限合伙）直接或间接通过前海开源基金管理有限公司发起设立的三只资产管理计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划合计持有公司股份</w:t>
            </w:r>
            <w:r>
              <w:rPr>
                <w:rFonts w:ascii="宋体" w:hAnsi="宋体" w:cs="宋体" w:eastAsia="宋体" w:hint="default"/>
                <w:spacing w:val="-45"/>
                <w:sz w:val="18"/>
                <w:szCs w:val="18"/>
              </w:rPr>
              <w:t> </w:t>
            </w:r>
            <w:r>
              <w:rPr>
                <w:rFonts w:ascii="宋体" w:hAnsi="宋体" w:cs="宋体" w:eastAsia="宋体" w:hint="default"/>
                <w:sz w:val="18"/>
                <w:szCs w:val="18"/>
              </w:rPr>
              <w:t>162,524,407</w:t>
            </w:r>
            <w:r>
              <w:rPr>
                <w:rFonts w:ascii="宋体" w:hAnsi="宋体" w:cs="宋体" w:eastAsia="宋体" w:hint="default"/>
                <w:spacing w:val="-45"/>
                <w:sz w:val="18"/>
                <w:szCs w:val="18"/>
              </w:rPr>
              <w:t> </w:t>
            </w:r>
            <w:r>
              <w:rPr>
                <w:rFonts w:ascii="宋体" w:hAnsi="宋体" w:cs="宋体" w:eastAsia="宋体" w:hint="default"/>
                <w:sz w:val="18"/>
                <w:szCs w:val="18"/>
              </w:rPr>
              <w:t>股（占公司已发行股份的</w:t>
            </w:r>
            <w:r>
              <w:rPr>
                <w:rFonts w:ascii="宋体" w:hAnsi="宋体" w:cs="宋体" w:eastAsia="宋体" w:hint="default"/>
                <w:spacing w:val="-45"/>
                <w:sz w:val="18"/>
                <w:szCs w:val="18"/>
              </w:rPr>
              <w:t> </w:t>
            </w:r>
            <w:r>
              <w:rPr>
                <w:rFonts w:ascii="宋体" w:hAnsi="宋体" w:cs="宋体" w:eastAsia="宋体" w:hint="default"/>
                <w:spacing w:val="-9"/>
                <w:sz w:val="18"/>
                <w:szCs w:val="18"/>
              </w:rPr>
              <w:t>8.14%</w:t>
            </w:r>
            <w:r>
              <w:rPr>
                <w:rFonts w:ascii="宋体" w:hAnsi="宋体" w:cs="宋体" w:eastAsia="宋体" w:hint="default"/>
                <w:spacing w:val="-9"/>
                <w:sz w:val="18"/>
                <w:szCs w:val="18"/>
              </w:rPr>
              <w:t>），其中：通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过“前海开源基金－浦发银行－渤海国际信托－渤海信托•煦沁聚和</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号集合资 金信托计划”持有公司股份</w:t>
            </w:r>
            <w:r>
              <w:rPr>
                <w:rFonts w:ascii="宋体" w:hAnsi="宋体" w:cs="宋体" w:eastAsia="宋体" w:hint="default"/>
                <w:spacing w:val="-45"/>
                <w:sz w:val="18"/>
                <w:szCs w:val="18"/>
              </w:rPr>
              <w:t> </w:t>
            </w:r>
            <w:r>
              <w:rPr>
                <w:rFonts w:ascii="宋体" w:hAnsi="宋体" w:cs="宋体" w:eastAsia="宋体" w:hint="default"/>
                <w:sz w:val="18"/>
                <w:szCs w:val="18"/>
              </w:rPr>
              <w:t>122,721,037</w:t>
            </w:r>
            <w:r>
              <w:rPr>
                <w:rFonts w:ascii="宋体" w:hAnsi="宋体" w:cs="宋体" w:eastAsia="宋体" w:hint="default"/>
                <w:spacing w:val="-45"/>
                <w:sz w:val="18"/>
                <w:szCs w:val="18"/>
              </w:rPr>
              <w:t> </w:t>
            </w:r>
            <w:r>
              <w:rPr>
                <w:rFonts w:ascii="宋体" w:hAnsi="宋体" w:cs="宋体" w:eastAsia="宋体" w:hint="default"/>
                <w:sz w:val="18"/>
                <w:szCs w:val="18"/>
              </w:rPr>
              <w:t>股（占公司已发行股份的</w:t>
            </w:r>
            <w:r>
              <w:rPr>
                <w:rFonts w:ascii="宋体" w:hAnsi="宋体" w:cs="宋体" w:eastAsia="宋体" w:hint="default"/>
                <w:spacing w:val="-45"/>
                <w:sz w:val="18"/>
                <w:szCs w:val="18"/>
              </w:rPr>
              <w:t> </w:t>
            </w:r>
            <w:r>
              <w:rPr>
                <w:rFonts w:ascii="宋体" w:hAnsi="宋体" w:cs="宋体" w:eastAsia="宋体" w:hint="default"/>
                <w:spacing w:val="-12"/>
                <w:sz w:val="18"/>
                <w:szCs w:val="18"/>
              </w:rPr>
              <w:t>6.14%</w:t>
            </w:r>
            <w:r>
              <w:rPr>
                <w:rFonts w:ascii="宋体" w:hAnsi="宋体" w:cs="宋体" w:eastAsia="宋体" w:hint="default"/>
                <w:spacing w:val="-12"/>
                <w:sz w:val="18"/>
                <w:szCs w:val="18"/>
              </w:rPr>
              <w:t>），通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过“前海开源基金－浦发银行－前海开源聚和资产管理计划”持有公司股份 </w:t>
            </w:r>
            <w:r>
              <w:rPr>
                <w:rFonts w:ascii="宋体" w:hAnsi="宋体" w:cs="宋体" w:eastAsia="宋体" w:hint="default"/>
                <w:sz w:val="18"/>
                <w:szCs w:val="18"/>
              </w:rPr>
              <w:t>30,515,332</w:t>
            </w:r>
            <w:r>
              <w:rPr>
                <w:rFonts w:ascii="宋体" w:hAnsi="宋体" w:cs="宋体" w:eastAsia="宋体" w:hint="default"/>
                <w:spacing w:val="-39"/>
                <w:sz w:val="18"/>
                <w:szCs w:val="18"/>
              </w:rPr>
              <w:t> </w:t>
            </w:r>
            <w:r>
              <w:rPr>
                <w:rFonts w:ascii="宋体" w:hAnsi="宋体" w:cs="宋体" w:eastAsia="宋体" w:hint="default"/>
                <w:sz w:val="18"/>
                <w:szCs w:val="18"/>
              </w:rPr>
              <w:t>股（占公司已发行股份的</w:t>
            </w:r>
            <w:r>
              <w:rPr>
                <w:rFonts w:ascii="宋体" w:hAnsi="宋体" w:cs="宋体" w:eastAsia="宋体" w:hint="default"/>
                <w:spacing w:val="-39"/>
                <w:sz w:val="18"/>
                <w:szCs w:val="18"/>
              </w:rPr>
              <w:t> </w:t>
            </w:r>
            <w:r>
              <w:rPr>
                <w:rFonts w:ascii="宋体" w:hAnsi="宋体" w:cs="宋体" w:eastAsia="宋体" w:hint="default"/>
                <w:spacing w:val="-5"/>
                <w:sz w:val="18"/>
                <w:szCs w:val="18"/>
              </w:rPr>
              <w:t>1.53%</w:t>
            </w:r>
            <w:r>
              <w:rPr>
                <w:rFonts w:ascii="宋体" w:hAnsi="宋体" w:cs="宋体" w:eastAsia="宋体" w:hint="default"/>
                <w:spacing w:val="-5"/>
                <w:sz w:val="18"/>
                <w:szCs w:val="18"/>
              </w:rPr>
              <w:t>），通过“前海开源基金－浦发银行</w:t>
            </w:r>
          </w:p>
          <w:p>
            <w:pPr>
              <w:pStyle w:val="TableParagraph"/>
              <w:spacing w:line="319" w:lineRule="auto" w:before="19"/>
              <w:ind w:left="16" w:right="20"/>
              <w:jc w:val="both"/>
              <w:rPr>
                <w:rFonts w:ascii="宋体" w:hAnsi="宋体" w:cs="宋体" w:eastAsia="宋体" w:hint="default"/>
                <w:sz w:val="18"/>
                <w:szCs w:val="18"/>
              </w:rPr>
            </w:pPr>
            <w:r>
              <w:rPr>
                <w:rFonts w:ascii="宋体" w:hAnsi="宋体" w:cs="宋体" w:eastAsia="宋体" w:hint="default"/>
                <w:sz w:val="18"/>
                <w:szCs w:val="18"/>
              </w:rPr>
              <w:t>－前海开源鲲鹏资产管理计划”持有公司股份</w:t>
            </w:r>
            <w:r>
              <w:rPr>
                <w:rFonts w:ascii="宋体" w:hAnsi="宋体" w:cs="宋体" w:eastAsia="宋体" w:hint="default"/>
                <w:spacing w:val="-46"/>
                <w:sz w:val="18"/>
                <w:szCs w:val="18"/>
              </w:rPr>
              <w:t> </w:t>
            </w:r>
            <w:r>
              <w:rPr>
                <w:rFonts w:ascii="宋体" w:hAnsi="宋体" w:cs="宋体" w:eastAsia="宋体" w:hint="default"/>
                <w:sz w:val="18"/>
                <w:szCs w:val="18"/>
              </w:rPr>
              <w:t>9,288,038</w:t>
            </w:r>
            <w:r>
              <w:rPr>
                <w:rFonts w:ascii="宋体" w:hAnsi="宋体" w:cs="宋体" w:eastAsia="宋体" w:hint="default"/>
                <w:spacing w:val="-46"/>
                <w:sz w:val="18"/>
                <w:szCs w:val="18"/>
              </w:rPr>
              <w:t> </w:t>
            </w:r>
            <w:r>
              <w:rPr>
                <w:rFonts w:ascii="宋体" w:hAnsi="宋体" w:cs="宋体" w:eastAsia="宋体" w:hint="default"/>
                <w:spacing w:val="-5"/>
                <w:sz w:val="18"/>
                <w:szCs w:val="18"/>
              </w:rPr>
              <w:t>股（占公司已发行股份</w:t>
            </w:r>
            <w:r>
              <w:rPr>
                <w:rFonts w:ascii="宋体" w:hAnsi="宋体" w:cs="宋体" w:eastAsia="宋体" w:hint="default"/>
                <w:sz w:val="18"/>
                <w:szCs w:val="18"/>
              </w:rPr>
              <w:t> 的</w:t>
            </w:r>
            <w:r>
              <w:rPr>
                <w:rFonts w:ascii="宋体" w:hAnsi="宋体" w:cs="宋体" w:eastAsia="宋体" w:hint="default"/>
                <w:spacing w:val="-39"/>
                <w:sz w:val="18"/>
                <w:szCs w:val="18"/>
              </w:rPr>
              <w:t> </w:t>
            </w:r>
            <w:r>
              <w:rPr>
                <w:rFonts w:ascii="宋体" w:hAnsi="宋体" w:cs="宋体" w:eastAsia="宋体" w:hint="default"/>
                <w:spacing w:val="-4"/>
                <w:sz w:val="18"/>
                <w:szCs w:val="18"/>
              </w:rPr>
              <w:t>0.47%</w:t>
            </w:r>
            <w:r>
              <w:rPr>
                <w:rFonts w:ascii="宋体" w:hAnsi="宋体" w:cs="宋体" w:eastAsia="宋体" w:hint="default"/>
                <w:spacing w:val="-4"/>
                <w:sz w:val="18"/>
                <w:szCs w:val="18"/>
              </w:rPr>
              <w:t>）。除国广资产与“四川信托有限公司－四川信托•星光</w:t>
            </w:r>
            <w:r>
              <w:rPr>
                <w:rFonts w:ascii="宋体" w:hAnsi="宋体" w:cs="宋体" w:eastAsia="宋体" w:hint="default"/>
                <w:spacing w:val="-39"/>
                <w:sz w:val="18"/>
                <w:szCs w:val="18"/>
              </w:rPr>
              <w:t> </w:t>
            </w: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号单一资金信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托”存在关联关系且为一致行动人、前海开源基金管理有限公司发起设立的三只</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资产管理计划存在关联关系且为一致行动人外，公司未知上述其他股东之间是否</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存在关联关系，也未知上述其他股东是否属于《上市公司收购管理办法》规定的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一致行动人。</w:t>
            </w:r>
          </w:p>
        </w:tc>
      </w:tr>
      <w:tr>
        <w:trPr>
          <w:trHeight w:val="392" w:hRule="exact"/>
        </w:trPr>
        <w:tc>
          <w:tcPr>
            <w:tcW w:w="326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307" w:type="dxa"/>
            <w:gridSpan w:val="9"/>
            <w:vMerge/>
            <w:tcBorders>
              <w:left w:val="single" w:sz="9" w:space="0" w:color="D2D2D2"/>
              <w:right w:val="single" w:sz="4" w:space="0" w:color="000000"/>
            </w:tcBorders>
          </w:tcPr>
          <w:p>
            <w:pPr/>
          </w:p>
        </w:tc>
      </w:tr>
      <w:tr>
        <w:trPr>
          <w:trHeight w:val="2345" w:hRule="exact"/>
        </w:trPr>
        <w:tc>
          <w:tcPr>
            <w:tcW w:w="326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07" w:type="dxa"/>
            <w:gridSpan w:val="9"/>
            <w:vMerge/>
            <w:tcBorders>
              <w:left w:val="single" w:sz="9" w:space="0" w:color="D2D2D2"/>
              <w:bottom w:val="single" w:sz="4" w:space="0" w:color="000000"/>
              <w:right w:val="single" w:sz="4" w:space="0" w:color="000000"/>
            </w:tcBorders>
          </w:tcPr>
          <w:p>
            <w:pP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210" w:hRule="exact"/>
        </w:trPr>
        <w:tc>
          <w:tcPr>
            <w:tcW w:w="326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858" w:right="48" w:hanging="811"/>
              <w:jc w:val="left"/>
              <w:rPr>
                <w:rFonts w:ascii="宋体" w:hAnsi="宋体" w:cs="宋体" w:eastAsia="宋体" w:hint="default"/>
                <w:sz w:val="18"/>
                <w:szCs w:val="18"/>
              </w:rPr>
            </w:pPr>
            <w:r>
              <w:rPr>
                <w:rFonts w:ascii="宋体" w:hAnsi="宋体" w:cs="宋体" w:eastAsia="宋体" w:hint="default"/>
                <w:sz w:val="18"/>
                <w:szCs w:val="18"/>
              </w:rPr>
              <w:t>报告期末持有无限售条件股 份数量</w:t>
            </w:r>
          </w:p>
        </w:tc>
        <w:tc>
          <w:tcPr>
            <w:tcW w:w="4038" w:type="dxa"/>
            <w:gridSpan w:val="6"/>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326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268" w:type="dxa"/>
            <w:gridSpan w:val="3"/>
            <w:vMerge/>
            <w:tcBorders>
              <w:left w:val="single" w:sz="4" w:space="0" w:color="000000"/>
              <w:right w:val="single" w:sz="4" w:space="0" w:color="000000"/>
            </w:tcBorders>
            <w:shd w:val="clear" w:color="auto" w:fill="D2D2D2"/>
          </w:tcPr>
          <w:p>
            <w:pPr/>
          </w:p>
        </w:tc>
        <w:tc>
          <w:tcPr>
            <w:tcW w:w="4038" w:type="dxa"/>
            <w:gridSpan w:val="6"/>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3262" w:type="dxa"/>
            <w:gridSpan w:val="2"/>
            <w:vMerge/>
            <w:tcBorders>
              <w:left w:val="single" w:sz="4" w:space="0" w:color="000000"/>
              <w:bottom w:val="nil" w:sz="6" w:space="0" w:color="auto"/>
              <w:right w:val="single" w:sz="4" w:space="0" w:color="000000"/>
            </w:tcBorders>
            <w:shd w:val="clear" w:color="auto" w:fill="D2D2D2"/>
          </w:tcPr>
          <w:p>
            <w:pPr/>
          </w:p>
        </w:tc>
        <w:tc>
          <w:tcPr>
            <w:tcW w:w="2268" w:type="dxa"/>
            <w:gridSpan w:val="3"/>
            <w:vMerge/>
            <w:tcBorders>
              <w:left w:val="single" w:sz="4" w:space="0" w:color="000000"/>
              <w:right w:val="single" w:sz="4" w:space="0" w:color="000000"/>
            </w:tcBorders>
            <w:shd w:val="clear" w:color="auto" w:fill="D2D2D2"/>
          </w:tcPr>
          <w:p>
            <w:pPr/>
          </w:p>
        </w:tc>
        <w:tc>
          <w:tcPr>
            <w:tcW w:w="1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2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205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84" w:hRule="exact"/>
        </w:trPr>
        <w:tc>
          <w:tcPr>
            <w:tcW w:w="326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268" w:type="dxa"/>
            <w:gridSpan w:val="3"/>
            <w:vMerge/>
            <w:tcBorders>
              <w:left w:val="single" w:sz="4" w:space="0" w:color="000000"/>
              <w:bottom w:val="single" w:sz="4" w:space="0" w:color="000000"/>
              <w:right w:val="single" w:sz="4" w:space="0" w:color="000000"/>
            </w:tcBorders>
            <w:shd w:val="clear" w:color="auto" w:fill="D2D2D2"/>
          </w:tcPr>
          <w:p>
            <w:pPr/>
          </w:p>
        </w:tc>
        <w:tc>
          <w:tcPr>
            <w:tcW w:w="1984" w:type="dxa"/>
            <w:gridSpan w:val="3"/>
            <w:vMerge/>
            <w:tcBorders>
              <w:left w:val="single" w:sz="4" w:space="0" w:color="000000"/>
              <w:bottom w:val="single" w:sz="4" w:space="0" w:color="000000"/>
              <w:right w:val="single" w:sz="4" w:space="0" w:color="000000"/>
            </w:tcBorders>
            <w:shd w:val="clear" w:color="auto" w:fill="D2D2D2"/>
          </w:tcPr>
          <w:p>
            <w:pPr/>
          </w:p>
        </w:tc>
        <w:tc>
          <w:tcPr>
            <w:tcW w:w="2054" w:type="dxa"/>
            <w:gridSpan w:val="3"/>
            <w:vMerge/>
            <w:tcBorders>
              <w:left w:val="single" w:sz="4" w:space="0" w:color="000000"/>
              <w:bottom w:val="single" w:sz="4" w:space="0" w:color="000000"/>
              <w:right w:val="single" w:sz="4" w:space="0" w:color="000000"/>
            </w:tcBorders>
            <w:shd w:val="clear" w:color="auto" w:fill="D2D2D2"/>
          </w:tcPr>
          <w:p>
            <w:pPr/>
          </w:p>
        </w:tc>
      </w:tr>
      <w:tr>
        <w:trPr>
          <w:trHeight w:val="425"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国广环球资产管理有限公司</w:t>
            </w:r>
          </w:p>
        </w:tc>
        <w:tc>
          <w:tcPr>
            <w:tcW w:w="2268" w:type="dxa"/>
            <w:gridSpan w:val="3"/>
            <w:tcBorders>
              <w:top w:val="single" w:sz="22" w:space="0" w:color="D2D2D2"/>
              <w:left w:val="single" w:sz="4" w:space="0" w:color="000000"/>
              <w:bottom w:val="single" w:sz="4" w:space="0" w:color="000000"/>
              <w:right w:val="single" w:sz="4" w:space="0" w:color="000000"/>
            </w:tcBorders>
          </w:tcPr>
          <w:p>
            <w:pPr>
              <w:pStyle w:val="TableParagraph"/>
              <w:spacing w:line="240" w:lineRule="auto" w:before="51"/>
              <w:ind w:left="1244" w:right="0"/>
              <w:jc w:val="left"/>
              <w:rPr>
                <w:rFonts w:ascii="宋体" w:hAnsi="宋体" w:cs="宋体" w:eastAsia="宋体" w:hint="default"/>
                <w:sz w:val="18"/>
                <w:szCs w:val="18"/>
              </w:rPr>
            </w:pPr>
            <w:r>
              <w:rPr>
                <w:rFonts w:ascii="宋体"/>
                <w:sz w:val="18"/>
              </w:rPr>
              <w:t>163,800,244</w:t>
            </w:r>
          </w:p>
        </w:tc>
        <w:tc>
          <w:tcPr>
            <w:tcW w:w="19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4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1" w:right="0"/>
              <w:jc w:val="left"/>
              <w:rPr>
                <w:rFonts w:ascii="宋体" w:hAnsi="宋体" w:cs="宋体" w:eastAsia="宋体" w:hint="default"/>
                <w:sz w:val="18"/>
                <w:szCs w:val="18"/>
              </w:rPr>
            </w:pPr>
            <w:r>
              <w:rPr>
                <w:rFonts w:ascii="宋体"/>
                <w:sz w:val="18"/>
              </w:rPr>
              <w:t>163,800,244</w:t>
            </w:r>
          </w:p>
        </w:tc>
      </w:tr>
      <w:tr>
        <w:trPr>
          <w:trHeight w:val="1026"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前海开源基金－浦发银行－渤海国际信 托－渤海信托·煦沁聚和</w:t>
            </w:r>
            <w:r>
              <w:rPr>
                <w:rFonts w:ascii="宋体" w:hAnsi="宋体" w:cs="宋体" w:eastAsia="宋体" w:hint="default"/>
                <w:spacing w:val="-63"/>
                <w:sz w:val="18"/>
                <w:szCs w:val="18"/>
              </w:rPr>
              <w:t> </w:t>
            </w:r>
            <w:r>
              <w:rPr>
                <w:rFonts w:ascii="宋体" w:hAnsi="宋体" w:cs="宋体" w:eastAsia="宋体" w:hint="default"/>
                <w:sz w:val="18"/>
                <w:szCs w:val="18"/>
              </w:rPr>
              <w:t>1</w:t>
            </w:r>
            <w:r>
              <w:rPr>
                <w:rFonts w:ascii="宋体" w:hAnsi="宋体" w:cs="宋体" w:eastAsia="宋体" w:hint="default"/>
                <w:spacing w:val="-63"/>
                <w:sz w:val="18"/>
                <w:szCs w:val="18"/>
              </w:rPr>
              <w:t> </w:t>
            </w:r>
            <w:r>
              <w:rPr>
                <w:rFonts w:ascii="宋体" w:hAnsi="宋体" w:cs="宋体" w:eastAsia="宋体" w:hint="default"/>
                <w:sz w:val="18"/>
                <w:szCs w:val="18"/>
              </w:rPr>
              <w:t>号集合资金信 托计划</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44" w:right="0"/>
              <w:jc w:val="left"/>
              <w:rPr>
                <w:rFonts w:ascii="宋体" w:hAnsi="宋体" w:cs="宋体" w:eastAsia="宋体" w:hint="default"/>
                <w:sz w:val="18"/>
                <w:szCs w:val="18"/>
              </w:rPr>
            </w:pPr>
            <w:r>
              <w:rPr>
                <w:rFonts w:ascii="宋体"/>
                <w:sz w:val="18"/>
              </w:rPr>
              <w:t>122,721,037</w:t>
            </w:r>
          </w:p>
        </w:tc>
        <w:tc>
          <w:tcPr>
            <w:tcW w:w="19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4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1" w:right="0"/>
              <w:jc w:val="left"/>
              <w:rPr>
                <w:rFonts w:ascii="宋体" w:hAnsi="宋体" w:cs="宋体" w:eastAsia="宋体" w:hint="default"/>
                <w:sz w:val="18"/>
                <w:szCs w:val="18"/>
              </w:rPr>
            </w:pPr>
            <w:r>
              <w:rPr>
                <w:rFonts w:ascii="宋体"/>
                <w:sz w:val="18"/>
              </w:rPr>
              <w:t>122,721,037</w:t>
            </w:r>
          </w:p>
        </w:tc>
      </w:tr>
      <w:tr>
        <w:trPr>
          <w:trHeight w:val="714"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长信基金－浦发银行－长信－浦发－粤 信</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号资产管理计划</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244" w:right="0"/>
              <w:jc w:val="left"/>
              <w:rPr>
                <w:rFonts w:ascii="宋体" w:hAnsi="宋体" w:cs="宋体" w:eastAsia="宋体" w:hint="default"/>
                <w:sz w:val="18"/>
                <w:szCs w:val="18"/>
              </w:rPr>
            </w:pPr>
            <w:r>
              <w:rPr>
                <w:rFonts w:ascii="宋体"/>
                <w:sz w:val="18"/>
              </w:rPr>
              <w:t>102,561,435</w:t>
            </w:r>
          </w:p>
        </w:tc>
        <w:tc>
          <w:tcPr>
            <w:tcW w:w="19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1" w:right="0"/>
              <w:jc w:val="left"/>
              <w:rPr>
                <w:rFonts w:ascii="宋体" w:hAnsi="宋体" w:cs="宋体" w:eastAsia="宋体" w:hint="default"/>
                <w:sz w:val="18"/>
                <w:szCs w:val="18"/>
              </w:rPr>
            </w:pPr>
            <w:r>
              <w:rPr>
                <w:rFonts w:ascii="宋体"/>
                <w:sz w:val="18"/>
              </w:rPr>
              <w:t>102,561,435</w:t>
            </w:r>
          </w:p>
        </w:tc>
      </w:tr>
      <w:tr>
        <w:trPr>
          <w:trHeight w:val="714"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四川信托有限公司－四川信托·星光</w:t>
            </w:r>
            <w:r>
              <w:rPr>
                <w:rFonts w:ascii="宋体" w:hAnsi="宋体" w:cs="宋体" w:eastAsia="宋体" w:hint="default"/>
                <w:spacing w:val="-63"/>
                <w:sz w:val="18"/>
                <w:szCs w:val="18"/>
              </w:rPr>
              <w:t> </w:t>
            </w:r>
            <w:r>
              <w:rPr>
                <w:rFonts w:ascii="宋体" w:hAnsi="宋体" w:cs="宋体" w:eastAsia="宋体" w:hint="default"/>
                <w:sz w:val="18"/>
                <w:szCs w:val="18"/>
              </w:rPr>
              <w:t>5</w:t>
            </w:r>
            <w:r>
              <w:rPr>
                <w:rFonts w:ascii="宋体" w:hAnsi="宋体" w:cs="宋体" w:eastAsia="宋体" w:hint="default"/>
                <w:spacing w:val="-63"/>
                <w:sz w:val="18"/>
                <w:szCs w:val="18"/>
              </w:rPr>
              <w:t> </w:t>
            </w:r>
            <w:r>
              <w:rPr>
                <w:rFonts w:ascii="宋体" w:hAnsi="宋体" w:cs="宋体" w:eastAsia="宋体" w:hint="default"/>
                <w:sz w:val="18"/>
                <w:szCs w:val="18"/>
              </w:rPr>
              <w:t>号 单一资金信托</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34" w:right="0"/>
              <w:jc w:val="left"/>
              <w:rPr>
                <w:rFonts w:ascii="宋体" w:hAnsi="宋体" w:cs="宋体" w:eastAsia="宋体" w:hint="default"/>
                <w:sz w:val="18"/>
                <w:szCs w:val="18"/>
              </w:rPr>
            </w:pPr>
            <w:r>
              <w:rPr>
                <w:rFonts w:ascii="宋体"/>
                <w:sz w:val="18"/>
              </w:rPr>
              <w:t>78,506,261</w:t>
            </w:r>
          </w:p>
        </w:tc>
        <w:tc>
          <w:tcPr>
            <w:tcW w:w="19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21" w:right="0"/>
              <w:jc w:val="left"/>
              <w:rPr>
                <w:rFonts w:ascii="宋体" w:hAnsi="宋体" w:cs="宋体" w:eastAsia="宋体" w:hint="default"/>
                <w:sz w:val="18"/>
                <w:szCs w:val="18"/>
              </w:rPr>
            </w:pPr>
            <w:r>
              <w:rPr>
                <w:rFonts w:ascii="宋体"/>
                <w:sz w:val="18"/>
              </w:rPr>
              <w:t>78,506,261</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p>
      <w:pPr>
        <w:spacing w:before="44"/>
        <w:ind w:left="0" w:right="1141" w:firstLine="0"/>
        <w:jc w:val="right"/>
        <w:rPr>
          <w:rFonts w:ascii="宋体" w:hAnsi="宋体" w:cs="宋体" w:eastAsia="宋体" w:hint="default"/>
          <w:sz w:val="18"/>
          <w:szCs w:val="18"/>
        </w:rPr>
      </w:pPr>
      <w:r>
        <w:rPr/>
        <w:pict>
          <v:shape style="position:absolute;margin-left:56.459999pt;margin-top:-215.128265pt;width:479.2pt;height:270.5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62"/>
                    <w:gridCol w:w="2268"/>
                    <w:gridCol w:w="1984"/>
                    <w:gridCol w:w="2054"/>
                  </w:tblGrid>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方正东亚信托有限责任公司－腾翼投资</w:t>
                        </w:r>
                        <w:r>
                          <w:rPr>
                            <w:rFonts w:ascii="宋体" w:hAnsi="宋体" w:cs="宋体" w:eastAsia="宋体" w:hint="default"/>
                            <w:spacing w:val="-46"/>
                            <w:sz w:val="18"/>
                            <w:szCs w:val="18"/>
                          </w:rPr>
                          <w:t> </w:t>
                        </w:r>
                        <w:r>
                          <w:rPr>
                            <w:rFonts w:ascii="宋体" w:hAnsi="宋体" w:cs="宋体" w:eastAsia="宋体" w:hint="default"/>
                            <w:sz w:val="18"/>
                            <w:szCs w:val="18"/>
                          </w:rPr>
                          <w:t>1 </w:t>
                        </w:r>
                        <w:r>
                          <w:rPr>
                            <w:rFonts w:ascii="宋体" w:hAnsi="宋体" w:cs="宋体" w:eastAsia="宋体" w:hint="default"/>
                            <w:sz w:val="18"/>
                            <w:szCs w:val="18"/>
                          </w:rPr>
                          <w:t>号单一资金信托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59,088,209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59,088,209</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58,041,315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58,041,315</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前海开源基金－浦发银行－前海开源聚 和资产管理计划</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30,515,332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30,515,332</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新疆锐盈股权投资合伙企业（有限合伙）</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30,023,475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30,023,475</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云南国际信托有限公司－峻茂</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号单一 资金信托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25,605,883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25,605,883</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陕西华路新型塑料建材有限公司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23,836,979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23,836,979</w:t>
                        </w:r>
                      </w:p>
                    </w:tc>
                  </w:tr>
                  <w:tr>
                    <w:trPr>
                      <w:trHeight w:val="1338"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名无限售流通股股东之间，以及前</w:t>
                        </w:r>
                      </w:p>
                      <w:p>
                        <w:pPr>
                          <w:pStyle w:val="TableParagraph"/>
                          <w:spacing w:line="319" w:lineRule="auto" w:before="76"/>
                          <w:ind w:left="22" w:right="35"/>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名股东之 间关联关系或一致行动的说明</w:t>
                        </w:r>
                      </w:p>
                    </w:tc>
                    <w:tc>
                      <w:tcPr>
                        <w:tcW w:w="630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除国广资产与“四川信托有限公司－四川信托•星光</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号单一资金信托”存在关 </w:t>
                        </w:r>
                        <w:r>
                          <w:rPr>
                            <w:rFonts w:ascii="宋体" w:hAnsi="宋体" w:cs="宋体" w:eastAsia="宋体" w:hint="default"/>
                            <w:spacing w:val="-2"/>
                            <w:sz w:val="18"/>
                            <w:szCs w:val="18"/>
                          </w:rPr>
                          <w:t>联关系且为一致行动人、前海开源基金管理有限公司发起设立的三只资产管理计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划存在关联关系且为一致行动人外，公司未知上述其他股东之间是否存在关联关</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系，也未知上述其他股东是否属于《上市公司收购管理办法》规定的一致行动人</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名普通股股东参与融资融券业务情 况说明（如有）</w:t>
                        </w:r>
                      </w:p>
                    </w:tc>
                    <w:tc>
                      <w:tcPr>
                        <w:tcW w:w="63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上述股东均未参与融资融券业务。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5"/>
        <w:ind w:right="0"/>
        <w:jc w:val="left"/>
      </w:pPr>
      <w:r>
        <w:rPr/>
        <w:t>公司前</w:t>
      </w:r>
      <w:r>
        <w:rPr>
          <w:spacing w:val="-54"/>
        </w:rPr>
        <w:t> </w:t>
      </w:r>
      <w:r>
        <w:rPr>
          <w:rFonts w:ascii="宋体" w:hAnsi="宋体" w:cs="宋体" w:eastAsia="宋体" w:hint="default"/>
        </w:rPr>
        <w:t>10</w:t>
      </w:r>
      <w:r>
        <w:rPr>
          <w:rFonts w:ascii="宋体" w:hAnsi="宋体" w:cs="宋体" w:eastAsia="宋体" w:hint="default"/>
          <w:spacing w:val="-54"/>
        </w:rPr>
        <w:t> </w:t>
      </w:r>
      <w:r>
        <w:rPr/>
        <w:t>名普通股股东、前</w:t>
      </w:r>
      <w:r>
        <w:rPr>
          <w:spacing w:val="-55"/>
        </w:rPr>
        <w:t> </w:t>
      </w:r>
      <w:r>
        <w:rPr>
          <w:rFonts w:ascii="宋体" w:hAnsi="宋体" w:cs="宋体" w:eastAsia="宋体" w:hint="default"/>
        </w:rPr>
        <w:t>10</w:t>
      </w:r>
      <w:r>
        <w:rPr>
          <w:rFonts w:ascii="宋体" w:hAnsi="宋体" w:cs="宋体" w:eastAsia="宋体" w:hint="default"/>
          <w:spacing w:val="-54"/>
        </w:rPr>
        <w:t> </w:t>
      </w:r>
      <w:r>
        <w:rPr/>
        <w:t>名无限售条件普通股股东在报告期内是否进行约定购回交易</w:t>
      </w:r>
    </w:p>
    <w:p>
      <w:pPr>
        <w:spacing w:line="240" w:lineRule="auto" w:before="10"/>
        <w:rPr>
          <w:rFonts w:ascii="宋体" w:hAnsi="宋体" w:cs="宋体" w:eastAsia="宋体" w:hint="default"/>
          <w:sz w:val="18"/>
          <w:szCs w:val="18"/>
        </w:rPr>
      </w:pPr>
    </w:p>
    <w:p>
      <w:pPr>
        <w:pStyle w:val="BodyText"/>
        <w:spacing w:line="240" w:lineRule="auto"/>
        <w:ind w:right="0"/>
        <w:jc w:val="left"/>
      </w:pPr>
      <w:r>
        <w:rPr/>
        <w:t>□ 是 √ 否</w:t>
      </w:r>
    </w:p>
    <w:p>
      <w:pPr>
        <w:spacing w:line="240" w:lineRule="auto" w:before="9"/>
        <w:rPr>
          <w:rFonts w:ascii="宋体" w:hAnsi="宋体" w:cs="宋体" w:eastAsia="宋体" w:hint="default"/>
          <w:sz w:val="18"/>
          <w:szCs w:val="18"/>
        </w:rPr>
      </w:pPr>
    </w:p>
    <w:p>
      <w:pPr>
        <w:pStyle w:val="BodyText"/>
        <w:spacing w:line="549" w:lineRule="auto"/>
        <w:ind w:right="2359"/>
        <w:jc w:val="left"/>
        <w:rPr>
          <w:rFonts w:ascii="宋体" w:hAnsi="宋体" w:cs="宋体" w:eastAsia="宋体" w:hint="default"/>
        </w:rPr>
      </w:pPr>
      <w:r>
        <w:rPr/>
        <w:t>公司前</w:t>
      </w:r>
      <w:r>
        <w:rPr>
          <w:spacing w:val="-54"/>
        </w:rPr>
        <w:t> </w:t>
      </w:r>
      <w:r>
        <w:rPr>
          <w:rFonts w:ascii="宋体" w:hAnsi="宋体" w:cs="宋体" w:eastAsia="宋体" w:hint="default"/>
        </w:rPr>
        <w:t>10</w:t>
      </w:r>
      <w:r>
        <w:rPr>
          <w:rFonts w:ascii="宋体" w:hAnsi="宋体" w:cs="宋体" w:eastAsia="宋体" w:hint="default"/>
          <w:spacing w:val="-54"/>
        </w:rPr>
        <w:t> </w:t>
      </w:r>
      <w:r>
        <w:rPr/>
        <w:t>名普通股股东、前</w:t>
      </w:r>
      <w:r>
        <w:rPr>
          <w:spacing w:val="-55"/>
        </w:rPr>
        <w:t> </w:t>
      </w:r>
      <w:r>
        <w:rPr>
          <w:rFonts w:ascii="宋体" w:hAnsi="宋体" w:cs="宋体" w:eastAsia="宋体" w:hint="default"/>
        </w:rPr>
        <w:t>10</w:t>
      </w:r>
      <w:r>
        <w:rPr>
          <w:rFonts w:ascii="宋体" w:hAnsi="宋体" w:cs="宋体" w:eastAsia="宋体" w:hint="default"/>
          <w:spacing w:val="-54"/>
        </w:rPr>
        <w:t> </w:t>
      </w:r>
      <w:r>
        <w:rPr/>
        <w:t>名无限售条件普通股股东在报告期内未进行约定购回交易。 </w:t>
      </w:r>
      <w:bookmarkStart w:name="2、公司控股股东情况" w:id="118"/>
      <w:bookmarkEnd w:id="118"/>
      <w:r>
        <w:rPr/>
      </w:r>
      <w:r>
        <w:rPr>
          <w:rFonts w:ascii="宋体" w:hAnsi="宋体" w:cs="宋体" w:eastAsia="宋体" w:hint="default"/>
          <w:b/>
          <w:bCs/>
        </w:rPr>
        <w:t>2</w:t>
      </w:r>
      <w:r>
        <w:rPr>
          <w:rFonts w:ascii="宋体" w:hAnsi="宋体" w:cs="宋体" w:eastAsia="宋体" w:hint="default"/>
          <w:b/>
          <w:bCs/>
        </w:rPr>
        <w:t>、公司控股股东情况</w:t>
      </w:r>
      <w:r>
        <w:rPr>
          <w:rFonts w:ascii="宋体" w:hAnsi="宋体" w:cs="宋体" w:eastAsia="宋体" w:hint="default"/>
        </w:rPr>
      </w:r>
    </w:p>
    <w:p>
      <w:pPr>
        <w:spacing w:line="240" w:lineRule="auto" w:before="11"/>
        <w:rPr>
          <w:rFonts w:ascii="宋体" w:hAnsi="宋体" w:cs="宋体" w:eastAsia="宋体" w:hint="default"/>
          <w:b/>
          <w:bCs/>
          <w:sz w:val="16"/>
          <w:szCs w:val="16"/>
        </w:rPr>
      </w:pPr>
    </w:p>
    <w:p>
      <w:pPr>
        <w:pStyle w:val="BodyText"/>
        <w:spacing w:line="456" w:lineRule="auto"/>
        <w:ind w:right="7392"/>
        <w:jc w:val="left"/>
      </w:pPr>
      <w:r>
        <w:rPr/>
        <w:pict>
          <v:shape style="position:absolute;margin-left:56.459999pt;margin-top:45.083702pt;width:479.2pt;height:154.4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5"/>
                    <w:gridCol w:w="1616"/>
                    <w:gridCol w:w="1722"/>
                    <w:gridCol w:w="1880"/>
                    <w:gridCol w:w="2087"/>
                  </w:tblGrid>
                  <w:tr>
                    <w:trPr>
                      <w:trHeight w:val="714"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21" w:right="36" w:hanging="58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单位负 责人</w:t>
                        </w:r>
                      </w:p>
                    </w:tc>
                    <w:tc>
                      <w:tcPr>
                        <w:tcW w:w="1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338"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国广环球资产管理有限公司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朱金玲</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sz w:val="18"/>
                          </w:rPr>
                          <w:t>91310118566525746D</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资产管理，投资管理，商 务信息咨询，企业管理咨 询，国内贸易（专项审批 </w:t>
                        </w:r>
                        <w:r>
                          <w:rPr>
                            <w:rFonts w:ascii="宋体" w:hAnsi="宋体" w:cs="宋体" w:eastAsia="宋体" w:hint="default"/>
                            <w:spacing w:val="-23"/>
                            <w:sz w:val="18"/>
                            <w:szCs w:val="18"/>
                          </w:rPr>
                          <w:t>除外）。</w:t>
                        </w:r>
                      </w:p>
                    </w:tc>
                  </w:tr>
                  <w:tr>
                    <w:trPr>
                      <w:trHeight w:val="1026"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控股股东性质：控股主体性质不明确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before="35"/>
        <w:ind w:right="0"/>
        <w:jc w:val="left"/>
      </w:pPr>
      <w:r>
        <w:rPr/>
        <w:t>控股股东报告期内变更</w:t>
      </w:r>
    </w:p>
    <w:p>
      <w:pPr>
        <w:spacing w:line="240" w:lineRule="auto" w:before="11"/>
        <w:rPr>
          <w:rFonts w:ascii="宋体" w:hAnsi="宋体" w:cs="宋体" w:eastAsia="宋体" w:hint="default"/>
          <w:sz w:val="18"/>
          <w:szCs w:val="18"/>
        </w:rPr>
      </w:pPr>
    </w:p>
    <w:p>
      <w:pPr>
        <w:pStyle w:val="BodyText"/>
        <w:spacing w:line="453" w:lineRule="auto"/>
        <w:ind w:right="7602"/>
        <w:jc w:val="left"/>
      </w:pPr>
      <w:r>
        <w:rPr/>
        <w:t>□ 适用 √</w:t>
      </w:r>
      <w:r>
        <w:rPr>
          <w:spacing w:val="-1"/>
        </w:rPr>
        <w:t> </w:t>
      </w:r>
      <w:r>
        <w:rPr/>
        <w:t>不适用</w:t>
      </w:r>
      <w:r>
        <w:rPr/>
        <w:t> 公司报告期控股股东未发生变更。</w:t>
      </w:r>
    </w:p>
    <w:p>
      <w:pPr>
        <w:spacing w:after="0" w:line="453"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3、公司实际控制人及其一致行动人" w:id="119"/>
      <w:bookmarkEnd w:id="119"/>
      <w:r>
        <w:rPr>
          <w:b w:val="0"/>
          <w:bCs w:val="0"/>
        </w:rPr>
      </w:r>
      <w:r>
        <w:rPr>
          <w:rFonts w:ascii="宋体" w:hAnsi="宋体" w:cs="宋体" w:eastAsia="宋体" w:hint="default"/>
        </w:rPr>
        <w:t>3</w:t>
      </w:r>
      <w:r>
        <w:rPr/>
        <w:t>、公司实际控制人及其一致行动人</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453" w:lineRule="auto"/>
        <w:ind w:right="7812"/>
        <w:jc w:val="left"/>
      </w:pPr>
      <w:r>
        <w:rPr/>
        <w:t>实际控制人性质：境内其他机构 实际控制人类型：法人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before="44"/>
        <w:ind w:left="0" w:right="1139" w:firstLine="0"/>
        <w:jc w:val="right"/>
        <w:rPr>
          <w:rFonts w:ascii="宋体" w:hAnsi="宋体" w:cs="宋体" w:eastAsia="宋体" w:hint="default"/>
          <w:sz w:val="18"/>
          <w:szCs w:val="18"/>
        </w:rPr>
      </w:pPr>
      <w:r>
        <w:rPr/>
        <w:pict>
          <v:shape style="position:absolute;margin-left:56.459999pt;margin-top:-114.488258pt;width:479.2pt;height:201.2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8"/>
                    <w:gridCol w:w="1382"/>
                    <w:gridCol w:w="1524"/>
                    <w:gridCol w:w="1829"/>
                    <w:gridCol w:w="2436"/>
                  </w:tblGrid>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5" w:right="99" w:hanging="22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单 位负责人</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58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国广环球传媒控股有限公司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范建平</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911101075658080664</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8"/>
                          <w:jc w:val="left"/>
                          <w:rPr>
                            <w:rFonts w:ascii="宋体" w:hAnsi="宋体" w:cs="宋体" w:eastAsia="宋体" w:hint="default"/>
                            <w:sz w:val="18"/>
                            <w:szCs w:val="18"/>
                          </w:rPr>
                        </w:pPr>
                        <w:r>
                          <w:rPr>
                            <w:rFonts w:ascii="宋体" w:hAnsi="宋体" w:cs="宋体" w:eastAsia="宋体" w:hint="default"/>
                            <w:sz w:val="18"/>
                            <w:szCs w:val="18"/>
                          </w:rPr>
                          <w:t>项目投资；投资管理；资产管 理；投资咨询；企业管理；组 </w:t>
                        </w:r>
                        <w:r>
                          <w:rPr>
                            <w:rFonts w:ascii="宋体" w:hAnsi="宋体" w:cs="宋体" w:eastAsia="宋体" w:hint="default"/>
                            <w:spacing w:val="-7"/>
                            <w:sz w:val="18"/>
                            <w:szCs w:val="18"/>
                          </w:rPr>
                          <w:t>织文化交流活动（演出除外）；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承办展览展示；影视策划；企 业形象策划；市场营销策划； </w:t>
                        </w:r>
                        <w:r>
                          <w:rPr>
                            <w:rFonts w:ascii="宋体" w:hAnsi="宋体" w:cs="宋体" w:eastAsia="宋体" w:hint="default"/>
                            <w:spacing w:val="-4"/>
                            <w:sz w:val="18"/>
                            <w:szCs w:val="18"/>
                          </w:rPr>
                          <w:t>设计、制作、代理、发布广告</w:t>
                        </w:r>
                        <w:r>
                          <w:rPr>
                            <w:rFonts w:ascii="宋体" w:hAnsi="宋体" w:cs="宋体" w:eastAsia="宋体" w:hint="default"/>
                            <w:sz w:val="18"/>
                            <w:szCs w:val="18"/>
                          </w:rPr>
                          <w:t> 网络技术开发、技术服务、技 术转让、技术咨询。</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实际控制人报告期内控制的其 他境内外上市公司的股权情况</w:t>
                        </w:r>
                      </w:p>
                    </w:tc>
                    <w:tc>
                      <w:tcPr>
                        <w:tcW w:w="71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before="35"/>
        <w:ind w:right="0"/>
        <w:jc w:val="left"/>
      </w:pPr>
      <w:r>
        <w:rPr/>
        <w:t>实际控制人报告期内变更</w:t>
      </w:r>
    </w:p>
    <w:p>
      <w:pPr>
        <w:spacing w:line="240" w:lineRule="auto" w:before="10"/>
        <w:rPr>
          <w:rFonts w:ascii="宋体" w:hAnsi="宋体" w:cs="宋体" w:eastAsia="宋体" w:hint="default"/>
          <w:sz w:val="18"/>
          <w:szCs w:val="18"/>
        </w:rPr>
      </w:pPr>
    </w:p>
    <w:p>
      <w:pPr>
        <w:pStyle w:val="BodyText"/>
        <w:spacing w:line="240" w:lineRule="auto"/>
        <w:ind w:right="0"/>
        <w:jc w:val="left"/>
      </w:pPr>
      <w:r>
        <w:rPr/>
        <w:t>√ 适用 □</w:t>
      </w:r>
      <w:r>
        <w:rPr>
          <w:spacing w:val="-1"/>
        </w:rPr>
        <w:t> </w:t>
      </w:r>
      <w:r>
        <w:rPr/>
        <w:t>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国际台、和融浙联（均为最终实际控制人）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在巨潮网上披露的《关于公司实际控制关系变动的提示性公 </w:t>
            </w:r>
            <w:r>
              <w:rPr>
                <w:rFonts w:ascii="宋体" w:hAnsi="宋体" w:cs="宋体" w:eastAsia="宋体" w:hint="default"/>
                <w:spacing w:val="-6"/>
                <w:sz w:val="18"/>
                <w:szCs w:val="18"/>
              </w:rPr>
              <w:t>告》（公告编号：</w:t>
            </w:r>
            <w:r>
              <w:rPr>
                <w:rFonts w:ascii="宋体" w:hAnsi="宋体" w:cs="宋体" w:eastAsia="宋体" w:hint="default"/>
                <w:spacing w:val="-6"/>
                <w:sz w:val="18"/>
                <w:szCs w:val="18"/>
              </w:rPr>
              <w:t>2018-114</w:t>
            </w:r>
            <w:r>
              <w:rPr>
                <w:rFonts w:ascii="宋体" w:hAnsi="宋体" w:cs="宋体" w:eastAsia="宋体" w:hint="default"/>
                <w:spacing w:val="-6"/>
                <w:sz w:val="18"/>
                <w:szCs w:val="18"/>
              </w:rPr>
              <w:t>）</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line="240" w:lineRule="auto" w:before="12"/>
        <w:rPr>
          <w:rFonts w:ascii="宋体" w:hAnsi="宋体" w:cs="宋体" w:eastAsia="宋体" w:hint="default"/>
          <w:sz w:val="10"/>
          <w:szCs w:val="10"/>
        </w:rPr>
      </w:pPr>
    </w:p>
    <w:p>
      <w:pPr>
        <w:pStyle w:val="BodyText"/>
        <w:spacing w:line="240" w:lineRule="auto" w:before="35"/>
        <w:ind w:right="0"/>
        <w:jc w:val="both"/>
      </w:pPr>
      <w:r>
        <w:rPr/>
        <w:t>说明：</w:t>
      </w:r>
    </w:p>
    <w:p>
      <w:pPr>
        <w:spacing w:line="240" w:lineRule="auto" w:before="10"/>
        <w:rPr>
          <w:rFonts w:ascii="宋体" w:hAnsi="宋体" w:cs="宋体" w:eastAsia="宋体" w:hint="default"/>
          <w:sz w:val="18"/>
          <w:szCs w:val="18"/>
        </w:rPr>
      </w:pPr>
    </w:p>
    <w:p>
      <w:pPr>
        <w:pStyle w:val="BodyText"/>
        <w:spacing w:line="420" w:lineRule="auto"/>
        <w:ind w:right="1115" w:firstLine="420"/>
        <w:jc w:val="left"/>
      </w:pPr>
      <w:r>
        <w:rPr/>
        <w:t>（</w:t>
      </w:r>
      <w:r>
        <w:rPr>
          <w:rFonts w:ascii="宋体" w:hAnsi="宋体" w:cs="宋体" w:eastAsia="宋体" w:hint="default"/>
        </w:rPr>
        <w:t>1</w:t>
      </w:r>
      <w:r>
        <w:rPr/>
        <w:t>）国广传媒及和融浙联全资子公司拉萨融威各持有国广控股</w:t>
      </w:r>
      <w:r>
        <w:rPr>
          <w:spacing w:val="-74"/>
        </w:rPr>
        <w:t> </w:t>
      </w:r>
      <w:r>
        <w:rPr>
          <w:rFonts w:ascii="宋体" w:hAnsi="宋体" w:cs="宋体" w:eastAsia="宋体" w:hint="default"/>
          <w:spacing w:val="-3"/>
        </w:rPr>
        <w:t>50%</w:t>
      </w:r>
      <w:r>
        <w:rPr>
          <w:spacing w:val="-3"/>
        </w:rPr>
        <w:t>股权，共同控制国广控股；国广传</w:t>
      </w:r>
      <w:r>
        <w:rPr/>
        <w:t> </w:t>
      </w:r>
      <w:r>
        <w:rPr>
          <w:spacing w:val="-4"/>
        </w:rPr>
        <w:t>媒的实际控制人为中国国际广播电台，和融浙联任一股东均不对其形成实际控制。（</w:t>
      </w:r>
      <w:r>
        <w:rPr>
          <w:rFonts w:ascii="宋体" w:hAnsi="宋体" w:cs="宋体" w:eastAsia="宋体" w:hint="default"/>
          <w:spacing w:val="-4"/>
        </w:rPr>
        <w:t>2</w:t>
      </w:r>
      <w:r>
        <w:rPr>
          <w:spacing w:val="-4"/>
        </w:rPr>
        <w:t>）</w:t>
      </w:r>
      <w:r>
        <w:rPr>
          <w:rFonts w:ascii="宋体" w:hAnsi="宋体" w:cs="宋体" w:eastAsia="宋体" w:hint="default"/>
          <w:spacing w:val="-4"/>
        </w:rPr>
        <w:t>2018</w:t>
      </w:r>
      <w:r>
        <w:rPr>
          <w:rFonts w:ascii="宋体" w:hAnsi="宋体" w:cs="宋体" w:eastAsia="宋体" w:hint="default"/>
          <w:spacing w:val="-51"/>
        </w:rPr>
        <w:t> </w:t>
      </w:r>
      <w:r>
        <w:rPr/>
        <w:t>年</w:t>
      </w:r>
      <w:r>
        <w:rPr>
          <w:spacing w:val="-52"/>
        </w:rPr>
        <w:t> </w:t>
      </w:r>
      <w:r>
        <w:rPr>
          <w:rFonts w:ascii="宋体" w:hAnsi="宋体" w:cs="宋体" w:eastAsia="宋体" w:hint="default"/>
        </w:rPr>
        <w:t>4</w:t>
      </w:r>
      <w:r>
        <w:rPr>
          <w:rFonts w:ascii="宋体" w:hAnsi="宋体" w:cs="宋体" w:eastAsia="宋体" w:hint="default"/>
          <w:spacing w:val="-50"/>
        </w:rPr>
        <w:t> </w:t>
      </w:r>
      <w:r>
        <w:rPr>
          <w:spacing w:val="-5"/>
        </w:rPr>
        <w:t>月，根据</w:t>
      </w:r>
    </w:p>
    <w:p>
      <w:pPr>
        <w:pStyle w:val="BodyText"/>
        <w:spacing w:line="420" w:lineRule="auto" w:before="47"/>
        <w:ind w:right="1133"/>
        <w:jc w:val="both"/>
      </w:pPr>
      <w:r>
        <w:rPr>
          <w:spacing w:val="-6"/>
        </w:rPr>
        <w:t>《深化党和国家机构改革方案》，整合中央电视台（中国国际电视台）、中央人民广播电台、中国国际广播</w:t>
      </w:r>
      <w:r>
        <w:rPr>
          <w:spacing w:val="-61"/>
        </w:rPr>
        <w:t> </w:t>
      </w:r>
      <w:r>
        <w:rPr>
          <w:spacing w:val="-61"/>
        </w:rPr>
      </w:r>
      <w:r>
        <w:rPr>
          <w:spacing w:val="-3"/>
        </w:rPr>
        <w:t>电台，组建中央广播电视总台，作为国务院直属事业单位，归口中央宣传部领导。（</w:t>
      </w:r>
      <w:r>
        <w:rPr>
          <w:rFonts w:ascii="宋体" w:hAnsi="宋体" w:cs="宋体" w:eastAsia="宋体" w:hint="default"/>
          <w:spacing w:val="-3"/>
        </w:rPr>
        <w:t>3</w:t>
      </w:r>
      <w:r>
        <w:rPr>
          <w:spacing w:val="-3"/>
        </w:rPr>
        <w:t>）</w:t>
      </w:r>
      <w:r>
        <w:rPr>
          <w:rFonts w:ascii="宋体" w:hAnsi="宋体" w:cs="宋体" w:eastAsia="宋体" w:hint="default"/>
          <w:spacing w:val="-3"/>
        </w:rPr>
        <w:t>2018</w:t>
      </w:r>
      <w:r>
        <w:rPr>
          <w:rFonts w:ascii="宋体" w:hAnsi="宋体" w:cs="宋体" w:eastAsia="宋体" w:hint="default"/>
          <w:spacing w:val="-47"/>
        </w:rPr>
        <w:t> </w:t>
      </w:r>
      <w:r>
        <w:rPr/>
        <w:t>年</w:t>
      </w:r>
      <w:r>
        <w:rPr>
          <w:spacing w:val="-47"/>
        </w:rPr>
        <w:t> </w:t>
      </w:r>
      <w:r>
        <w:rPr>
          <w:rFonts w:ascii="宋体" w:hAnsi="宋体" w:cs="宋体" w:eastAsia="宋体" w:hint="default"/>
          <w:spacing w:val="-1"/>
        </w:rPr>
        <w:t>11</w:t>
      </w:r>
      <w:r>
        <w:rPr>
          <w:rFonts w:ascii="宋体" w:hAnsi="宋体" w:cs="宋体" w:eastAsia="宋体" w:hint="default"/>
          <w:spacing w:val="-46"/>
        </w:rPr>
        <w:t> </w:t>
      </w:r>
      <w:r>
        <w:rPr/>
        <w:t>月，和</w:t>
      </w:r>
      <w:r>
        <w:rPr>
          <w:spacing w:val="-101"/>
        </w:rPr>
        <w:t> </w:t>
      </w:r>
      <w:r>
        <w:rPr/>
        <w:t>平财富向和融浙联全资子公司拉萨融威转让所持国广控股</w:t>
      </w:r>
      <w:r>
        <w:rPr>
          <w:spacing w:val="-54"/>
        </w:rPr>
        <w:t> </w:t>
      </w:r>
      <w:r>
        <w:rPr>
          <w:rFonts w:ascii="宋体" w:hAnsi="宋体" w:cs="宋体" w:eastAsia="宋体" w:hint="default"/>
        </w:rPr>
        <w:t>50%</w:t>
      </w:r>
      <w:r>
        <w:rPr/>
        <w:t>股权，截至目前，该股权转让的工商变更登 记手续尚未办理完毕。</w:t>
      </w:r>
    </w:p>
    <w:p>
      <w:pPr>
        <w:spacing w:after="0" w:line="420"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0"/>
        <w:jc w:val="left"/>
      </w:pPr>
      <w:r>
        <w:rPr/>
        <w:t>公司与实际控制人之间的产权及控制关系的方框图</w:t>
      </w:r>
    </w:p>
    <w:p>
      <w:pPr>
        <w:spacing w:line="240" w:lineRule="auto" w:before="11"/>
        <w:rPr>
          <w:rFonts w:ascii="宋体" w:hAnsi="宋体" w:cs="宋体" w:eastAsia="宋体" w:hint="default"/>
          <w:sz w:val="27"/>
          <w:szCs w:val="27"/>
        </w:rPr>
      </w:pPr>
    </w:p>
    <w:p>
      <w:pPr>
        <w:spacing w:line="9778" w:lineRule="exact"/>
        <w:ind w:left="154" w:right="0" w:firstLine="0"/>
        <w:rPr>
          <w:rFonts w:ascii="宋体" w:hAnsi="宋体" w:cs="宋体" w:eastAsia="宋体" w:hint="default"/>
          <w:sz w:val="20"/>
          <w:szCs w:val="20"/>
        </w:rPr>
      </w:pPr>
      <w:r>
        <w:rPr>
          <w:rFonts w:ascii="宋体" w:hAnsi="宋体" w:cs="宋体" w:eastAsia="宋体" w:hint="default"/>
          <w:position w:val="-195"/>
          <w:sz w:val="20"/>
          <w:szCs w:val="20"/>
        </w:rPr>
        <w:drawing>
          <wp:inline distT="0" distB="0" distL="0" distR="0">
            <wp:extent cx="6169794" cy="6209157"/>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1" cstate="print"/>
                    <a:stretch>
                      <a:fillRect/>
                    </a:stretch>
                  </pic:blipFill>
                  <pic:spPr>
                    <a:xfrm>
                      <a:off x="0" y="0"/>
                      <a:ext cx="6169794" cy="6209157"/>
                    </a:xfrm>
                    <a:prstGeom prst="rect">
                      <a:avLst/>
                    </a:prstGeom>
                  </pic:spPr>
                </pic:pic>
              </a:graphicData>
            </a:graphic>
          </wp:inline>
        </w:drawing>
      </w:r>
      <w:r>
        <w:rPr>
          <w:rFonts w:ascii="宋体" w:hAnsi="宋体" w:cs="宋体" w:eastAsia="宋体" w:hint="default"/>
          <w:position w:val="-195"/>
          <w:sz w:val="20"/>
          <w:szCs w:val="20"/>
        </w:rPr>
      </w:r>
    </w:p>
    <w:p>
      <w:pPr>
        <w:spacing w:line="240" w:lineRule="auto" w:before="2"/>
        <w:rPr>
          <w:rFonts w:ascii="宋体" w:hAnsi="宋体" w:cs="宋体" w:eastAsia="宋体" w:hint="default"/>
          <w:sz w:val="22"/>
          <w:szCs w:val="22"/>
        </w:rPr>
      </w:pPr>
    </w:p>
    <w:p>
      <w:pPr>
        <w:pStyle w:val="BodyText"/>
        <w:spacing w:line="240" w:lineRule="auto"/>
        <w:ind w:right="0"/>
        <w:jc w:val="left"/>
      </w:pPr>
      <w:r>
        <w:rPr/>
        <w:t>实际控制人通过信托或其他资产管理方式控制公司</w:t>
      </w:r>
    </w:p>
    <w:p>
      <w:pPr>
        <w:spacing w:line="240" w:lineRule="auto" w:before="2"/>
        <w:rPr>
          <w:rFonts w:ascii="宋体" w:hAnsi="宋体" w:cs="宋体" w:eastAsia="宋体" w:hint="default"/>
          <w:sz w:val="18"/>
          <w:szCs w:val="18"/>
        </w:rPr>
      </w:pPr>
    </w:p>
    <w:p>
      <w:pPr>
        <w:pStyle w:val="BodyText"/>
        <w:spacing w:line="240" w:lineRule="auto"/>
        <w:ind w:right="0"/>
        <w:jc w:val="left"/>
      </w:pPr>
      <w:r>
        <w:rPr/>
        <w:t>□ 适用 √</w:t>
      </w:r>
      <w:r>
        <w:rPr>
          <w:spacing w:val="-1"/>
        </w:rPr>
        <w:t> </w:t>
      </w:r>
      <w:r>
        <w:rPr/>
        <w:t>不适用</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4、其他持股在10%以上的法人股东" w:id="120"/>
      <w:bookmarkEnd w:id="120"/>
      <w:r>
        <w:rPr>
          <w:b w:val="0"/>
          <w:bCs w:val="0"/>
        </w:rPr>
      </w:r>
      <w:r>
        <w:rPr>
          <w:rFonts w:ascii="宋体" w:hAnsi="宋体" w:cs="宋体" w:eastAsia="宋体" w:hint="default"/>
        </w:rPr>
        <w:t>4</w:t>
      </w:r>
      <w:r>
        <w:rPr/>
        <w:t>、其他持股在</w:t>
      </w:r>
      <w:r>
        <w:rPr>
          <w:spacing w:val="-56"/>
        </w:rPr>
        <w:t> </w:t>
      </w:r>
      <w:r>
        <w:rPr>
          <w:rFonts w:ascii="宋体" w:hAnsi="宋体" w:cs="宋体" w:eastAsia="宋体" w:hint="default"/>
        </w:rPr>
        <w:t>10%</w:t>
      </w:r>
      <w:r>
        <w:rPr/>
        <w:t>以上的法人股东</w:t>
      </w:r>
      <w:r>
        <w:rPr>
          <w:b w:val="0"/>
          <w:bCs w:val="0"/>
        </w:rPr>
      </w:r>
    </w:p>
    <w:p>
      <w:pPr>
        <w:spacing w:line="240" w:lineRule="auto" w:before="2"/>
        <w:rPr>
          <w:rFonts w:ascii="宋体" w:hAnsi="宋体" w:cs="宋体" w:eastAsia="宋体" w:hint="default"/>
          <w:b/>
          <w:bCs/>
          <w:sz w:val="21"/>
          <w:szCs w:val="21"/>
        </w:rPr>
      </w:pPr>
    </w:p>
    <w:p>
      <w:pPr>
        <w:spacing w:line="482" w:lineRule="auto" w:before="0"/>
        <w:ind w:left="154" w:right="340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5、控股股东、实际控制人、重组方及其他承诺主体股份限制减持情况" w:id="121"/>
      <w:bookmarkEnd w:id="121"/>
      <w:r>
        <w:rPr>
          <w:rFonts w:ascii="宋体" w:hAnsi="宋体" w:cs="宋体" w:eastAsia="宋体" w:hint="default"/>
          <w:sz w:val="21"/>
          <w:szCs w:val="21"/>
        </w:rPr>
      </w:r>
      <w:r>
        <w:rPr>
          <w:rFonts w:ascii="宋体" w:hAnsi="宋体" w:cs="宋体" w:eastAsia="宋体" w:hint="default"/>
          <w:b/>
          <w:bCs/>
          <w:w w:val="95"/>
          <w:sz w:val="21"/>
          <w:szCs w:val="21"/>
        </w:rPr>
        <w:t>5</w:t>
      </w:r>
      <w:r>
        <w:rPr>
          <w:rFonts w:ascii="宋体" w:hAnsi="宋体" w:cs="宋体" w:eastAsia="宋体" w:hint="default"/>
          <w:b/>
          <w:bCs/>
          <w:w w:val="95"/>
          <w:sz w:val="21"/>
          <w:szCs w:val="21"/>
        </w:rPr>
        <w:t>、控股股东、实际控制人、重组方及其他承诺主体股份限制减持情况</w:t>
      </w:r>
      <w:r>
        <w:rPr>
          <w:rFonts w:ascii="宋体" w:hAnsi="宋体" w:cs="宋体" w:eastAsia="宋体" w:hint="default"/>
          <w:sz w:val="21"/>
          <w:szCs w:val="21"/>
        </w:rPr>
      </w:r>
    </w:p>
    <w:p>
      <w:pPr>
        <w:pStyle w:val="BodyText"/>
        <w:spacing w:line="240" w:lineRule="auto" w:before="64"/>
        <w:ind w:right="0"/>
        <w:jc w:val="left"/>
      </w:pPr>
      <w:r>
        <w:rPr/>
        <w:t>□ 适用 √</w:t>
      </w:r>
      <w:r>
        <w:rPr>
          <w:spacing w:val="-1"/>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第七节 优先股相关情况" w:id="122"/>
      <w:bookmarkEnd w:id="122"/>
      <w:r>
        <w:rPr>
          <w:b w:val="0"/>
          <w:bCs w:val="0"/>
        </w:rPr>
      </w:r>
      <w:bookmarkStart w:name="_bookmark5" w:id="123"/>
      <w:bookmarkEnd w:id="123"/>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spacing w:line="446" w:lineRule="auto" w:before="35"/>
        <w:ind w:right="8232"/>
        <w:jc w:val="left"/>
      </w:pPr>
      <w:r>
        <w:rPr/>
        <w:t>□ 适用 √</w:t>
      </w:r>
      <w:r>
        <w:rPr>
          <w:spacing w:val="-1"/>
        </w:rPr>
        <w:t> </w:t>
      </w:r>
      <w:r>
        <w:rPr/>
        <w:t>不适用</w:t>
      </w:r>
      <w:r>
        <w:rPr/>
        <w:t> 报告期公司不存在优先股。</w:t>
      </w:r>
    </w:p>
    <w:p>
      <w:pPr>
        <w:spacing w:after="0" w:line="446" w:lineRule="auto"/>
        <w:jc w:val="left"/>
        <w:sectPr>
          <w:footerReference w:type="default" r:id="rId32"/>
          <w:pgSz w:w="11910" w:h="16840"/>
          <w:pgMar w:footer="979" w:header="877"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060" w:right="1114"/>
        <w:jc w:val="left"/>
        <w:rPr>
          <w:b w:val="0"/>
          <w:bCs w:val="0"/>
        </w:rPr>
      </w:pPr>
      <w:bookmarkStart w:name="第八节 董事、监事、高级管理人员和员工情况" w:id="124"/>
      <w:bookmarkEnd w:id="124"/>
      <w:r>
        <w:rPr>
          <w:b w:val="0"/>
          <w:bCs w:val="0"/>
        </w:rPr>
      </w:r>
      <w:bookmarkStart w:name="_bookmark6" w:id="125"/>
      <w:bookmarkEnd w:id="125"/>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before="0"/>
        <w:ind w:left="534" w:right="1114"/>
        <w:jc w:val="left"/>
        <w:rPr>
          <w:b w:val="0"/>
          <w:bCs w:val="0"/>
        </w:rPr>
      </w:pPr>
      <w:bookmarkStart w:name="一、董事、监事和高级管理人员持股变动" w:id="126"/>
      <w:bookmarkEnd w:id="126"/>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798"/>
        <w:gridCol w:w="1047"/>
        <w:gridCol w:w="566"/>
        <w:gridCol w:w="587"/>
        <w:gridCol w:w="638"/>
        <w:gridCol w:w="1542"/>
        <w:gridCol w:w="1486"/>
        <w:gridCol w:w="566"/>
        <w:gridCol w:w="798"/>
        <w:gridCol w:w="798"/>
        <w:gridCol w:w="798"/>
        <w:gridCol w:w="798"/>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6"/>
              <w:jc w:val="both"/>
              <w:rPr>
                <w:rFonts w:ascii="宋体" w:hAnsi="宋体" w:cs="宋体" w:eastAsia="宋体" w:hint="default"/>
                <w:sz w:val="18"/>
                <w:szCs w:val="18"/>
              </w:rPr>
            </w:pPr>
            <w:r>
              <w:rPr>
                <w:rFonts w:ascii="宋体" w:hAnsi="宋体" w:cs="宋体" w:eastAsia="宋体" w:hint="default"/>
                <w:sz w:val="18"/>
                <w:szCs w:val="18"/>
              </w:rPr>
              <w:t>期初 持股 数</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汪方怀</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90"/>
                <w:sz w:val="18"/>
                <w:szCs w:val="18"/>
              </w:rPr>
              <w:t>、</w:t>
            </w: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55</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黄永国</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52</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张陶尧</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37</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郭全中</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42</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225</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张会丽</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36</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施海娜</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37</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陆文龙</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36</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邱小妹</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44</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张  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45</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张小勇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337" w:right="22" w:hanging="315"/>
              <w:jc w:val="left"/>
              <w:rPr>
                <w:rFonts w:ascii="宋体" w:hAnsi="宋体" w:cs="宋体" w:eastAsia="宋体" w:hint="default"/>
                <w:sz w:val="18"/>
                <w:szCs w:val="18"/>
              </w:rPr>
            </w:pPr>
            <w:r>
              <w:rPr>
                <w:rFonts w:ascii="宋体" w:hAnsi="宋体" w:cs="宋体" w:eastAsia="宋体" w:hint="default"/>
                <w:spacing w:val="-15"/>
                <w:sz w:val="18"/>
                <w:szCs w:val="18"/>
              </w:rPr>
              <w:t>副总裁、财务</w:t>
            </w:r>
            <w:r>
              <w:rPr>
                <w:rFonts w:ascii="宋体" w:hAnsi="宋体" w:cs="宋体" w:eastAsia="宋体" w:hint="default"/>
                <w:sz w:val="18"/>
                <w:szCs w:val="18"/>
              </w:rPr>
              <w:t> 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47</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周  娟</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34</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  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7" w:right="22" w:hanging="225"/>
              <w:jc w:val="left"/>
              <w:rPr>
                <w:rFonts w:ascii="宋体" w:hAnsi="宋体" w:cs="宋体" w:eastAsia="宋体" w:hint="default"/>
                <w:sz w:val="18"/>
                <w:szCs w:val="18"/>
              </w:rPr>
            </w:pPr>
            <w:r>
              <w:rPr>
                <w:rFonts w:ascii="宋体" w:hAnsi="宋体" w:cs="宋体" w:eastAsia="宋体" w:hint="default"/>
                <w:spacing w:val="-15"/>
                <w:sz w:val="18"/>
                <w:szCs w:val="18"/>
              </w:rPr>
              <w:t>副总裁、董事</w:t>
            </w:r>
            <w:r>
              <w:rPr>
                <w:rFonts w:ascii="宋体" w:hAnsi="宋体" w:cs="宋体" w:eastAsia="宋体" w:hint="default"/>
                <w:sz w:val="18"/>
                <w:szCs w:val="18"/>
              </w:rPr>
              <w:t> 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47</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储一丰</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54</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李向民</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42</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03</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26</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薛国庆</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28</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07</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26</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朱  亮</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51</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07</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26</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朱金玲</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29</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07</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26</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殷栋林</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37</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07</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26</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许永胜</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43</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07</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26</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r>
      <w:tr>
        <w:trPr>
          <w:trHeight w:val="40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王  源</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37</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15</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225</w:t>
            </w:r>
          </w:p>
        </w:tc>
      </w:tr>
    </w:tbl>
    <w:p>
      <w:pPr>
        <w:spacing w:line="240" w:lineRule="auto" w:before="13"/>
        <w:rPr>
          <w:rFonts w:ascii="宋体" w:hAnsi="宋体" w:cs="宋体" w:eastAsia="宋体" w:hint="default"/>
          <w:b/>
          <w:bCs/>
          <w:sz w:val="7"/>
          <w:szCs w:val="7"/>
        </w:rPr>
      </w:pPr>
    </w:p>
    <w:p>
      <w:pPr>
        <w:pStyle w:val="BodyText"/>
        <w:spacing w:line="240" w:lineRule="auto" w:before="35"/>
        <w:ind w:left="534" w:right="1114"/>
        <w:jc w:val="left"/>
      </w:pPr>
      <w:r>
        <w:rPr/>
        <w:t>说明：</w:t>
      </w:r>
    </w:p>
    <w:p>
      <w:pPr>
        <w:spacing w:line="240" w:lineRule="auto" w:before="9"/>
        <w:rPr>
          <w:rFonts w:ascii="宋体" w:hAnsi="宋体" w:cs="宋体" w:eastAsia="宋体" w:hint="default"/>
          <w:sz w:val="15"/>
          <w:szCs w:val="15"/>
        </w:rPr>
      </w:pPr>
    </w:p>
    <w:p>
      <w:pPr>
        <w:pStyle w:val="BodyText"/>
        <w:spacing w:line="420" w:lineRule="auto"/>
        <w:ind w:left="534" w:right="0" w:firstLine="420"/>
        <w:jc w:val="left"/>
      </w:pPr>
      <w:r>
        <w:rPr>
          <w:spacing w:val="-1"/>
        </w:rPr>
        <w:t>公司现任董事、监事、高级管理人员的任期已于</w:t>
      </w:r>
      <w:r>
        <w:rPr>
          <w:rFonts w:ascii="宋体" w:hAnsi="宋体" w:cs="宋体" w:eastAsia="宋体" w:hint="default"/>
          <w:spacing w:val="-1"/>
        </w:rPr>
        <w:t>2018</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15</w:t>
      </w:r>
      <w:r>
        <w:rPr>
          <w:spacing w:val="-1"/>
        </w:rPr>
        <w:t>日届满，截至目前公司董事会、监事会、</w:t>
      </w:r>
      <w:r>
        <w:rPr/>
        <w:t> 经营班子尚未换届，故现任董事、监事、高级管理人员的任期终止日期以实际换届时间为准。</w:t>
      </w:r>
    </w:p>
    <w:p>
      <w:pPr>
        <w:spacing w:after="0" w:line="420" w:lineRule="auto"/>
        <w:jc w:val="left"/>
        <w:sectPr>
          <w:footerReference w:type="default" r:id="rId33"/>
          <w:pgSz w:w="11910" w:h="16840"/>
          <w:pgMar w:footer="979" w:header="877" w:top="1100" w:bottom="1160" w:left="600" w:right="0"/>
          <w:pgNumType w:start="101"/>
        </w:sectPr>
      </w:pPr>
    </w:p>
    <w:p>
      <w:pPr>
        <w:spacing w:line="240" w:lineRule="auto" w:before="4"/>
        <w:rPr>
          <w:rFonts w:ascii="宋体" w:hAnsi="宋体" w:cs="宋体" w:eastAsia="宋体" w:hint="default"/>
          <w:sz w:val="27"/>
          <w:szCs w:val="27"/>
        </w:rPr>
      </w:pPr>
    </w:p>
    <w:p>
      <w:pPr>
        <w:pStyle w:val="Heading2"/>
        <w:spacing w:line="240" w:lineRule="auto"/>
        <w:ind w:right="0"/>
        <w:jc w:val="left"/>
        <w:rPr>
          <w:b w:val="0"/>
          <w:bCs w:val="0"/>
        </w:rPr>
      </w:pPr>
      <w:bookmarkStart w:name="二、公司董事、监事、高级管理人员变动情况" w:id="127"/>
      <w:bookmarkEnd w:id="127"/>
      <w:r>
        <w:rPr>
          <w:b w:val="0"/>
          <w:bCs w:val="0"/>
        </w:rPr>
      </w:r>
      <w:r>
        <w:rPr/>
        <w:t>二、公司董事、监事、高级管理人员变动情况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0"/>
        <w:ind w:right="0"/>
        <w:jc w:val="left"/>
      </w:pPr>
      <w:r>
        <w:rPr/>
        <w:t>√ 适用 □</w:t>
      </w:r>
      <w:r>
        <w:rPr>
          <w:spacing w:val="-1"/>
        </w:rPr>
        <w:t> </w:t>
      </w:r>
      <w:r>
        <w:rPr/>
        <w:t>不适用</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851"/>
        <w:gridCol w:w="1277"/>
        <w:gridCol w:w="850"/>
        <w:gridCol w:w="1701"/>
        <w:gridCol w:w="4890"/>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李向民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4"/>
              <w:jc w:val="left"/>
              <w:rPr>
                <w:rFonts w:ascii="宋体" w:hAnsi="宋体" w:cs="宋体" w:eastAsia="宋体" w:hint="default"/>
                <w:sz w:val="18"/>
                <w:szCs w:val="18"/>
              </w:rPr>
            </w:pPr>
            <w:r>
              <w:rPr>
                <w:rFonts w:ascii="宋体" w:hAnsi="宋体" w:cs="宋体" w:eastAsia="宋体" w:hint="default"/>
                <w:sz w:val="18"/>
                <w:szCs w:val="18"/>
              </w:rPr>
              <w:t>公司董事会于</w:t>
            </w:r>
            <w:r>
              <w:rPr>
                <w:rFonts w:ascii="宋体" w:hAnsi="宋体" w:cs="宋体" w:eastAsia="宋体" w:hint="default"/>
                <w:spacing w:val="-50"/>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3</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26</w:t>
            </w:r>
            <w:r>
              <w:rPr>
                <w:rFonts w:ascii="宋体" w:hAnsi="宋体" w:cs="宋体" w:eastAsia="宋体" w:hint="default"/>
                <w:spacing w:val="-50"/>
                <w:sz w:val="18"/>
                <w:szCs w:val="18"/>
              </w:rPr>
              <w:t> </w:t>
            </w:r>
            <w:r>
              <w:rPr>
                <w:rFonts w:ascii="宋体" w:hAnsi="宋体" w:cs="宋体" w:eastAsia="宋体" w:hint="default"/>
                <w:sz w:val="18"/>
                <w:szCs w:val="18"/>
              </w:rPr>
              <w:t>日收到李向民先生因个人原因辞 去公司董事的书面辞职报告，该辞职报告自递交之日起生效。</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张陶尧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85"/>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日召开的</w:t>
            </w:r>
            <w:r>
              <w:rPr>
                <w:rFonts w:ascii="宋体" w:hAnsi="宋体" w:cs="宋体" w:eastAsia="宋体" w:hint="default"/>
                <w:spacing w:val="-44"/>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年第三次临时股东大会增 补张陶尧先生为公司第七届董事会非独立董事。</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薛国庆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0"/>
              <w:jc w:val="both"/>
              <w:rPr>
                <w:rFonts w:ascii="宋体" w:hAnsi="宋体" w:cs="宋体" w:eastAsia="宋体" w:hint="default"/>
                <w:sz w:val="18"/>
                <w:szCs w:val="18"/>
              </w:rPr>
            </w:pPr>
            <w:r>
              <w:rPr>
                <w:rFonts w:ascii="宋体" w:hAnsi="宋体" w:cs="宋体" w:eastAsia="宋体" w:hint="default"/>
                <w:sz w:val="18"/>
                <w:szCs w:val="18"/>
              </w:rPr>
              <w:t>公司董事会于</w:t>
            </w:r>
            <w:r>
              <w:rPr>
                <w:rFonts w:ascii="宋体" w:hAnsi="宋体" w:cs="宋体" w:eastAsia="宋体" w:hint="default"/>
                <w:spacing w:val="-50"/>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7</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26</w:t>
            </w:r>
            <w:r>
              <w:rPr>
                <w:rFonts w:ascii="宋体" w:hAnsi="宋体" w:cs="宋体" w:eastAsia="宋体" w:hint="default"/>
                <w:spacing w:val="-50"/>
                <w:sz w:val="18"/>
                <w:szCs w:val="18"/>
              </w:rPr>
              <w:t> </w:t>
            </w:r>
            <w:r>
              <w:rPr>
                <w:rFonts w:ascii="宋体" w:hAnsi="宋体" w:cs="宋体" w:eastAsia="宋体" w:hint="default"/>
                <w:sz w:val="18"/>
                <w:szCs w:val="18"/>
              </w:rPr>
              <w:t>日收到薛国庆先生因个人原因辞 </w:t>
            </w:r>
            <w:r>
              <w:rPr>
                <w:rFonts w:ascii="宋体" w:hAnsi="宋体" w:cs="宋体" w:eastAsia="宋体" w:hint="default"/>
                <w:spacing w:val="-2"/>
                <w:sz w:val="18"/>
                <w:szCs w:val="18"/>
              </w:rPr>
              <w:t>去公司董事、副董事长的书面辞职报告，该辞职报告自递交之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日起生效。</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朱亮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0"/>
              <w:jc w:val="left"/>
              <w:rPr>
                <w:rFonts w:ascii="宋体" w:hAnsi="宋体" w:cs="宋体" w:eastAsia="宋体" w:hint="default"/>
                <w:sz w:val="18"/>
                <w:szCs w:val="18"/>
              </w:rPr>
            </w:pPr>
            <w:r>
              <w:rPr>
                <w:rFonts w:ascii="宋体" w:hAnsi="宋体" w:cs="宋体" w:eastAsia="宋体" w:hint="default"/>
                <w:sz w:val="18"/>
                <w:szCs w:val="18"/>
              </w:rPr>
              <w:t>公司董事会于</w:t>
            </w:r>
            <w:r>
              <w:rPr>
                <w:rFonts w:ascii="宋体" w:hAnsi="宋体" w:cs="宋体" w:eastAsia="宋体" w:hint="default"/>
                <w:spacing w:val="-50"/>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7</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26</w:t>
            </w:r>
            <w:r>
              <w:rPr>
                <w:rFonts w:ascii="宋体" w:hAnsi="宋体" w:cs="宋体" w:eastAsia="宋体" w:hint="default"/>
                <w:spacing w:val="-50"/>
                <w:sz w:val="18"/>
                <w:szCs w:val="18"/>
              </w:rPr>
              <w:t> </w:t>
            </w:r>
            <w:r>
              <w:rPr>
                <w:rFonts w:ascii="宋体" w:hAnsi="宋体" w:cs="宋体" w:eastAsia="宋体" w:hint="default"/>
                <w:sz w:val="18"/>
                <w:szCs w:val="18"/>
              </w:rPr>
              <w:t>日收到朱亮先生因个人原因辞去 公司董事的书面辞职报告，该辞职报告自递交之日起生效。</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朱金玲</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4"/>
              <w:jc w:val="left"/>
              <w:rPr>
                <w:rFonts w:ascii="宋体" w:hAnsi="宋体" w:cs="宋体" w:eastAsia="宋体" w:hint="default"/>
                <w:sz w:val="18"/>
                <w:szCs w:val="18"/>
              </w:rPr>
            </w:pPr>
            <w:r>
              <w:rPr>
                <w:rFonts w:ascii="宋体" w:hAnsi="宋体" w:cs="宋体" w:eastAsia="宋体" w:hint="default"/>
                <w:sz w:val="18"/>
                <w:szCs w:val="18"/>
              </w:rPr>
              <w:t>公司董事会于</w:t>
            </w:r>
            <w:r>
              <w:rPr>
                <w:rFonts w:ascii="宋体" w:hAnsi="宋体" w:cs="宋体" w:eastAsia="宋体" w:hint="default"/>
                <w:spacing w:val="-50"/>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7</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26</w:t>
            </w:r>
            <w:r>
              <w:rPr>
                <w:rFonts w:ascii="宋体" w:hAnsi="宋体" w:cs="宋体" w:eastAsia="宋体" w:hint="default"/>
                <w:spacing w:val="-50"/>
                <w:sz w:val="18"/>
                <w:szCs w:val="18"/>
              </w:rPr>
              <w:t> </w:t>
            </w:r>
            <w:r>
              <w:rPr>
                <w:rFonts w:ascii="宋体" w:hAnsi="宋体" w:cs="宋体" w:eastAsia="宋体" w:hint="default"/>
                <w:sz w:val="18"/>
                <w:szCs w:val="18"/>
              </w:rPr>
              <w:t>日收到朱金玲女士因个人原因辞 去公司董事的书面辞职报告，该辞职报告自递交之日起生效。</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殷栋林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0"/>
              <w:jc w:val="both"/>
              <w:rPr>
                <w:rFonts w:ascii="宋体" w:hAnsi="宋体" w:cs="宋体" w:eastAsia="宋体" w:hint="default"/>
                <w:sz w:val="18"/>
                <w:szCs w:val="18"/>
              </w:rPr>
            </w:pPr>
            <w:r>
              <w:rPr>
                <w:rFonts w:ascii="宋体" w:hAnsi="宋体" w:cs="宋体" w:eastAsia="宋体" w:hint="default"/>
                <w:sz w:val="18"/>
                <w:szCs w:val="18"/>
              </w:rPr>
              <w:t>公司监事会于</w:t>
            </w:r>
            <w:r>
              <w:rPr>
                <w:rFonts w:ascii="宋体" w:hAnsi="宋体" w:cs="宋体" w:eastAsia="宋体" w:hint="default"/>
                <w:spacing w:val="-50"/>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7</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26</w:t>
            </w:r>
            <w:r>
              <w:rPr>
                <w:rFonts w:ascii="宋体" w:hAnsi="宋体" w:cs="宋体" w:eastAsia="宋体" w:hint="default"/>
                <w:spacing w:val="-50"/>
                <w:sz w:val="18"/>
                <w:szCs w:val="18"/>
              </w:rPr>
              <w:t> </w:t>
            </w:r>
            <w:r>
              <w:rPr>
                <w:rFonts w:ascii="宋体" w:hAnsi="宋体" w:cs="宋体" w:eastAsia="宋体" w:hint="default"/>
                <w:sz w:val="18"/>
                <w:szCs w:val="18"/>
              </w:rPr>
              <w:t>日收到殷栋林先生因个人原因辞 </w:t>
            </w:r>
            <w:r>
              <w:rPr>
                <w:rFonts w:ascii="宋体" w:hAnsi="宋体" w:cs="宋体" w:eastAsia="宋体" w:hint="default"/>
                <w:spacing w:val="-2"/>
                <w:sz w:val="18"/>
                <w:szCs w:val="18"/>
              </w:rPr>
              <w:t>去公司监事、监事会主席的书面辞职报告，该辞职报告自递交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之日起生效。</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许永胜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4" w:right="-4"/>
              <w:jc w:val="left"/>
              <w:rPr>
                <w:rFonts w:ascii="宋体" w:hAnsi="宋体" w:cs="宋体" w:eastAsia="宋体" w:hint="default"/>
                <w:sz w:val="18"/>
                <w:szCs w:val="18"/>
              </w:rPr>
            </w:pPr>
            <w:r>
              <w:rPr>
                <w:rFonts w:ascii="宋体" w:hAnsi="宋体" w:cs="宋体" w:eastAsia="宋体" w:hint="default"/>
                <w:sz w:val="18"/>
                <w:szCs w:val="18"/>
              </w:rPr>
              <w:t>公司监事会于</w:t>
            </w:r>
            <w:r>
              <w:rPr>
                <w:rFonts w:ascii="宋体" w:hAnsi="宋体" w:cs="宋体" w:eastAsia="宋体" w:hint="default"/>
                <w:spacing w:val="-50"/>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7</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26</w:t>
            </w:r>
            <w:r>
              <w:rPr>
                <w:rFonts w:ascii="宋体" w:hAnsi="宋体" w:cs="宋体" w:eastAsia="宋体" w:hint="default"/>
                <w:spacing w:val="-50"/>
                <w:sz w:val="18"/>
                <w:szCs w:val="18"/>
              </w:rPr>
              <w:t> </w:t>
            </w:r>
            <w:r>
              <w:rPr>
                <w:rFonts w:ascii="宋体" w:hAnsi="宋体" w:cs="宋体" w:eastAsia="宋体" w:hint="default"/>
                <w:sz w:val="18"/>
                <w:szCs w:val="18"/>
              </w:rPr>
              <w:t>日收到许永胜先生因个人原因辞 去公司监事的书面辞职报告，该辞职报告自递交之日起生效。</w:t>
            </w:r>
          </w:p>
        </w:tc>
      </w:tr>
      <w:tr>
        <w:trPr>
          <w:trHeight w:val="715"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4"/>
              <w:jc w:val="left"/>
              <w:rPr>
                <w:rFonts w:ascii="宋体" w:hAnsi="宋体" w:cs="宋体" w:eastAsia="宋体" w:hint="default"/>
                <w:sz w:val="18"/>
                <w:szCs w:val="18"/>
              </w:rPr>
            </w:pPr>
            <w:r>
              <w:rPr>
                <w:rFonts w:ascii="宋体" w:hAnsi="宋体" w:cs="宋体" w:eastAsia="宋体" w:hint="default"/>
                <w:sz w:val="18"/>
                <w:szCs w:val="18"/>
              </w:rPr>
              <w:t>公司董事会于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日收到王源先生因个人原因辞 去公司总裁的书面辞职报告，该辞职报告自递交之日起生效。</w:t>
            </w:r>
          </w:p>
        </w:tc>
      </w:tr>
    </w:tbl>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bookmarkStart w:name="三、任职情况" w:id="128"/>
      <w:bookmarkEnd w:id="128"/>
      <w:r>
        <w:rPr>
          <w:b w:val="0"/>
          <w:bCs w:val="0"/>
        </w:rPr>
      </w:r>
      <w:r>
        <w:rPr/>
        <w:t>三、任职情况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0"/>
        <w:ind w:right="0"/>
        <w:jc w:val="both"/>
      </w:pPr>
      <w:r>
        <w:rPr/>
        <w:t>公司现任董事、监事、高级管理人员专业背景、主要工作经历以及目前在公司的主要职责</w:t>
      </w:r>
    </w:p>
    <w:p>
      <w:pPr>
        <w:spacing w:line="240" w:lineRule="auto" w:before="9"/>
        <w:rPr>
          <w:rFonts w:ascii="宋体" w:hAnsi="宋体" w:cs="宋体" w:eastAsia="宋体" w:hint="default"/>
          <w:sz w:val="15"/>
          <w:szCs w:val="15"/>
        </w:rPr>
      </w:pPr>
    </w:p>
    <w:p>
      <w:pPr>
        <w:pStyle w:val="BodyText"/>
        <w:spacing w:line="420" w:lineRule="auto"/>
        <w:ind w:left="574" w:right="0"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）董事会成员</w:t>
      </w:r>
      <w:r>
        <w:rPr>
          <w:rFonts w:ascii="宋体" w:hAnsi="宋体" w:cs="宋体" w:eastAsia="宋体" w:hint="default"/>
          <w:b/>
          <w:bCs/>
          <w:w w:val="99"/>
        </w:rPr>
        <w:t> </w:t>
      </w:r>
      <w:r>
        <w:rPr>
          <w:spacing w:val="-1"/>
        </w:rPr>
        <w:t>董事长：汪方怀，男，硕士，复旦大学毕业。曾任安徽省委政策研究室经济处巡视员、综合协调处处</w:t>
      </w:r>
    </w:p>
    <w:p>
      <w:pPr>
        <w:pStyle w:val="BodyText"/>
        <w:spacing w:line="420" w:lineRule="auto" w:before="47"/>
        <w:ind w:right="1109"/>
        <w:jc w:val="both"/>
      </w:pPr>
      <w:r>
        <w:rPr>
          <w:spacing w:val="-1"/>
        </w:rPr>
        <w:t>长，安徽省发展实业总公司总经理，安徽发展投资股份有限公司董事长，安徽省决策咨询中心主任，本公</w:t>
      </w:r>
      <w:r>
        <w:rPr>
          <w:spacing w:val="-86"/>
        </w:rPr>
        <w:t> </w:t>
      </w:r>
      <w:r>
        <w:rPr>
          <w:spacing w:val="-86"/>
        </w:rPr>
      </w:r>
      <w:r>
        <w:rPr>
          <w:spacing w:val="-1"/>
        </w:rPr>
        <w:t>司第三届董事会董事、副总裁、董事会秘书，本公司第四届董事会董事、总裁，上海新华闻投资有限公司</w:t>
      </w:r>
      <w:r>
        <w:rPr>
          <w:spacing w:val="-83"/>
        </w:rPr>
        <w:t> </w:t>
      </w:r>
      <w:r>
        <w:rPr>
          <w:spacing w:val="-83"/>
        </w:rPr>
      </w:r>
      <w:r>
        <w:rPr>
          <w:spacing w:val="-1"/>
        </w:rPr>
        <w:t>董事，海南上市公司董秘协会理事长，海南民生管道燃气有限公司董事长，安徽国元信托投资有限责任公</w:t>
      </w:r>
      <w:r>
        <w:rPr>
          <w:spacing w:val="-83"/>
        </w:rPr>
        <w:t> </w:t>
      </w:r>
      <w:r>
        <w:rPr>
          <w:spacing w:val="-83"/>
        </w:rPr>
      </w:r>
      <w:r>
        <w:rPr>
          <w:spacing w:val="-1"/>
        </w:rPr>
        <w:t>司副董事长，上海新黄浦</w:t>
      </w:r>
      <w:r>
        <w:rPr>
          <w:rFonts w:ascii="宋体" w:hAnsi="宋体" w:cs="宋体" w:eastAsia="宋体" w:hint="default"/>
          <w:spacing w:val="-1"/>
        </w:rPr>
        <w:t>(</w:t>
      </w:r>
      <w:r>
        <w:rPr>
          <w:spacing w:val="-1"/>
        </w:rPr>
        <w:t>集团</w:t>
      </w:r>
      <w:r>
        <w:rPr>
          <w:rFonts w:ascii="宋体" w:hAnsi="宋体" w:cs="宋体" w:eastAsia="宋体" w:hint="default"/>
          <w:spacing w:val="-1"/>
        </w:rPr>
        <w:t>)</w:t>
      </w:r>
      <w:r>
        <w:rPr>
          <w:spacing w:val="-1"/>
        </w:rPr>
        <w:t>有限责任公司总裁，上海市黄浦区政协委员，中国华闻投资控股有限公司</w:t>
      </w:r>
      <w:r>
        <w:rPr>
          <w:spacing w:val="-84"/>
        </w:rPr>
        <w:t> </w:t>
      </w:r>
      <w:r>
        <w:rPr>
          <w:spacing w:val="-84"/>
        </w:rPr>
      </w:r>
      <w:r>
        <w:rPr>
          <w:spacing w:val="-1"/>
        </w:rPr>
        <w:t>副总裁，黄山长江徽杭高速公路有限责任公司董事长，国广环球资产管理有限公司董事长、总经理，本公</w:t>
      </w:r>
      <w:r>
        <w:rPr>
          <w:spacing w:val="-86"/>
        </w:rPr>
        <w:t> </w:t>
      </w:r>
      <w:r>
        <w:rPr>
          <w:spacing w:val="-86"/>
        </w:rPr>
      </w:r>
      <w:r>
        <w:rPr/>
        <w:t>司副董事长、党委书记，国广东方网络（北京）有限公司董事长，中华网（香港）科技有限公司董事长， </w:t>
      </w:r>
      <w:r>
        <w:rPr>
          <w:spacing w:val="-1"/>
        </w:rPr>
        <w:t>北京环球瑞视传媒文化有限公司董事长，国广环球传媒控股有限公司总裁。现兼任国广环球传媒控股有限</w:t>
      </w:r>
    </w:p>
    <w:p>
      <w:pPr>
        <w:spacing w:after="0" w:line="420"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0"/>
        <w:jc w:val="left"/>
      </w:pPr>
      <w:r>
        <w:rPr>
          <w:spacing w:val="-1"/>
        </w:rPr>
        <w:t>公司董事，国广环球资产管理有限公司副董事长，海南省文创旅游产业园集团有限公司董事长，海南上市</w:t>
      </w:r>
      <w:r>
        <w:rPr>
          <w:spacing w:val="-83"/>
        </w:rPr>
        <w:t> </w:t>
      </w:r>
      <w:r>
        <w:rPr>
          <w:spacing w:val="-83"/>
        </w:rPr>
      </w:r>
      <w:r>
        <w:rPr/>
        <w:t>公司协会会长，海南省政协委员。</w:t>
      </w:r>
    </w:p>
    <w:p>
      <w:pPr>
        <w:pStyle w:val="BodyText"/>
        <w:spacing w:line="420" w:lineRule="auto" w:before="47"/>
        <w:ind w:right="1130" w:firstLine="420"/>
        <w:jc w:val="both"/>
      </w:pPr>
      <w:r>
        <w:rPr>
          <w:spacing w:val="-1"/>
        </w:rPr>
        <w:t>董事：黄永国，男，复旦大学哲学系毕业。曾任中国国际广播电台时政、科技、体育记者编辑，中国</w:t>
      </w:r>
      <w:r>
        <w:rPr/>
        <w:t> </w:t>
      </w:r>
      <w:r>
        <w:rPr>
          <w:spacing w:val="-1"/>
        </w:rPr>
        <w:t>国际广播电台新闻中心体育部主任，中国国际广播电台多媒体发展办公室副主任，中国国际广播电台国际</w:t>
      </w:r>
      <w:r>
        <w:rPr>
          <w:spacing w:val="-81"/>
        </w:rPr>
        <w:t> </w:t>
      </w:r>
      <w:r>
        <w:rPr>
          <w:spacing w:val="-81"/>
        </w:rPr>
      </w:r>
      <w:r>
        <w:rPr>
          <w:spacing w:val="-1"/>
        </w:rPr>
        <w:t>流行音乐频率总监，中国国际广播电台事业发展办公室主任，北京国广光荣广告有限公司董事长，国广联</w:t>
      </w:r>
      <w:r>
        <w:rPr>
          <w:spacing w:val="-82"/>
        </w:rPr>
        <w:t> </w:t>
      </w:r>
      <w:r>
        <w:rPr>
          <w:spacing w:val="-82"/>
        </w:rPr>
      </w:r>
      <w:r>
        <w:rPr>
          <w:spacing w:val="-1"/>
        </w:rPr>
        <w:t>合文化（北京）有限公司董事长，中国国际广播电台环球资讯节目中心主任，中国国际广播电台国内外宣</w:t>
      </w:r>
      <w:r>
        <w:rPr>
          <w:spacing w:val="-86"/>
        </w:rPr>
        <w:t> </w:t>
      </w:r>
      <w:r>
        <w:rPr>
          <w:spacing w:val="-86"/>
        </w:rPr>
      </w:r>
      <w:r>
        <w:rPr>
          <w:spacing w:val="-1"/>
        </w:rPr>
        <w:t>传广播中心主任，中国国际广播电台新闻中心主任兼环球资讯广播总监，国广环球传媒控股有限公司副总</w:t>
      </w:r>
      <w:r>
        <w:rPr>
          <w:spacing w:val="-81"/>
        </w:rPr>
        <w:t> </w:t>
      </w:r>
      <w:r>
        <w:rPr>
          <w:spacing w:val="-81"/>
        </w:rPr>
      </w:r>
      <w:r>
        <w:rPr/>
        <w:t>裁。现任国广环球传媒控股有限公司总裁，国广东方网络（北京）有限公司董事长。</w:t>
      </w:r>
    </w:p>
    <w:p>
      <w:pPr>
        <w:pStyle w:val="BodyText"/>
        <w:spacing w:line="420" w:lineRule="auto" w:before="47"/>
        <w:ind w:right="1110" w:firstLine="420"/>
        <w:jc w:val="both"/>
      </w:pPr>
      <w:r>
        <w:rPr/>
        <w:t>董事：张陶尧，男，本科，中国人民大学毕业。曾任中国远洋运输（集团）总公司人力资源部经理， </w:t>
      </w:r>
      <w:r>
        <w:rPr>
          <w:spacing w:val="-1"/>
        </w:rPr>
        <w:t>中信证券股份有限公司新三板业务部副总裁，民生证券股份有限公司之全资子公司民生通海投资有限公司</w:t>
      </w:r>
      <w:r>
        <w:rPr>
          <w:spacing w:val="-81"/>
        </w:rPr>
        <w:t> </w:t>
      </w:r>
      <w:r>
        <w:rPr>
          <w:spacing w:val="-81"/>
        </w:rPr>
      </w:r>
      <w:r>
        <w:rPr/>
        <w:t>投资管理部执行总经理。现任广州汇垠澳丰股权投资基金管理有限公司总经理。</w:t>
      </w:r>
    </w:p>
    <w:p>
      <w:pPr>
        <w:pStyle w:val="BodyText"/>
        <w:spacing w:line="420" w:lineRule="auto" w:before="47"/>
        <w:ind w:right="1020" w:firstLine="420"/>
        <w:jc w:val="left"/>
      </w:pPr>
      <w:r>
        <w:rPr>
          <w:spacing w:val="-3"/>
        </w:rPr>
        <w:t>独立董事：郭全中，男，博士后，高级经济师。曾任南方报业传媒集团战略运营部副主任</w:t>
      </w:r>
      <w:r>
        <w:rPr>
          <w:rFonts w:ascii="宋体" w:hAnsi="宋体" w:cs="宋体" w:eastAsia="宋体" w:hint="default"/>
          <w:spacing w:val="-3"/>
        </w:rPr>
        <w:t>(</w:t>
      </w:r>
      <w:r>
        <w:rPr>
          <w:spacing w:val="-3"/>
        </w:rPr>
        <w:t>主持工作</w:t>
      </w:r>
      <w:r>
        <w:rPr>
          <w:rFonts w:ascii="宋体" w:hAnsi="宋体" w:cs="宋体" w:eastAsia="宋体" w:hint="default"/>
          <w:spacing w:val="-3"/>
        </w:rPr>
        <w:t>)</w:t>
      </w:r>
      <w:r>
        <w:rPr>
          <w:spacing w:val="-3"/>
        </w:rPr>
        <w:t>，</w:t>
      </w:r>
      <w:r>
        <w:rPr/>
        <w:t> 中国新闻出版传媒集团公司董事会秘书兼投资咨询部主任。现任中共中央党校（国家行政学院）文史教研</w:t>
      </w:r>
      <w:r>
        <w:rPr/>
        <w:t> 部高级经济师，兼任浙江华媒控股股份有限公司</w:t>
      </w:r>
      <w:r>
        <w:rPr>
          <w:rFonts w:ascii="宋体" w:hAnsi="宋体" w:cs="宋体" w:eastAsia="宋体" w:hint="default"/>
        </w:rPr>
        <w:t>(</w:t>
      </w:r>
      <w:r>
        <w:rPr/>
        <w:t>“华媒控股”,000607)独立董事，东方网力科技股份有 限公司（“东方网力”，</w:t>
      </w:r>
      <w:r>
        <w:rPr>
          <w:rFonts w:ascii="宋体" w:hAnsi="宋体" w:cs="宋体" w:eastAsia="宋体" w:hint="default"/>
        </w:rPr>
        <w:t>300367</w:t>
      </w:r>
      <w:r>
        <w:rPr/>
        <w:t>）独立董事。</w:t>
      </w:r>
    </w:p>
    <w:p>
      <w:pPr>
        <w:pStyle w:val="BodyText"/>
        <w:spacing w:line="420" w:lineRule="auto" w:before="47"/>
        <w:ind w:left="574" w:right="1092"/>
        <w:jc w:val="left"/>
      </w:pPr>
      <w:r>
        <w:rPr/>
        <w:t>独立董事：张会丽，女，北京大学会计学博士。曾任北京师范大学讲师。现任北京师范大学副教授。 </w:t>
      </w:r>
      <w:r>
        <w:rPr>
          <w:spacing w:val="-1"/>
        </w:rPr>
        <w:t>独立董事：施海娜，女，香港理工大学会计及财务学博士。曾任复旦大学管理学院讲师。现任复旦大</w:t>
      </w:r>
    </w:p>
    <w:p>
      <w:pPr>
        <w:pStyle w:val="BodyText"/>
        <w:spacing w:line="240" w:lineRule="auto" w:before="47"/>
        <w:ind w:right="0"/>
        <w:jc w:val="left"/>
      </w:pPr>
      <w:r>
        <w:rPr/>
        <w:t>学管理学院副教授，兼任无锡普天铁心股份有限公司独立董事。</w:t>
      </w:r>
    </w:p>
    <w:p>
      <w:pPr>
        <w:spacing w:line="240" w:lineRule="auto" w:before="9"/>
        <w:rPr>
          <w:rFonts w:ascii="宋体" w:hAnsi="宋体" w:cs="宋体" w:eastAsia="宋体" w:hint="default"/>
          <w:sz w:val="15"/>
          <w:szCs w:val="15"/>
        </w:rPr>
      </w:pPr>
    </w:p>
    <w:p>
      <w:pPr>
        <w:pStyle w:val="BodyText"/>
        <w:spacing w:line="420" w:lineRule="auto"/>
        <w:ind w:left="574" w:right="1122" w:firstLine="2"/>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）监事会成员</w:t>
      </w:r>
      <w:r>
        <w:rPr>
          <w:rFonts w:ascii="宋体" w:hAnsi="宋体" w:cs="宋体" w:eastAsia="宋体" w:hint="default"/>
          <w:b/>
          <w:bCs/>
          <w:w w:val="99"/>
        </w:rPr>
        <w:t> </w:t>
      </w:r>
      <w:r>
        <w:rPr>
          <w:spacing w:val="-3"/>
        </w:rPr>
        <w:t>监事：陆文龙，男，山西财经大学法学专业毕业。曾任凤凰新媒体视频事业部主编，环球时报在线</w:t>
      </w:r>
      <w:r>
        <w:rPr>
          <w:rFonts w:ascii="宋体" w:hAnsi="宋体" w:cs="宋体" w:eastAsia="宋体" w:hint="default"/>
          <w:spacing w:val="-3"/>
        </w:rPr>
        <w:t>(</w:t>
      </w:r>
      <w:r>
        <w:rPr>
          <w:spacing w:val="-3"/>
        </w:rPr>
        <w:t>北</w:t>
      </w:r>
    </w:p>
    <w:p>
      <w:pPr>
        <w:pStyle w:val="BodyText"/>
        <w:spacing w:line="420" w:lineRule="auto" w:before="47"/>
        <w:ind w:right="0"/>
        <w:jc w:val="left"/>
      </w:pPr>
      <w:r>
        <w:rPr/>
        <w:t>京</w:t>
      </w:r>
      <w:r>
        <w:rPr>
          <w:rFonts w:ascii="宋体" w:hAnsi="宋体" w:cs="宋体" w:eastAsia="宋体" w:hint="default"/>
        </w:rPr>
        <w:t>)</w:t>
      </w:r>
      <w:r>
        <w:rPr/>
        <w:t>文化传播有限公司视频事业部总监，人人公司所属我乐信息科技有限公司</w:t>
      </w:r>
      <w:r>
        <w:rPr>
          <w:rFonts w:ascii="宋体" w:hAnsi="宋体" w:cs="宋体" w:eastAsia="宋体" w:hint="default"/>
        </w:rPr>
        <w:t>(56</w:t>
      </w:r>
      <w:r>
        <w:rPr/>
        <w:t>网</w:t>
      </w:r>
      <w:r>
        <w:rPr>
          <w:rFonts w:ascii="宋体" w:hAnsi="宋体" w:cs="宋体" w:eastAsia="宋体" w:hint="default"/>
        </w:rPr>
        <w:t>)</w:t>
      </w:r>
      <w:r>
        <w:rPr/>
        <w:t>内容总监，央视国际 </w:t>
      </w:r>
      <w:r>
        <w:rPr>
          <w:spacing w:val="-1"/>
        </w:rPr>
        <w:t>网络有限公司视频事业部策划总监，国广环球传媒控股有限公司战略管理部总经理。现任国广环球传媒控</w:t>
      </w:r>
      <w:r>
        <w:rPr>
          <w:spacing w:val="-81"/>
        </w:rPr>
        <w:t> </w:t>
      </w:r>
      <w:r>
        <w:rPr>
          <w:spacing w:val="-81"/>
        </w:rPr>
      </w:r>
      <w:r>
        <w:rPr/>
        <w:t>股有限公司战略与投资部总经理。</w:t>
      </w:r>
    </w:p>
    <w:p>
      <w:pPr>
        <w:pStyle w:val="BodyText"/>
        <w:spacing w:line="420" w:lineRule="auto" w:before="47"/>
        <w:ind w:right="1017" w:firstLine="420"/>
        <w:jc w:val="left"/>
      </w:pPr>
      <w:r>
        <w:rPr>
          <w:spacing w:val="-3"/>
        </w:rPr>
        <w:t>职工监事：邱小妹，女，本科，西安电子科技大学毕业。曾在本公司总经理办公室、投资管理部工作，</w:t>
      </w:r>
      <w:r>
        <w:rPr/>
        <w:t> 曾任本公司团委书记、总裁办公室文档室主任、总裁办公室副主任。现任本公司董事会秘书部总经理、证 券事务代表。</w:t>
      </w:r>
    </w:p>
    <w:p>
      <w:pPr>
        <w:pStyle w:val="BodyText"/>
        <w:spacing w:line="420" w:lineRule="auto" w:before="48"/>
        <w:ind w:right="0" w:firstLine="420"/>
        <w:jc w:val="left"/>
      </w:pPr>
      <w:r>
        <w:rPr>
          <w:spacing w:val="-1"/>
        </w:rPr>
        <w:t>职工监事：张健，男，本科。曾任海南赛格国际信托投资公司法律事务部业务主任，本公司审计法规</w:t>
      </w:r>
      <w:r>
        <w:rPr/>
        <w:t> 部经理助理、总裁办公室副主任。现任本公司党群工作部主任，兼任董事会秘书部副总经理。</w:t>
      </w:r>
    </w:p>
    <w:p>
      <w:pPr>
        <w:pStyle w:val="Heading4"/>
        <w:spacing w:line="240" w:lineRule="auto" w:before="47"/>
        <w:ind w:left="576" w:right="0"/>
        <w:jc w:val="left"/>
        <w:rPr>
          <w:b w:val="0"/>
          <w:bCs w:val="0"/>
        </w:rPr>
      </w:pPr>
      <w:r>
        <w:rPr/>
        <w:t>（</w:t>
      </w:r>
      <w:r>
        <w:rPr>
          <w:rFonts w:ascii="宋体" w:hAnsi="宋体" w:cs="宋体" w:eastAsia="宋体" w:hint="default"/>
        </w:rPr>
        <w:t>3</w:t>
      </w:r>
      <w:r>
        <w:rPr/>
        <w:t>）高级管理人员</w:t>
      </w:r>
      <w:r>
        <w:rPr>
          <w:b w:val="0"/>
          <w:bCs w:val="0"/>
        </w:rPr>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420" w:lineRule="auto"/>
        <w:ind w:right="1118" w:firstLine="420"/>
        <w:jc w:val="left"/>
      </w:pPr>
      <w:r>
        <w:rPr/>
        <w:t>副总裁兼财务总监：张小勇，男，</w:t>
      </w:r>
      <w:r>
        <w:rPr>
          <w:rFonts w:ascii="宋体" w:hAnsi="宋体" w:cs="宋体" w:eastAsia="宋体" w:hint="default"/>
        </w:rPr>
        <w:t>MBA</w:t>
      </w:r>
      <w:r>
        <w:rPr/>
        <w:t>，</w:t>
      </w:r>
      <w:r>
        <w:rPr>
          <w:rFonts w:ascii="宋体" w:hAnsi="宋体" w:cs="宋体" w:eastAsia="宋体" w:hint="default"/>
        </w:rPr>
        <w:t>Iowa State</w:t>
      </w:r>
      <w:r>
        <w:rPr>
          <w:rFonts w:ascii="宋体" w:hAnsi="宋体" w:cs="宋体" w:eastAsia="宋体" w:hint="default"/>
          <w:spacing w:val="-26"/>
        </w:rPr>
        <w:t> </w:t>
      </w:r>
      <w:r>
        <w:rPr>
          <w:rFonts w:ascii="宋体" w:hAnsi="宋体" w:cs="宋体" w:eastAsia="宋体" w:hint="default"/>
        </w:rPr>
        <w:t>University</w:t>
      </w:r>
      <w:r>
        <w:rPr/>
        <w:t>毕业。曾任华北电力集团公司助理工 程师，</w:t>
      </w:r>
      <w:r>
        <w:rPr>
          <w:rFonts w:ascii="宋体" w:hAnsi="宋体" w:cs="宋体" w:eastAsia="宋体" w:hint="default"/>
        </w:rPr>
        <w:t>Maytag Appliance Corporation</w:t>
      </w:r>
      <w:r>
        <w:rPr>
          <w:rFonts w:ascii="宋体" w:hAnsi="宋体" w:cs="宋体" w:eastAsia="宋体" w:hint="default"/>
          <w:spacing w:val="-8"/>
        </w:rPr>
        <w:t> </w:t>
      </w:r>
      <w:r>
        <w:rPr/>
        <w:t>数据分析师，海龙</w:t>
      </w:r>
      <w:r>
        <w:rPr>
          <w:rFonts w:ascii="宋体" w:hAnsi="宋体" w:cs="宋体" w:eastAsia="宋体" w:hint="default"/>
        </w:rPr>
        <w:t>(</w:t>
      </w:r>
      <w:r>
        <w:rPr/>
        <w:t>集团</w:t>
      </w:r>
      <w:r>
        <w:rPr>
          <w:rFonts w:ascii="宋体" w:hAnsi="宋体" w:cs="宋体" w:eastAsia="宋体" w:hint="default"/>
        </w:rPr>
        <w:t>)</w:t>
      </w:r>
      <w:r>
        <w:rPr/>
        <w:t>公司助理总经理，</w:t>
      </w:r>
      <w:r>
        <w:rPr>
          <w:rFonts w:ascii="宋体" w:hAnsi="宋体" w:cs="宋体" w:eastAsia="宋体" w:hint="default"/>
        </w:rPr>
        <w:t>SK</w:t>
      </w:r>
      <w:r>
        <w:rPr/>
        <w:t>株式会社中国事业 </w:t>
      </w:r>
      <w:r>
        <w:rPr>
          <w:spacing w:val="-1"/>
        </w:rPr>
        <w:t>开发经理，</w:t>
      </w:r>
      <w:r>
        <w:rPr>
          <w:rFonts w:ascii="宋体" w:hAnsi="宋体" w:cs="宋体" w:eastAsia="宋体" w:hint="default"/>
          <w:spacing w:val="-1"/>
        </w:rPr>
        <w:t>SK</w:t>
      </w:r>
      <w:r>
        <w:rPr>
          <w:spacing w:val="-1"/>
        </w:rPr>
        <w:t>能源投资</w:t>
      </w:r>
      <w:r>
        <w:rPr>
          <w:rFonts w:ascii="宋体" w:hAnsi="宋体" w:cs="宋体" w:eastAsia="宋体" w:hint="default"/>
          <w:spacing w:val="-1"/>
        </w:rPr>
        <w:t>(</w:t>
      </w:r>
      <w:r>
        <w:rPr>
          <w:spacing w:val="-1"/>
        </w:rPr>
        <w:t>中国</w:t>
      </w:r>
      <w:r>
        <w:rPr>
          <w:rFonts w:ascii="宋体" w:hAnsi="宋体" w:cs="宋体" w:eastAsia="宋体" w:hint="default"/>
          <w:spacing w:val="-1"/>
        </w:rPr>
        <w:t>)</w:t>
      </w:r>
      <w:r>
        <w:rPr>
          <w:spacing w:val="-1"/>
        </w:rPr>
        <w:t>有限公司环境事业总监，</w:t>
      </w:r>
      <w:r>
        <w:rPr>
          <w:rFonts w:ascii="宋体" w:hAnsi="宋体" w:cs="宋体" w:eastAsia="宋体" w:hint="default"/>
          <w:spacing w:val="-1"/>
        </w:rPr>
        <w:t>SK</w:t>
      </w:r>
      <w:r>
        <w:rPr>
          <w:spacing w:val="-1"/>
        </w:rPr>
        <w:t>综合化学投资</w:t>
      </w:r>
      <w:r>
        <w:rPr>
          <w:rFonts w:ascii="宋体" w:hAnsi="宋体" w:cs="宋体" w:eastAsia="宋体" w:hint="default"/>
          <w:spacing w:val="-1"/>
        </w:rPr>
        <w:t>(</w:t>
      </w:r>
      <w:r>
        <w:rPr>
          <w:spacing w:val="-1"/>
        </w:rPr>
        <w:t>中国</w:t>
      </w:r>
      <w:r>
        <w:rPr>
          <w:rFonts w:ascii="宋体" w:hAnsi="宋体" w:cs="宋体" w:eastAsia="宋体" w:hint="default"/>
          <w:spacing w:val="-1"/>
        </w:rPr>
        <w:t>)</w:t>
      </w:r>
      <w:r>
        <w:rPr>
          <w:spacing w:val="-1"/>
        </w:rPr>
        <w:t>有限公司新技术事业部总经</w:t>
      </w:r>
      <w:r>
        <w:rPr>
          <w:spacing w:val="-85"/>
        </w:rPr>
        <w:t> </w:t>
      </w:r>
      <w:r>
        <w:rPr>
          <w:spacing w:val="-85"/>
        </w:rPr>
      </w:r>
      <w:r>
        <w:rPr/>
        <w:t>理，上海大黎资产管理有限公司执行董事，欢动</w:t>
      </w:r>
      <w:r>
        <w:rPr>
          <w:rFonts w:ascii="宋体" w:hAnsi="宋体" w:cs="宋体" w:eastAsia="宋体" w:hint="default"/>
        </w:rPr>
        <w:t>(</w:t>
      </w:r>
      <w:r>
        <w:rPr/>
        <w:t>北京</w:t>
      </w:r>
      <w:r>
        <w:rPr>
          <w:rFonts w:ascii="宋体" w:hAnsi="宋体" w:cs="宋体" w:eastAsia="宋体" w:hint="default"/>
        </w:rPr>
        <w:t>)</w:t>
      </w:r>
      <w:r>
        <w:rPr/>
        <w:t>科技有限公司董事、本公司董事。</w:t>
      </w:r>
    </w:p>
    <w:p>
      <w:pPr>
        <w:pStyle w:val="BodyText"/>
        <w:spacing w:line="420" w:lineRule="auto" w:before="47"/>
        <w:ind w:right="1110" w:firstLine="420"/>
        <w:jc w:val="both"/>
      </w:pPr>
      <w:r>
        <w:rPr>
          <w:spacing w:val="-1"/>
        </w:rPr>
        <w:t>副总裁：周娟，女，香港中文大学会计学硕士，上海国家会计学院财务总监资格。曾任福建省泉州理</w:t>
      </w:r>
      <w:r>
        <w:rPr/>
        <w:t> </w:t>
      </w:r>
      <w:r>
        <w:rPr>
          <w:spacing w:val="-1"/>
        </w:rPr>
        <w:t>工学院会计学教师（助教职称），上海瑞盈投资管理有限公司总裁助理，中融国际信托有限公司总经理助</w:t>
      </w:r>
      <w:r>
        <w:rPr>
          <w:spacing w:val="-85"/>
        </w:rPr>
        <w:t> </w:t>
      </w:r>
      <w:r>
        <w:rPr>
          <w:spacing w:val="-85"/>
        </w:rPr>
      </w:r>
      <w:r>
        <w:rPr/>
        <w:t>理，上海财通资产管理有限公司副总裁，丰汇租赁有限公司副总裁。现兼任东海证券股份有限公司董事。</w:t>
      </w:r>
    </w:p>
    <w:p>
      <w:pPr>
        <w:pStyle w:val="BodyText"/>
        <w:spacing w:line="420" w:lineRule="auto" w:before="47"/>
        <w:ind w:right="1017" w:firstLine="420"/>
        <w:jc w:val="left"/>
      </w:pPr>
      <w:r>
        <w:rPr>
          <w:spacing w:val="-3"/>
        </w:rPr>
        <w:t>副总裁兼董事会秘书：金日，男，本科，南京大学毕业。曾兼任上海鸿立股权投资有限公司副总经理。</w:t>
      </w:r>
      <w:r>
        <w:rPr/>
        <w:t> </w:t>
      </w:r>
      <w:r>
        <w:rPr>
          <w:spacing w:val="-3"/>
        </w:rPr>
        <w:t>现兼任东海证券股份有限公司监事、深圳爱玩网络科技股份有限公司董事、湖北省资产管理有限公司董事。</w:t>
      </w:r>
    </w:p>
    <w:p>
      <w:pPr>
        <w:pStyle w:val="BodyText"/>
        <w:spacing w:line="420" w:lineRule="auto" w:before="47"/>
        <w:ind w:right="1116" w:firstLine="420"/>
        <w:jc w:val="left"/>
      </w:pPr>
      <w:r>
        <w:rPr>
          <w:spacing w:val="-1"/>
        </w:rPr>
        <w:t>副总裁：储一丰，男，硕士，律师，经济师。曾任中国证监会海口特派办综合处副处长、上市公司监</w:t>
      </w:r>
      <w:r>
        <w:rPr/>
        <w:t> 管处副处长，海南上市公司董秘协会秘书长，本公司行政总监。现兼任本公司党委常务副书记。 在股东单位任职情况</w:t>
      </w:r>
    </w:p>
    <w:p>
      <w:pPr>
        <w:pStyle w:val="BodyText"/>
        <w:spacing w:line="240" w:lineRule="auto" w:before="47"/>
        <w:ind w:right="0"/>
        <w:jc w:val="left"/>
      </w:pPr>
      <w:r>
        <w:rPr/>
        <w:t>√ 适用 □</w:t>
      </w:r>
      <w:r>
        <w:rPr>
          <w:spacing w:val="-1"/>
        </w:rPr>
        <w:t> </w:t>
      </w:r>
      <w:r>
        <w:rPr/>
        <w:t>不适用</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851"/>
        <w:gridCol w:w="2126"/>
        <w:gridCol w:w="1844"/>
        <w:gridCol w:w="1700"/>
        <w:gridCol w:w="1702"/>
        <w:gridCol w:w="1345"/>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6" w:right="106" w:hanging="721"/>
              <w:jc w:val="left"/>
              <w:rPr>
                <w:rFonts w:ascii="宋体" w:hAnsi="宋体" w:cs="宋体" w:eastAsia="宋体" w:hint="default"/>
                <w:sz w:val="18"/>
                <w:szCs w:val="18"/>
              </w:rPr>
            </w:pPr>
            <w:r>
              <w:rPr>
                <w:rFonts w:ascii="宋体" w:hAnsi="宋体" w:cs="宋体" w:eastAsia="宋体" w:hint="default"/>
                <w:sz w:val="18"/>
                <w:szCs w:val="18"/>
              </w:rPr>
              <w:t>在股东单位担任的职 务</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汪方怀</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国广资产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2"/>
        <w:rPr>
          <w:rFonts w:ascii="宋体" w:hAnsi="宋体" w:cs="宋体" w:eastAsia="宋体" w:hint="default"/>
          <w:sz w:val="7"/>
          <w:szCs w:val="7"/>
        </w:rPr>
      </w:pPr>
    </w:p>
    <w:p>
      <w:pPr>
        <w:pStyle w:val="BodyText"/>
        <w:spacing w:line="240" w:lineRule="auto" w:before="35"/>
        <w:ind w:right="0"/>
        <w:jc w:val="left"/>
      </w:pPr>
      <w:r>
        <w:rPr/>
        <w:t>在其他单位任职情况</w:t>
      </w:r>
    </w:p>
    <w:p>
      <w:pPr>
        <w:spacing w:line="240" w:lineRule="auto" w:before="9"/>
        <w:rPr>
          <w:rFonts w:ascii="宋体" w:hAnsi="宋体" w:cs="宋体" w:eastAsia="宋体" w:hint="default"/>
          <w:sz w:val="15"/>
          <w:szCs w:val="15"/>
        </w:rPr>
      </w:pPr>
    </w:p>
    <w:p>
      <w:pPr>
        <w:pStyle w:val="BodyText"/>
        <w:spacing w:line="240" w:lineRule="auto"/>
        <w:ind w:right="0"/>
        <w:jc w:val="left"/>
      </w:pPr>
      <w:r>
        <w:rPr/>
        <w:t>√ 适用 □</w:t>
      </w:r>
      <w:r>
        <w:rPr>
          <w:spacing w:val="-1"/>
        </w:rPr>
        <w:t> </w:t>
      </w:r>
      <w:r>
        <w:rPr/>
        <w:t>不适用</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851"/>
        <w:gridCol w:w="2126"/>
        <w:gridCol w:w="1844"/>
        <w:gridCol w:w="1700"/>
        <w:gridCol w:w="1702"/>
        <w:gridCol w:w="1345"/>
      </w:tblGrid>
      <w:tr>
        <w:trPr>
          <w:trHeight w:val="71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0" w:right="59"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6" w:right="106" w:hanging="721"/>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汪方怀</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国广控股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陆文龙</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国广控股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战略与投资部总经理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周  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东海证券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  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东海证券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  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爱玩网络</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  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湖北省资产管理有限公司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2"/>
        <w:rPr>
          <w:rFonts w:ascii="宋体" w:hAnsi="宋体" w:cs="宋体" w:eastAsia="宋体" w:hint="default"/>
          <w:sz w:val="7"/>
          <w:szCs w:val="7"/>
        </w:rPr>
      </w:pPr>
    </w:p>
    <w:p>
      <w:pPr>
        <w:pStyle w:val="BodyText"/>
        <w:spacing w:line="240" w:lineRule="auto" w:before="35"/>
        <w:ind w:right="0"/>
        <w:jc w:val="left"/>
      </w:pPr>
      <w:r>
        <w:rPr/>
        <w:t>公司现任及报告期内离任董事、监事和高级管理人员近三年证券监管机构处罚的情况</w:t>
      </w:r>
    </w:p>
    <w:p>
      <w:pPr>
        <w:spacing w:line="240" w:lineRule="auto" w:before="9"/>
        <w:rPr>
          <w:rFonts w:ascii="宋体" w:hAnsi="宋体" w:cs="宋体" w:eastAsia="宋体" w:hint="default"/>
          <w:sz w:val="15"/>
          <w:szCs w:val="15"/>
        </w:rPr>
      </w:pPr>
    </w:p>
    <w:p>
      <w:pPr>
        <w:pStyle w:val="BodyText"/>
        <w:spacing w:line="240" w:lineRule="auto"/>
        <w:ind w:right="0"/>
        <w:jc w:val="left"/>
      </w:pPr>
      <w:r>
        <w:rPr/>
        <w:t>□ 适用 √</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bookmarkStart w:name="四、董事、监事、高级管理人员报酬情况" w:id="129"/>
      <w:bookmarkEnd w:id="129"/>
      <w:r>
        <w:rPr>
          <w:b w:val="0"/>
          <w:bCs w:val="0"/>
        </w:rPr>
      </w:r>
      <w:r>
        <w:rPr/>
        <w:t>四、董事、监事、高级管理人员报酬情况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0"/>
        <w:ind w:right="0"/>
        <w:jc w:val="left"/>
      </w:pPr>
      <w:r>
        <w:rPr/>
        <w:t>董事、监事、高级管理人员报酬的决策程序、确定依据、实际支付情况</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574" w:right="0"/>
        <w:jc w:val="left"/>
      </w:pPr>
      <w:r>
        <w:rPr>
          <w:rFonts w:ascii="宋体" w:hAnsi="宋体" w:cs="宋体" w:eastAsia="宋体" w:hint="default"/>
        </w:rPr>
        <w:t>1</w:t>
      </w:r>
      <w:r>
        <w:rPr/>
        <w:t>．报酬的决策程序、报酬确定的依据</w:t>
      </w:r>
    </w:p>
    <w:p>
      <w:pPr>
        <w:spacing w:line="240" w:lineRule="auto" w:before="9"/>
        <w:rPr>
          <w:rFonts w:ascii="宋体" w:hAnsi="宋体" w:cs="宋体" w:eastAsia="宋体" w:hint="default"/>
          <w:sz w:val="15"/>
          <w:szCs w:val="15"/>
        </w:rPr>
      </w:pPr>
    </w:p>
    <w:p>
      <w:pPr>
        <w:pStyle w:val="BodyText"/>
        <w:spacing w:line="420" w:lineRule="auto"/>
        <w:ind w:right="1108" w:firstLine="420"/>
        <w:jc w:val="both"/>
      </w:pPr>
      <w:r>
        <w:rPr>
          <w:rFonts w:ascii="宋体" w:hAnsi="宋体" w:cs="宋体" w:eastAsia="宋体" w:hint="default"/>
        </w:rPr>
        <w:t>2018</w:t>
      </w:r>
      <w:r>
        <w:rPr/>
        <w:t>年</w:t>
      </w:r>
      <w:r>
        <w:rPr>
          <w:rFonts w:ascii="宋体" w:hAnsi="宋体" w:cs="宋体" w:eastAsia="宋体" w:hint="default"/>
        </w:rPr>
        <w:t>1</w:t>
      </w:r>
      <w:r>
        <w:rPr/>
        <w:t>月，根据</w:t>
      </w:r>
      <w:r>
        <w:rPr>
          <w:rFonts w:ascii="宋体" w:hAnsi="宋体" w:cs="宋体" w:eastAsia="宋体" w:hint="default"/>
        </w:rPr>
        <w:t>2012</w:t>
      </w:r>
      <w:r>
        <w:rPr/>
        <w:t>年度股东大会审议批准的《董事、监事薪酬制度》（</w:t>
      </w:r>
      <w:r>
        <w:rPr>
          <w:rFonts w:ascii="宋体" w:hAnsi="宋体" w:cs="宋体" w:eastAsia="宋体" w:hint="default"/>
        </w:rPr>
        <w:t>2013</w:t>
      </w:r>
      <w:r>
        <w:rPr/>
        <w:t>年修订），内部董事 </w:t>
      </w:r>
      <w:r>
        <w:rPr>
          <w:spacing w:val="-3"/>
        </w:rPr>
        <w:t>不领取津贴，其薪酬由基本年薪、绩效薪酬构成；独立董事津贴为每人每年</w:t>
      </w:r>
      <w:r>
        <w:rPr>
          <w:rFonts w:ascii="宋体" w:hAnsi="宋体" w:cs="宋体" w:eastAsia="宋体" w:hint="default"/>
          <w:spacing w:val="-3"/>
        </w:rPr>
        <w:t>96,000</w:t>
      </w:r>
      <w:r>
        <w:rPr>
          <w:spacing w:val="-3"/>
        </w:rPr>
        <w:t>元，平均每人每月</w:t>
      </w:r>
      <w:r>
        <w:rPr>
          <w:rFonts w:ascii="宋体" w:hAnsi="宋体" w:cs="宋体" w:eastAsia="宋体" w:hint="default"/>
          <w:spacing w:val="-3"/>
        </w:rPr>
        <w:t>8,000</w:t>
      </w:r>
      <w:r>
        <w:rPr>
          <w:rFonts w:ascii="宋体" w:hAnsi="宋体" w:cs="宋体" w:eastAsia="宋体" w:hint="default"/>
          <w:spacing w:val="-81"/>
        </w:rPr>
        <w:t> </w:t>
      </w:r>
      <w:r>
        <w:rPr>
          <w:spacing w:val="-1"/>
        </w:rPr>
        <w:t>元；外部董事、股东监事和职工监事的津贴为每人每年</w:t>
      </w:r>
      <w:r>
        <w:rPr>
          <w:rFonts w:ascii="宋体" w:hAnsi="宋体" w:cs="宋体" w:eastAsia="宋体" w:hint="default"/>
          <w:spacing w:val="-1"/>
        </w:rPr>
        <w:t>48,000</w:t>
      </w:r>
      <w:r>
        <w:rPr>
          <w:spacing w:val="-1"/>
        </w:rPr>
        <w:t>元，平均每人每月</w:t>
      </w:r>
      <w:r>
        <w:rPr>
          <w:rFonts w:ascii="宋体" w:hAnsi="宋体" w:cs="宋体" w:eastAsia="宋体" w:hint="default"/>
          <w:spacing w:val="-1"/>
        </w:rPr>
        <w:t>4,000</w:t>
      </w:r>
      <w:r>
        <w:rPr>
          <w:spacing w:val="-1"/>
        </w:rPr>
        <w:t>元。</w:t>
      </w:r>
      <w:r>
        <w:rPr>
          <w:rFonts w:ascii="宋体" w:hAnsi="宋体" w:cs="宋体" w:eastAsia="宋体" w:hint="default"/>
          <w:spacing w:val="-1"/>
        </w:rPr>
        <w:t>2018</w:t>
      </w:r>
      <w:r>
        <w:rPr>
          <w:spacing w:val="-1"/>
        </w:rPr>
        <w:t>年</w:t>
      </w:r>
      <w:r>
        <w:rPr>
          <w:rFonts w:ascii="宋体" w:hAnsi="宋体" w:cs="宋体" w:eastAsia="宋体" w:hint="default"/>
          <w:spacing w:val="-1"/>
        </w:rPr>
        <w:t>2</w:t>
      </w:r>
      <w:r>
        <w:rPr>
          <w:spacing w:val="-1"/>
        </w:rPr>
        <w:t>月至</w:t>
      </w:r>
      <w:r>
        <w:rPr>
          <w:rFonts w:ascii="宋体" w:hAnsi="宋体" w:cs="宋体" w:eastAsia="宋体" w:hint="default"/>
          <w:spacing w:val="-1"/>
        </w:rPr>
        <w:t>12</w:t>
      </w:r>
      <w:r>
        <w:rPr>
          <w:rFonts w:ascii="宋体" w:hAnsi="宋体" w:cs="宋体" w:eastAsia="宋体" w:hint="default"/>
          <w:spacing w:val="-78"/>
        </w:rPr>
        <w:t> </w:t>
      </w:r>
      <w:r>
        <w:rPr>
          <w:spacing w:val="-1"/>
        </w:rPr>
        <w:t>月，根据</w:t>
      </w:r>
      <w:r>
        <w:rPr>
          <w:rFonts w:ascii="宋体" w:hAnsi="宋体" w:cs="宋体" w:eastAsia="宋体" w:hint="default"/>
          <w:spacing w:val="-1"/>
        </w:rPr>
        <w:t>2018</w:t>
      </w:r>
      <w:r>
        <w:rPr>
          <w:spacing w:val="-1"/>
        </w:rPr>
        <w:t>年第一次临时股东大会审议批准的《董事、监事薪酬制度》（</w:t>
      </w:r>
      <w:r>
        <w:rPr>
          <w:rFonts w:ascii="宋体" w:hAnsi="宋体" w:cs="宋体" w:eastAsia="宋体" w:hint="default"/>
          <w:spacing w:val="-1"/>
        </w:rPr>
        <w:t>2018</w:t>
      </w:r>
      <w:r>
        <w:rPr>
          <w:spacing w:val="-1"/>
        </w:rPr>
        <w:t>年修订），内部董事不领</w:t>
      </w:r>
      <w:r>
        <w:rPr>
          <w:spacing w:val="-83"/>
        </w:rPr>
        <w:t> </w:t>
      </w:r>
      <w:r>
        <w:rPr>
          <w:spacing w:val="-83"/>
        </w:rPr>
      </w:r>
      <w:r>
        <w:rPr/>
        <w:t>取津贴；独立董事津贴为每人每年</w:t>
      </w:r>
      <w:r>
        <w:rPr>
          <w:rFonts w:ascii="宋体" w:hAnsi="宋体" w:cs="宋体" w:eastAsia="宋体" w:hint="default"/>
        </w:rPr>
        <w:t>120,000</w:t>
      </w:r>
      <w:r>
        <w:rPr/>
        <w:t>元，平均每人每月</w:t>
      </w:r>
      <w:r>
        <w:rPr>
          <w:rFonts w:ascii="宋体" w:hAnsi="宋体" w:cs="宋体" w:eastAsia="宋体" w:hint="default"/>
        </w:rPr>
        <w:t>10,000</w:t>
      </w:r>
      <w:r>
        <w:rPr/>
        <w:t>元；外部董事和股东监事的津贴为每</w:t>
      </w:r>
      <w:r>
        <w:rPr>
          <w:spacing w:val="-28"/>
        </w:rPr>
        <w:t> </w:t>
      </w:r>
      <w:r>
        <w:rPr>
          <w:spacing w:val="-28"/>
        </w:rPr>
      </w:r>
      <w:r>
        <w:rPr/>
        <w:t>人每年</w:t>
      </w:r>
      <w:r>
        <w:rPr>
          <w:rFonts w:ascii="宋体" w:hAnsi="宋体" w:cs="宋体" w:eastAsia="宋体" w:hint="default"/>
        </w:rPr>
        <w:t>72,000</w:t>
      </w:r>
      <w:r>
        <w:rPr/>
        <w:t>元，平均每人每月</w:t>
      </w:r>
      <w:r>
        <w:rPr>
          <w:rFonts w:ascii="宋体" w:hAnsi="宋体" w:cs="宋体" w:eastAsia="宋体" w:hint="default"/>
        </w:rPr>
        <w:t>6,000</w:t>
      </w:r>
      <w:r>
        <w:rPr/>
        <w:t>元；职工监事的津贴为每人每年</w:t>
      </w:r>
      <w:r>
        <w:rPr>
          <w:rFonts w:ascii="宋体" w:hAnsi="宋体" w:cs="宋体" w:eastAsia="宋体" w:hint="default"/>
        </w:rPr>
        <w:t>48,000</w:t>
      </w:r>
      <w:r>
        <w:rPr/>
        <w:t>元，平均每人每月</w:t>
      </w:r>
      <w:r>
        <w:rPr>
          <w:rFonts w:ascii="宋体" w:hAnsi="宋体" w:cs="宋体" w:eastAsia="宋体" w:hint="default"/>
        </w:rPr>
        <w:t>4,000</w:t>
      </w:r>
      <w:r>
        <w:rPr/>
        <w:t>元。</w:t>
      </w:r>
      <w:r>
        <w:rPr>
          <w:spacing w:val="1"/>
        </w:rPr>
        <w:t> </w:t>
      </w:r>
      <w:r>
        <w:rPr/>
        <w:t>以上津贴标准为税前标准。</w:t>
      </w:r>
    </w:p>
    <w:p>
      <w:pPr>
        <w:pStyle w:val="BodyText"/>
        <w:spacing w:line="420" w:lineRule="auto" w:before="47"/>
        <w:ind w:right="1131" w:firstLine="420"/>
        <w:jc w:val="both"/>
      </w:pPr>
      <w:r>
        <w:rPr>
          <w:spacing w:val="-1"/>
        </w:rPr>
        <w:t>在公司领取薪酬的董事、监事、高级管理人员的年度报酬依据公司股东大会批准的《董事、监事薪酬</w:t>
      </w:r>
      <w:r>
        <w:rPr/>
        <w:t> </w:t>
      </w:r>
      <w:r>
        <w:rPr>
          <w:spacing w:val="-1"/>
        </w:rPr>
        <w:t>制度》或董事会批准的《薪酬管理制度》和年度经营班子目标管理责任书进行考核、发放。除职工监事按</w:t>
      </w:r>
    </w:p>
    <w:p>
      <w:pPr>
        <w:pStyle w:val="BodyText"/>
        <w:spacing w:line="420" w:lineRule="auto" w:before="47"/>
        <w:ind w:right="1133"/>
        <w:jc w:val="both"/>
      </w:pPr>
      <w:r>
        <w:rPr>
          <w:spacing w:val="-1"/>
        </w:rPr>
        <w:t>《董事、监事薪酬制度》规定获得津贴外，内部董事和职工监事以其在公司担任除董事、监事外的最高职</w:t>
      </w:r>
      <w:r>
        <w:rPr>
          <w:spacing w:val="-86"/>
        </w:rPr>
        <w:t> </w:t>
      </w:r>
      <w:r>
        <w:rPr>
          <w:spacing w:val="-86"/>
        </w:rPr>
      </w:r>
      <w:r>
        <w:rPr/>
        <w:t>务的薪资标准（按公司《薪酬管理制度》执行）领取薪酬，接受奖惩。</w:t>
      </w:r>
    </w:p>
    <w:p>
      <w:pPr>
        <w:pStyle w:val="BodyText"/>
        <w:spacing w:line="420" w:lineRule="auto" w:before="47"/>
        <w:ind w:left="574" w:right="0"/>
        <w:jc w:val="left"/>
      </w:pPr>
      <w:r>
        <w:rPr>
          <w:rFonts w:ascii="宋体" w:hAnsi="宋体" w:cs="宋体" w:eastAsia="宋体" w:hint="default"/>
        </w:rPr>
        <w:t>2</w:t>
      </w:r>
      <w:r>
        <w:rPr/>
        <w:t>．</w:t>
      </w:r>
      <w:r>
        <w:rPr>
          <w:rFonts w:ascii="宋体" w:hAnsi="宋体" w:cs="宋体" w:eastAsia="宋体" w:hint="default"/>
        </w:rPr>
        <w:t>2018</w:t>
      </w:r>
      <w:r>
        <w:rPr/>
        <w:t>年度报酬情况 报告期内，离任董事</w:t>
      </w:r>
      <w:r>
        <w:rPr>
          <w:rFonts w:ascii="宋体" w:hAnsi="宋体" w:cs="宋体" w:eastAsia="宋体" w:hint="default"/>
        </w:rPr>
        <w:t>4</w:t>
      </w:r>
      <w:r>
        <w:rPr/>
        <w:t>名、监事</w:t>
      </w:r>
      <w:r>
        <w:rPr>
          <w:rFonts w:ascii="宋体" w:hAnsi="宋体" w:cs="宋体" w:eastAsia="宋体" w:hint="default"/>
        </w:rPr>
        <w:t>2</w:t>
      </w:r>
      <w:r>
        <w:rPr/>
        <w:t>名、高管</w:t>
      </w:r>
      <w:r>
        <w:rPr>
          <w:rFonts w:ascii="宋体" w:hAnsi="宋体" w:cs="宋体" w:eastAsia="宋体" w:hint="default"/>
        </w:rPr>
        <w:t>1</w:t>
      </w:r>
      <w:r>
        <w:rPr/>
        <w:t>名。截至本报告日，公司现任董事、监事、高级管理人员</w:t>
      </w:r>
    </w:p>
    <w:p>
      <w:pPr>
        <w:pStyle w:val="BodyText"/>
        <w:spacing w:line="420" w:lineRule="auto" w:before="48"/>
        <w:ind w:right="1131"/>
        <w:jc w:val="both"/>
      </w:pPr>
      <w:r>
        <w:rPr>
          <w:rFonts w:ascii="宋体" w:hAnsi="宋体" w:cs="宋体" w:eastAsia="宋体" w:hint="default"/>
          <w:spacing w:val="-1"/>
        </w:rPr>
        <w:t>13</w:t>
      </w:r>
      <w:r>
        <w:rPr>
          <w:spacing w:val="-1"/>
        </w:rPr>
        <w:t>名。</w:t>
      </w:r>
      <w:r>
        <w:rPr>
          <w:rFonts w:ascii="宋体" w:hAnsi="宋体" w:cs="宋体" w:eastAsia="宋体" w:hint="default"/>
          <w:spacing w:val="-1"/>
        </w:rPr>
        <w:t>2018</w:t>
      </w:r>
      <w:r>
        <w:rPr>
          <w:spacing w:val="-1"/>
        </w:rPr>
        <w:t>年度公司每一位现任、离任董事、监事和高级管理人员在报告期内从公司获得的报酬总额详见</w:t>
      </w:r>
      <w:r>
        <w:rPr>
          <w:spacing w:val="-80"/>
        </w:rPr>
        <w:t> </w:t>
      </w:r>
      <w:r>
        <w:rPr>
          <w:spacing w:val="-80"/>
        </w:rPr>
      </w:r>
      <w:r>
        <w:rPr>
          <w:spacing w:val="-1"/>
        </w:rPr>
        <w:t>下述基本情况表，独立董事、外部董事、监事均在公司领取津贴，全体现任、离任董事、监事和高级管理</w:t>
      </w:r>
      <w:r>
        <w:rPr>
          <w:spacing w:val="-83"/>
        </w:rPr>
        <w:t> </w:t>
      </w:r>
      <w:r>
        <w:rPr>
          <w:spacing w:val="-83"/>
        </w:rPr>
      </w:r>
      <w:r>
        <w:rPr/>
        <w:t>人员从公司获得的税前报酬总额为</w:t>
      </w:r>
      <w:r>
        <w:rPr>
          <w:rFonts w:ascii="宋体" w:hAnsi="宋体" w:cs="宋体" w:eastAsia="宋体" w:hint="default"/>
        </w:rPr>
        <w:t>1,539.59</w:t>
      </w:r>
      <w:r>
        <w:rPr/>
        <w:t>万元，税后报酬总额为</w:t>
      </w:r>
      <w:r>
        <w:rPr>
          <w:rFonts w:ascii="宋体" w:hAnsi="宋体" w:cs="宋体" w:eastAsia="宋体" w:hint="default"/>
        </w:rPr>
        <w:t>1,129.97</w:t>
      </w:r>
      <w:r>
        <w:rPr/>
        <w:t>万元。</w:t>
      </w:r>
    </w:p>
    <w:p>
      <w:pPr>
        <w:spacing w:after="0" w:line="420" w:lineRule="auto"/>
        <w:jc w:val="both"/>
        <w:sectPr>
          <w:pgSz w:w="11910" w:h="16840"/>
          <w:pgMar w:header="877" w:footer="979" w:top="1100" w:bottom="1160" w:left="980" w:right="0"/>
        </w:sectPr>
      </w:pPr>
    </w:p>
    <w:p>
      <w:pPr>
        <w:pStyle w:val="BodyText"/>
        <w:spacing w:line="240" w:lineRule="auto" w:before="47"/>
        <w:ind w:right="-20"/>
        <w:jc w:val="left"/>
      </w:pPr>
      <w:r>
        <w:rPr/>
        <w:t>公司报告期内董事、监事和高级管理人员报酬情况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775" w:space="396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1843"/>
        <w:gridCol w:w="709"/>
        <w:gridCol w:w="708"/>
        <w:gridCol w:w="709"/>
        <w:gridCol w:w="1559"/>
        <w:gridCol w:w="1701"/>
        <w:gridCol w:w="1560"/>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3" w:right="53" w:hanging="360"/>
              <w:jc w:val="left"/>
              <w:rPr>
                <w:rFonts w:ascii="宋体" w:hAnsi="宋体" w:cs="宋体" w:eastAsia="宋体" w:hint="default"/>
                <w:sz w:val="18"/>
                <w:szCs w:val="18"/>
              </w:rPr>
            </w:pPr>
            <w:r>
              <w:rPr>
                <w:rFonts w:ascii="宋体" w:hAnsi="宋体" w:cs="宋体" w:eastAsia="宋体" w:hint="default"/>
                <w:sz w:val="18"/>
                <w:szCs w:val="18"/>
              </w:rPr>
              <w:t>从公司获得的税前 报酬总额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74" w:right="35" w:hanging="540"/>
              <w:jc w:val="left"/>
              <w:rPr>
                <w:rFonts w:ascii="宋体" w:hAnsi="宋体" w:cs="宋体" w:eastAsia="宋体" w:hint="default"/>
                <w:sz w:val="18"/>
                <w:szCs w:val="18"/>
              </w:rPr>
            </w:pPr>
            <w:r>
              <w:rPr>
                <w:rFonts w:ascii="宋体" w:hAnsi="宋体" w:cs="宋体" w:eastAsia="宋体" w:hint="default"/>
                <w:sz w:val="18"/>
                <w:szCs w:val="18"/>
              </w:rPr>
              <w:t>从公司获得的税后报 酬总额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5" w:right="53" w:hanging="360"/>
              <w:jc w:val="left"/>
              <w:rPr>
                <w:rFonts w:ascii="宋体" w:hAnsi="宋体" w:cs="宋体" w:eastAsia="宋体" w:hint="default"/>
                <w:sz w:val="18"/>
                <w:szCs w:val="18"/>
              </w:rPr>
            </w:pPr>
            <w:r>
              <w:rPr>
                <w:rFonts w:ascii="宋体" w:hAnsi="宋体" w:cs="宋体" w:eastAsia="宋体" w:hint="default"/>
                <w:sz w:val="18"/>
                <w:szCs w:val="18"/>
              </w:rPr>
              <w:t>是否在公司关联方 获取报酬</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汪方怀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董事、董事长</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200.73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142.46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黄永国</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张陶尧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郭全中</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11.80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张会丽</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11.80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施海娜</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11.80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陆文龙</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邱小妹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47.90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  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40.70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张小勇</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副总裁、财务总监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231.02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172.50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51"/>
        <w:gridCol w:w="1843"/>
        <w:gridCol w:w="709"/>
        <w:gridCol w:w="708"/>
        <w:gridCol w:w="709"/>
        <w:gridCol w:w="1559"/>
        <w:gridCol w:w="1701"/>
        <w:gridCol w:w="1560"/>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  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8" w:right="0"/>
              <w:jc w:val="left"/>
              <w:rPr>
                <w:rFonts w:ascii="宋体" w:hAnsi="宋体" w:cs="宋体" w:eastAsia="宋体" w:hint="default"/>
                <w:sz w:val="18"/>
                <w:szCs w:val="18"/>
              </w:rPr>
            </w:pPr>
            <w:r>
              <w:rPr>
                <w:rFonts w:ascii="宋体"/>
                <w:sz w:val="18"/>
              </w:rPr>
              <w:t>34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227.27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  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副总裁、董事会秘书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8" w:right="0"/>
              <w:jc w:val="left"/>
              <w:rPr>
                <w:rFonts w:ascii="宋体" w:hAnsi="宋体" w:cs="宋体" w:eastAsia="宋体" w:hint="default"/>
                <w:sz w:val="18"/>
                <w:szCs w:val="18"/>
              </w:rPr>
            </w:pPr>
            <w:r>
              <w:rPr>
                <w:rFonts w:ascii="宋体"/>
                <w:sz w:val="18"/>
              </w:rPr>
              <w:t>47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214.29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储一丰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8" w:right="0"/>
              <w:jc w:val="left"/>
              <w:rPr>
                <w:rFonts w:ascii="宋体" w:hAnsi="宋体" w:cs="宋体" w:eastAsia="宋体" w:hint="default"/>
                <w:sz w:val="18"/>
                <w:szCs w:val="18"/>
              </w:rPr>
            </w:pPr>
            <w:r>
              <w:rPr>
                <w:rFonts w:ascii="宋体"/>
                <w:sz w:val="18"/>
              </w:rPr>
              <w:t>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163.53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李向民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8" w:right="0"/>
              <w:jc w:val="left"/>
              <w:rPr>
                <w:rFonts w:ascii="宋体" w:hAnsi="宋体" w:cs="宋体" w:eastAsia="宋体" w:hint="default"/>
                <w:sz w:val="18"/>
                <w:szCs w:val="18"/>
              </w:rPr>
            </w:pPr>
            <w:r>
              <w:rPr>
                <w:rFonts w:ascii="宋体"/>
                <w:sz w:val="18"/>
              </w:rPr>
              <w:t>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薛国庆</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8" w:right="0"/>
              <w:jc w:val="left"/>
              <w:rPr>
                <w:rFonts w:ascii="宋体" w:hAnsi="宋体" w:cs="宋体" w:eastAsia="宋体" w:hint="default"/>
                <w:sz w:val="18"/>
                <w:szCs w:val="18"/>
              </w:rPr>
            </w:pPr>
            <w:r>
              <w:rPr>
                <w:rFonts w:ascii="宋体"/>
                <w:sz w:val="18"/>
              </w:rPr>
              <w:t>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朱  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8" w:right="0"/>
              <w:jc w:val="left"/>
              <w:rPr>
                <w:rFonts w:ascii="宋体" w:hAnsi="宋体" w:cs="宋体" w:eastAsia="宋体" w:hint="default"/>
                <w:sz w:val="18"/>
                <w:szCs w:val="18"/>
              </w:rPr>
            </w:pPr>
            <w:r>
              <w:rPr>
                <w:rFonts w:ascii="宋体"/>
                <w:sz w:val="18"/>
              </w:rPr>
              <w:t>51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朱金玲</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8" w:right="0"/>
              <w:jc w:val="left"/>
              <w:rPr>
                <w:rFonts w:ascii="宋体" w:hAnsi="宋体" w:cs="宋体" w:eastAsia="宋体" w:hint="default"/>
                <w:sz w:val="18"/>
                <w:szCs w:val="18"/>
              </w:rPr>
            </w:pPr>
            <w:r>
              <w:rPr>
                <w:rFonts w:ascii="宋体"/>
                <w:sz w:val="18"/>
              </w:rPr>
              <w:t>29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殷栋林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8" w:right="0"/>
              <w:jc w:val="left"/>
              <w:rPr>
                <w:rFonts w:ascii="宋体" w:hAnsi="宋体" w:cs="宋体" w:eastAsia="宋体" w:hint="default"/>
                <w:sz w:val="18"/>
                <w:szCs w:val="18"/>
              </w:rPr>
            </w:pPr>
            <w:r>
              <w:rPr>
                <w:rFonts w:ascii="宋体"/>
                <w:sz w:val="18"/>
              </w:rPr>
              <w:t>37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许永胜</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8" w:right="0"/>
              <w:jc w:val="left"/>
              <w:rPr>
                <w:rFonts w:ascii="宋体" w:hAnsi="宋体" w:cs="宋体" w:eastAsia="宋体" w:hint="default"/>
                <w:sz w:val="18"/>
                <w:szCs w:val="18"/>
              </w:rPr>
            </w:pPr>
            <w:r>
              <w:rPr>
                <w:rFonts w:ascii="宋体"/>
                <w:sz w:val="18"/>
              </w:rPr>
              <w:t>43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  源</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8" w:right="0"/>
              <w:jc w:val="left"/>
              <w:rPr>
                <w:rFonts w:ascii="宋体" w:hAnsi="宋体" w:cs="宋体" w:eastAsia="宋体" w:hint="default"/>
                <w:sz w:val="18"/>
                <w:szCs w:val="18"/>
              </w:rPr>
            </w:pPr>
            <w:r>
              <w:rPr>
                <w:rFonts w:ascii="宋体"/>
                <w:sz w:val="18"/>
              </w:rPr>
              <w:t>37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338.35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222.60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1,539.59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1,129.97</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line="240" w:lineRule="auto" w:before="12"/>
        <w:rPr>
          <w:rFonts w:ascii="宋体" w:hAnsi="宋体" w:cs="宋体" w:eastAsia="宋体" w:hint="default"/>
          <w:sz w:val="7"/>
          <w:szCs w:val="7"/>
        </w:rPr>
      </w:pPr>
    </w:p>
    <w:p>
      <w:pPr>
        <w:pStyle w:val="BodyText"/>
        <w:spacing w:line="240" w:lineRule="auto" w:before="35"/>
        <w:ind w:right="0"/>
        <w:jc w:val="left"/>
      </w:pPr>
      <w:r>
        <w:rPr/>
        <w:t>公司董事、高级管理人员报告期内被授予的股权激励情况</w:t>
      </w:r>
    </w:p>
    <w:p>
      <w:pPr>
        <w:spacing w:line="240" w:lineRule="auto" w:before="9"/>
        <w:rPr>
          <w:rFonts w:ascii="宋体" w:hAnsi="宋体" w:cs="宋体" w:eastAsia="宋体" w:hint="default"/>
          <w:sz w:val="15"/>
          <w:szCs w:val="15"/>
        </w:rPr>
      </w:pPr>
    </w:p>
    <w:p>
      <w:pPr>
        <w:spacing w:line="506" w:lineRule="auto" w:before="0"/>
        <w:ind w:left="154" w:right="748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五、公司员工情况" w:id="130"/>
      <w:bookmarkEnd w:id="130"/>
      <w:r>
        <w:rPr>
          <w:rFonts w:ascii="宋体" w:hAnsi="宋体" w:cs="宋体" w:eastAsia="宋体" w:hint="default"/>
          <w:sz w:val="21"/>
          <w:szCs w:val="21"/>
        </w:rPr>
      </w:r>
      <w:r>
        <w:rPr>
          <w:rFonts w:ascii="宋体" w:hAnsi="宋体" w:cs="宋体" w:eastAsia="宋体" w:hint="default"/>
          <w:b/>
          <w:bCs/>
          <w:sz w:val="24"/>
          <w:szCs w:val="24"/>
        </w:rPr>
        <w:t>五、公司员工情况</w:t>
      </w:r>
      <w:r>
        <w:rPr>
          <w:rFonts w:ascii="宋体" w:hAnsi="宋体" w:cs="宋体" w:eastAsia="宋体" w:hint="default"/>
          <w:b/>
          <w:bCs/>
          <w:w w:val="99"/>
          <w:sz w:val="24"/>
          <w:szCs w:val="24"/>
        </w:rPr>
        <w:t> </w:t>
      </w:r>
      <w:bookmarkStart w:name="1、员工数量、专业构成及教育程度" w:id="131"/>
      <w:bookmarkEnd w:id="131"/>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1"/>
        <w:rPr>
          <w:rFonts w:ascii="宋体" w:hAnsi="宋体" w:cs="宋体" w:eastAsia="宋体" w:hint="default"/>
          <w:b/>
          <w:bCs/>
          <w:sz w:val="9"/>
          <w:szCs w:val="9"/>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93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5,154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5,247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5,247</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585"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1,119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3,157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454</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5,247</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w:t>
            </w:r>
          </w:p>
        </w:tc>
      </w:tr>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194</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2,832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5,247</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薪酬政策" w:id="132"/>
      <w:bookmarkEnd w:id="132"/>
      <w:r>
        <w:rPr>
          <w:b w:val="0"/>
          <w:bCs w:val="0"/>
        </w:rPr>
      </w:r>
      <w:r>
        <w:rPr>
          <w:rFonts w:ascii="宋体" w:hAnsi="宋体" w:cs="宋体" w:eastAsia="宋体" w:hint="default"/>
        </w:rPr>
        <w:t>2</w:t>
      </w:r>
      <w:r>
        <w:rPr/>
        <w:t>、薪酬政策</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547" w:lineRule="auto"/>
        <w:ind w:right="3192" w:firstLine="420"/>
        <w:jc w:val="left"/>
        <w:rPr>
          <w:rFonts w:ascii="宋体" w:hAnsi="宋体" w:cs="宋体" w:eastAsia="宋体" w:hint="default"/>
        </w:rPr>
      </w:pPr>
      <w:r>
        <w:rPr/>
        <w:t>员工薪酬按照《薪酬管理制度》和各单位的目标管理责任书进行考核、发放。 </w:t>
      </w:r>
      <w:bookmarkStart w:name="3、培训计划" w:id="133"/>
      <w:bookmarkEnd w:id="133"/>
      <w:r>
        <w:rPr/>
      </w:r>
      <w:r>
        <w:rPr>
          <w:rFonts w:ascii="宋体" w:hAnsi="宋体" w:cs="宋体" w:eastAsia="宋体" w:hint="default"/>
          <w:b/>
          <w:bCs/>
        </w:rPr>
        <w:t>3</w:t>
      </w:r>
      <w:r>
        <w:rPr>
          <w:rFonts w:ascii="宋体" w:hAnsi="宋体" w:cs="宋体" w:eastAsia="宋体" w:hint="default"/>
          <w:b/>
          <w:bCs/>
        </w:rPr>
        <w:t>、培训计划</w:t>
      </w:r>
      <w:r>
        <w:rPr>
          <w:rFonts w:ascii="宋体" w:hAnsi="宋体" w:cs="宋体" w:eastAsia="宋体" w:hint="default"/>
        </w:rPr>
      </w:r>
    </w:p>
    <w:p>
      <w:pPr>
        <w:spacing w:line="240" w:lineRule="auto" w:before="13"/>
        <w:rPr>
          <w:rFonts w:ascii="宋体" w:hAnsi="宋体" w:cs="宋体" w:eastAsia="宋体" w:hint="default"/>
          <w:b/>
          <w:bCs/>
          <w:sz w:val="16"/>
          <w:szCs w:val="16"/>
        </w:rPr>
      </w:pPr>
    </w:p>
    <w:p>
      <w:pPr>
        <w:spacing w:line="547" w:lineRule="auto" w:before="0"/>
        <w:ind w:left="154" w:right="6342" w:firstLine="420"/>
        <w:jc w:val="left"/>
        <w:rPr>
          <w:rFonts w:ascii="宋体" w:hAnsi="宋体" w:cs="宋体" w:eastAsia="宋体" w:hint="default"/>
          <w:sz w:val="21"/>
          <w:szCs w:val="21"/>
        </w:rPr>
      </w:pPr>
      <w:r>
        <w:rPr>
          <w:rFonts w:ascii="宋体" w:hAnsi="宋体" w:cs="宋体" w:eastAsia="宋体" w:hint="default"/>
          <w:sz w:val="21"/>
          <w:szCs w:val="21"/>
        </w:rPr>
        <w:t>员工培训主要是各单位根据需要进行培训。 </w:t>
      </w:r>
      <w:bookmarkStart w:name="4、劳务外包情况" w:id="134"/>
      <w:bookmarkEnd w:id="134"/>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1"/>
        <w:rPr>
          <w:rFonts w:ascii="宋体" w:hAnsi="宋体" w:cs="宋体" w:eastAsia="宋体" w:hint="default"/>
          <w:b/>
          <w:bCs/>
          <w:sz w:val="17"/>
          <w:szCs w:val="17"/>
        </w:rPr>
      </w:pPr>
    </w:p>
    <w:p>
      <w:pPr>
        <w:pStyle w:val="BodyText"/>
        <w:spacing w:line="240" w:lineRule="auto"/>
        <w:ind w:right="0"/>
        <w:jc w:val="left"/>
      </w:pPr>
      <w:r>
        <w:rPr/>
        <w:t>□ 适用 √</w:t>
      </w:r>
      <w:r>
        <w:rPr>
          <w:spacing w:val="-1"/>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217"/>
        <w:jc w:val="center"/>
        <w:rPr>
          <w:b w:val="0"/>
          <w:bCs w:val="0"/>
        </w:rPr>
      </w:pPr>
      <w:bookmarkStart w:name="第九节 公司治理" w:id="135"/>
      <w:bookmarkEnd w:id="135"/>
      <w:r>
        <w:rPr>
          <w:b w:val="0"/>
          <w:bCs w:val="0"/>
        </w:rPr>
      </w:r>
      <w:bookmarkStart w:name="_bookmark7" w:id="136"/>
      <w:bookmarkEnd w:id="136"/>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ind w:right="0"/>
        <w:jc w:val="left"/>
        <w:rPr>
          <w:b w:val="0"/>
          <w:bCs w:val="0"/>
        </w:rPr>
      </w:pPr>
      <w:bookmarkStart w:name="一、公司治理的基本状况" w:id="137"/>
      <w:bookmarkEnd w:id="137"/>
      <w:r>
        <w:rPr>
          <w:b w:val="0"/>
          <w:bCs w:val="0"/>
        </w:rPr>
      </w:r>
      <w:r>
        <w:rPr/>
        <w:t>一、公司治理的基本状况</w:t>
      </w:r>
      <w:r>
        <w:rPr>
          <w:b w:val="0"/>
          <w:bCs w:val="0"/>
        </w:rPr>
      </w:r>
    </w:p>
    <w:p>
      <w:pPr>
        <w:spacing w:line="240" w:lineRule="auto" w:before="10"/>
        <w:rPr>
          <w:rFonts w:ascii="宋体" w:hAnsi="宋体" w:cs="宋体" w:eastAsia="宋体" w:hint="default"/>
          <w:b/>
          <w:bCs/>
          <w:sz w:val="31"/>
          <w:szCs w:val="31"/>
        </w:rPr>
      </w:pPr>
    </w:p>
    <w:p>
      <w:pPr>
        <w:pStyle w:val="BodyText"/>
        <w:spacing w:line="420" w:lineRule="auto"/>
        <w:ind w:right="1092" w:firstLine="420"/>
        <w:jc w:val="left"/>
      </w:pPr>
      <w:r>
        <w:rPr/>
        <w:t>报告期内，公司严格按照《公司法》、《证券法》、《上市公司治理准则》等有关法律法规的要求， 规范运作。</w:t>
      </w:r>
    </w:p>
    <w:p>
      <w:pPr>
        <w:pStyle w:val="BodyText"/>
        <w:spacing w:line="420" w:lineRule="auto" w:before="47"/>
        <w:ind w:right="1023" w:firstLine="420"/>
        <w:jc w:val="left"/>
      </w:pPr>
      <w:r>
        <w:rPr/>
        <w:t>报告期内，根据公司战略发展和经营管理的需要，公司英文名称由“China Media Group”</w:t>
      </w:r>
      <w:r>
        <w:rPr>
          <w:spacing w:val="-3"/>
        </w:rPr>
        <w:t> </w:t>
      </w:r>
      <w:r>
        <w:rPr/>
        <w:t>变更为</w:t>
      </w:r>
      <w:r>
        <w:rPr/>
        <w:t> “Huawen Media</w:t>
      </w:r>
      <w:r>
        <w:rPr>
          <w:spacing w:val="-3"/>
        </w:rPr>
        <w:t> </w:t>
      </w:r>
      <w:r>
        <w:rPr/>
        <w:t>Group”，公司英文简称将由“CMG”变更为“Huawen”，修订《公司章程》相关条款；</w:t>
      </w:r>
      <w:r>
        <w:rPr/>
        <w:t> 为发挥公司党委的作用，为公司发展提供坚强保障，公司将党建工作内容写入《公司章程》；根据公司回 </w:t>
      </w:r>
      <w:r>
        <w:rPr>
          <w:spacing w:val="-3"/>
        </w:rPr>
        <w:t>购并注销精视投资、莫昂投资、李菊莲等业绩承诺方应补偿公司股份的情况，修订《公司章程》相关条款。</w:t>
      </w:r>
    </w:p>
    <w:p>
      <w:pPr>
        <w:pStyle w:val="BodyText"/>
        <w:spacing w:line="453" w:lineRule="auto" w:before="47"/>
        <w:ind w:right="1722" w:firstLine="420"/>
        <w:jc w:val="left"/>
      </w:pPr>
      <w:r>
        <w:rPr/>
        <w:t>目前公司法人治理结构的实际情况符合中国证监会有关上市公司治理规范性文件的相关要求。 公司治理的实际状况与中国证监会发布的有关上市公司治理的规范性文件是否存在重大差异</w:t>
      </w:r>
    </w:p>
    <w:p>
      <w:pPr>
        <w:spacing w:line="463" w:lineRule="auto" w:before="59"/>
        <w:ind w:left="154" w:right="2352" w:firstLine="0"/>
        <w:jc w:val="left"/>
        <w:rPr>
          <w:rFonts w:ascii="宋体" w:hAnsi="宋体" w:cs="宋体" w:eastAsia="宋体" w:hint="default"/>
          <w:sz w:val="24"/>
          <w:szCs w:val="24"/>
        </w:rPr>
      </w:pPr>
      <w:r>
        <w:rPr>
          <w:rFonts w:ascii="宋体" w:hAnsi="宋体" w:cs="宋体" w:eastAsia="宋体" w:hint="default"/>
          <w:sz w:val="21"/>
          <w:szCs w:val="21"/>
        </w:rPr>
        <w:t>□ 是 √ 否 公司治理的实际状况与中国证监会发布的有关上市公司治理的规范性文件不存在重大差异。 </w:t>
      </w:r>
      <w:bookmarkStart w:name="二、公司相对于控股股东在业务、人员、资产、机构、财务等方面的独立情况" w:id="138"/>
      <w:bookmarkEnd w:id="138"/>
      <w:r>
        <w:rPr>
          <w:rFonts w:ascii="宋体" w:hAnsi="宋体" w:cs="宋体" w:eastAsia="宋体" w:hint="default"/>
          <w:sz w:val="21"/>
          <w:szCs w:val="21"/>
        </w:rPr>
      </w:r>
      <w:r>
        <w:rPr>
          <w:rFonts w:ascii="宋体" w:hAnsi="宋体" w:cs="宋体" w:eastAsia="宋体" w:hint="default"/>
          <w:b/>
          <w:bCs/>
          <w:sz w:val="24"/>
          <w:szCs w:val="24"/>
        </w:rPr>
        <w:t>二、公司相对于控股股东在业务、人员、资产、机构、财务等方面的独立情况</w:t>
      </w:r>
      <w:r>
        <w:rPr>
          <w:rFonts w:ascii="宋体" w:hAnsi="宋体" w:cs="宋体" w:eastAsia="宋体" w:hint="default"/>
          <w:sz w:val="24"/>
          <w:szCs w:val="24"/>
        </w:rPr>
      </w:r>
    </w:p>
    <w:p>
      <w:pPr>
        <w:pStyle w:val="BodyText"/>
        <w:spacing w:line="420" w:lineRule="auto" w:before="192"/>
        <w:ind w:right="1116" w:firstLine="420"/>
        <w:jc w:val="left"/>
      </w:pPr>
      <w:r>
        <w:rPr>
          <w:spacing w:val="-1"/>
        </w:rPr>
        <w:t>业务独立方面：公司业务独立于控股股东，控股股东及其下属的其他单位未从事与公司存在同业竞争</w:t>
      </w:r>
      <w:r>
        <w:rPr/>
        <w:t> 的业务。</w:t>
      </w:r>
    </w:p>
    <w:p>
      <w:pPr>
        <w:pStyle w:val="BodyText"/>
        <w:spacing w:line="420" w:lineRule="auto" w:before="47"/>
        <w:ind w:right="1131" w:firstLine="420"/>
        <w:jc w:val="both"/>
      </w:pPr>
      <w:r>
        <w:rPr>
          <w:spacing w:val="-1"/>
        </w:rPr>
        <w:t>人员分开方面：公司人员独立于控股股东，公司总裁、财务负责人、董事会秘书及其他高级管理人员</w:t>
      </w:r>
      <w:r>
        <w:rPr/>
        <w:t> </w:t>
      </w:r>
      <w:r>
        <w:rPr>
          <w:spacing w:val="-1"/>
        </w:rPr>
        <w:t>未在控股股东单位担任除董事以外的其他职务，财务人员在关联公司无兼职。公司制定了独立的劳动、人</w:t>
      </w:r>
      <w:r>
        <w:rPr>
          <w:spacing w:val="-83"/>
        </w:rPr>
        <w:t> </w:t>
      </w:r>
      <w:r>
        <w:rPr>
          <w:spacing w:val="-83"/>
        </w:rPr>
      </w:r>
      <w:r>
        <w:rPr/>
        <w:t>事及薪资管理制度，建立了独立的劳动人事管理部门，劳动、人事及工资管理完全独立。</w:t>
      </w:r>
    </w:p>
    <w:p>
      <w:pPr>
        <w:pStyle w:val="BodyText"/>
        <w:spacing w:line="420" w:lineRule="auto" w:before="47"/>
        <w:ind w:right="0" w:firstLine="420"/>
        <w:jc w:val="left"/>
      </w:pPr>
      <w:r>
        <w:rPr>
          <w:spacing w:val="-1"/>
        </w:rPr>
        <w:t>资产完整方面：公司资产独立完整，拥有独立的产、供、销系统，与控股股东不存在从事相同产品生</w:t>
      </w:r>
      <w:r>
        <w:rPr/>
        <w:t> 产经营的同业竞争情况。</w:t>
      </w:r>
    </w:p>
    <w:p>
      <w:pPr>
        <w:pStyle w:val="BodyText"/>
        <w:spacing w:line="420" w:lineRule="auto" w:before="47"/>
        <w:ind w:right="1092" w:firstLine="420"/>
        <w:jc w:val="left"/>
      </w:pPr>
      <w:r>
        <w:rPr/>
        <w:t>机构独立方面：公司机构完整，控股股东及其职能部门与公司及公司职能部门之间没有上下级关系。 公司董事会、监事会及其他内部机构完全独立运作。</w:t>
      </w:r>
    </w:p>
    <w:p>
      <w:pPr>
        <w:pStyle w:val="BodyText"/>
        <w:spacing w:line="420" w:lineRule="auto" w:before="47"/>
        <w:ind w:right="0" w:firstLine="420"/>
        <w:jc w:val="left"/>
      </w:pPr>
      <w:r>
        <w:rPr>
          <w:spacing w:val="-1"/>
        </w:rPr>
        <w:t>财务分开方面：公司财务完全独立，设立独立的财务部门，并建立了独立会计核算体系和财务会计管</w:t>
      </w:r>
      <w:r>
        <w:rPr/>
        <w:t> 理制度，独立核算，独立在银行开户，独立缴税。</w:t>
      </w:r>
    </w:p>
    <w:p>
      <w:pPr>
        <w:pStyle w:val="BodyText"/>
        <w:spacing w:line="420" w:lineRule="auto" w:before="47"/>
        <w:ind w:right="0" w:firstLine="420"/>
        <w:jc w:val="left"/>
      </w:pPr>
      <w:r>
        <w:rPr>
          <w:spacing w:val="-1"/>
        </w:rPr>
        <w:t>综上所述，公司与控股股东在业务、人员、资产、机构、财务等方面完全分开，具有独立完整的业务</w:t>
      </w:r>
      <w:r>
        <w:rPr/>
        <w:t> 及自主经营能力。</w:t>
      </w:r>
    </w:p>
    <w:p>
      <w:pPr>
        <w:spacing w:after="0" w:line="420" w:lineRule="auto"/>
        <w:jc w:val="left"/>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bookmarkStart w:name="三、同业竞争情况" w:id="139"/>
      <w:bookmarkEnd w:id="139"/>
      <w:r>
        <w:rPr>
          <w:b w:val="0"/>
          <w:bCs w:val="0"/>
        </w:rPr>
      </w:r>
      <w:r>
        <w:rPr/>
        <w:t>三、同业竞争情况</w:t>
      </w:r>
      <w:r>
        <w:rPr>
          <w:b w:val="0"/>
          <w:bCs w:val="0"/>
        </w:rPr>
      </w:r>
    </w:p>
    <w:p>
      <w:pPr>
        <w:spacing w:line="240" w:lineRule="auto" w:before="0"/>
        <w:rPr>
          <w:rFonts w:ascii="宋体" w:hAnsi="宋体" w:cs="宋体" w:eastAsia="宋体" w:hint="default"/>
          <w:b/>
          <w:bCs/>
          <w:sz w:val="24"/>
          <w:szCs w:val="24"/>
        </w:rPr>
      </w:pPr>
    </w:p>
    <w:p>
      <w:pPr>
        <w:spacing w:line="506" w:lineRule="auto" w:before="160"/>
        <w:ind w:left="154" w:right="340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四、报告期内召开的年度股东大会和临时股东大会的有关情况" w:id="140"/>
      <w:bookmarkEnd w:id="140"/>
      <w:r>
        <w:rPr>
          <w:rFonts w:ascii="宋体" w:hAnsi="宋体" w:cs="宋体" w:eastAsia="宋体" w:hint="default"/>
          <w:sz w:val="21"/>
          <w:szCs w:val="21"/>
        </w:rPr>
      </w:r>
      <w:r>
        <w:rPr>
          <w:rFonts w:ascii="宋体" w:hAnsi="宋体" w:cs="宋体" w:eastAsia="宋体" w:hint="default"/>
          <w:b/>
          <w:bCs/>
          <w:w w:val="95"/>
          <w:sz w:val="24"/>
          <w:szCs w:val="24"/>
        </w:rPr>
        <w:t>四、报告期内召开的年度股东大会和临时股东大会的有关情况</w:t>
      </w:r>
      <w:r>
        <w:rPr>
          <w:rFonts w:ascii="宋体" w:hAnsi="宋体" w:cs="宋体" w:eastAsia="宋体" w:hint="default"/>
          <w:b/>
          <w:bCs/>
          <w:spacing w:val="70"/>
          <w:w w:val="95"/>
          <w:sz w:val="24"/>
          <w:szCs w:val="24"/>
        </w:rPr>
        <w:t> </w:t>
      </w:r>
      <w:bookmarkStart w:name="1、本报告期股东大会情况" w:id="141"/>
      <w:bookmarkEnd w:id="141"/>
      <w:r>
        <w:rPr>
          <w:rFonts w:ascii="宋体" w:hAnsi="宋体" w:cs="宋体" w:eastAsia="宋体" w:hint="default"/>
          <w:b/>
          <w:bCs/>
          <w:spacing w:val="70"/>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5"/>
          <w:szCs w:val="25"/>
        </w:rPr>
      </w:pPr>
    </w:p>
    <w:p>
      <w:pPr>
        <w:spacing w:before="44"/>
        <w:ind w:left="0" w:right="1210" w:firstLine="0"/>
        <w:jc w:val="right"/>
        <w:rPr>
          <w:rFonts w:ascii="宋体" w:hAnsi="宋体" w:cs="宋体" w:eastAsia="宋体" w:hint="default"/>
          <w:sz w:val="18"/>
          <w:szCs w:val="18"/>
        </w:rPr>
      </w:pPr>
      <w:r>
        <w:rPr/>
        <w:pict>
          <v:shape style="position:absolute;margin-left:56.459999pt;margin-top:-36.578304pt;width:475.7pt;height:199.15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1277"/>
                    <w:gridCol w:w="1418"/>
                    <w:gridCol w:w="1134"/>
                    <w:gridCol w:w="1134"/>
                    <w:gridCol w:w="3261"/>
                  </w:tblGrid>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年第一次 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19.13%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在巨潮网上披露</w:t>
                        </w:r>
                        <w:r>
                          <w:rPr>
                            <w:rFonts w:ascii="宋体" w:hAnsi="宋体" w:cs="宋体" w:eastAsia="宋体" w:hint="default"/>
                            <w:spacing w:val="-81"/>
                            <w:sz w:val="18"/>
                            <w:szCs w:val="18"/>
                          </w:rPr>
                          <w:t>的</w:t>
                        </w: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第</w:t>
                        </w:r>
                        <w:r>
                          <w:rPr>
                            <w:rFonts w:ascii="宋体" w:hAnsi="宋体" w:cs="宋体" w:eastAsia="宋体" w:hint="default"/>
                            <w:sz w:val="18"/>
                            <w:szCs w:val="18"/>
                          </w:rPr>
                          <w:t>一次临时股</w:t>
                        </w:r>
                        <w:r>
                          <w:rPr>
                            <w:rFonts w:ascii="宋体" w:hAnsi="宋体" w:cs="宋体" w:eastAsia="宋体" w:hint="default"/>
                            <w:sz w:val="18"/>
                            <w:szCs w:val="18"/>
                          </w:rPr>
                          <w:t> 东大会决议公告</w:t>
                        </w:r>
                        <w:r>
                          <w:rPr>
                            <w:rFonts w:ascii="宋体" w:hAnsi="宋体" w:cs="宋体" w:eastAsia="宋体" w:hint="default"/>
                            <w:spacing w:val="-108"/>
                            <w:sz w:val="18"/>
                            <w:szCs w:val="18"/>
                          </w:rPr>
                          <w:t>》</w:t>
                        </w:r>
                        <w:r>
                          <w:rPr>
                            <w:rFonts w:ascii="宋体" w:hAnsi="宋体" w:cs="宋体" w:eastAsia="宋体" w:hint="default"/>
                            <w:sz w:val="18"/>
                            <w:szCs w:val="18"/>
                          </w:rPr>
                          <w:t>（公告编号</w:t>
                        </w:r>
                        <w:r>
                          <w:rPr>
                            <w:rFonts w:ascii="宋体" w:hAnsi="宋体" w:cs="宋体" w:eastAsia="宋体" w:hint="default"/>
                            <w:spacing w:val="-18"/>
                            <w:sz w:val="18"/>
                            <w:szCs w:val="18"/>
                          </w:rPr>
                          <w:t>：</w:t>
                        </w:r>
                        <w:r>
                          <w:rPr>
                            <w:rFonts w:ascii="宋体" w:hAnsi="宋体" w:cs="宋体" w:eastAsia="宋体" w:hint="default"/>
                            <w:sz w:val="18"/>
                            <w:szCs w:val="18"/>
                          </w:rPr>
                          <w:t>2018-012</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年第二次 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11.54%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在巨潮网上披露</w:t>
                        </w:r>
                        <w:r>
                          <w:rPr>
                            <w:rFonts w:ascii="宋体" w:hAnsi="宋体" w:cs="宋体" w:eastAsia="宋体" w:hint="default"/>
                            <w:spacing w:val="-81"/>
                            <w:sz w:val="18"/>
                            <w:szCs w:val="18"/>
                          </w:rPr>
                          <w:t>的</w:t>
                        </w: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第</w:t>
                        </w:r>
                        <w:r>
                          <w:rPr>
                            <w:rFonts w:ascii="宋体" w:hAnsi="宋体" w:cs="宋体" w:eastAsia="宋体" w:hint="default"/>
                            <w:sz w:val="18"/>
                            <w:szCs w:val="18"/>
                          </w:rPr>
                          <w:t>二次临时股</w:t>
                        </w:r>
                        <w:r>
                          <w:rPr>
                            <w:rFonts w:ascii="宋体" w:hAnsi="宋体" w:cs="宋体" w:eastAsia="宋体" w:hint="default"/>
                            <w:sz w:val="18"/>
                            <w:szCs w:val="18"/>
                          </w:rPr>
                          <w:t> 东大会决议公告</w:t>
                        </w:r>
                        <w:r>
                          <w:rPr>
                            <w:rFonts w:ascii="宋体" w:hAnsi="宋体" w:cs="宋体" w:eastAsia="宋体" w:hint="default"/>
                            <w:spacing w:val="-108"/>
                            <w:sz w:val="18"/>
                            <w:szCs w:val="18"/>
                          </w:rPr>
                          <w:t>》</w:t>
                        </w:r>
                        <w:r>
                          <w:rPr>
                            <w:rFonts w:ascii="宋体" w:hAnsi="宋体" w:cs="宋体" w:eastAsia="宋体" w:hint="default"/>
                            <w:sz w:val="18"/>
                            <w:szCs w:val="18"/>
                          </w:rPr>
                          <w:t>（公告编号</w:t>
                        </w:r>
                        <w:r>
                          <w:rPr>
                            <w:rFonts w:ascii="宋体" w:hAnsi="宋体" w:cs="宋体" w:eastAsia="宋体" w:hint="default"/>
                            <w:spacing w:val="-18"/>
                            <w:sz w:val="18"/>
                            <w:szCs w:val="18"/>
                          </w:rPr>
                          <w:t>：</w:t>
                        </w:r>
                        <w:r>
                          <w:rPr>
                            <w:rFonts w:ascii="宋体" w:hAnsi="宋体" w:cs="宋体" w:eastAsia="宋体" w:hint="default"/>
                            <w:sz w:val="18"/>
                            <w:szCs w:val="18"/>
                          </w:rPr>
                          <w:t>2018-020</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年第三次 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28.98%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在巨潮网上披露</w:t>
                        </w:r>
                        <w:r>
                          <w:rPr>
                            <w:rFonts w:ascii="宋体" w:hAnsi="宋体" w:cs="宋体" w:eastAsia="宋体" w:hint="default"/>
                            <w:spacing w:val="-81"/>
                            <w:sz w:val="18"/>
                            <w:szCs w:val="18"/>
                          </w:rPr>
                          <w:t>的</w:t>
                        </w: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第</w:t>
                        </w:r>
                        <w:r>
                          <w:rPr>
                            <w:rFonts w:ascii="宋体" w:hAnsi="宋体" w:cs="宋体" w:eastAsia="宋体" w:hint="default"/>
                            <w:sz w:val="18"/>
                            <w:szCs w:val="18"/>
                          </w:rPr>
                          <w:t>三次临时股</w:t>
                        </w:r>
                        <w:r>
                          <w:rPr>
                            <w:rFonts w:ascii="宋体" w:hAnsi="宋体" w:cs="宋体" w:eastAsia="宋体" w:hint="default"/>
                            <w:sz w:val="18"/>
                            <w:szCs w:val="18"/>
                          </w:rPr>
                          <w:t> 东大会决议公告</w:t>
                        </w:r>
                        <w:r>
                          <w:rPr>
                            <w:rFonts w:ascii="宋体" w:hAnsi="宋体" w:cs="宋体" w:eastAsia="宋体" w:hint="default"/>
                            <w:spacing w:val="-108"/>
                            <w:sz w:val="18"/>
                            <w:szCs w:val="18"/>
                          </w:rPr>
                          <w:t>》</w:t>
                        </w:r>
                        <w:r>
                          <w:rPr>
                            <w:rFonts w:ascii="宋体" w:hAnsi="宋体" w:cs="宋体" w:eastAsia="宋体" w:hint="default"/>
                            <w:sz w:val="18"/>
                            <w:szCs w:val="18"/>
                          </w:rPr>
                          <w:t>（公告编号</w:t>
                        </w:r>
                        <w:r>
                          <w:rPr>
                            <w:rFonts w:ascii="宋体" w:hAnsi="宋体" w:cs="宋体" w:eastAsia="宋体" w:hint="default"/>
                            <w:spacing w:val="-18"/>
                            <w:sz w:val="18"/>
                            <w:szCs w:val="18"/>
                          </w:rPr>
                          <w:t>：</w:t>
                        </w:r>
                        <w:r>
                          <w:rPr>
                            <w:rFonts w:ascii="宋体" w:hAnsi="宋体" w:cs="宋体" w:eastAsia="宋体" w:hint="default"/>
                            <w:sz w:val="18"/>
                            <w:szCs w:val="18"/>
                          </w:rPr>
                          <w:t>2018-049</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年度股东 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13.63%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在巨潮网上披露</w:t>
                        </w:r>
                        <w:r>
                          <w:rPr>
                            <w:rFonts w:ascii="宋体" w:hAnsi="宋体" w:cs="宋体" w:eastAsia="宋体" w:hint="default"/>
                            <w:spacing w:val="-81"/>
                            <w:sz w:val="18"/>
                            <w:szCs w:val="18"/>
                          </w:rPr>
                          <w:t>的</w:t>
                        </w: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股东大会决</w:t>
                        </w:r>
                        <w:r>
                          <w:rPr>
                            <w:rFonts w:ascii="宋体" w:hAnsi="宋体" w:cs="宋体" w:eastAsia="宋体" w:hint="default"/>
                            <w:sz w:val="18"/>
                            <w:szCs w:val="18"/>
                          </w:rPr>
                          <w:t> 议公告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2018-055</w:t>
                        </w:r>
                        <w:r>
                          <w:rPr>
                            <w:rFonts w:ascii="宋体" w:hAnsi="宋体" w:cs="宋体" w:eastAsia="宋体" w:hint="default"/>
                            <w:sz w:val="18"/>
                            <w:szCs w:val="18"/>
                          </w:rPr>
                          <w:t>）</w:t>
                        </w:r>
                      </w:p>
                    </w:tc>
                  </w:tr>
                  <w:tr>
                    <w:trPr>
                      <w:trHeight w:val="715"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年第四次 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13.41%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在巨潮网上披露</w:t>
                        </w:r>
                        <w:r>
                          <w:rPr>
                            <w:rFonts w:ascii="宋体" w:hAnsi="宋体" w:cs="宋体" w:eastAsia="宋体" w:hint="default"/>
                            <w:spacing w:val="-81"/>
                            <w:sz w:val="18"/>
                            <w:szCs w:val="18"/>
                          </w:rPr>
                          <w:t>的</w:t>
                        </w: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第</w:t>
                        </w:r>
                        <w:r>
                          <w:rPr>
                            <w:rFonts w:ascii="宋体" w:hAnsi="宋体" w:cs="宋体" w:eastAsia="宋体" w:hint="default"/>
                            <w:sz w:val="18"/>
                            <w:szCs w:val="18"/>
                          </w:rPr>
                          <w:t>四次临时股</w:t>
                        </w:r>
                        <w:r>
                          <w:rPr>
                            <w:rFonts w:ascii="宋体" w:hAnsi="宋体" w:cs="宋体" w:eastAsia="宋体" w:hint="default"/>
                            <w:sz w:val="18"/>
                            <w:szCs w:val="18"/>
                          </w:rPr>
                          <w:t> 东大会决议公告</w:t>
                        </w:r>
                        <w:r>
                          <w:rPr>
                            <w:rFonts w:ascii="宋体" w:hAnsi="宋体" w:cs="宋体" w:eastAsia="宋体" w:hint="default"/>
                            <w:spacing w:val="-108"/>
                            <w:sz w:val="18"/>
                            <w:szCs w:val="18"/>
                          </w:rPr>
                          <w:t>》</w:t>
                        </w:r>
                        <w:r>
                          <w:rPr>
                            <w:rFonts w:ascii="宋体" w:hAnsi="宋体" w:cs="宋体" w:eastAsia="宋体" w:hint="default"/>
                            <w:sz w:val="18"/>
                            <w:szCs w:val="18"/>
                          </w:rPr>
                          <w:t>（公告编号</w:t>
                        </w:r>
                        <w:r>
                          <w:rPr>
                            <w:rFonts w:ascii="宋体" w:hAnsi="宋体" w:cs="宋体" w:eastAsia="宋体" w:hint="default"/>
                            <w:spacing w:val="-18"/>
                            <w:sz w:val="18"/>
                            <w:szCs w:val="18"/>
                          </w:rPr>
                          <w:t>：</w:t>
                        </w:r>
                        <w:r>
                          <w:rPr>
                            <w:rFonts w:ascii="宋体" w:hAnsi="宋体" w:cs="宋体" w:eastAsia="宋体" w:hint="default"/>
                            <w:sz w:val="18"/>
                            <w:szCs w:val="18"/>
                          </w:rPr>
                          <w:t>2018-104</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0" w:right="121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0" w:right="121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21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8"/>
          <w:szCs w:val="28"/>
        </w:rPr>
      </w:pPr>
    </w:p>
    <w:p>
      <w:pPr>
        <w:pStyle w:val="Heading4"/>
        <w:spacing w:line="240" w:lineRule="auto" w:before="35"/>
        <w:ind w:right="0"/>
        <w:jc w:val="left"/>
        <w:rPr>
          <w:b w:val="0"/>
          <w:bCs w:val="0"/>
        </w:rPr>
      </w:pPr>
      <w:bookmarkStart w:name="2、表决权恢复的优先股股东请求召开临时股东大会" w:id="142"/>
      <w:bookmarkEnd w:id="142"/>
      <w:r>
        <w:rPr>
          <w:b w:val="0"/>
          <w:bCs w:val="0"/>
        </w:rPr>
      </w:r>
      <w:r>
        <w:rPr>
          <w:rFonts w:ascii="宋体" w:hAnsi="宋体" w:cs="宋体" w:eastAsia="宋体" w:hint="default"/>
        </w:rPr>
        <w:t>2</w:t>
      </w:r>
      <w:r>
        <w:rPr/>
        <w:t>、表决权恢复的优先股股东请求召开临时股东大会</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spacing w:line="506" w:lineRule="auto" w:before="0"/>
        <w:ind w:left="154" w:right="613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五、报告期内独立董事履行职责的情况" w:id="143"/>
      <w:bookmarkEnd w:id="143"/>
      <w:r>
        <w:rPr>
          <w:rFonts w:ascii="宋体" w:hAnsi="宋体" w:cs="宋体" w:eastAsia="宋体" w:hint="default"/>
          <w:sz w:val="21"/>
          <w:szCs w:val="21"/>
        </w:rPr>
      </w:r>
      <w:r>
        <w:rPr>
          <w:rFonts w:ascii="宋体" w:hAnsi="宋体" w:cs="宋体" w:eastAsia="宋体" w:hint="default"/>
          <w:b/>
          <w:bCs/>
          <w:w w:val="95"/>
          <w:sz w:val="24"/>
          <w:szCs w:val="24"/>
        </w:rPr>
        <w:t>五、报告期内独立董事履行职责的情况</w:t>
      </w:r>
      <w:r>
        <w:rPr>
          <w:rFonts w:ascii="宋体" w:hAnsi="宋体" w:cs="宋体" w:eastAsia="宋体" w:hint="default"/>
          <w:b/>
          <w:bCs/>
          <w:spacing w:val="73"/>
          <w:w w:val="95"/>
          <w:sz w:val="24"/>
          <w:szCs w:val="24"/>
        </w:rPr>
        <w:t> </w:t>
      </w:r>
      <w:bookmarkStart w:name="1、独立董事出席董事会及股东大会的情况" w:id="144"/>
      <w:bookmarkEnd w:id="144"/>
      <w:r>
        <w:rPr>
          <w:rFonts w:ascii="宋体" w:hAnsi="宋体" w:cs="宋体" w:eastAsia="宋体" w:hint="default"/>
          <w:b/>
          <w:bCs/>
          <w:spacing w:val="73"/>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1"/>
        <w:rPr>
          <w:rFonts w:ascii="宋体" w:hAnsi="宋体" w:cs="宋体" w:eastAsia="宋体" w:hint="default"/>
          <w:b/>
          <w:bCs/>
          <w:sz w:val="9"/>
          <w:szCs w:val="9"/>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郭全中</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5" w:right="0"/>
              <w:jc w:val="left"/>
              <w:rPr>
                <w:rFonts w:ascii="宋体" w:hAnsi="宋体" w:cs="宋体" w:eastAsia="宋体" w:hint="default"/>
                <w:sz w:val="18"/>
                <w:szCs w:val="18"/>
              </w:rPr>
            </w:pPr>
            <w:r>
              <w:rPr>
                <w:rFonts w:ascii="宋体"/>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1" w:right="0"/>
              <w:jc w:val="left"/>
              <w:rPr>
                <w:rFonts w:ascii="宋体" w:hAnsi="宋体" w:cs="宋体" w:eastAsia="宋体" w:hint="default"/>
                <w:sz w:val="18"/>
                <w:szCs w:val="18"/>
              </w:rPr>
            </w:pPr>
            <w:r>
              <w:rPr>
                <w:rFonts w:ascii="宋体"/>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张会丽</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5" w:right="0"/>
              <w:jc w:val="left"/>
              <w:rPr>
                <w:rFonts w:ascii="宋体" w:hAnsi="宋体" w:cs="宋体" w:eastAsia="宋体" w:hint="default"/>
                <w:sz w:val="18"/>
                <w:szCs w:val="18"/>
              </w:rPr>
            </w:pPr>
            <w:r>
              <w:rPr>
                <w:rFonts w:ascii="宋体"/>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1" w:right="0"/>
              <w:jc w:val="left"/>
              <w:rPr>
                <w:rFonts w:ascii="宋体" w:hAnsi="宋体" w:cs="宋体" w:eastAsia="宋体" w:hint="default"/>
                <w:sz w:val="18"/>
                <w:szCs w:val="18"/>
              </w:rPr>
            </w:pPr>
            <w:r>
              <w:rPr>
                <w:rFonts w:ascii="宋体"/>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施海娜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5" w:right="0"/>
              <w:jc w:val="left"/>
              <w:rPr>
                <w:rFonts w:ascii="宋体" w:hAnsi="宋体" w:cs="宋体" w:eastAsia="宋体" w:hint="default"/>
                <w:sz w:val="18"/>
                <w:szCs w:val="18"/>
              </w:rPr>
            </w:pPr>
            <w:r>
              <w:rPr>
                <w:rFonts w:ascii="宋体"/>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1" w:right="0"/>
              <w:jc w:val="left"/>
              <w:rPr>
                <w:rFonts w:ascii="宋体" w:hAnsi="宋体" w:cs="宋体" w:eastAsia="宋体" w:hint="default"/>
                <w:sz w:val="18"/>
                <w:szCs w:val="18"/>
              </w:rPr>
            </w:pPr>
            <w:r>
              <w:rPr>
                <w:rFonts w:ascii="宋体"/>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w:t>
            </w:r>
          </w:p>
        </w:tc>
      </w:tr>
    </w:tbl>
    <w:p>
      <w:pPr>
        <w:spacing w:line="240" w:lineRule="auto" w:before="3"/>
        <w:rPr>
          <w:rFonts w:ascii="宋体" w:hAnsi="宋体" w:cs="宋体" w:eastAsia="宋体" w:hint="default"/>
          <w:b/>
          <w:bCs/>
          <w:sz w:val="19"/>
          <w:szCs w:val="19"/>
        </w:rPr>
      </w:pPr>
    </w:p>
    <w:p>
      <w:pPr>
        <w:spacing w:line="669" w:lineRule="auto" w:before="35"/>
        <w:ind w:left="154" w:right="6641" w:firstLine="0"/>
        <w:jc w:val="left"/>
        <w:rPr>
          <w:rFonts w:ascii="宋体" w:hAnsi="宋体" w:cs="宋体" w:eastAsia="宋体" w:hint="default"/>
          <w:sz w:val="21"/>
          <w:szCs w:val="21"/>
        </w:rPr>
      </w:pPr>
      <w:bookmarkStart w:name="2、独立董事对公司有关事项提出异议的情况" w:id="145"/>
      <w:bookmarkEnd w:id="145"/>
      <w:r>
        <w:rPr/>
      </w:r>
      <w:r>
        <w:rPr>
          <w:rFonts w:ascii="宋体" w:hAnsi="宋体" w:cs="宋体" w:eastAsia="宋体"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z w:val="21"/>
          <w:szCs w:val="21"/>
        </w:rPr>
        <w:t>独立董事对公司有关事项是否提出异议</w:t>
      </w:r>
    </w:p>
    <w:p>
      <w:pPr>
        <w:spacing w:after="0" w:line="669"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53" w:lineRule="auto"/>
        <w:ind w:right="6342"/>
        <w:jc w:val="left"/>
      </w:pPr>
      <w:r>
        <w:rPr/>
        <w:t>□ 是 √ 否 报告期内独立董事对公司有关事项未提出异议。</w:t>
      </w:r>
    </w:p>
    <w:p>
      <w:pPr>
        <w:pStyle w:val="Heading4"/>
        <w:spacing w:line="240" w:lineRule="auto" w:before="166"/>
        <w:ind w:right="0"/>
        <w:jc w:val="left"/>
        <w:rPr>
          <w:b w:val="0"/>
          <w:bCs w:val="0"/>
        </w:rPr>
      </w:pPr>
      <w:bookmarkStart w:name="3、独立董事履行职责的其他说明" w:id="146"/>
      <w:bookmarkEnd w:id="146"/>
      <w:r>
        <w:rPr>
          <w:b w:val="0"/>
          <w:bCs w:val="0"/>
        </w:rPr>
      </w:r>
      <w:r>
        <w:rPr>
          <w:rFonts w:ascii="宋体" w:hAnsi="宋体" w:cs="宋体" w:eastAsia="宋体" w:hint="default"/>
        </w:rPr>
        <w:t>3</w:t>
      </w:r>
      <w:r>
        <w:rPr/>
        <w:t>、独立董事履行职责的其他说明</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独立董事对公司有关建议是否被采纳</w:t>
      </w:r>
    </w:p>
    <w:p>
      <w:pPr>
        <w:spacing w:line="240" w:lineRule="auto" w:before="10"/>
        <w:rPr>
          <w:rFonts w:ascii="宋体" w:hAnsi="宋体" w:cs="宋体" w:eastAsia="宋体" w:hint="default"/>
          <w:sz w:val="18"/>
          <w:szCs w:val="18"/>
        </w:rPr>
      </w:pPr>
    </w:p>
    <w:p>
      <w:pPr>
        <w:pStyle w:val="BodyText"/>
        <w:spacing w:line="453" w:lineRule="auto"/>
        <w:ind w:right="6132"/>
        <w:jc w:val="left"/>
      </w:pPr>
      <w:r>
        <w:rPr/>
        <w:t>√ 是 □ 否 独立董事对公司有关建议被采纳或未被采纳的说明</w:t>
      </w:r>
    </w:p>
    <w:p>
      <w:pPr>
        <w:pStyle w:val="BodyText"/>
        <w:spacing w:line="420" w:lineRule="auto" w:before="58"/>
        <w:ind w:right="1131" w:firstLine="420"/>
        <w:jc w:val="both"/>
      </w:pPr>
      <w:r>
        <w:rPr/>
        <w:t>（</w:t>
      </w:r>
      <w:r>
        <w:rPr>
          <w:rFonts w:ascii="宋体" w:hAnsi="宋体" w:cs="宋体" w:eastAsia="宋体" w:hint="default"/>
        </w:rPr>
        <w:t>1</w:t>
      </w:r>
      <w:r>
        <w:rPr/>
        <w:t>）就公司推进文创项目，独立董事建议公司管理层梳理自身的核心竞争力及外部可借用的资源， </w:t>
      </w:r>
      <w:r>
        <w:rPr>
          <w:spacing w:val="-1"/>
        </w:rPr>
        <w:t>在此基础上去构建正确的商业判断，即以此确定公司以何种模式运营文创项目、以何种激励机制去稳定项</w:t>
      </w:r>
      <w:r>
        <w:rPr>
          <w:spacing w:val="-81"/>
        </w:rPr>
        <w:t> </w:t>
      </w:r>
      <w:r>
        <w:rPr>
          <w:spacing w:val="-81"/>
        </w:rPr>
      </w:r>
      <w:r>
        <w:rPr/>
        <w:t>目团队等。</w:t>
      </w:r>
    </w:p>
    <w:p>
      <w:pPr>
        <w:pStyle w:val="BodyText"/>
        <w:spacing w:line="420" w:lineRule="auto" w:before="47"/>
        <w:ind w:right="1131" w:firstLine="420"/>
        <w:jc w:val="both"/>
      </w:pPr>
      <w:r>
        <w:rPr>
          <w:spacing w:val="-1"/>
        </w:rPr>
        <w:t>公司采纳了独立董事的建议，公司在探索、推进文创项目的过程中，积极利用公司核心优势及外部优</w:t>
      </w:r>
      <w:r>
        <w:rPr/>
        <w:t> 势资源，积极与政府部门保持沟通、合作。</w:t>
      </w:r>
    </w:p>
    <w:p>
      <w:pPr>
        <w:pStyle w:val="BodyText"/>
        <w:spacing w:line="420" w:lineRule="auto" w:before="47"/>
        <w:ind w:right="1140" w:firstLine="420"/>
        <w:jc w:val="both"/>
      </w:pPr>
      <w:r>
        <w:rPr/>
        <w:t>（</w:t>
      </w:r>
      <w:r>
        <w:rPr>
          <w:rFonts w:ascii="宋体" w:hAnsi="宋体" w:cs="宋体" w:eastAsia="宋体" w:hint="default"/>
        </w:rPr>
        <w:t>2</w:t>
      </w:r>
      <w:r>
        <w:rPr/>
        <w:t>）就公司</w:t>
      </w:r>
      <w:r>
        <w:rPr>
          <w:rFonts w:ascii="宋体" w:hAnsi="宋体" w:cs="宋体" w:eastAsia="宋体" w:hint="default"/>
        </w:rPr>
        <w:t>2018</w:t>
      </w:r>
      <w:r>
        <w:rPr/>
        <w:t>年的营业成本较上年同期大幅上升，经营性现金流较上年同期严重下滑，独立董事 认为，需加强对子公司的管控，要求子公司明确支出、合理支出，及时催收应收账款。</w:t>
      </w:r>
    </w:p>
    <w:p>
      <w:pPr>
        <w:pStyle w:val="BodyText"/>
        <w:spacing w:line="420" w:lineRule="auto" w:before="48"/>
        <w:ind w:right="1110" w:firstLine="420"/>
        <w:jc w:val="both"/>
      </w:pPr>
      <w:r>
        <w:rPr/>
        <w:t>公司采纳了独立董事的建议，由运营管理部分派人员负责地区管理工作，印发下达严控成本的通知， 加大对各子公司的管控，并由财务部下发催收应收账款的通知，加大对应收账款的收回力度。</w:t>
      </w:r>
    </w:p>
    <w:p>
      <w:pPr>
        <w:pStyle w:val="Heading2"/>
        <w:spacing w:line="240" w:lineRule="auto" w:before="172"/>
        <w:ind w:right="0"/>
        <w:jc w:val="left"/>
        <w:rPr>
          <w:b w:val="0"/>
          <w:bCs w:val="0"/>
        </w:rPr>
      </w:pPr>
      <w:bookmarkStart w:name="六、董事会下设专门委员会在报告期内履行职责情况" w:id="147"/>
      <w:bookmarkEnd w:id="147"/>
      <w:r>
        <w:rPr>
          <w:b w:val="0"/>
          <w:bCs w:val="0"/>
        </w:rPr>
      </w:r>
      <w:r>
        <w:rPr/>
        <w:t>六、董事会下设专门委员会在报告期内履行职责情况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0"/>
        <w:ind w:left="680" w:right="0"/>
        <w:jc w:val="left"/>
      </w:pPr>
      <w:r>
        <w:rPr>
          <w:rFonts w:ascii="宋体" w:hAnsi="宋体" w:cs="宋体" w:eastAsia="宋体" w:hint="default"/>
        </w:rPr>
        <w:t>1</w:t>
      </w:r>
      <w:r>
        <w:rPr/>
        <w:t>．提名委员会审议通过了“关于增补董事的议案”。</w:t>
      </w:r>
    </w:p>
    <w:p>
      <w:pPr>
        <w:spacing w:line="240" w:lineRule="auto" w:before="9"/>
        <w:rPr>
          <w:rFonts w:ascii="宋体" w:hAnsi="宋体" w:cs="宋体" w:eastAsia="宋体" w:hint="default"/>
          <w:sz w:val="15"/>
          <w:szCs w:val="15"/>
        </w:rPr>
      </w:pPr>
    </w:p>
    <w:p>
      <w:pPr>
        <w:pStyle w:val="BodyText"/>
        <w:spacing w:line="420" w:lineRule="auto"/>
        <w:ind w:right="1130" w:firstLine="526"/>
        <w:jc w:val="both"/>
      </w:pPr>
      <w:r>
        <w:rPr>
          <w:rFonts w:ascii="宋体" w:hAnsi="宋体" w:cs="宋体" w:eastAsia="宋体" w:hint="default"/>
          <w:spacing w:val="-1"/>
        </w:rPr>
        <w:t>2</w:t>
      </w:r>
      <w:r>
        <w:rPr>
          <w:spacing w:val="-1"/>
        </w:rPr>
        <w:t>．审计委员会积极开展</w:t>
      </w:r>
      <w:r>
        <w:rPr>
          <w:rFonts w:ascii="宋体" w:hAnsi="宋体" w:cs="宋体" w:eastAsia="宋体" w:hint="default"/>
          <w:spacing w:val="-1"/>
        </w:rPr>
        <w:t>2017</w:t>
      </w:r>
      <w:r>
        <w:rPr>
          <w:spacing w:val="-1"/>
        </w:rPr>
        <w:t>年报相关工作，与年审注册会计师协商确定年度审计工作时间安排，沟</w:t>
      </w:r>
      <w:r>
        <w:rPr/>
        <w:t> </w:t>
      </w:r>
      <w:r>
        <w:rPr>
          <w:spacing w:val="-1"/>
        </w:rPr>
        <w:t>通审计重点，督促会计师事务所在约定时限内提交审计报告，对公司编制的财务报表发表意见，并向董事</w:t>
      </w:r>
      <w:r>
        <w:rPr>
          <w:spacing w:val="-83"/>
        </w:rPr>
        <w:t> </w:t>
      </w:r>
      <w:r>
        <w:rPr>
          <w:spacing w:val="-83"/>
        </w:rPr>
      </w:r>
      <w:r>
        <w:rPr>
          <w:spacing w:val="-1"/>
        </w:rPr>
        <w:t>会提交了会计师事务所从事</w:t>
      </w:r>
      <w:r>
        <w:rPr>
          <w:rFonts w:ascii="宋体" w:hAnsi="宋体" w:cs="宋体" w:eastAsia="宋体" w:hint="default"/>
          <w:spacing w:val="-1"/>
        </w:rPr>
        <w:t>2017</w:t>
      </w:r>
      <w:r>
        <w:rPr>
          <w:spacing w:val="-1"/>
        </w:rPr>
        <w:t>年度公司审计工作的总结报告和</w:t>
      </w:r>
      <w:r>
        <w:rPr>
          <w:rFonts w:ascii="宋体" w:hAnsi="宋体" w:cs="宋体" w:eastAsia="宋体" w:hint="default"/>
          <w:spacing w:val="-1"/>
        </w:rPr>
        <w:t>2018</w:t>
      </w:r>
      <w:r>
        <w:rPr>
          <w:spacing w:val="-1"/>
        </w:rPr>
        <w:t>年度续聘会计师事务所的决议，在公</w:t>
      </w:r>
      <w:r>
        <w:rPr>
          <w:spacing w:val="-78"/>
        </w:rPr>
        <w:t> </w:t>
      </w:r>
      <w:r>
        <w:rPr>
          <w:spacing w:val="-78"/>
        </w:rPr>
      </w:r>
      <w:r>
        <w:rPr>
          <w:spacing w:val="-1"/>
        </w:rPr>
        <w:t>司年报审计过程中发挥了积极的作用。同时，审计委员会审议通过了“2018年内部审计工作计划”，审核</w:t>
      </w:r>
      <w:r>
        <w:rPr>
          <w:spacing w:val="-82"/>
        </w:rPr>
        <w:t> </w:t>
      </w:r>
      <w:r>
        <w:rPr>
          <w:spacing w:val="-82"/>
        </w:rPr>
      </w:r>
      <w:r>
        <w:rPr/>
        <w:t>了公司的</w:t>
      </w:r>
      <w:r>
        <w:rPr>
          <w:rFonts w:ascii="宋体" w:hAnsi="宋体" w:cs="宋体" w:eastAsia="宋体" w:hint="default"/>
        </w:rPr>
        <w:t>2018</w:t>
      </w:r>
      <w:r>
        <w:rPr/>
        <w:t>年第一季度财务报表、</w:t>
      </w:r>
      <w:r>
        <w:rPr>
          <w:rFonts w:ascii="宋体" w:hAnsi="宋体" w:cs="宋体" w:eastAsia="宋体" w:hint="default"/>
        </w:rPr>
        <w:t>2018</w:t>
      </w:r>
      <w:r>
        <w:rPr/>
        <w:t>年半年度财务报表及</w:t>
      </w:r>
      <w:r>
        <w:rPr>
          <w:rFonts w:ascii="宋体" w:hAnsi="宋体" w:cs="宋体" w:eastAsia="宋体" w:hint="default"/>
        </w:rPr>
        <w:t>2018</w:t>
      </w:r>
      <w:r>
        <w:rPr/>
        <w:t>年第三季度财务报表。</w:t>
      </w:r>
    </w:p>
    <w:p>
      <w:pPr>
        <w:pStyle w:val="BodyText"/>
        <w:spacing w:line="420" w:lineRule="auto" w:before="47"/>
        <w:ind w:right="1129" w:firstLine="526"/>
        <w:jc w:val="both"/>
      </w:pPr>
      <w:r>
        <w:rPr>
          <w:rFonts w:ascii="宋体" w:hAnsi="宋体" w:cs="宋体" w:eastAsia="宋体" w:hint="default"/>
          <w:spacing w:val="-5"/>
        </w:rPr>
        <w:t>3</w:t>
      </w:r>
      <w:r>
        <w:rPr>
          <w:spacing w:val="-5"/>
        </w:rPr>
        <w:t>．薪酬与考核委员会审议通过了“关于</w:t>
      </w:r>
      <w:r>
        <w:rPr>
          <w:rFonts w:ascii="宋体" w:hAnsi="宋体" w:cs="宋体" w:eastAsia="宋体" w:hint="default"/>
          <w:spacing w:val="-5"/>
        </w:rPr>
        <w:t>2017</w:t>
      </w:r>
      <w:r>
        <w:rPr>
          <w:spacing w:val="-5"/>
        </w:rPr>
        <w:t>年度经营班子目标责任考核的议案”、“关于签订《</w:t>
      </w:r>
      <w:r>
        <w:rPr>
          <w:rFonts w:ascii="宋体" w:hAnsi="宋体" w:cs="宋体" w:eastAsia="宋体" w:hint="default"/>
          <w:spacing w:val="-5"/>
        </w:rPr>
        <w:t>2018</w:t>
      </w:r>
      <w:r>
        <w:rPr>
          <w:rFonts w:ascii="宋体" w:hAnsi="宋体" w:cs="宋体" w:eastAsia="宋体" w:hint="default"/>
        </w:rPr>
        <w:t> </w:t>
      </w:r>
      <w:r>
        <w:rPr>
          <w:spacing w:val="-1"/>
        </w:rPr>
        <w:t>年度经营班子目标管理责任书》的议案”，并对公司董事、监事和高级管理人员在</w:t>
      </w:r>
      <w:r>
        <w:rPr>
          <w:rFonts w:ascii="宋体" w:hAnsi="宋体" w:cs="宋体" w:eastAsia="宋体" w:hint="default"/>
          <w:spacing w:val="-1"/>
        </w:rPr>
        <w:t>2017</w:t>
      </w:r>
      <w:r>
        <w:rPr>
          <w:spacing w:val="-1"/>
        </w:rPr>
        <w:t>年报中所披露薪酬</w:t>
      </w:r>
      <w:r>
        <w:rPr>
          <w:spacing w:val="-82"/>
        </w:rPr>
        <w:t> </w:t>
      </w:r>
      <w:r>
        <w:rPr>
          <w:spacing w:val="-82"/>
        </w:rPr>
      </w:r>
      <w:r>
        <w:rPr/>
        <w:t>进行了审核。</w:t>
      </w:r>
    </w:p>
    <w:p>
      <w:pPr>
        <w:pStyle w:val="BodyText"/>
        <w:spacing w:line="240" w:lineRule="auto" w:before="47"/>
        <w:ind w:left="680" w:right="0"/>
        <w:jc w:val="left"/>
      </w:pPr>
      <w:r>
        <w:rPr>
          <w:rFonts w:ascii="宋体" w:hAnsi="宋体" w:cs="宋体" w:eastAsia="宋体" w:hint="default"/>
        </w:rPr>
        <w:t>4</w:t>
      </w:r>
      <w:r>
        <w:rPr/>
        <w:t>．战略发展委员会审议通过了“公司发展战略规划纲要”。</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bookmarkStart w:name="七、监事会工作情况" w:id="148"/>
      <w:bookmarkEnd w:id="148"/>
      <w:r>
        <w:rPr>
          <w:b w:val="0"/>
          <w:bCs w:val="0"/>
        </w:rPr>
      </w:r>
      <w:r>
        <w:rPr/>
        <w:t>七、监事会工作情况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0"/>
        <w:ind w:right="0"/>
        <w:jc w:val="left"/>
      </w:pPr>
      <w:r>
        <w:rPr/>
        <w:t>监事会在报告期内的监督活动中发现公司是否存在风险</w:t>
      </w:r>
    </w:p>
    <w:p>
      <w:pPr>
        <w:spacing w:line="240" w:lineRule="auto" w:before="10"/>
        <w:rPr>
          <w:rFonts w:ascii="宋体" w:hAnsi="宋体" w:cs="宋体" w:eastAsia="宋体" w:hint="default"/>
          <w:sz w:val="18"/>
          <w:szCs w:val="18"/>
        </w:rPr>
      </w:pPr>
    </w:p>
    <w:p>
      <w:pPr>
        <w:pStyle w:val="BodyText"/>
        <w:spacing w:line="456" w:lineRule="auto"/>
        <w:ind w:right="6132"/>
        <w:jc w:val="left"/>
      </w:pPr>
      <w:r>
        <w:rPr/>
        <w:t>□ 是 √ 否 监事会对报告期内的监督事项无异议。</w:t>
      </w:r>
    </w:p>
    <w:p>
      <w:pPr>
        <w:pStyle w:val="Heading2"/>
        <w:spacing w:line="240" w:lineRule="auto" w:before="139"/>
        <w:ind w:right="0"/>
        <w:jc w:val="left"/>
        <w:rPr>
          <w:b w:val="0"/>
          <w:bCs w:val="0"/>
        </w:rPr>
      </w:pPr>
      <w:bookmarkStart w:name="八、高级管理人员的考评及激励情况" w:id="149"/>
      <w:bookmarkEnd w:id="149"/>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31"/>
          <w:szCs w:val="31"/>
        </w:rPr>
      </w:pPr>
    </w:p>
    <w:p>
      <w:pPr>
        <w:pStyle w:val="BodyText"/>
        <w:spacing w:line="348" w:lineRule="auto"/>
        <w:ind w:right="1131" w:firstLine="420"/>
        <w:jc w:val="both"/>
      </w:pPr>
      <w:r>
        <w:rPr>
          <w:spacing w:val="-1"/>
        </w:rPr>
        <w:t>公司对高级管理人员实行年度目标管理责任制度，年初根据公司总体发展战略和年度经营目标确定目</w:t>
      </w:r>
      <w:r>
        <w:rPr/>
        <w:t> </w:t>
      </w:r>
      <w:r>
        <w:rPr>
          <w:spacing w:val="-1"/>
        </w:rPr>
        <w:t>标及具体的考核和奖惩办法，制定年度经营班子目标管理责任书，报经董事会批准后由董事会和经营班子</w:t>
      </w:r>
      <w:r>
        <w:rPr>
          <w:spacing w:val="-81"/>
        </w:rPr>
        <w:t> </w:t>
      </w:r>
      <w:r>
        <w:rPr>
          <w:spacing w:val="-81"/>
        </w:rPr>
      </w:r>
      <w:r>
        <w:rPr/>
        <w:t>签订年度经营班子目标管理责任书，并由经营班子组织实施。</w:t>
      </w:r>
    </w:p>
    <w:p>
      <w:pPr>
        <w:pStyle w:val="BodyText"/>
        <w:spacing w:line="348" w:lineRule="auto" w:before="31"/>
        <w:ind w:right="1110" w:firstLine="420"/>
        <w:jc w:val="both"/>
      </w:pPr>
      <w:r>
        <w:rPr>
          <w:spacing w:val="-1"/>
        </w:rPr>
        <w:t>公司对高级管理人员实行年薪制。年薪构成包括基本年薪和绩效薪资两部分，绩效薪资包括年度绩效</w:t>
      </w:r>
      <w:r>
        <w:rPr/>
        <w:t> </w:t>
      </w:r>
      <w:r>
        <w:rPr>
          <w:spacing w:val="-1"/>
        </w:rPr>
        <w:t>奖惩、专项效益奖惩、其他奖惩。绩效奖惩根据董事会批准的年度经营班子目标责任书约定和年度目标完</w:t>
      </w:r>
      <w:r>
        <w:rPr>
          <w:spacing w:val="-83"/>
        </w:rPr>
        <w:t> </w:t>
      </w:r>
      <w:r>
        <w:rPr>
          <w:spacing w:val="-83"/>
        </w:rPr>
      </w:r>
      <w:r>
        <w:rPr/>
        <w:t>成情况考核确定，考核依据为经会计师事务所审计的财务报告。年度绩效奖惩在董事会进行考核后实施。</w:t>
      </w:r>
    </w:p>
    <w:p>
      <w:pPr>
        <w:spacing w:line="240" w:lineRule="auto" w:before="10"/>
        <w:rPr>
          <w:rFonts w:ascii="宋体" w:hAnsi="宋体" w:cs="宋体" w:eastAsia="宋体" w:hint="default"/>
          <w:sz w:val="16"/>
          <w:szCs w:val="16"/>
        </w:rPr>
      </w:pPr>
    </w:p>
    <w:p>
      <w:pPr>
        <w:pStyle w:val="Heading2"/>
        <w:spacing w:line="240" w:lineRule="auto" w:before="0"/>
        <w:ind w:right="0"/>
        <w:jc w:val="left"/>
        <w:rPr>
          <w:b w:val="0"/>
          <w:bCs w:val="0"/>
        </w:rPr>
      </w:pPr>
      <w:bookmarkStart w:name="九、内部控制情况" w:id="150"/>
      <w:bookmarkEnd w:id="150"/>
      <w:r>
        <w:rPr>
          <w:b w:val="0"/>
          <w:bCs w:val="0"/>
        </w:rPr>
      </w:r>
      <w:r>
        <w:rPr/>
        <w:t>九、内部控制情况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51"/>
      <w:bookmarkEnd w:id="151"/>
      <w:r>
        <w:rPr>
          <w:b w:val="0"/>
          <w:bCs w:val="0"/>
        </w:rPr>
      </w:r>
      <w:r>
        <w:rPr>
          <w:rFonts w:ascii="宋体" w:hAnsi="宋体" w:cs="宋体" w:eastAsia="宋体" w:hint="default"/>
        </w:rPr>
        <w:t>1</w:t>
      </w:r>
      <w:r>
        <w:rPr/>
        <w:t>、报告期内发现的内部控制重大缺陷的具体情况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 是 □ 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0" w:right="1140" w:firstLine="0"/>
        <w:jc w:val="right"/>
        <w:rPr>
          <w:rFonts w:ascii="宋体" w:hAnsi="宋体" w:cs="宋体" w:eastAsia="宋体" w:hint="default"/>
          <w:sz w:val="18"/>
          <w:szCs w:val="18"/>
        </w:rPr>
      </w:pPr>
      <w:r>
        <w:rPr/>
        <w:pict>
          <v:shape style="position:absolute;margin-left:56.459999pt;margin-top:-56.298298pt;width:479.2pt;height:235.9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9"/>
                  </w:tblGrid>
                  <w:tr>
                    <w:trPr>
                      <w:trHeight w:val="401"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78" w:right="0"/>
                          <w:jc w:val="left"/>
                          <w:rPr>
                            <w:rFonts w:ascii="宋体" w:hAnsi="宋体" w:cs="宋体" w:eastAsia="宋体" w:hint="default"/>
                            <w:sz w:val="18"/>
                            <w:szCs w:val="18"/>
                          </w:rPr>
                        </w:pPr>
                        <w:r>
                          <w:rPr>
                            <w:rFonts w:ascii="宋体" w:hAnsi="宋体" w:cs="宋体" w:eastAsia="宋体" w:hint="default"/>
                            <w:sz w:val="18"/>
                            <w:szCs w:val="18"/>
                          </w:rPr>
                          <w:t>报告期内发现的内部控制重大缺陷的具体情况</w:t>
                        </w:r>
                      </w:p>
                    </w:tc>
                  </w:tr>
                  <w:tr>
                    <w:trPr>
                      <w:trHeight w:val="4307"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根据公司财务报告内部控制重大缺陷的认定情况，于内部控制评价报告基准日，不存在财务报告内部控制重大缺陷。 </w:t>
                        </w:r>
                        <w:r>
                          <w:rPr>
                            <w:rFonts w:ascii="宋体" w:hAnsi="宋体" w:cs="宋体" w:eastAsia="宋体" w:hint="default"/>
                            <w:spacing w:val="-1"/>
                            <w:sz w:val="18"/>
                            <w:szCs w:val="18"/>
                          </w:rPr>
                          <w:t>根据公司非财务报告内部控制重大缺陷认定情况，于内部控制评价报告基准日，公司发现以下非财务报告内部控制重大缺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8"/>
                            <w:sz w:val="18"/>
                            <w:szCs w:val="18"/>
                          </w:rPr>
                          <w:t>陷：公司</w:t>
                        </w:r>
                        <w:r>
                          <w:rPr>
                            <w:rFonts w:ascii="宋体" w:hAnsi="宋体" w:cs="宋体" w:eastAsia="宋体" w:hint="default"/>
                            <w:spacing w:val="-41"/>
                            <w:sz w:val="18"/>
                            <w:szCs w:val="18"/>
                          </w:rPr>
                          <w:t> </w:t>
                        </w:r>
                        <w:r>
                          <w:rPr>
                            <w:rFonts w:ascii="宋体" w:hAnsi="宋体" w:cs="宋体" w:eastAsia="宋体" w:hint="default"/>
                            <w:sz w:val="18"/>
                            <w:szCs w:val="18"/>
                          </w:rPr>
                          <w:t>2018</w:t>
                        </w:r>
                        <w:r>
                          <w:rPr>
                            <w:rFonts w:ascii="宋体" w:hAnsi="宋体" w:cs="宋体" w:eastAsia="宋体" w:hint="default"/>
                            <w:spacing w:val="-40"/>
                            <w:sz w:val="18"/>
                            <w:szCs w:val="18"/>
                          </w:rPr>
                          <w:t> </w:t>
                        </w:r>
                        <w:r>
                          <w:rPr>
                            <w:rFonts w:ascii="宋体" w:hAnsi="宋体" w:cs="宋体" w:eastAsia="宋体" w:hint="default"/>
                            <w:spacing w:val="-3"/>
                            <w:sz w:val="18"/>
                            <w:szCs w:val="18"/>
                          </w:rPr>
                          <w:t>年出现多项重大投资损失，其中包括对义乌商阜创赢投资中心（有限合伙）投资导致</w:t>
                        </w:r>
                        <w:r>
                          <w:rPr>
                            <w:rFonts w:ascii="宋体" w:hAnsi="宋体" w:cs="宋体" w:eastAsia="宋体" w:hint="default"/>
                            <w:spacing w:val="-40"/>
                            <w:sz w:val="18"/>
                            <w:szCs w:val="18"/>
                          </w:rPr>
                          <w:t> </w:t>
                        </w:r>
                        <w:r>
                          <w:rPr>
                            <w:rFonts w:ascii="宋体" w:hAnsi="宋体" w:cs="宋体" w:eastAsia="宋体" w:hint="default"/>
                            <w:sz w:val="18"/>
                            <w:szCs w:val="18"/>
                          </w:rPr>
                          <w:t>3.33</w:t>
                        </w:r>
                        <w:r>
                          <w:rPr>
                            <w:rFonts w:ascii="宋体" w:hAnsi="宋体" w:cs="宋体" w:eastAsia="宋体" w:hint="default"/>
                            <w:spacing w:val="-41"/>
                            <w:sz w:val="18"/>
                            <w:szCs w:val="18"/>
                          </w:rPr>
                          <w:t> </w:t>
                        </w:r>
                        <w:r>
                          <w:rPr>
                            <w:rFonts w:ascii="宋体" w:hAnsi="宋体" w:cs="宋体" w:eastAsia="宋体" w:hint="default"/>
                            <w:sz w:val="18"/>
                            <w:szCs w:val="18"/>
                          </w:rPr>
                          <w:t>亿元的重大损失</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对海南国文文化旅游产业投资基金（有限合伙）的投资导致大约</w:t>
                        </w:r>
                        <w:r>
                          <w:rPr>
                            <w:rFonts w:ascii="宋体" w:hAnsi="宋体" w:cs="宋体" w:eastAsia="宋体" w:hint="default"/>
                            <w:spacing w:val="-60"/>
                            <w:sz w:val="18"/>
                            <w:szCs w:val="18"/>
                          </w:rPr>
                          <w:t> </w:t>
                        </w:r>
                        <w:r>
                          <w:rPr>
                            <w:rFonts w:ascii="宋体" w:hAnsi="宋体" w:cs="宋体" w:eastAsia="宋体" w:hint="default"/>
                            <w:sz w:val="18"/>
                            <w:szCs w:val="18"/>
                          </w:rPr>
                          <w:t>10.00</w:t>
                        </w:r>
                        <w:r>
                          <w:rPr>
                            <w:rFonts w:ascii="宋体" w:hAnsi="宋体" w:cs="宋体" w:eastAsia="宋体" w:hint="default"/>
                            <w:spacing w:val="-61"/>
                            <w:sz w:val="18"/>
                            <w:szCs w:val="18"/>
                          </w:rPr>
                          <w:t> </w:t>
                        </w:r>
                        <w:r>
                          <w:rPr>
                            <w:rFonts w:ascii="宋体" w:hAnsi="宋体" w:cs="宋体" w:eastAsia="宋体" w:hint="default"/>
                            <w:sz w:val="18"/>
                            <w:szCs w:val="18"/>
                          </w:rPr>
                          <w:t>亿元的重大损失；公司全资子公司山南华闻创业投</w:t>
                        </w:r>
                      </w:p>
                      <w:p>
                        <w:pPr>
                          <w:pStyle w:val="TableParagraph"/>
                          <w:spacing w:line="357" w:lineRule="auto" w:before="77"/>
                          <w:ind w:left="22" w:right="22"/>
                          <w:jc w:val="left"/>
                          <w:rPr>
                            <w:rFonts w:ascii="宋体" w:hAnsi="宋体" w:cs="宋体" w:eastAsia="宋体" w:hint="default"/>
                            <w:sz w:val="18"/>
                            <w:szCs w:val="18"/>
                          </w:rPr>
                        </w:pPr>
                        <w:r>
                          <w:rPr>
                            <w:rFonts w:ascii="宋体" w:hAnsi="宋体" w:cs="宋体" w:eastAsia="宋体" w:hint="default"/>
                            <w:sz w:val="18"/>
                            <w:szCs w:val="18"/>
                          </w:rPr>
                          <w:t>资有限公司对浙江草根网络科技有限公司的投资，导致</w:t>
                        </w:r>
                        <w:r>
                          <w:rPr>
                            <w:rFonts w:ascii="宋体" w:hAnsi="宋体" w:cs="宋体" w:eastAsia="宋体" w:hint="default"/>
                            <w:spacing w:val="-45"/>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亿元的重大损失。上述损失已在公司财务报表中完整披露； </w:t>
                        </w:r>
                        <w:r>
                          <w:rPr>
                            <w:rFonts w:ascii="宋体" w:hAnsi="宋体" w:cs="宋体" w:eastAsia="宋体" w:hint="default"/>
                            <w:spacing w:val="-1"/>
                            <w:sz w:val="18"/>
                            <w:szCs w:val="18"/>
                          </w:rPr>
                          <w:t>存在个别子公司管理层未严格遵照公司制度要求进行公司管理，可能导致子公司经营管理偏离既定目标，进而影响公司整</w:t>
                        </w:r>
                      </w:p>
                      <w:p>
                        <w:pPr>
                          <w:pStyle w:val="TableParagraph"/>
                          <w:spacing w:line="338" w:lineRule="auto"/>
                          <w:ind w:left="22" w:right="23"/>
                          <w:jc w:val="left"/>
                          <w:rPr>
                            <w:rFonts w:ascii="宋体" w:hAnsi="宋体" w:cs="宋体" w:eastAsia="宋体" w:hint="default"/>
                            <w:sz w:val="18"/>
                            <w:szCs w:val="18"/>
                          </w:rPr>
                        </w:pPr>
                        <w:r>
                          <w:rPr>
                            <w:rFonts w:ascii="宋体" w:hAnsi="宋体" w:cs="宋体" w:eastAsia="宋体" w:hint="default"/>
                            <w:sz w:val="18"/>
                            <w:szCs w:val="18"/>
                          </w:rPr>
                          <w:t>体运行效率和抗风险能力。 </w:t>
                        </w:r>
                        <w:r>
                          <w:rPr>
                            <w:rFonts w:ascii="宋体" w:hAnsi="宋体" w:cs="宋体" w:eastAsia="宋体" w:hint="default"/>
                            <w:spacing w:val="-1"/>
                            <w:sz w:val="18"/>
                            <w:szCs w:val="18"/>
                          </w:rPr>
                          <w:t>公司认为，除上述缺陷外，公司已按照企业内部控制规范体系和相关规定的要求在所有重大方面保持了有效的财务报告内</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部控制和非财务报告内部控制，未发生其他影响内部控制有效性评价结论的因素。</w:t>
                        </w:r>
                      </w:p>
                      <w:p>
                        <w:pPr>
                          <w:pStyle w:val="TableParagraph"/>
                          <w:spacing w:line="319" w:lineRule="auto" w:before="41"/>
                          <w:ind w:left="22" w:right="83"/>
                          <w:jc w:val="both"/>
                          <w:rPr>
                            <w:rFonts w:ascii="宋体" w:hAnsi="宋体" w:cs="宋体" w:eastAsia="宋体" w:hint="default"/>
                            <w:sz w:val="18"/>
                            <w:szCs w:val="18"/>
                          </w:rPr>
                        </w:pPr>
                        <w:r>
                          <w:rPr>
                            <w:rFonts w:ascii="宋体" w:hAnsi="宋体" w:cs="宋体" w:eastAsia="宋体" w:hint="default"/>
                            <w:sz w:val="18"/>
                            <w:szCs w:val="18"/>
                          </w:rPr>
                          <w:t>整改措施：① 公司将进一步加强对非控股投资项目的监管，经营管理层增加对投资项目的追踪频次，并及时向董事会及 时汇报投资进展情况。当投资情况发生重大变化，可能影响投资效益时，应及时提出对投资项目调整的方案；②</w:t>
                        </w:r>
                        <w:r>
                          <w:rPr>
                            <w:rFonts w:ascii="宋体" w:hAnsi="宋体" w:cs="宋体" w:eastAsia="宋体" w:hint="default"/>
                            <w:spacing w:val="1"/>
                            <w:sz w:val="18"/>
                            <w:szCs w:val="18"/>
                          </w:rPr>
                          <w:t> </w:t>
                        </w:r>
                        <w:r>
                          <w:rPr>
                            <w:rFonts w:ascii="宋体" w:hAnsi="宋体" w:cs="宋体" w:eastAsia="宋体" w:hint="default"/>
                            <w:sz w:val="18"/>
                            <w:szCs w:val="18"/>
                          </w:rPr>
                          <w:t>进一步</w:t>
                        </w:r>
                        <w:r>
                          <w:rPr>
                            <w:rFonts w:ascii="宋体" w:hAnsi="宋体" w:cs="宋体" w:eastAsia="宋体" w:hint="default"/>
                            <w:sz w:val="18"/>
                            <w:szCs w:val="18"/>
                          </w:rPr>
                          <w:t> 加强子公司相关内部控制度的执行力度，杜绝类似问题的再次发生；③ 进一步完善内部控制评价机制，及时发现内部控 制缺陷，及时加以改进，保证内部控制的有效性。</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before="35"/>
        <w:ind w:right="0"/>
        <w:jc w:val="left"/>
        <w:rPr>
          <w:b w:val="0"/>
          <w:bCs w:val="0"/>
        </w:rPr>
      </w:pPr>
      <w:bookmarkStart w:name="2、内控自我评价报告" w:id="152"/>
      <w:bookmarkEnd w:id="152"/>
      <w:r>
        <w:rPr>
          <w:b w:val="0"/>
          <w:bCs w:val="0"/>
        </w:rPr>
      </w:r>
      <w:r>
        <w:rPr>
          <w:rFonts w:ascii="宋体" w:hAnsi="宋体" w:cs="宋体" w:eastAsia="宋体" w:hint="default"/>
        </w:rPr>
        <w:t>2</w:t>
      </w:r>
      <w:r>
        <w:rPr/>
        <w:t>、内控自我评价报告</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5246"/>
        <w:gridCol w:w="4323"/>
      </w:tblGrid>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3"/>
                <w:sz w:val="18"/>
                <w:szCs w:val="18"/>
              </w:rPr>
              <w:t>内容详见公司在巨潮网披露的《华闻传媒投资集团股份</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r>
        <w:rPr/>
        <w:pict>
          <v:shape style="position:absolute;margin-left:57.029999pt;margin-top:71.999985pt;width:478.6pt;height:687.7pt;mso-position-horizontal-relative:page;mso-position-vertical-relative:page;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41"/>
                    <w:gridCol w:w="2681"/>
                    <w:gridCol w:w="1004"/>
                    <w:gridCol w:w="3330"/>
                  </w:tblGrid>
                  <w:tr>
                    <w:trPr>
                      <w:trHeight w:val="362" w:hRule="exact"/>
                    </w:trPr>
                    <w:tc>
                      <w:tcPr>
                        <w:tcW w:w="522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43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4"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年内部控制评价报告</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02" w:hRule="exact"/>
                    </w:trPr>
                    <w:tc>
                      <w:tcPr>
                        <w:tcW w:w="52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433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95.09%</w:t>
                        </w:r>
                      </w:p>
                    </w:tc>
                  </w:tr>
                  <w:tr>
                    <w:trPr>
                      <w:trHeight w:val="407" w:hRule="exact"/>
                    </w:trPr>
                    <w:tc>
                      <w:tcPr>
                        <w:tcW w:w="52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433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99.66%</w:t>
                        </w:r>
                      </w:p>
                    </w:tc>
                  </w:tr>
                  <w:tr>
                    <w:trPr>
                      <w:trHeight w:val="393"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36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813" w:hRule="exact"/>
                    </w:trPr>
                    <w:tc>
                      <w:tcPr>
                        <w:tcW w:w="2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3686" w:type="dxa"/>
                        <w:gridSpan w:val="2"/>
                        <w:vMerge w:val="restart"/>
                        <w:tcBorders>
                          <w:top w:val="single" w:sz="4" w:space="0" w:color="000000"/>
                          <w:left w:val="single" w:sz="10" w:space="0" w:color="D2D2D2"/>
                          <w:right w:val="single" w:sz="4" w:space="0" w:color="000000"/>
                        </w:tcBorders>
                      </w:tcPr>
                      <w:p>
                        <w:pPr>
                          <w:pStyle w:val="TableParagraph"/>
                          <w:spacing w:line="316" w:lineRule="auto" w:before="51"/>
                          <w:ind w:left="15" w:right="2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）以下缺陷事项认定为重大缺陷：① 对已 经签发的财务报告重报以更正错误（由于政策 变化或其他客观因素变化导致的对以前年度的 </w:t>
                        </w:r>
                        <w:r>
                          <w:rPr>
                            <w:rFonts w:ascii="宋体" w:hAnsi="宋体" w:cs="宋体" w:eastAsia="宋体" w:hint="default"/>
                            <w:spacing w:val="-10"/>
                            <w:sz w:val="18"/>
                            <w:szCs w:val="18"/>
                          </w:rPr>
                          <w:t>追溯调整除外）；②</w:t>
                        </w:r>
                        <w:r>
                          <w:rPr>
                            <w:rFonts w:ascii="宋体" w:hAnsi="宋体" w:cs="宋体" w:eastAsia="宋体" w:hint="default"/>
                            <w:sz w:val="18"/>
                            <w:szCs w:val="18"/>
                          </w:rPr>
                          <w:t> 注册会计师发现当期财务</w:t>
                        </w:r>
                        <w:r>
                          <w:rPr>
                            <w:rFonts w:ascii="宋体" w:hAnsi="宋体" w:cs="宋体" w:eastAsia="宋体" w:hint="default"/>
                            <w:sz w:val="18"/>
                            <w:szCs w:val="18"/>
                          </w:rPr>
                          <w:t> 报告存在重大错报，而内部控制在运行过程中 </w:t>
                        </w:r>
                        <w:r>
                          <w:rPr>
                            <w:rFonts w:ascii="宋体" w:hAnsi="宋体" w:cs="宋体" w:eastAsia="宋体" w:hint="default"/>
                            <w:spacing w:val="-4"/>
                            <w:sz w:val="18"/>
                            <w:szCs w:val="18"/>
                          </w:rPr>
                          <w:t>未能发现该错报；③</w:t>
                        </w:r>
                        <w:r>
                          <w:rPr>
                            <w:rFonts w:ascii="宋体" w:hAnsi="宋体" w:cs="宋体" w:eastAsia="宋体" w:hint="default"/>
                            <w:spacing w:val="5"/>
                            <w:sz w:val="18"/>
                            <w:szCs w:val="18"/>
                          </w:rPr>
                          <w:t> </w:t>
                        </w:r>
                        <w:r>
                          <w:rPr>
                            <w:rFonts w:ascii="宋体" w:hAnsi="宋体" w:cs="宋体" w:eastAsia="宋体" w:hint="default"/>
                            <w:spacing w:val="-3"/>
                            <w:sz w:val="18"/>
                            <w:szCs w:val="18"/>
                          </w:rPr>
                          <w:t>董事、监事和高级管理人</w:t>
                        </w:r>
                        <w:r>
                          <w:rPr>
                            <w:rFonts w:ascii="宋体" w:hAnsi="宋体" w:cs="宋体" w:eastAsia="宋体" w:hint="default"/>
                            <w:sz w:val="18"/>
                            <w:szCs w:val="18"/>
                          </w:rPr>
                          <w:t> </w:t>
                        </w:r>
                        <w:r>
                          <w:rPr>
                            <w:rFonts w:ascii="宋体" w:hAnsi="宋体" w:cs="宋体" w:eastAsia="宋体" w:hint="default"/>
                            <w:spacing w:val="-6"/>
                            <w:sz w:val="18"/>
                            <w:szCs w:val="18"/>
                          </w:rPr>
                          <w:t>员舞弊；④</w:t>
                        </w:r>
                        <w:r>
                          <w:rPr>
                            <w:rFonts w:ascii="宋体" w:hAnsi="宋体" w:cs="宋体" w:eastAsia="宋体" w:hint="default"/>
                            <w:spacing w:val="11"/>
                            <w:sz w:val="18"/>
                            <w:szCs w:val="18"/>
                          </w:rPr>
                          <w:t> </w:t>
                        </w:r>
                        <w:r>
                          <w:rPr>
                            <w:rFonts w:ascii="宋体" w:hAnsi="宋体" w:cs="宋体" w:eastAsia="宋体" w:hint="default"/>
                            <w:spacing w:val="-3"/>
                            <w:sz w:val="18"/>
                            <w:szCs w:val="18"/>
                          </w:rPr>
                          <w:t>审计委员会、监事会和内部审计机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构对内部控制的监督无效。（</w:t>
                        </w:r>
                        <w:r>
                          <w:rPr>
                            <w:rFonts w:ascii="宋体" w:hAnsi="宋体" w:cs="宋体" w:eastAsia="宋体" w:hint="default"/>
                            <w:spacing w:val="-5"/>
                            <w:sz w:val="18"/>
                            <w:szCs w:val="18"/>
                          </w:rPr>
                          <w:t>2</w:t>
                        </w:r>
                        <w:r>
                          <w:rPr>
                            <w:rFonts w:ascii="宋体" w:hAnsi="宋体" w:cs="宋体" w:eastAsia="宋体" w:hint="default"/>
                            <w:spacing w:val="-5"/>
                            <w:sz w:val="18"/>
                            <w:szCs w:val="18"/>
                          </w:rPr>
                          <w:t>）以下缺陷事项</w:t>
                        </w:r>
                        <w:r>
                          <w:rPr>
                            <w:rFonts w:ascii="宋体" w:hAnsi="宋体" w:cs="宋体" w:eastAsia="宋体" w:hint="default"/>
                            <w:spacing w:val="-75"/>
                            <w:sz w:val="18"/>
                            <w:szCs w:val="18"/>
                          </w:rPr>
                          <w:t> </w:t>
                        </w:r>
                        <w:r>
                          <w:rPr>
                            <w:rFonts w:ascii="宋体" w:hAnsi="宋体" w:cs="宋体" w:eastAsia="宋体" w:hint="default"/>
                            <w:spacing w:val="-4"/>
                            <w:sz w:val="18"/>
                            <w:szCs w:val="18"/>
                          </w:rPr>
                          <w:t>认定为重要缺陷：①</w:t>
                        </w:r>
                        <w:r>
                          <w:rPr>
                            <w:rFonts w:ascii="宋体" w:hAnsi="宋体" w:cs="宋体" w:eastAsia="宋体" w:hint="default"/>
                            <w:spacing w:val="6"/>
                            <w:sz w:val="18"/>
                            <w:szCs w:val="18"/>
                          </w:rPr>
                          <w:t> </w:t>
                        </w:r>
                        <w:r>
                          <w:rPr>
                            <w:rFonts w:ascii="宋体" w:hAnsi="宋体" w:cs="宋体" w:eastAsia="宋体" w:hint="default"/>
                            <w:spacing w:val="-3"/>
                            <w:sz w:val="18"/>
                            <w:szCs w:val="18"/>
                          </w:rPr>
                          <w:t>违反公司内部规章，形成</w:t>
                        </w:r>
                        <w:r>
                          <w:rPr>
                            <w:rFonts w:ascii="宋体" w:hAnsi="宋体" w:cs="宋体" w:eastAsia="宋体" w:hint="default"/>
                            <w:sz w:val="18"/>
                            <w:szCs w:val="18"/>
                          </w:rPr>
                          <w:t> </w:t>
                        </w:r>
                        <w:r>
                          <w:rPr>
                            <w:rFonts w:ascii="宋体" w:hAnsi="宋体" w:cs="宋体" w:eastAsia="宋体" w:hint="default"/>
                            <w:spacing w:val="-5"/>
                            <w:sz w:val="18"/>
                            <w:szCs w:val="18"/>
                          </w:rPr>
                          <w:t>损失未达到和超过重要性水平；②</w:t>
                        </w:r>
                        <w:r>
                          <w:rPr>
                            <w:rFonts w:ascii="宋体" w:hAnsi="宋体" w:cs="宋体" w:eastAsia="宋体" w:hint="default"/>
                            <w:spacing w:val="11"/>
                            <w:sz w:val="18"/>
                            <w:szCs w:val="18"/>
                          </w:rPr>
                          <w:t> </w:t>
                        </w:r>
                        <w:r>
                          <w:rPr>
                            <w:rFonts w:ascii="宋体" w:hAnsi="宋体" w:cs="宋体" w:eastAsia="宋体" w:hint="default"/>
                            <w:sz w:val="18"/>
                            <w:szCs w:val="18"/>
                          </w:rPr>
                          <w:t>重要业务制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度或系统存在缺陷，重要缺陷未在合理时间内 </w:t>
                        </w:r>
                        <w:r>
                          <w:rPr>
                            <w:rFonts w:ascii="宋体" w:hAnsi="宋体" w:cs="宋体" w:eastAsia="宋体" w:hint="default"/>
                            <w:spacing w:val="-11"/>
                            <w:sz w:val="18"/>
                            <w:szCs w:val="18"/>
                          </w:rPr>
                          <w:t>得到整改；③</w:t>
                        </w:r>
                        <w:r>
                          <w:rPr>
                            <w:rFonts w:ascii="宋体" w:hAnsi="宋体" w:cs="宋体" w:eastAsia="宋体" w:hint="default"/>
                            <w:spacing w:val="3"/>
                            <w:sz w:val="18"/>
                            <w:szCs w:val="18"/>
                          </w:rPr>
                          <w:t> </w:t>
                        </w:r>
                        <w:r>
                          <w:rPr>
                            <w:rFonts w:ascii="宋体" w:hAnsi="宋体" w:cs="宋体" w:eastAsia="宋体" w:hint="default"/>
                            <w:sz w:val="18"/>
                            <w:szCs w:val="18"/>
                          </w:rPr>
                          <w:t>未根据国家颁布的会计政策对公</w:t>
                        </w:r>
                        <w:r>
                          <w:rPr>
                            <w:rFonts w:ascii="宋体" w:hAnsi="宋体" w:cs="宋体" w:eastAsia="宋体" w:hint="default"/>
                            <w:sz w:val="18"/>
                            <w:szCs w:val="18"/>
                          </w:rPr>
                          <w:t> </w:t>
                        </w:r>
                        <w:r>
                          <w:rPr>
                            <w:rFonts w:ascii="宋体" w:hAnsi="宋体" w:cs="宋体" w:eastAsia="宋体" w:hint="default"/>
                            <w:spacing w:val="-5"/>
                            <w:sz w:val="18"/>
                            <w:szCs w:val="18"/>
                          </w:rPr>
                          <w:t>司会计政策进行修订和完善；④</w:t>
                        </w:r>
                        <w:r>
                          <w:rPr>
                            <w:rFonts w:ascii="宋体" w:hAnsi="宋体" w:cs="宋体" w:eastAsia="宋体" w:hint="default"/>
                            <w:spacing w:val="7"/>
                            <w:sz w:val="18"/>
                            <w:szCs w:val="18"/>
                          </w:rPr>
                          <w:t> </w:t>
                        </w:r>
                        <w:r>
                          <w:rPr>
                            <w:rFonts w:ascii="宋体" w:hAnsi="宋体" w:cs="宋体" w:eastAsia="宋体" w:hint="default"/>
                            <w:sz w:val="18"/>
                            <w:szCs w:val="18"/>
                          </w:rPr>
                          <w:t>不存在对非常</w:t>
                        </w:r>
                        <w:r>
                          <w:rPr>
                            <w:rFonts w:ascii="宋体" w:hAnsi="宋体" w:cs="宋体" w:eastAsia="宋体" w:hint="default"/>
                            <w:sz w:val="18"/>
                            <w:szCs w:val="18"/>
                          </w:rPr>
                          <w:t> </w:t>
                        </w:r>
                        <w:r>
                          <w:rPr>
                            <w:rFonts w:ascii="宋体" w:hAnsi="宋体" w:cs="宋体" w:eastAsia="宋体" w:hint="default"/>
                            <w:spacing w:val="-4"/>
                            <w:sz w:val="18"/>
                            <w:szCs w:val="18"/>
                          </w:rPr>
                          <w:t>规（非重复）或复杂交易的控制；⑤</w:t>
                        </w:r>
                        <w:r>
                          <w:rPr>
                            <w:rFonts w:ascii="宋体" w:hAnsi="宋体" w:cs="宋体" w:eastAsia="宋体" w:hint="default"/>
                            <w:sz w:val="18"/>
                            <w:szCs w:val="18"/>
                          </w:rPr>
                          <w:t> 反舞弊程</w:t>
                        </w:r>
                        <w:r>
                          <w:rPr>
                            <w:rFonts w:ascii="宋体" w:hAnsi="宋体" w:cs="宋体" w:eastAsia="宋体" w:hint="default"/>
                            <w:sz w:val="18"/>
                            <w:szCs w:val="18"/>
                          </w:rPr>
                          <w:t> </w:t>
                        </w:r>
                        <w:r>
                          <w:rPr>
                            <w:rFonts w:ascii="宋体" w:hAnsi="宋体" w:cs="宋体" w:eastAsia="宋体" w:hint="default"/>
                            <w:spacing w:val="-7"/>
                            <w:sz w:val="18"/>
                            <w:szCs w:val="18"/>
                          </w:rPr>
                          <w:t>序和控制存在缺陷；⑥</w:t>
                        </w:r>
                        <w:r>
                          <w:rPr>
                            <w:rFonts w:ascii="宋体" w:hAnsi="宋体" w:cs="宋体" w:eastAsia="宋体" w:hint="default"/>
                            <w:spacing w:val="7"/>
                            <w:sz w:val="18"/>
                            <w:szCs w:val="18"/>
                          </w:rPr>
                          <w:t> </w:t>
                        </w:r>
                        <w:r>
                          <w:rPr>
                            <w:rFonts w:ascii="宋体" w:hAnsi="宋体" w:cs="宋体" w:eastAsia="宋体" w:hint="default"/>
                            <w:sz w:val="18"/>
                            <w:szCs w:val="18"/>
                          </w:rPr>
                          <w:t>未对编制期末财务报告</w:t>
                        </w:r>
                        <w:r>
                          <w:rPr>
                            <w:rFonts w:ascii="宋体" w:hAnsi="宋体" w:cs="宋体" w:eastAsia="宋体" w:hint="default"/>
                            <w:sz w:val="18"/>
                            <w:szCs w:val="18"/>
                          </w:rPr>
                          <w:t> </w:t>
                        </w:r>
                        <w:r>
                          <w:rPr>
                            <w:rFonts w:ascii="宋体" w:hAnsi="宋体" w:cs="宋体" w:eastAsia="宋体" w:hint="default"/>
                            <w:spacing w:val="-7"/>
                            <w:sz w:val="18"/>
                            <w:szCs w:val="18"/>
                          </w:rPr>
                          <w:t>的过程进行控制；⑦</w:t>
                        </w:r>
                        <w:r>
                          <w:rPr>
                            <w:rFonts w:ascii="宋体" w:hAnsi="宋体" w:cs="宋体" w:eastAsia="宋体" w:hint="default"/>
                            <w:spacing w:val="1"/>
                            <w:sz w:val="18"/>
                            <w:szCs w:val="18"/>
                          </w:rPr>
                          <w:t> </w:t>
                        </w:r>
                        <w:r>
                          <w:rPr>
                            <w:rFonts w:ascii="宋体" w:hAnsi="宋体" w:cs="宋体" w:eastAsia="宋体" w:hint="default"/>
                            <w:sz w:val="18"/>
                            <w:szCs w:val="18"/>
                          </w:rPr>
                          <w:t>未对财务报告流程中涉及</w:t>
                        </w:r>
                        <w:r>
                          <w:rPr>
                            <w:rFonts w:ascii="宋体" w:hAnsi="宋体" w:cs="宋体" w:eastAsia="宋体" w:hint="default"/>
                            <w:sz w:val="18"/>
                            <w:szCs w:val="18"/>
                          </w:rPr>
                          <w:t> </w:t>
                        </w:r>
                        <w:r>
                          <w:rPr>
                            <w:rFonts w:ascii="宋体" w:hAnsi="宋体" w:cs="宋体" w:eastAsia="宋体" w:hint="default"/>
                            <w:spacing w:val="-5"/>
                            <w:sz w:val="18"/>
                            <w:szCs w:val="18"/>
                          </w:rPr>
                          <w:t>的信息系统进行有效控制。（</w:t>
                        </w:r>
                        <w:r>
                          <w:rPr>
                            <w:rFonts w:ascii="宋体" w:hAnsi="宋体" w:cs="宋体" w:eastAsia="宋体" w:hint="default"/>
                            <w:spacing w:val="-5"/>
                            <w:sz w:val="18"/>
                            <w:szCs w:val="18"/>
                          </w:rPr>
                          <w:t>3</w:t>
                        </w:r>
                        <w:r>
                          <w:rPr>
                            <w:rFonts w:ascii="宋体" w:hAnsi="宋体" w:cs="宋体" w:eastAsia="宋体" w:hint="default"/>
                            <w:spacing w:val="-5"/>
                            <w:sz w:val="18"/>
                            <w:szCs w:val="18"/>
                          </w:rPr>
                          <w:t>）一般缺陷除上</w:t>
                        </w:r>
                        <w:r>
                          <w:rPr>
                            <w:rFonts w:ascii="宋体" w:hAnsi="宋体" w:cs="宋体" w:eastAsia="宋体" w:hint="default"/>
                            <w:spacing w:val="-75"/>
                            <w:sz w:val="18"/>
                            <w:szCs w:val="18"/>
                          </w:rPr>
                          <w:t> </w:t>
                        </w:r>
                        <w:r>
                          <w:rPr>
                            <w:rFonts w:ascii="宋体" w:hAnsi="宋体" w:cs="宋体" w:eastAsia="宋体" w:hint="default"/>
                            <w:sz w:val="18"/>
                            <w:szCs w:val="18"/>
                          </w:rPr>
                          <w:t>述重大缺陷、重要缺陷之外的其他控制缺陷为 财务报告内部控制一般缺陷。</w:t>
                        </w:r>
                      </w:p>
                    </w:tc>
                    <w:tc>
                      <w:tcPr>
                        <w:tcW w:w="333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公司确定的非财务报告内部控制缺陷的定 </w:t>
                        </w:r>
                        <w:r>
                          <w:rPr>
                            <w:rFonts w:ascii="宋体" w:hAnsi="宋体" w:cs="宋体" w:eastAsia="宋体" w:hint="default"/>
                            <w:spacing w:val="-5"/>
                            <w:sz w:val="18"/>
                            <w:szCs w:val="18"/>
                          </w:rPr>
                          <w:t>性标准如下：（</w:t>
                        </w:r>
                        <w:r>
                          <w:rPr>
                            <w:rFonts w:ascii="宋体" w:hAnsi="宋体" w:cs="宋体" w:eastAsia="宋体" w:hint="default"/>
                            <w:spacing w:val="-5"/>
                            <w:sz w:val="18"/>
                            <w:szCs w:val="18"/>
                          </w:rPr>
                          <w:t>1</w:t>
                        </w:r>
                        <w:r>
                          <w:rPr>
                            <w:rFonts w:ascii="宋体" w:hAnsi="宋体" w:cs="宋体" w:eastAsia="宋体" w:hint="default"/>
                            <w:spacing w:val="-5"/>
                            <w:sz w:val="18"/>
                            <w:szCs w:val="18"/>
                          </w:rPr>
                          <w:t>）以下缺陷事项认定为非</w:t>
                        </w:r>
                        <w:r>
                          <w:rPr>
                            <w:rFonts w:ascii="宋体" w:hAnsi="宋体" w:cs="宋体" w:eastAsia="宋体" w:hint="default"/>
                            <w:spacing w:val="-85"/>
                            <w:sz w:val="18"/>
                            <w:szCs w:val="18"/>
                          </w:rPr>
                          <w:t> </w:t>
                        </w:r>
                        <w:r>
                          <w:rPr>
                            <w:rFonts w:ascii="宋体" w:hAnsi="宋体" w:cs="宋体" w:eastAsia="宋体" w:hint="default"/>
                            <w:spacing w:val="-4"/>
                            <w:sz w:val="18"/>
                            <w:szCs w:val="18"/>
                          </w:rPr>
                          <w:t>财务报告内部控制重大缺陷：①</w:t>
                        </w:r>
                        <w:r>
                          <w:rPr>
                            <w:rFonts w:ascii="宋体" w:hAnsi="宋体" w:cs="宋体" w:eastAsia="宋体" w:hint="default"/>
                            <w:sz w:val="18"/>
                            <w:szCs w:val="18"/>
                          </w:rPr>
                          <w:t> 内部控制</w:t>
                        </w:r>
                        <w:r>
                          <w:rPr>
                            <w:rFonts w:ascii="宋体" w:hAnsi="宋体" w:cs="宋体" w:eastAsia="宋体" w:hint="default"/>
                            <w:sz w:val="18"/>
                            <w:szCs w:val="18"/>
                          </w:rPr>
                          <w:t> 重大或重要缺陷未得到整改，或重大缺陷 </w:t>
                        </w:r>
                        <w:r>
                          <w:rPr>
                            <w:rFonts w:ascii="宋体" w:hAnsi="宋体" w:cs="宋体" w:eastAsia="宋体" w:hint="default"/>
                            <w:spacing w:val="-5"/>
                            <w:sz w:val="18"/>
                            <w:szCs w:val="18"/>
                          </w:rPr>
                          <w:t>没有在合理期间得到整改；②</w:t>
                        </w:r>
                        <w:r>
                          <w:rPr>
                            <w:rFonts w:ascii="宋体" w:hAnsi="宋体" w:cs="宋体" w:eastAsia="宋体" w:hint="default"/>
                            <w:spacing w:val="8"/>
                            <w:sz w:val="18"/>
                            <w:szCs w:val="18"/>
                          </w:rPr>
                          <w:t> </w:t>
                        </w:r>
                        <w:r>
                          <w:rPr>
                            <w:rFonts w:ascii="宋体" w:hAnsi="宋体" w:cs="宋体" w:eastAsia="宋体" w:hint="default"/>
                            <w:sz w:val="18"/>
                            <w:szCs w:val="18"/>
                          </w:rPr>
                          <w:t>严重违反国</w:t>
                        </w:r>
                        <w:r>
                          <w:rPr>
                            <w:rFonts w:ascii="宋体" w:hAnsi="宋体" w:cs="宋体" w:eastAsia="宋体" w:hint="default"/>
                            <w:sz w:val="18"/>
                            <w:szCs w:val="18"/>
                          </w:rPr>
                          <w:t> </w:t>
                        </w:r>
                        <w:r>
                          <w:rPr>
                            <w:rFonts w:ascii="宋体" w:hAnsi="宋体" w:cs="宋体" w:eastAsia="宋体" w:hint="default"/>
                            <w:spacing w:val="-14"/>
                            <w:sz w:val="18"/>
                            <w:szCs w:val="18"/>
                          </w:rPr>
                          <w:t>家法律、法规，给公司造成重大损失；③</w:t>
                        </w:r>
                        <w:r>
                          <w:rPr>
                            <w:rFonts w:ascii="宋体" w:hAnsi="宋体" w:cs="宋体" w:eastAsia="宋体" w:hint="default"/>
                            <w:spacing w:val="13"/>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理人员或主要技术人员大量流失，导致公 </w:t>
                        </w:r>
                        <w:r>
                          <w:rPr>
                            <w:rFonts w:ascii="宋体" w:hAnsi="宋体" w:cs="宋体" w:eastAsia="宋体" w:hint="default"/>
                            <w:spacing w:val="-4"/>
                            <w:sz w:val="18"/>
                            <w:szCs w:val="18"/>
                          </w:rPr>
                          <w:t>司生产经营存在重大不利影响；④</w:t>
                        </w:r>
                        <w:r>
                          <w:rPr>
                            <w:rFonts w:ascii="宋体" w:hAnsi="宋体" w:cs="宋体" w:eastAsia="宋体" w:hint="default"/>
                            <w:spacing w:val="4"/>
                            <w:sz w:val="18"/>
                            <w:szCs w:val="18"/>
                          </w:rPr>
                          <w:t> </w:t>
                        </w:r>
                        <w:r>
                          <w:rPr>
                            <w:rFonts w:ascii="宋体" w:hAnsi="宋体" w:cs="宋体" w:eastAsia="宋体" w:hint="default"/>
                            <w:sz w:val="18"/>
                            <w:szCs w:val="18"/>
                          </w:rPr>
                          <w:t>重要业</w:t>
                        </w:r>
                        <w:r>
                          <w:rPr>
                            <w:rFonts w:ascii="宋体" w:hAnsi="宋体" w:cs="宋体" w:eastAsia="宋体" w:hint="default"/>
                            <w:sz w:val="18"/>
                            <w:szCs w:val="18"/>
                          </w:rPr>
                          <w:t> </w:t>
                        </w:r>
                        <w:r>
                          <w:rPr>
                            <w:rFonts w:ascii="宋体" w:hAnsi="宋体" w:cs="宋体" w:eastAsia="宋体" w:hint="default"/>
                            <w:spacing w:val="-4"/>
                            <w:sz w:val="18"/>
                            <w:szCs w:val="18"/>
                          </w:rPr>
                          <w:t>务缺乏制度控制或制度系统性失效；⑤</w:t>
                        </w:r>
                        <w:r>
                          <w:rPr>
                            <w:rFonts w:ascii="宋体" w:hAnsi="宋体" w:cs="宋体" w:eastAsia="宋体" w:hint="default"/>
                            <w:spacing w:val="11"/>
                            <w:sz w:val="18"/>
                            <w:szCs w:val="18"/>
                          </w:rPr>
                          <w:t> </w:t>
                        </w:r>
                        <w:r>
                          <w:rPr>
                            <w:rFonts w:ascii="宋体" w:hAnsi="宋体" w:cs="宋体" w:eastAsia="宋体" w:hint="default"/>
                            <w:sz w:val="18"/>
                            <w:szCs w:val="18"/>
                          </w:rPr>
                          <w:t>缺</w:t>
                        </w:r>
                        <w:r>
                          <w:rPr>
                            <w:rFonts w:ascii="宋体" w:hAnsi="宋体" w:cs="宋体" w:eastAsia="宋体" w:hint="default"/>
                            <w:sz w:val="18"/>
                            <w:szCs w:val="18"/>
                          </w:rPr>
                          <w:t> 乏民主决策程序或决策程序不科学，如重 </w:t>
                        </w:r>
                        <w:r>
                          <w:rPr>
                            <w:rFonts w:ascii="宋体" w:hAnsi="宋体" w:cs="宋体" w:eastAsia="宋体" w:hint="default"/>
                            <w:spacing w:val="-5"/>
                            <w:sz w:val="18"/>
                            <w:szCs w:val="18"/>
                          </w:rPr>
                          <w:t>大决策失误，导致并购不成功。（</w:t>
                        </w:r>
                        <w:r>
                          <w:rPr>
                            <w:rFonts w:ascii="宋体" w:hAnsi="宋体" w:cs="宋体" w:eastAsia="宋体" w:hint="default"/>
                            <w:spacing w:val="-5"/>
                            <w:sz w:val="18"/>
                            <w:szCs w:val="18"/>
                          </w:rPr>
                          <w:t>2</w:t>
                        </w:r>
                        <w:r>
                          <w:rPr>
                            <w:rFonts w:ascii="宋体" w:hAnsi="宋体" w:cs="宋体" w:eastAsia="宋体" w:hint="default"/>
                            <w:spacing w:val="-5"/>
                            <w:sz w:val="18"/>
                            <w:szCs w:val="18"/>
                          </w:rPr>
                          <w:t>）以下</w:t>
                        </w:r>
                        <w:r>
                          <w:rPr>
                            <w:rFonts w:ascii="宋体" w:hAnsi="宋体" w:cs="宋体" w:eastAsia="宋体" w:hint="default"/>
                            <w:spacing w:val="-85"/>
                            <w:sz w:val="18"/>
                            <w:szCs w:val="18"/>
                          </w:rPr>
                          <w:t> </w:t>
                        </w:r>
                        <w:r>
                          <w:rPr>
                            <w:rFonts w:ascii="宋体" w:hAnsi="宋体" w:cs="宋体" w:eastAsia="宋体" w:hint="default"/>
                            <w:spacing w:val="-5"/>
                            <w:sz w:val="18"/>
                            <w:szCs w:val="18"/>
                          </w:rPr>
                          <w:t>缺陷事项认定为重要缺陷：①</w:t>
                        </w:r>
                        <w:r>
                          <w:rPr>
                            <w:rFonts w:ascii="宋体" w:hAnsi="宋体" w:cs="宋体" w:eastAsia="宋体" w:hint="default"/>
                            <w:spacing w:val="8"/>
                            <w:sz w:val="18"/>
                            <w:szCs w:val="18"/>
                          </w:rPr>
                          <w:t> </w:t>
                        </w:r>
                        <w:r>
                          <w:rPr>
                            <w:rFonts w:ascii="宋体" w:hAnsi="宋体" w:cs="宋体" w:eastAsia="宋体" w:hint="default"/>
                            <w:sz w:val="18"/>
                            <w:szCs w:val="18"/>
                          </w:rPr>
                          <w:t>关键岗位业</w:t>
                        </w:r>
                        <w:r>
                          <w:rPr>
                            <w:rFonts w:ascii="宋体" w:hAnsi="宋体" w:cs="宋体" w:eastAsia="宋体" w:hint="default"/>
                            <w:sz w:val="18"/>
                            <w:szCs w:val="18"/>
                          </w:rPr>
                          <w:t> </w:t>
                        </w:r>
                        <w:r>
                          <w:rPr>
                            <w:rFonts w:ascii="宋体" w:hAnsi="宋体" w:cs="宋体" w:eastAsia="宋体" w:hint="default"/>
                            <w:spacing w:val="-7"/>
                            <w:sz w:val="18"/>
                            <w:szCs w:val="18"/>
                          </w:rPr>
                          <w:t>务人员流失严重；②</w:t>
                        </w:r>
                        <w:r>
                          <w:rPr>
                            <w:rFonts w:ascii="宋体" w:hAnsi="宋体" w:cs="宋体" w:eastAsia="宋体" w:hint="default"/>
                            <w:spacing w:val="6"/>
                            <w:sz w:val="18"/>
                            <w:szCs w:val="18"/>
                          </w:rPr>
                          <w:t> </w:t>
                        </w:r>
                        <w:r>
                          <w:rPr>
                            <w:rFonts w:ascii="宋体" w:hAnsi="宋体" w:cs="宋体" w:eastAsia="宋体" w:hint="default"/>
                            <w:sz w:val="18"/>
                            <w:szCs w:val="18"/>
                          </w:rPr>
                          <w:t>决策程序导致出现一</w:t>
                        </w:r>
                        <w:r>
                          <w:rPr>
                            <w:rFonts w:ascii="宋体" w:hAnsi="宋体" w:cs="宋体" w:eastAsia="宋体" w:hint="default"/>
                            <w:sz w:val="18"/>
                            <w:szCs w:val="18"/>
                          </w:rPr>
                          <w:t> 般失误，造成损失未达到和超过重要性水 </w:t>
                        </w:r>
                        <w:r>
                          <w:rPr>
                            <w:rFonts w:ascii="宋体" w:hAnsi="宋体" w:cs="宋体" w:eastAsia="宋体" w:hint="default"/>
                            <w:spacing w:val="-10"/>
                            <w:sz w:val="18"/>
                            <w:szCs w:val="18"/>
                          </w:rPr>
                          <w:t>平；③</w:t>
                        </w:r>
                        <w:r>
                          <w:rPr>
                            <w:rFonts w:ascii="宋体" w:hAnsi="宋体" w:cs="宋体" w:eastAsia="宋体" w:hint="default"/>
                            <w:spacing w:val="-23"/>
                            <w:sz w:val="18"/>
                            <w:szCs w:val="18"/>
                          </w:rPr>
                          <w:t> </w:t>
                        </w:r>
                        <w:r>
                          <w:rPr>
                            <w:rFonts w:ascii="宋体" w:hAnsi="宋体" w:cs="宋体" w:eastAsia="宋体" w:hint="default"/>
                            <w:sz w:val="18"/>
                            <w:szCs w:val="18"/>
                          </w:rPr>
                          <w:t>重要业务制度或系统存在缺陷；④</w:t>
                        </w:r>
                        <w:r>
                          <w:rPr>
                            <w:rFonts w:ascii="宋体" w:hAnsi="宋体" w:cs="宋体" w:eastAsia="宋体" w:hint="default"/>
                            <w:sz w:val="18"/>
                            <w:szCs w:val="18"/>
                          </w:rPr>
                          <w:t> </w:t>
                        </w:r>
                        <w:r>
                          <w:rPr>
                            <w:rFonts w:ascii="宋体" w:hAnsi="宋体" w:cs="宋体" w:eastAsia="宋体" w:hint="default"/>
                            <w:spacing w:val="-5"/>
                            <w:sz w:val="18"/>
                            <w:szCs w:val="18"/>
                          </w:rPr>
                          <w:t>违反公司内部规章，造成损失。（</w:t>
                        </w:r>
                        <w:r>
                          <w:rPr>
                            <w:rFonts w:ascii="宋体" w:hAnsi="宋体" w:cs="宋体" w:eastAsia="宋体" w:hint="default"/>
                            <w:spacing w:val="-5"/>
                            <w:sz w:val="18"/>
                            <w:szCs w:val="18"/>
                          </w:rPr>
                          <w:t>3</w:t>
                        </w:r>
                        <w:r>
                          <w:rPr>
                            <w:rFonts w:ascii="宋体" w:hAnsi="宋体" w:cs="宋体" w:eastAsia="宋体" w:hint="default"/>
                            <w:spacing w:val="-5"/>
                            <w:sz w:val="18"/>
                            <w:szCs w:val="18"/>
                          </w:rPr>
                          <w:t>）一般</w:t>
                        </w:r>
                        <w:r>
                          <w:rPr>
                            <w:rFonts w:ascii="宋体" w:hAnsi="宋体" w:cs="宋体" w:eastAsia="宋体" w:hint="default"/>
                            <w:spacing w:val="-85"/>
                            <w:sz w:val="18"/>
                            <w:szCs w:val="18"/>
                          </w:rPr>
                          <w:t> </w:t>
                        </w:r>
                        <w:r>
                          <w:rPr>
                            <w:rFonts w:ascii="宋体" w:hAnsi="宋体" w:cs="宋体" w:eastAsia="宋体" w:hint="default"/>
                            <w:sz w:val="18"/>
                            <w:szCs w:val="18"/>
                          </w:rPr>
                          <w:t>缺陷：除上述重大缺陷、重要缺陷之外的 其他控制缺陷为非财务报告内部控制一般 缺陷。</w:t>
                        </w:r>
                      </w:p>
                    </w:tc>
                  </w:tr>
                  <w:tr>
                    <w:trPr>
                      <w:trHeight w:val="392" w:hRule="exact"/>
                    </w:trPr>
                    <w:tc>
                      <w:tcPr>
                        <w:tcW w:w="25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686" w:type="dxa"/>
                        <w:gridSpan w:val="2"/>
                        <w:vMerge/>
                        <w:tcBorders>
                          <w:left w:val="single" w:sz="10" w:space="0" w:color="D2D2D2"/>
                          <w:right w:val="single" w:sz="4" w:space="0" w:color="000000"/>
                        </w:tcBorders>
                      </w:tcPr>
                      <w:p>
                        <w:pPr/>
                      </w:p>
                    </w:tc>
                    <w:tc>
                      <w:tcPr>
                        <w:tcW w:w="3330" w:type="dxa"/>
                        <w:vMerge/>
                        <w:tcBorders>
                          <w:left w:val="single" w:sz="4" w:space="0" w:color="000000"/>
                          <w:right w:val="single" w:sz="4" w:space="0" w:color="000000"/>
                        </w:tcBorders>
                      </w:tcPr>
                      <w:p>
                        <w:pPr/>
                      </w:p>
                    </w:tc>
                  </w:tr>
                  <w:tr>
                    <w:trPr>
                      <w:trHeight w:val="2813" w:hRule="exact"/>
                    </w:trPr>
                    <w:tc>
                      <w:tcPr>
                        <w:tcW w:w="2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3686" w:type="dxa"/>
                        <w:gridSpan w:val="2"/>
                        <w:vMerge/>
                        <w:tcBorders>
                          <w:left w:val="single" w:sz="10" w:space="0" w:color="D2D2D2"/>
                          <w:bottom w:val="single" w:sz="4" w:space="0" w:color="000000"/>
                          <w:right w:val="single" w:sz="4" w:space="0" w:color="000000"/>
                        </w:tcBorders>
                      </w:tcPr>
                      <w:p>
                        <w:pPr/>
                      </w:p>
                    </w:tc>
                    <w:tc>
                      <w:tcPr>
                        <w:tcW w:w="3330" w:type="dxa"/>
                        <w:vMerge/>
                        <w:tcBorders>
                          <w:left w:val="single" w:sz="4" w:space="0" w:color="000000"/>
                          <w:bottom w:val="single" w:sz="4" w:space="0" w:color="000000"/>
                          <w:right w:val="single" w:sz="4" w:space="0" w:color="000000"/>
                        </w:tcBorders>
                      </w:tcPr>
                      <w:p>
                        <w:pPr/>
                      </w:p>
                    </w:tc>
                  </w:tr>
                  <w:tr>
                    <w:trPr>
                      <w:trHeight w:val="1877" w:hRule="exact"/>
                    </w:trPr>
                    <w:tc>
                      <w:tcPr>
                        <w:tcW w:w="2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3686" w:type="dxa"/>
                        <w:gridSpan w:val="2"/>
                        <w:vMerge w:val="restart"/>
                        <w:tcBorders>
                          <w:top w:val="single" w:sz="4" w:space="0" w:color="000000"/>
                          <w:left w:val="single" w:sz="10" w:space="0" w:color="D2D2D2"/>
                          <w:right w:val="single" w:sz="9" w:space="0" w:color="FFFFFF"/>
                        </w:tcBorders>
                      </w:tcPr>
                      <w:p>
                        <w:pPr>
                          <w:pStyle w:val="TableParagraph"/>
                          <w:spacing w:line="316" w:lineRule="auto" w:before="51"/>
                          <w:ind w:left="15" w:right="15"/>
                          <w:jc w:val="left"/>
                          <w:rPr>
                            <w:rFonts w:ascii="宋体" w:hAnsi="宋体" w:cs="宋体" w:eastAsia="宋体" w:hint="default"/>
                            <w:sz w:val="18"/>
                            <w:szCs w:val="18"/>
                          </w:rPr>
                        </w:pPr>
                        <w:r>
                          <w:rPr>
                            <w:rFonts w:ascii="宋体" w:hAnsi="宋体" w:cs="宋体" w:eastAsia="宋体" w:hint="default"/>
                            <w:sz w:val="18"/>
                            <w:szCs w:val="18"/>
                          </w:rPr>
                          <w:t>财务报告内部控制缺陷的定量标准以其对财务 报表的影响程度来确定，即通过比较内部控制 缺陷所影响财务数据的金额与公司财务报表的 重要性水平，判定该缺陷是属于一般缺陷、重 要缺陷还是重大缺陷，公司选择经审计上年度 合并报表利润总额的</w:t>
                        </w:r>
                        <w:r>
                          <w:rPr>
                            <w:rFonts w:ascii="宋体" w:hAnsi="宋体" w:cs="宋体" w:eastAsia="宋体" w:hint="default"/>
                            <w:spacing w:val="-61"/>
                            <w:sz w:val="18"/>
                            <w:szCs w:val="18"/>
                          </w:rPr>
                          <w:t> </w:t>
                        </w:r>
                        <w:r>
                          <w:rPr>
                            <w:rFonts w:ascii="宋体" w:hAnsi="宋体" w:cs="宋体" w:eastAsia="宋体" w:hint="default"/>
                            <w:sz w:val="18"/>
                            <w:szCs w:val="18"/>
                          </w:rPr>
                          <w:t>5%</w:t>
                        </w:r>
                        <w:r>
                          <w:rPr>
                            <w:rFonts w:ascii="宋体" w:hAnsi="宋体" w:cs="宋体" w:eastAsia="宋体" w:hint="default"/>
                            <w:sz w:val="18"/>
                            <w:szCs w:val="18"/>
                          </w:rPr>
                          <w:t>作为重要性水平的认定 标准。以内部控制缺陷可能导致或者已经导致 的财务报表中某科目的错报、漏报或者损失的 金额占公司重要性水平的比重判定内部控制缺 </w:t>
                        </w:r>
                        <w:r>
                          <w:rPr>
                            <w:rFonts w:ascii="宋体" w:hAnsi="宋体" w:cs="宋体" w:eastAsia="宋体" w:hint="default"/>
                            <w:spacing w:val="-6"/>
                            <w:sz w:val="18"/>
                            <w:szCs w:val="18"/>
                          </w:rPr>
                          <w:t>陷的类型，具体如下：①＞重要性水平的</w:t>
                        </w:r>
                        <w:r>
                          <w:rPr>
                            <w:rFonts w:ascii="宋体" w:hAnsi="宋体" w:cs="宋体" w:eastAsia="宋体" w:hint="default"/>
                            <w:spacing w:val="-46"/>
                            <w:sz w:val="18"/>
                            <w:szCs w:val="18"/>
                          </w:rPr>
                          <w:t> </w:t>
                        </w:r>
                        <w:r>
                          <w:rPr>
                            <w:rFonts w:ascii="宋体" w:hAnsi="宋体" w:cs="宋体" w:eastAsia="宋体" w:hint="default"/>
                            <w:sz w:val="18"/>
                            <w:szCs w:val="18"/>
                          </w:rPr>
                          <w:t>100% </w:t>
                        </w:r>
                        <w:r>
                          <w:rPr>
                            <w:rFonts w:ascii="宋体" w:hAnsi="宋体" w:cs="宋体" w:eastAsia="宋体" w:hint="default"/>
                            <w:sz w:val="18"/>
                            <w:szCs w:val="18"/>
                          </w:rPr>
                          <w:t>缺陷认定等级为重大缺陷；②占重要性比例的 </w:t>
                        </w:r>
                        <w:r>
                          <w:rPr>
                            <w:rFonts w:ascii="宋体" w:hAnsi="宋体" w:cs="宋体" w:eastAsia="宋体" w:hint="default"/>
                            <w:sz w:val="18"/>
                            <w:szCs w:val="18"/>
                          </w:rPr>
                          <w:t>20%-100%</w:t>
                        </w:r>
                        <w:r>
                          <w:rPr>
                            <w:rFonts w:ascii="宋体" w:hAnsi="宋体" w:cs="宋体" w:eastAsia="宋体" w:hint="default"/>
                            <w:sz w:val="18"/>
                            <w:szCs w:val="18"/>
                          </w:rPr>
                          <w:t>，缺陷认定等级为重要缺陷；③＜重 要性水平的</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z w:val="18"/>
                            <w:szCs w:val="18"/>
                          </w:rPr>
                          <w:t>，缺陷认定等级为一般缺陷。</w:t>
                        </w:r>
                      </w:p>
                    </w:tc>
                    <w:tc>
                      <w:tcPr>
                        <w:tcW w:w="3330" w:type="dxa"/>
                        <w:vMerge w:val="restart"/>
                        <w:tcBorders>
                          <w:top w:val="single" w:sz="4" w:space="0" w:color="000000"/>
                          <w:left w:val="single" w:sz="9" w:space="0" w:color="FFFFFF"/>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 w:right="60"/>
                          <w:jc w:val="both"/>
                          <w:rPr>
                            <w:rFonts w:ascii="宋体" w:hAnsi="宋体" w:cs="宋体" w:eastAsia="宋体" w:hint="default"/>
                            <w:sz w:val="18"/>
                            <w:szCs w:val="18"/>
                          </w:rPr>
                        </w:pPr>
                        <w:r>
                          <w:rPr>
                            <w:rFonts w:ascii="宋体" w:hAnsi="宋体" w:cs="宋体" w:eastAsia="宋体" w:hint="default"/>
                            <w:sz w:val="18"/>
                            <w:szCs w:val="18"/>
                          </w:rPr>
                          <w:t>非财务报告内部控制缺陷是指虽不直接影 响财务报告的真实性、准确性和完整性， </w:t>
                        </w:r>
                        <w:r>
                          <w:rPr>
                            <w:rFonts w:ascii="宋体" w:hAnsi="宋体" w:cs="宋体" w:eastAsia="宋体" w:hint="default"/>
                            <w:spacing w:val="-4"/>
                            <w:sz w:val="18"/>
                            <w:szCs w:val="18"/>
                          </w:rPr>
                          <w:t>但对公司经营管理的合法合规、资产安全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经营的效率和效果等控制目标的实现存在 不利影响的内部控制缺陷。公司确定非财 务报告内部控制缺陷的定量标准是根据缺 陷可能造成直接财产损失的金额确定，具 体如下：①损失金额</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万元及以上，认</w:t>
                        </w:r>
                      </w:p>
                      <w:p>
                        <w:pPr>
                          <w:pStyle w:val="TableParagraph"/>
                          <w:spacing w:line="196" w:lineRule="exact" w:before="19"/>
                          <w:ind w:left="16" w:right="0"/>
                          <w:jc w:val="both"/>
                          <w:rPr>
                            <w:rFonts w:ascii="宋体" w:hAnsi="宋体" w:cs="宋体" w:eastAsia="宋体" w:hint="default"/>
                            <w:sz w:val="18"/>
                            <w:szCs w:val="18"/>
                          </w:rPr>
                        </w:pPr>
                        <w:r>
                          <w:rPr>
                            <w:rFonts w:ascii="宋体" w:hAnsi="宋体" w:cs="宋体" w:eastAsia="宋体" w:hint="default"/>
                            <w:sz w:val="18"/>
                            <w:szCs w:val="18"/>
                          </w:rPr>
                          <w:t>定缺陷等级为重大缺陷；②损失金额</w:t>
                        </w:r>
                        <w:r>
                          <w:rPr>
                            <w:rFonts w:ascii="宋体" w:hAnsi="宋体" w:cs="宋体" w:eastAsia="宋体" w:hint="default"/>
                            <w:spacing w:val="-46"/>
                            <w:sz w:val="18"/>
                            <w:szCs w:val="18"/>
                          </w:rPr>
                          <w:t> </w:t>
                        </w:r>
                        <w:r>
                          <w:rPr>
                            <w:rFonts w:ascii="宋体" w:hAnsi="宋体" w:cs="宋体" w:eastAsia="宋体" w:hint="default"/>
                            <w:sz w:val="18"/>
                            <w:szCs w:val="18"/>
                          </w:rPr>
                          <w:t>100</w:t>
                        </w:r>
                      </w:p>
                      <w:p>
                        <w:pPr>
                          <w:pStyle w:val="TableParagraph"/>
                          <w:spacing w:line="15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both"/>
                          <w:rPr>
                            <w:rFonts w:ascii="宋体" w:hAnsi="宋体" w:cs="宋体" w:eastAsia="宋体" w:hint="default"/>
                            <w:sz w:val="18"/>
                            <w:szCs w:val="18"/>
                          </w:rPr>
                        </w:pP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万元）至</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万元，认定缺</w:t>
                        </w:r>
                      </w:p>
                      <w:p>
                        <w:pPr>
                          <w:pStyle w:val="TableParagraph"/>
                          <w:spacing w:line="319" w:lineRule="auto" w:before="76"/>
                          <w:ind w:left="16" w:right="106"/>
                          <w:jc w:val="both"/>
                          <w:rPr>
                            <w:rFonts w:ascii="宋体" w:hAnsi="宋体" w:cs="宋体" w:eastAsia="宋体" w:hint="default"/>
                            <w:sz w:val="18"/>
                            <w:szCs w:val="18"/>
                          </w:rPr>
                        </w:pPr>
                        <w:r>
                          <w:rPr>
                            <w:rFonts w:ascii="宋体" w:hAnsi="宋体" w:cs="宋体" w:eastAsia="宋体" w:hint="default"/>
                            <w:sz w:val="18"/>
                            <w:szCs w:val="18"/>
                          </w:rPr>
                          <w:t>陷等级为重要缺陷；③损失金额小于</w:t>
                        </w:r>
                        <w:r>
                          <w:rPr>
                            <w:rFonts w:ascii="宋体" w:hAnsi="宋体" w:cs="宋体" w:eastAsia="宋体" w:hint="default"/>
                            <w:spacing w:val="-46"/>
                            <w:sz w:val="18"/>
                            <w:szCs w:val="18"/>
                          </w:rPr>
                          <w:t> </w:t>
                        </w:r>
                        <w:r>
                          <w:rPr>
                            <w:rFonts w:ascii="宋体" w:hAnsi="宋体" w:cs="宋体" w:eastAsia="宋体" w:hint="default"/>
                            <w:sz w:val="18"/>
                            <w:szCs w:val="18"/>
                          </w:rPr>
                          <w:t>100 </w:t>
                        </w:r>
                        <w:r>
                          <w:rPr>
                            <w:rFonts w:ascii="宋体" w:hAnsi="宋体" w:cs="宋体" w:eastAsia="宋体" w:hint="default"/>
                            <w:sz w:val="18"/>
                            <w:szCs w:val="18"/>
                          </w:rPr>
                          <w:t>万元，认定缺陷等级为一般缺陷。</w:t>
                        </w:r>
                      </w:p>
                    </w:tc>
                  </w:tr>
                  <w:tr>
                    <w:trPr>
                      <w:trHeight w:val="392" w:hRule="exact"/>
                    </w:trPr>
                    <w:tc>
                      <w:tcPr>
                        <w:tcW w:w="25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686" w:type="dxa"/>
                        <w:gridSpan w:val="2"/>
                        <w:vMerge/>
                        <w:tcBorders>
                          <w:left w:val="single" w:sz="10" w:space="0" w:color="D2D2D2"/>
                          <w:right w:val="single" w:sz="9" w:space="0" w:color="FFFFFF"/>
                        </w:tcBorders>
                      </w:tcPr>
                      <w:p>
                        <w:pPr/>
                      </w:p>
                    </w:tc>
                    <w:tc>
                      <w:tcPr>
                        <w:tcW w:w="3330" w:type="dxa"/>
                        <w:vMerge/>
                        <w:tcBorders>
                          <w:left w:val="single" w:sz="9" w:space="0" w:color="FFFFFF"/>
                          <w:right w:val="nil" w:sz="6" w:space="0" w:color="auto"/>
                        </w:tcBorders>
                      </w:tcPr>
                      <w:p>
                        <w:pPr/>
                      </w:p>
                    </w:tc>
                  </w:tr>
                  <w:tr>
                    <w:trPr>
                      <w:trHeight w:val="1877" w:hRule="exact"/>
                    </w:trPr>
                    <w:tc>
                      <w:tcPr>
                        <w:tcW w:w="2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3686" w:type="dxa"/>
                        <w:gridSpan w:val="2"/>
                        <w:vMerge/>
                        <w:tcBorders>
                          <w:left w:val="single" w:sz="10" w:space="0" w:color="D2D2D2"/>
                          <w:bottom w:val="single" w:sz="4" w:space="0" w:color="000000"/>
                          <w:right w:val="single" w:sz="9" w:space="0" w:color="FFFFFF"/>
                        </w:tcBorders>
                      </w:tcPr>
                      <w:p>
                        <w:pPr/>
                      </w:p>
                    </w:tc>
                    <w:tc>
                      <w:tcPr>
                        <w:tcW w:w="3330" w:type="dxa"/>
                        <w:vMerge/>
                        <w:tcBorders>
                          <w:left w:val="single" w:sz="9" w:space="0" w:color="FFFFFF"/>
                          <w:bottom w:val="single" w:sz="4" w:space="0" w:color="000000"/>
                          <w:right w:val="nil" w:sz="6" w:space="0" w:color="auto"/>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016"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7016"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016"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7016"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line="624" w:lineRule="exact"/>
        <w:ind w:left="6420"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63.8pt;height:31.2pt;mso-position-horizontal-relative:char;mso-position-vertical-relative:line" coordorigin="0,0" coordsize="3276,624">
            <v:group style="position:absolute;left:0;top:0;width:3276;height:312" coordorigin="0,0" coordsize="3276,312">
              <v:shape style="position:absolute;left:0;top:0;width:3276;height:312" coordorigin="0,0" coordsize="3276,312" path="m0,312l3275,312,3275,0,0,0,0,312xe" filled="true" fillcolor="#ffffff" stroked="false">
                <v:path arrowok="t"/>
                <v:fill type="solid"/>
              </v:shape>
            </v:group>
            <v:group style="position:absolute;left:0;top:312;width:3276;height:312" coordorigin="0,312" coordsize="3276,312">
              <v:shape style="position:absolute;left:0;top:312;width:3276;height:312" coordorigin="0,312" coordsize="3276,312" path="m0,624l3275,624,3275,312,0,312,0,624xe" filled="true" fillcolor="#ffffff" stroked="false">
                <v:path arrowok="t"/>
                <v:fill type="solid"/>
              </v:shape>
            </v:group>
          </v:group>
        </w:pict>
      </w:r>
      <w:r>
        <w:rPr>
          <w:rFonts w:ascii="宋体" w:hAnsi="宋体" w:cs="宋体" w:eastAsia="宋体" w:hint="default"/>
          <w:position w:val="-11"/>
          <w:sz w:val="20"/>
          <w:szCs w:val="20"/>
        </w:rPr>
      </w:r>
    </w:p>
    <w:p>
      <w:pPr>
        <w:spacing w:after="0" w:line="624" w:lineRule="exact"/>
        <w:rPr>
          <w:rFonts w:ascii="宋体" w:hAnsi="宋体" w:cs="宋体" w:eastAsia="宋体" w:hint="default"/>
          <w:sz w:val="20"/>
          <w:szCs w:val="20"/>
        </w:rPr>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bookmarkStart w:name="十、内部控制审计报告" w:id="153"/>
      <w:bookmarkEnd w:id="153"/>
      <w:r>
        <w:rPr>
          <w:b w:val="0"/>
          <w:bCs w:val="0"/>
        </w:rPr>
      </w:r>
      <w:r>
        <w:rPr/>
        <w:t>十、内部控制审计报告</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60"/>
        <w:ind w:right="0"/>
        <w:jc w:val="left"/>
      </w:pPr>
      <w:r>
        <w:rPr/>
        <w:t>√ 适用 □</w:t>
      </w:r>
      <w:r>
        <w:rPr>
          <w:spacing w:val="-1"/>
        </w:rPr>
        <w:t> </w:t>
      </w:r>
      <w:r>
        <w:rPr/>
        <w:t>不适用</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8"/>
        <w:gridCol w:w="6591"/>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4"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日按照《企业内部控制基本规范》和相关规定在所有重大方面保持了有效的财务报告内部控制。</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内容详见公司在巨潮网披露的《华闻传媒投资集团股份有限公司</w:t>
            </w:r>
            <w:r>
              <w:rPr>
                <w:rFonts w:ascii="宋体" w:hAnsi="宋体" w:cs="宋体" w:eastAsia="宋体" w:hint="default"/>
                <w:spacing w:val="-60"/>
                <w:sz w:val="18"/>
                <w:szCs w:val="18"/>
              </w:rPr>
              <w:t> </w:t>
            </w:r>
            <w:r>
              <w:rPr>
                <w:rFonts w:ascii="宋体" w:hAnsi="宋体" w:cs="宋体" w:eastAsia="宋体" w:hint="default"/>
                <w:sz w:val="18"/>
                <w:szCs w:val="18"/>
              </w:rPr>
              <w:t>2018</w:t>
            </w:r>
            <w:r>
              <w:rPr>
                <w:rFonts w:ascii="宋体" w:hAnsi="宋体" w:cs="宋体" w:eastAsia="宋体" w:hint="default"/>
                <w:spacing w:val="-61"/>
                <w:sz w:val="18"/>
                <w:szCs w:val="18"/>
              </w:rPr>
              <w:t> </w:t>
            </w:r>
            <w:r>
              <w:rPr>
                <w:rFonts w:ascii="宋体" w:hAnsi="宋体" w:cs="宋体" w:eastAsia="宋体" w:hint="default"/>
                <w:sz w:val="18"/>
                <w:szCs w:val="18"/>
              </w:rPr>
              <w:t>年内部控制审 </w:t>
            </w:r>
            <w:r>
              <w:rPr>
                <w:rFonts w:ascii="宋体" w:hAnsi="宋体" w:cs="宋体" w:eastAsia="宋体" w:hint="default"/>
                <w:spacing w:val="-18"/>
                <w:sz w:val="18"/>
                <w:szCs w:val="18"/>
              </w:rPr>
              <w:t>计报告》。</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黑体" w:hAnsi="黑体" w:cs="黑体" w:eastAsia="黑体" w:hint="default"/>
                <w:sz w:val="18"/>
                <w:szCs w:val="18"/>
              </w:rPr>
            </w:pPr>
            <w:r>
              <w:rPr>
                <w:rFonts w:ascii="黑体" w:hAnsi="黑体" w:cs="黑体" w:eastAsia="黑体" w:hint="default"/>
                <w:b/>
                <w:bCs/>
                <w:sz w:val="18"/>
                <w:szCs w:val="18"/>
              </w:rPr>
              <w:t>标准无保留意见</w:t>
            </w:r>
            <w:r>
              <w:rPr>
                <w:rFonts w:ascii="黑体" w:hAnsi="黑体" w:cs="黑体" w:eastAsia="黑体" w:hint="default"/>
                <w:sz w:val="18"/>
                <w:szCs w:val="18"/>
              </w:rPr>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2"/>
        <w:rPr>
          <w:rFonts w:ascii="宋体" w:hAnsi="宋体" w:cs="宋体" w:eastAsia="宋体" w:hint="default"/>
          <w:sz w:val="10"/>
          <w:szCs w:val="10"/>
        </w:rPr>
      </w:pPr>
    </w:p>
    <w:p>
      <w:pPr>
        <w:pStyle w:val="BodyText"/>
        <w:spacing w:line="240" w:lineRule="auto" w:before="35"/>
        <w:ind w:right="0"/>
        <w:jc w:val="left"/>
      </w:pPr>
      <w:r>
        <w:rPr/>
        <w:t>会计师事务所是否出具非标准意见的内部控制审计报告</w:t>
      </w:r>
    </w:p>
    <w:p>
      <w:pPr>
        <w:spacing w:line="240" w:lineRule="auto" w:before="9"/>
        <w:rPr>
          <w:rFonts w:ascii="宋体" w:hAnsi="宋体" w:cs="宋体" w:eastAsia="宋体" w:hint="default"/>
          <w:sz w:val="18"/>
          <w:szCs w:val="18"/>
        </w:rPr>
      </w:pPr>
    </w:p>
    <w:p>
      <w:pPr>
        <w:pStyle w:val="BodyText"/>
        <w:spacing w:line="456" w:lineRule="auto"/>
        <w:ind w:right="3612"/>
        <w:jc w:val="left"/>
      </w:pPr>
      <w:r>
        <w:rPr/>
        <w:t>□ 是 √ 否 会计师事务所出具的内部控制审计报告与董事会的自我评价报告意见是否一致</w:t>
      </w:r>
    </w:p>
    <w:p>
      <w:pPr>
        <w:pStyle w:val="BodyText"/>
        <w:spacing w:line="240" w:lineRule="auto" w:before="55"/>
        <w:ind w:right="0"/>
        <w:jc w:val="left"/>
      </w:pPr>
      <w:r>
        <w:rPr/>
        <w:t>√ 是 □ 否</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0"/>
        <w:jc w:val="left"/>
        <w:rPr>
          <w:b w:val="0"/>
          <w:bCs w:val="0"/>
        </w:rPr>
      </w:pPr>
      <w:bookmarkStart w:name="第十节 公司债券相关情况" w:id="154"/>
      <w:bookmarkEnd w:id="154"/>
      <w:r>
        <w:rPr>
          <w:b w:val="0"/>
          <w:bCs w:val="0"/>
        </w:rPr>
      </w:r>
      <w:bookmarkStart w:name="_bookmark8" w:id="155"/>
      <w:bookmarkEnd w:id="155"/>
      <w:r>
        <w:rPr>
          <w:b w:val="0"/>
          <w:bCs w:val="0"/>
        </w:rPr>
      </w:r>
      <w:r>
        <w:rPr/>
        <w:t>第十节</w:t>
      </w:r>
      <w:r>
        <w:rPr>
          <w:spacing w:val="-9"/>
        </w:rPr>
        <w:t> </w:t>
      </w:r>
      <w:r>
        <w:rPr/>
        <w:t>公司债券相关情况</w:t>
      </w:r>
      <w:r>
        <w:rPr>
          <w:b w:val="0"/>
          <w:bCs w:val="0"/>
        </w:rPr>
      </w:r>
    </w:p>
    <w:p>
      <w:pPr>
        <w:spacing w:line="240" w:lineRule="auto" w:before="0"/>
        <w:rPr>
          <w:rFonts w:ascii="宋体" w:hAnsi="宋体" w:cs="宋体" w:eastAsia="宋体" w:hint="default"/>
          <w:b/>
          <w:bCs/>
          <w:sz w:val="32"/>
          <w:szCs w:val="32"/>
        </w:rPr>
      </w:pPr>
    </w:p>
    <w:p>
      <w:pPr>
        <w:pStyle w:val="BodyText"/>
        <w:spacing w:line="420" w:lineRule="auto" w:before="265"/>
        <w:ind w:right="1116"/>
        <w:jc w:val="left"/>
      </w:pPr>
      <w:r>
        <w:rPr>
          <w:spacing w:val="-1"/>
        </w:rPr>
        <w:t>公司是否存在公开发行并在证券交易所上市，且在年度报告批准报出日未到期或到期未能全额兑付的公司</w:t>
      </w:r>
      <w:r>
        <w:rPr>
          <w:spacing w:val="-81"/>
        </w:rPr>
        <w:t> </w:t>
      </w:r>
      <w:r>
        <w:rPr>
          <w:spacing w:val="-81"/>
        </w:rPr>
      </w:r>
      <w:r>
        <w:rPr/>
        <w:t>债券</w:t>
      </w:r>
    </w:p>
    <w:p>
      <w:pPr>
        <w:pStyle w:val="BodyText"/>
        <w:spacing w:line="240" w:lineRule="auto" w:before="87"/>
        <w:ind w:right="0"/>
        <w:jc w:val="left"/>
      </w:pPr>
      <w:r>
        <w:rPr/>
        <w:t>否</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08" w:right="0"/>
        <w:jc w:val="left"/>
        <w:rPr>
          <w:b w:val="0"/>
          <w:bCs w:val="0"/>
        </w:rPr>
      </w:pPr>
      <w:bookmarkStart w:name="第十一节 财务报告" w:id="156"/>
      <w:bookmarkEnd w:id="156"/>
      <w:r>
        <w:rPr>
          <w:b w:val="0"/>
          <w:bCs w:val="0"/>
        </w:rPr>
      </w:r>
      <w:bookmarkStart w:name="_bookmark9" w:id="157"/>
      <w:bookmarkEnd w:id="157"/>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bookmarkStart w:name="一、审计报告" w:id="158"/>
      <w:bookmarkEnd w:id="15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亚会</w:t>
            </w:r>
            <w:r>
              <w:rPr>
                <w:rFonts w:ascii="宋体" w:hAnsi="宋体" w:cs="宋体" w:eastAsia="宋体" w:hint="default"/>
                <w:spacing w:val="-46"/>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审字（</w:t>
            </w:r>
            <w:r>
              <w:rPr>
                <w:rFonts w:ascii="宋体" w:hAnsi="宋体" w:cs="宋体" w:eastAsia="宋体" w:hint="default"/>
                <w:sz w:val="18"/>
                <w:szCs w:val="18"/>
              </w:rPr>
              <w:t>2019</w:t>
            </w:r>
            <w:r>
              <w:rPr>
                <w:rFonts w:ascii="宋体" w:hAnsi="宋体" w:cs="宋体" w:eastAsia="宋体" w:hint="default"/>
                <w:sz w:val="18"/>
                <w:szCs w:val="18"/>
              </w:rPr>
              <w:t>）</w:t>
            </w:r>
            <w:r>
              <w:rPr>
                <w:rFonts w:ascii="宋体" w:hAnsi="宋体" w:cs="宋体" w:eastAsia="宋体" w:hint="default"/>
                <w:sz w:val="18"/>
                <w:szCs w:val="18"/>
              </w:rPr>
              <w:t>0047</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傅伟兵、方鹏翔</w:t>
            </w:r>
          </w:p>
        </w:tc>
      </w:tr>
    </w:tbl>
    <w:p>
      <w:pPr>
        <w:spacing w:before="51"/>
        <w:ind w:left="241" w:right="1217"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12"/>
        <w:rPr>
          <w:rFonts w:ascii="宋体" w:hAnsi="宋体" w:cs="宋体" w:eastAsia="宋体" w:hint="default"/>
          <w:sz w:val="15"/>
          <w:szCs w:val="15"/>
        </w:rPr>
      </w:pPr>
    </w:p>
    <w:p>
      <w:pPr>
        <w:pStyle w:val="BodyText"/>
        <w:spacing w:line="240" w:lineRule="auto" w:before="35"/>
        <w:ind w:left="0" w:right="1130"/>
        <w:jc w:val="right"/>
      </w:pPr>
      <w:r>
        <w:rPr>
          <w:spacing w:val="-1"/>
        </w:rPr>
        <w:t>亚会</w:t>
      </w:r>
      <w:r>
        <w:rPr>
          <w:rFonts w:ascii="Times New Roman" w:hAnsi="Times New Roman" w:cs="Times New Roman" w:eastAsia="Times New Roman" w:hint="default"/>
          <w:spacing w:val="-1"/>
        </w:rPr>
        <w:t>A</w:t>
      </w:r>
      <w:r>
        <w:rPr>
          <w:spacing w:val="-1"/>
        </w:rPr>
        <w:t>审字（</w:t>
      </w:r>
      <w:r>
        <w:rPr>
          <w:rFonts w:ascii="Times New Roman" w:hAnsi="Times New Roman" w:cs="Times New Roman" w:eastAsia="Times New Roman" w:hint="default"/>
          <w:spacing w:val="-1"/>
        </w:rPr>
        <w:t>2019</w:t>
      </w:r>
      <w:r>
        <w:rPr>
          <w:spacing w:val="-1"/>
        </w:rPr>
        <w:t>）</w:t>
      </w:r>
      <w:r>
        <w:rPr>
          <w:rFonts w:ascii="Times New Roman" w:hAnsi="Times New Roman" w:cs="Times New Roman" w:eastAsia="Times New Roman" w:hint="default"/>
          <w:spacing w:val="-1"/>
        </w:rPr>
        <w:t>0047</w:t>
      </w:r>
      <w:r>
        <w:rPr>
          <w:spacing w:val="-1"/>
        </w:rPr>
        <w:t>号</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460" w:lineRule="exact" w:before="0"/>
        <w:ind w:left="963" w:right="1217" w:firstLine="0"/>
        <w:jc w:val="center"/>
        <w:rPr>
          <w:rFonts w:ascii="宋体" w:hAnsi="宋体" w:cs="宋体" w:eastAsia="宋体" w:hint="default"/>
          <w:sz w:val="36"/>
          <w:szCs w:val="36"/>
        </w:rPr>
      </w:pPr>
      <w:r>
        <w:rPr>
          <w:rFonts w:ascii="宋体" w:hAnsi="宋体" w:cs="宋体" w:eastAsia="宋体" w:hint="default"/>
          <w:b/>
          <w:bCs/>
          <w:sz w:val="36"/>
          <w:szCs w:val="36"/>
        </w:rPr>
        <w:t>审计报告</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10"/>
        <w:rPr>
          <w:rFonts w:ascii="宋体" w:hAnsi="宋体" w:cs="宋体" w:eastAsia="宋体" w:hint="default"/>
          <w:b/>
          <w:bCs/>
          <w:sz w:val="48"/>
          <w:szCs w:val="48"/>
        </w:rPr>
      </w:pPr>
    </w:p>
    <w:p>
      <w:pPr>
        <w:pStyle w:val="Heading2"/>
        <w:spacing w:line="240" w:lineRule="auto" w:before="0"/>
        <w:ind w:left="636" w:right="0"/>
        <w:jc w:val="left"/>
        <w:rPr>
          <w:b w:val="0"/>
          <w:bCs w:val="0"/>
        </w:rPr>
      </w:pPr>
      <w:r>
        <w:rPr/>
        <w:t>华闻传媒投资集团股份有限公司全体股东：</w:t>
      </w:r>
      <w:r>
        <w:rPr>
          <w:b w:val="0"/>
          <w:bCs w:val="0"/>
        </w:rPr>
      </w: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5"/>
          <w:szCs w:val="25"/>
        </w:rPr>
      </w:pPr>
    </w:p>
    <w:p>
      <w:pPr>
        <w:pStyle w:val="Heading3"/>
        <w:spacing w:line="367" w:lineRule="auto" w:before="0"/>
        <w:ind w:left="634" w:right="0" w:firstLine="2"/>
        <w:jc w:val="left"/>
        <w:rPr>
          <w:rFonts w:ascii="Times New Roman" w:hAnsi="Times New Roman" w:cs="Times New Roman" w:eastAsia="Times New Roman" w:hint="default"/>
        </w:rPr>
      </w:pPr>
      <w:r>
        <w:rPr>
          <w:rFonts w:ascii="宋体" w:hAnsi="宋体" w:cs="宋体" w:eastAsia="宋体" w:hint="default"/>
          <w:b/>
          <w:bCs/>
        </w:rPr>
        <w:t>一、审计意见</w:t>
      </w:r>
      <w:r>
        <w:rPr>
          <w:rFonts w:ascii="宋体" w:hAnsi="宋体" w:cs="宋体" w:eastAsia="宋体" w:hint="default"/>
          <w:b/>
          <w:bCs/>
          <w:w w:val="99"/>
        </w:rPr>
        <w:t> </w:t>
      </w:r>
      <w:r>
        <w:rPr>
          <w:spacing w:val="-5"/>
        </w:rPr>
        <w:t>我们审计了华闻传媒投资集团股份有限公司（以下简称</w:t>
      </w:r>
      <w:r>
        <w:rPr>
          <w:rFonts w:ascii="Times New Roman" w:hAnsi="Times New Roman" w:cs="Times New Roman" w:eastAsia="Times New Roman" w:hint="default"/>
          <w:spacing w:val="-5"/>
        </w:rPr>
        <w:t>“</w:t>
      </w:r>
      <w:r>
        <w:rPr>
          <w:spacing w:val="-5"/>
        </w:rPr>
        <w:t>华闻传媒</w:t>
      </w:r>
      <w:r>
        <w:rPr>
          <w:rFonts w:ascii="Times New Roman" w:hAnsi="Times New Roman" w:cs="Times New Roman" w:eastAsia="Times New Roman" w:hint="default"/>
          <w:spacing w:val="-5"/>
        </w:rPr>
        <w:t>”</w:t>
      </w:r>
      <w:r>
        <w:rPr>
          <w:spacing w:val="-5"/>
        </w:rPr>
        <w:t>）财务报表，包括</w:t>
      </w:r>
      <w:r>
        <w:rPr>
          <w:rFonts w:ascii="Times New Roman" w:hAnsi="Times New Roman" w:cs="Times New Roman" w:eastAsia="Times New Roman" w:hint="default"/>
          <w:spacing w:val="-5"/>
        </w:rPr>
        <w:t>2018</w:t>
      </w:r>
    </w:p>
    <w:p>
      <w:pPr>
        <w:pStyle w:val="Heading3"/>
        <w:spacing w:line="345" w:lineRule="auto" w:before="7"/>
        <w:ind w:right="0"/>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2018</w:t>
      </w:r>
      <w:r>
        <w:rPr/>
        <w:t>年度的合并及母公司利润表、合并及母公司现</w:t>
      </w:r>
      <w:r>
        <w:rPr>
          <w:spacing w:val="-111"/>
        </w:rPr>
        <w:t> </w:t>
      </w:r>
      <w:r>
        <w:rPr>
          <w:spacing w:val="-111"/>
        </w:rPr>
      </w:r>
      <w:r>
        <w:rPr/>
        <w:t>金流量表、合并及母公司股东权益变动表以及相关财务报表附注。</w:t>
      </w:r>
    </w:p>
    <w:p>
      <w:pPr>
        <w:pStyle w:val="Heading3"/>
        <w:spacing w:line="357" w:lineRule="auto" w:before="60"/>
        <w:ind w:right="1133" w:firstLine="480"/>
        <w:jc w:val="both"/>
      </w:pPr>
      <w:r>
        <w:rPr/>
        <w:t>我们认为，后附的财务报表在所有重大方面按照企业会计准则的规定编制，公允反映了 华闻传媒</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2018</w:t>
      </w:r>
      <w:r>
        <w:rPr/>
        <w:t>年度的合并及母公司经营成果和</w:t>
      </w:r>
      <w:r>
        <w:rPr>
          <w:spacing w:val="-105"/>
        </w:rPr>
        <w:t> </w:t>
      </w:r>
      <w:r>
        <w:rPr>
          <w:spacing w:val="-105"/>
        </w:rPr>
      </w:r>
      <w:r>
        <w:rPr/>
        <w:t>合并及母公司现金流量。</w:t>
      </w:r>
    </w:p>
    <w:p>
      <w:pPr>
        <w:spacing w:line="240" w:lineRule="auto" w:before="0"/>
        <w:rPr>
          <w:rFonts w:ascii="宋体" w:hAnsi="宋体" w:cs="宋体" w:eastAsia="宋体" w:hint="default"/>
          <w:sz w:val="24"/>
          <w:szCs w:val="24"/>
        </w:rPr>
      </w:pPr>
    </w:p>
    <w:p>
      <w:pPr>
        <w:spacing w:line="367" w:lineRule="auto" w:before="214"/>
        <w:ind w:left="634" w:right="1123" w:firstLine="2"/>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pacing w:val="-2"/>
          <w:sz w:val="24"/>
          <w:szCs w:val="24"/>
        </w:rPr>
        <w:t>我们按照中国注册会计师审计准则的规定执行了审计工作。审计报告的</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注册会计师对财</w:t>
      </w:r>
    </w:p>
    <w:p>
      <w:pPr>
        <w:pStyle w:val="Heading3"/>
        <w:spacing w:line="345" w:lineRule="auto" w:before="7"/>
        <w:ind w:right="1127"/>
        <w:jc w:val="left"/>
      </w:pPr>
      <w:r>
        <w:rPr>
          <w:spacing w:val="-2"/>
        </w:rPr>
        <w:t>务报表审计的责任</w:t>
      </w:r>
      <w:r>
        <w:rPr>
          <w:rFonts w:ascii="Times New Roman" w:hAnsi="Times New Roman" w:cs="Times New Roman" w:eastAsia="Times New Roman" w:hint="default"/>
          <w:spacing w:val="-2"/>
        </w:rPr>
        <w:t>”</w:t>
      </w:r>
      <w:r>
        <w:rPr>
          <w:spacing w:val="-2"/>
        </w:rPr>
        <w:t>部分进一步阐述了我们在这些准则下的责任。按照中国注册会计师职业道</w:t>
      </w:r>
      <w:r>
        <w:rPr>
          <w:spacing w:val="-107"/>
        </w:rPr>
        <w:t> </w:t>
      </w:r>
      <w:r>
        <w:rPr>
          <w:spacing w:val="-107"/>
        </w:rPr>
      </w:r>
      <w:r>
        <w:rPr>
          <w:spacing w:val="-1"/>
        </w:rPr>
        <w:t>德守则</w:t>
      </w:r>
      <w:r>
        <w:rPr>
          <w:rFonts w:ascii="Times New Roman" w:hAnsi="Times New Roman" w:cs="Times New Roman" w:eastAsia="Times New Roman" w:hint="default"/>
          <w:spacing w:val="-1"/>
        </w:rPr>
        <w:t>,</w:t>
      </w:r>
      <w:r>
        <w:rPr>
          <w:spacing w:val="-1"/>
        </w:rPr>
        <w:t>我们独立于华闻传媒，并履行了职业道德方面的其他责任。我们相信，我们获取的审</w:t>
      </w:r>
    </w:p>
    <w:p>
      <w:pPr>
        <w:spacing w:after="0" w:line="345"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62"/>
        <w:ind w:right="0"/>
        <w:jc w:val="left"/>
      </w:pPr>
      <w:r>
        <w:rPr/>
        <w:t>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Heading3"/>
        <w:spacing w:line="367" w:lineRule="auto" w:before="0"/>
        <w:ind w:left="634"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Heading3"/>
        <w:spacing w:line="367" w:lineRule="auto"/>
        <w:ind w:right="1116"/>
        <w:jc w:val="left"/>
      </w:pPr>
      <w:r>
        <w:rPr/>
        <w:t>项的应对以对财务报表整体进行审计并形成审计意见为背景，我们不对这些事项单独发表意</w:t>
      </w:r>
      <w:r>
        <w:rPr>
          <w:spacing w:val="-117"/>
        </w:rPr>
        <w:t> </w:t>
      </w:r>
      <w:r>
        <w:rPr>
          <w:spacing w:val="-117"/>
        </w:rPr>
      </w:r>
      <w:r>
        <w:rPr/>
        <w:t>见。</w:t>
      </w:r>
    </w:p>
    <w:p>
      <w:pPr>
        <w:pStyle w:val="Heading3"/>
        <w:spacing w:line="367" w:lineRule="auto"/>
        <w:ind w:left="634" w:right="3792"/>
        <w:jc w:val="left"/>
      </w:pPr>
      <w:r>
        <w:rPr/>
        <w:t>我们确定下列事项是需要在审计报告中沟通的关键审计事项： </w:t>
      </w:r>
      <w:r>
        <w:rPr>
          <w:rFonts w:ascii="宋体" w:hAnsi="宋体" w:cs="宋体" w:eastAsia="宋体" w:hint="default"/>
        </w:rPr>
        <w:t>1</w:t>
      </w:r>
      <w:r>
        <w:rPr/>
        <w:t>．商誉减值</w:t>
      </w:r>
    </w:p>
    <w:p>
      <w:pPr>
        <w:pStyle w:val="Heading3"/>
        <w:spacing w:line="240" w:lineRule="auto"/>
        <w:ind w:left="634" w:right="0"/>
        <w:jc w:val="left"/>
      </w:pPr>
      <w:r>
        <w:rPr>
          <w:rFonts w:ascii="宋体" w:hAnsi="宋体" w:cs="宋体" w:eastAsia="宋体" w:hint="default"/>
        </w:rPr>
        <w:t>2</w:t>
      </w:r>
      <w:r>
        <w:rPr/>
        <w:t>．可供出售金融资产减值</w:t>
      </w:r>
    </w:p>
    <w:p>
      <w:pPr>
        <w:pStyle w:val="Heading3"/>
        <w:spacing w:line="240" w:lineRule="auto" w:before="166"/>
        <w:ind w:left="634" w:right="0"/>
        <w:jc w:val="left"/>
      </w:pPr>
      <w:r>
        <w:rPr>
          <w:rFonts w:ascii="宋体" w:hAnsi="宋体" w:cs="宋体" w:eastAsia="宋体" w:hint="default"/>
        </w:rPr>
        <w:t>3</w:t>
      </w:r>
      <w:r>
        <w:rPr/>
        <w:t>．长期股权投资减值和投资损失</w:t>
      </w:r>
    </w:p>
    <w:p>
      <w:pPr>
        <w:pStyle w:val="Heading3"/>
        <w:spacing w:line="240" w:lineRule="auto" w:before="166"/>
        <w:ind w:left="634" w:right="0"/>
        <w:jc w:val="left"/>
      </w:pPr>
      <w:r>
        <w:rPr>
          <w:rFonts w:ascii="宋体" w:hAnsi="宋体" w:cs="宋体" w:eastAsia="宋体" w:hint="default"/>
        </w:rPr>
        <w:t>4</w:t>
      </w:r>
      <w:r>
        <w:rPr/>
        <w:t>．营业收入</w:t>
      </w:r>
    </w:p>
    <w:p>
      <w:pPr>
        <w:pStyle w:val="Heading3"/>
        <w:spacing w:line="240" w:lineRule="auto" w:before="166"/>
        <w:ind w:left="634" w:right="0"/>
        <w:jc w:val="left"/>
      </w:pPr>
      <w:r>
        <w:rPr/>
        <w:t>（一）商誉减值</w:t>
      </w:r>
    </w:p>
    <w:p>
      <w:pPr>
        <w:pStyle w:val="Heading3"/>
        <w:spacing w:line="345" w:lineRule="auto" w:before="166"/>
        <w:ind w:left="634" w:right="0"/>
        <w:jc w:val="left"/>
      </w:pPr>
      <w:r>
        <w:rPr>
          <w:rFonts w:ascii="Times New Roman" w:hAnsi="Times New Roman" w:cs="Times New Roman" w:eastAsia="Times New Roman" w:hint="default"/>
        </w:rPr>
        <w:t>1</w:t>
      </w:r>
      <w:r>
        <w:rPr/>
        <w:t>、事项描述 如财务报表附注六、（十七）所示，截至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日，华闻传媒合并资产负债表中</w:t>
      </w:r>
    </w:p>
    <w:p>
      <w:pPr>
        <w:pStyle w:val="Heading3"/>
        <w:spacing w:line="352" w:lineRule="auto" w:before="31"/>
        <w:ind w:right="1012"/>
        <w:jc w:val="left"/>
      </w:pPr>
      <w:r>
        <w:rPr/>
        <w:t>商誉账面原值扣除累计减值准备后的净值为人民币</w:t>
      </w:r>
      <w:r>
        <w:rPr>
          <w:rFonts w:ascii="Times New Roman" w:hAnsi="Times New Roman" w:cs="Times New Roman" w:eastAsia="Times New Roman" w:hint="default"/>
        </w:rPr>
        <w:t>174,723.64</w:t>
      </w:r>
      <w:r>
        <w:rPr/>
        <w:t>万元，占总资产比例的</w:t>
      </w:r>
      <w:r>
        <w:rPr>
          <w:rFonts w:ascii="Times New Roman" w:hAnsi="Times New Roman" w:cs="Times New Roman" w:eastAsia="Times New Roman" w:hint="default"/>
        </w:rPr>
        <w:t>13.54%</w:t>
      </w:r>
      <w:r>
        <w:rPr/>
        <w:t>。 如财务报表附注六、（四十五）所示本期发生商誉减值损失主要为华闻传媒之子公司天津掌 </w:t>
      </w:r>
      <w:r>
        <w:rPr>
          <w:spacing w:val="-2"/>
        </w:rPr>
        <w:t>视亿通信息技术有限公司发生商誉减值</w:t>
      </w:r>
      <w:r>
        <w:rPr>
          <w:rFonts w:ascii="Times New Roman" w:hAnsi="Times New Roman" w:cs="Times New Roman" w:eastAsia="Times New Roman" w:hint="default"/>
          <w:spacing w:val="-2"/>
        </w:rPr>
        <w:t>109,298.98</w:t>
      </w:r>
      <w:r>
        <w:rPr>
          <w:spacing w:val="-2"/>
        </w:rPr>
        <w:t>万元，华闻传媒之子公司北京澄怀科技有限</w:t>
      </w:r>
      <w:r>
        <w:rPr>
          <w:spacing w:val="-110"/>
        </w:rPr>
        <w:t> </w:t>
      </w:r>
      <w:r>
        <w:rPr>
          <w:spacing w:val="-110"/>
        </w:rPr>
      </w:r>
      <w:r>
        <w:rPr>
          <w:spacing w:val="4"/>
        </w:rPr>
        <w:t>公司发生商誉减值</w:t>
      </w:r>
      <w:r>
        <w:rPr>
          <w:rFonts w:ascii="Times New Roman" w:hAnsi="Times New Roman" w:cs="Times New Roman" w:eastAsia="Times New Roman" w:hint="default"/>
          <w:spacing w:val="4"/>
        </w:rPr>
        <w:t>56,590.77</w:t>
      </w:r>
      <w:r>
        <w:rPr>
          <w:spacing w:val="4"/>
        </w:rPr>
        <w:t>万元</w:t>
      </w:r>
      <w:r>
        <w:rPr>
          <w:rFonts w:ascii="Times New Roman" w:hAnsi="Times New Roman" w:cs="Times New Roman" w:eastAsia="Times New Roman" w:hint="default"/>
          <w:spacing w:val="4"/>
        </w:rPr>
        <w:t>,</w:t>
      </w:r>
      <w:r>
        <w:rPr>
          <w:spacing w:val="4"/>
        </w:rPr>
        <w:t>华闻传媒之子公司上海精视文化传播有限公司发生商誉减</w:t>
      </w:r>
      <w:r>
        <w:rPr>
          <w:spacing w:val="-85"/>
        </w:rPr>
        <w:t> </w:t>
      </w:r>
      <w:r>
        <w:rPr>
          <w:spacing w:val="-85"/>
        </w:rPr>
      </w:r>
      <w:r>
        <w:rPr/>
        <w:t>值</w:t>
      </w:r>
      <w:r>
        <w:rPr>
          <w:rFonts w:ascii="Times New Roman" w:hAnsi="Times New Roman" w:cs="Times New Roman" w:eastAsia="Times New Roman" w:hint="default"/>
        </w:rPr>
        <w:t>28,612.59</w:t>
      </w:r>
      <w:r>
        <w:rPr/>
        <w:t>万元。如财务报表附注四、（二十）所示，企业合并形成的商誉，华闻传媒至少</w:t>
      </w:r>
      <w:r>
        <w:rPr>
          <w:spacing w:val="-115"/>
        </w:rPr>
        <w:t> </w:t>
      </w:r>
      <w:r>
        <w:rPr>
          <w:spacing w:val="-115"/>
        </w:rPr>
      </w:r>
      <w:r>
        <w:rPr/>
        <w:t>在每年年度终了进行减值测试。这涉及管理层运用重大会计估计和判断，同时考虑商誉对于 财务报表整体的重要性，因此我们将商誉减值作为关键审计事项。</w:t>
      </w:r>
    </w:p>
    <w:p>
      <w:pPr>
        <w:pStyle w:val="Heading3"/>
        <w:spacing w:line="240" w:lineRule="auto" w:before="53"/>
        <w:ind w:left="634" w:right="0"/>
        <w:jc w:val="left"/>
      </w:pPr>
      <w:r>
        <w:rPr>
          <w:rFonts w:ascii="宋体" w:hAnsi="宋体" w:cs="宋体" w:eastAsia="宋体" w:hint="default"/>
        </w:rPr>
        <w:t>2</w:t>
      </w:r>
      <w:r>
        <w:rPr/>
        <w:t>、审计应对：</w:t>
      </w:r>
    </w:p>
    <w:p>
      <w:pPr>
        <w:pStyle w:val="Heading3"/>
        <w:spacing w:line="345" w:lineRule="auto" w:before="166"/>
        <w:ind w:right="0" w:firstLine="480"/>
        <w:jc w:val="left"/>
      </w:pPr>
      <w:r>
        <w:rPr>
          <w:spacing w:val="-3"/>
        </w:rPr>
        <w:t>（</w:t>
      </w:r>
      <w:r>
        <w:rPr>
          <w:rFonts w:ascii="Times New Roman" w:hAnsi="Times New Roman" w:cs="Times New Roman" w:eastAsia="Times New Roman" w:hint="default"/>
          <w:spacing w:val="-3"/>
        </w:rPr>
        <w:t>1</w:t>
      </w:r>
      <w:r>
        <w:rPr>
          <w:spacing w:val="-3"/>
        </w:rPr>
        <w:t>）询问管理层对商誉减值的会计政策，管理层对商誉至少每年进行减值测试。当出现</w:t>
      </w:r>
      <w:r>
        <w:rPr/>
        <w:t> 事项或者情况发生变化导致出现潜在减值迹象时，需要对商誉进行更加频繁的减值测试。</w:t>
      </w:r>
    </w:p>
    <w:p>
      <w:pPr>
        <w:pStyle w:val="Heading3"/>
        <w:spacing w:line="345" w:lineRule="auto" w:before="60"/>
        <w:ind w:right="0" w:firstLine="480"/>
        <w:jc w:val="left"/>
      </w:pPr>
      <w:r>
        <w:rPr>
          <w:spacing w:val="-6"/>
        </w:rPr>
        <w:t>（</w:t>
      </w:r>
      <w:r>
        <w:rPr>
          <w:rFonts w:ascii="Times New Roman" w:hAnsi="Times New Roman" w:cs="Times New Roman" w:eastAsia="Times New Roman" w:hint="default"/>
          <w:spacing w:val="-6"/>
        </w:rPr>
        <w:t>2</w:t>
      </w:r>
      <w:r>
        <w:rPr>
          <w:spacing w:val="-6"/>
        </w:rPr>
        <w:t>）向管理层了解商誉形成的原因，取得当初资产组的评估报告，转让协议等重要资料。</w:t>
      </w:r>
      <w:r>
        <w:rPr/>
        <w:t> 了解资产组的定价依据，并购方式，复核商誉账面价值的确认。</w:t>
      </w:r>
    </w:p>
    <w:p>
      <w:pPr>
        <w:pStyle w:val="Heading3"/>
        <w:spacing w:line="345" w:lineRule="auto" w:before="60"/>
        <w:ind w:right="0" w:firstLine="480"/>
        <w:jc w:val="left"/>
      </w:pPr>
      <w:r>
        <w:rPr>
          <w:spacing w:val="-3"/>
        </w:rPr>
        <w:t>（</w:t>
      </w:r>
      <w:r>
        <w:rPr>
          <w:rFonts w:ascii="Times New Roman" w:hAnsi="Times New Roman" w:cs="Times New Roman" w:eastAsia="Times New Roman" w:hint="default"/>
          <w:spacing w:val="-3"/>
        </w:rPr>
        <w:t>3</w:t>
      </w:r>
      <w:r>
        <w:rPr>
          <w:spacing w:val="-3"/>
        </w:rPr>
        <w:t>）由于商誉减值测试过程复杂，同时涉及重大判断，我们利用专家的意见，选用有证</w:t>
      </w:r>
      <w:r>
        <w:rPr/>
        <w:t> 券资格的评估师事务所，在审计过程中与评估师进行沟通。</w:t>
      </w:r>
    </w:p>
    <w:p>
      <w:pPr>
        <w:pStyle w:val="Heading3"/>
        <w:spacing w:line="240" w:lineRule="auto" w:before="60"/>
        <w:ind w:left="634" w:right="0"/>
        <w:jc w:val="left"/>
      </w:pPr>
      <w:r>
        <w:rPr>
          <w:spacing w:val="-3"/>
        </w:rPr>
        <w:t>（</w:t>
      </w:r>
      <w:r>
        <w:rPr>
          <w:rFonts w:ascii="Times New Roman" w:hAnsi="Times New Roman" w:cs="Times New Roman" w:eastAsia="Times New Roman" w:hint="default"/>
          <w:spacing w:val="-3"/>
        </w:rPr>
        <w:t>4</w:t>
      </w:r>
      <w:r>
        <w:rPr>
          <w:spacing w:val="-3"/>
        </w:rPr>
        <w:t>）我们需对减值测试的关键假设进行评估，在预测中需要做出重大判断，特别是对各</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pStyle w:val="Heading3"/>
        <w:spacing w:line="367" w:lineRule="auto" w:before="162"/>
        <w:ind w:right="1137"/>
        <w:jc w:val="both"/>
      </w:pPr>
      <w:r>
        <w:rPr/>
        <w:t>业务类型的增长率、毛利率以及其他相关费用，通过考虑并重新计算各资产组以及同行业可 比公司的加权平均资本成本，评估采用的折现率是否恰当，对未来现金流量净现值的计算是 否准确。</w:t>
      </w:r>
    </w:p>
    <w:p>
      <w:pPr>
        <w:pStyle w:val="Heading3"/>
        <w:spacing w:line="357" w:lineRule="auto" w:before="39"/>
        <w:ind w:right="1013" w:firstLine="480"/>
        <w:jc w:val="both"/>
      </w:pPr>
      <w:r>
        <w:rPr>
          <w:spacing w:val="-3"/>
        </w:rPr>
        <w:t>（</w:t>
      </w:r>
      <w:r>
        <w:rPr>
          <w:rFonts w:ascii="Times New Roman" w:hAnsi="Times New Roman" w:cs="Times New Roman" w:eastAsia="Times New Roman" w:hint="default"/>
          <w:spacing w:val="-3"/>
        </w:rPr>
        <w:t>5</w:t>
      </w:r>
      <w:r>
        <w:rPr>
          <w:spacing w:val="-3"/>
        </w:rPr>
        <w:t>）减值测试要求估计包含商誉的相关资产组的可收回金额，即相关资产组的公允价值</w:t>
      </w:r>
      <w:r>
        <w:rPr/>
        <w:t> 减去处置费用后的净额与相关资产组预计未来现金流量的现值两者之中的较高者。通过比较 </w:t>
      </w:r>
      <w:r>
        <w:rPr>
          <w:spacing w:val="-2"/>
        </w:rPr>
        <w:t>被分摊商誉的相关资产组的可收回金额与该资产组及商誉的账面价值，对商誉进行减值测试。</w:t>
      </w:r>
    </w:p>
    <w:p>
      <w:pPr>
        <w:pStyle w:val="Heading3"/>
        <w:spacing w:line="240" w:lineRule="auto" w:before="48"/>
        <w:ind w:left="634" w:right="0"/>
        <w:jc w:val="left"/>
      </w:pPr>
      <w:r>
        <w:rPr/>
        <w:t>（二）可供出售金融资产减值</w:t>
      </w:r>
    </w:p>
    <w:p>
      <w:pPr>
        <w:pStyle w:val="Heading3"/>
        <w:spacing w:line="345" w:lineRule="auto" w:before="166"/>
        <w:ind w:left="634" w:right="0"/>
        <w:jc w:val="left"/>
      </w:pPr>
      <w:r>
        <w:rPr>
          <w:rFonts w:ascii="Times New Roman" w:hAnsi="Times New Roman" w:cs="Times New Roman" w:eastAsia="Times New Roman" w:hint="default"/>
        </w:rPr>
        <w:t>1</w:t>
      </w:r>
      <w:r>
        <w:rPr/>
        <w:t>、事项描述 如财务报表附注六、（十）所示，截至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日，华闻传媒合并资产负债表中可</w:t>
      </w:r>
    </w:p>
    <w:p>
      <w:pPr>
        <w:pStyle w:val="Heading3"/>
        <w:spacing w:line="352" w:lineRule="auto" w:before="31"/>
        <w:ind w:right="1130"/>
        <w:jc w:val="both"/>
      </w:pPr>
      <w:r>
        <w:rPr>
          <w:spacing w:val="-2"/>
        </w:rPr>
        <w:t>供出售金融资产账面原值扣除累计减值准备后的净值为人民币</w:t>
      </w:r>
      <w:r>
        <w:rPr>
          <w:rFonts w:ascii="Times New Roman" w:hAnsi="Times New Roman" w:cs="Times New Roman" w:eastAsia="Times New Roman" w:hint="default"/>
          <w:spacing w:val="-2"/>
        </w:rPr>
        <w:t>198,468.95</w:t>
      </w:r>
      <w:r>
        <w:rPr>
          <w:spacing w:val="-2"/>
        </w:rPr>
        <w:t>万元，占总资产比例</w:t>
      </w:r>
      <w:r>
        <w:rPr>
          <w:spacing w:val="-110"/>
        </w:rPr>
        <w:t> </w:t>
      </w:r>
      <w:r>
        <w:rPr>
          <w:spacing w:val="-110"/>
        </w:rPr>
      </w:r>
      <w:r>
        <w:rPr/>
        <w:t>的</w:t>
      </w:r>
      <w:r>
        <w:rPr>
          <w:rFonts w:ascii="Times New Roman" w:hAnsi="Times New Roman" w:cs="Times New Roman" w:eastAsia="Times New Roman" w:hint="default"/>
        </w:rPr>
        <w:t>15.38%</w:t>
      </w:r>
      <w:r>
        <w:rPr/>
        <w:t>。如财务报表附注六、（四十五）所示本期发生可供出售金融资产减值损失主要为 义乌商阜创赢投资中心（有限合伙）（以下简称为</w:t>
      </w:r>
      <w:r>
        <w:rPr>
          <w:rFonts w:ascii="Times New Roman" w:hAnsi="Times New Roman" w:cs="Times New Roman" w:eastAsia="Times New Roman" w:hint="default"/>
        </w:rPr>
        <w:t>“</w:t>
      </w:r>
      <w:r>
        <w:rPr/>
        <w:t>商阜创赢</w:t>
      </w:r>
      <w:r>
        <w:rPr>
          <w:rFonts w:ascii="Times New Roman" w:hAnsi="Times New Roman" w:cs="Times New Roman" w:eastAsia="Times New Roman" w:hint="default"/>
        </w:rPr>
        <w:t>”</w:t>
      </w:r>
      <w:r>
        <w:rPr/>
        <w:t>）发生可供出售金融资产减值</w:t>
      </w:r>
      <w:r>
        <w:rPr>
          <w:spacing w:val="-83"/>
        </w:rPr>
        <w:t> </w:t>
      </w:r>
      <w:r>
        <w:rPr>
          <w:spacing w:val="-83"/>
        </w:rPr>
      </w:r>
      <w:r>
        <w:rPr/>
        <w:t>损失</w:t>
      </w:r>
      <w:r>
        <w:rPr>
          <w:rFonts w:ascii="Times New Roman" w:hAnsi="Times New Roman" w:cs="Times New Roman" w:eastAsia="Times New Roman" w:hint="default"/>
        </w:rPr>
        <w:t>33,300.00</w:t>
      </w:r>
      <w:r>
        <w:rPr/>
        <w:t>万元，浙江草根网络科技有限公司（以下简称为</w:t>
      </w:r>
      <w:r>
        <w:rPr>
          <w:rFonts w:ascii="Times New Roman" w:hAnsi="Times New Roman" w:cs="Times New Roman" w:eastAsia="Times New Roman" w:hint="default"/>
        </w:rPr>
        <w:t>“</w:t>
      </w:r>
      <w:r>
        <w:rPr/>
        <w:t>草根网络</w:t>
      </w:r>
      <w:r>
        <w:rPr>
          <w:rFonts w:ascii="Times New Roman" w:hAnsi="Times New Roman" w:cs="Times New Roman" w:eastAsia="Times New Roman" w:hint="default"/>
        </w:rPr>
        <w:t>”</w:t>
      </w:r>
      <w:r>
        <w:rPr/>
        <w:t>）发生可供出售金</w:t>
      </w:r>
      <w:r>
        <w:rPr>
          <w:spacing w:val="-81"/>
        </w:rPr>
        <w:t> </w:t>
      </w:r>
      <w:r>
        <w:rPr>
          <w:spacing w:val="-81"/>
        </w:rPr>
      </w:r>
      <w:r>
        <w:rPr>
          <w:spacing w:val="-7"/>
        </w:rPr>
        <w:t>融资产减值损失</w:t>
      </w:r>
      <w:r>
        <w:rPr>
          <w:rFonts w:ascii="Times New Roman" w:hAnsi="Times New Roman" w:cs="Times New Roman" w:eastAsia="Times New Roman" w:hint="default"/>
          <w:spacing w:val="-7"/>
        </w:rPr>
        <w:t>10,000.00</w:t>
      </w:r>
      <w:r>
        <w:rPr>
          <w:spacing w:val="-7"/>
        </w:rPr>
        <w:t>万元，芜湖弘唯基石创业投资合伙企业（有限合伙）（以下简称为</w:t>
      </w:r>
      <w:r>
        <w:rPr>
          <w:rFonts w:ascii="Times New Roman" w:hAnsi="Times New Roman" w:cs="Times New Roman" w:eastAsia="Times New Roman" w:hint="default"/>
          <w:spacing w:val="-7"/>
        </w:rPr>
        <w:t>“</w:t>
      </w:r>
      <w:r>
        <w:rPr>
          <w:spacing w:val="-7"/>
        </w:rPr>
        <w:t>弘</w:t>
      </w:r>
      <w:r>
        <w:rPr>
          <w:spacing w:val="-101"/>
        </w:rPr>
        <w:t> </w:t>
      </w:r>
      <w:r>
        <w:rPr/>
        <w:t>唯基石</w:t>
      </w:r>
      <w:r>
        <w:rPr>
          <w:rFonts w:ascii="Times New Roman" w:hAnsi="Times New Roman" w:cs="Times New Roman" w:eastAsia="Times New Roman" w:hint="default"/>
        </w:rPr>
        <w:t>”</w:t>
      </w:r>
      <w:r>
        <w:rPr/>
        <w:t>）发生可供出售金融资产减值损失</w:t>
      </w:r>
      <w:r>
        <w:rPr>
          <w:rFonts w:ascii="Times New Roman" w:hAnsi="Times New Roman" w:cs="Times New Roman" w:eastAsia="Times New Roman" w:hint="default"/>
        </w:rPr>
        <w:t>8,332.66</w:t>
      </w:r>
      <w:r>
        <w:rPr/>
        <w:t>万元。如财务报表附注四、（十）所示，</w:t>
      </w:r>
      <w:r>
        <w:rPr>
          <w:spacing w:val="-100"/>
        </w:rPr>
        <w:t> </w:t>
      </w:r>
      <w:r>
        <w:rPr>
          <w:spacing w:val="-100"/>
        </w:rPr>
      </w:r>
      <w:r>
        <w:rPr/>
        <w:t>可供出售金融资产应于资产负债表日对金融资产的账面价值进行检查，如果有客观证据表明</w:t>
      </w:r>
      <w:r>
        <w:rPr>
          <w:spacing w:val="-115"/>
        </w:rPr>
        <w:t> </w:t>
      </w:r>
      <w:r>
        <w:rPr>
          <w:spacing w:val="-115"/>
        </w:rPr>
      </w:r>
      <w:r>
        <w:rPr/>
        <w:t>某项金融资产发生减值的，计提减值准备。这涉及管理层运用重大会计估计和判断，同时考 虑可供出售金融资产对于财务报表整体的重要性，因此我们将可供出售金融资产减值作为关 键审计事项。</w:t>
      </w:r>
    </w:p>
    <w:p>
      <w:pPr>
        <w:pStyle w:val="Heading3"/>
        <w:spacing w:line="240" w:lineRule="auto" w:before="53"/>
        <w:ind w:left="634" w:right="0"/>
        <w:jc w:val="left"/>
      </w:pPr>
      <w:r>
        <w:rPr>
          <w:rFonts w:ascii="Times New Roman" w:hAnsi="Times New Roman" w:cs="Times New Roman" w:eastAsia="Times New Roman" w:hint="default"/>
        </w:rPr>
        <w:t>2</w:t>
      </w:r>
      <w:r>
        <w:rPr/>
        <w:t>、审计应对：</w:t>
      </w:r>
    </w:p>
    <w:p>
      <w:pPr>
        <w:pStyle w:val="Heading3"/>
        <w:spacing w:line="345" w:lineRule="auto" w:before="147"/>
        <w:ind w:right="0" w:firstLine="480"/>
        <w:jc w:val="left"/>
      </w:pPr>
      <w:r>
        <w:rPr>
          <w:spacing w:val="-3"/>
        </w:rPr>
        <w:t>（</w:t>
      </w:r>
      <w:r>
        <w:rPr>
          <w:rFonts w:ascii="Times New Roman" w:hAnsi="Times New Roman" w:cs="Times New Roman" w:eastAsia="Times New Roman" w:hint="default"/>
          <w:spacing w:val="-3"/>
        </w:rPr>
        <w:t>1</w:t>
      </w:r>
      <w:r>
        <w:rPr>
          <w:spacing w:val="-3"/>
        </w:rPr>
        <w:t>）询问管理层对可供出售金融资产减值的会计政策，测试计提减值准备相关的内部控</w:t>
      </w:r>
      <w:r>
        <w:rPr/>
        <w:t> 制是否得到有效实施。</w:t>
      </w:r>
    </w:p>
    <w:p>
      <w:pPr>
        <w:pStyle w:val="Heading3"/>
        <w:spacing w:line="240" w:lineRule="auto" w:before="60"/>
        <w:ind w:left="634" w:right="0"/>
        <w:jc w:val="left"/>
      </w:pPr>
      <w:r>
        <w:rPr/>
        <w:t>（</w:t>
      </w:r>
      <w:r>
        <w:rPr>
          <w:rFonts w:ascii="Times New Roman" w:hAnsi="Times New Roman" w:cs="Times New Roman" w:eastAsia="Times New Roman" w:hint="default"/>
        </w:rPr>
        <w:t>2</w:t>
      </w:r>
      <w:r>
        <w:rPr/>
        <w:t>）了解可供出售金融资产减值的原因，获取并审核投资时的相关资料。</w:t>
      </w:r>
    </w:p>
    <w:p>
      <w:pPr>
        <w:pStyle w:val="Heading3"/>
        <w:spacing w:line="345" w:lineRule="auto" w:before="147"/>
        <w:ind w:right="0" w:firstLine="480"/>
        <w:jc w:val="left"/>
      </w:pPr>
      <w:r>
        <w:rPr>
          <w:spacing w:val="-3"/>
        </w:rPr>
        <w:t>（</w:t>
      </w:r>
      <w:r>
        <w:rPr>
          <w:rFonts w:ascii="Times New Roman" w:hAnsi="Times New Roman" w:cs="Times New Roman" w:eastAsia="Times New Roman" w:hint="default"/>
          <w:spacing w:val="-3"/>
        </w:rPr>
        <w:t>3</w:t>
      </w:r>
      <w:r>
        <w:rPr>
          <w:spacing w:val="-3"/>
        </w:rPr>
        <w:t>）通过实地走访、查询被投资单位官网及网络信息等，了解被投资单位的实际经营情</w:t>
      </w:r>
      <w:r>
        <w:rPr/>
        <w:t> 况及案件进展情况。</w:t>
      </w:r>
    </w:p>
    <w:p>
      <w:pPr>
        <w:pStyle w:val="Heading3"/>
        <w:spacing w:line="348" w:lineRule="auto" w:before="60"/>
        <w:ind w:right="0" w:firstLine="480"/>
        <w:jc w:val="left"/>
      </w:pPr>
      <w:r>
        <w:rPr>
          <w:spacing w:val="-6"/>
        </w:rPr>
        <w:t>（</w:t>
      </w:r>
      <w:r>
        <w:rPr>
          <w:rFonts w:ascii="Times New Roman" w:hAnsi="Times New Roman" w:cs="Times New Roman" w:eastAsia="Times New Roman" w:hint="default"/>
          <w:spacing w:val="-6"/>
        </w:rPr>
        <w:t>4</w:t>
      </w:r>
      <w:r>
        <w:rPr>
          <w:spacing w:val="-6"/>
        </w:rPr>
        <w:t>）与管理层讨论可供出售金融资产减值迹象的判断依据，获取被投资单位的财务报告，</w:t>
      </w:r>
      <w:r>
        <w:rPr/>
        <w:t> 分析其财务信息，评价管理层对减值迹象的判断是否合理。</w:t>
      </w:r>
    </w:p>
    <w:p>
      <w:pPr>
        <w:pStyle w:val="Heading3"/>
        <w:spacing w:line="240" w:lineRule="auto" w:before="58"/>
        <w:ind w:left="634" w:right="0"/>
        <w:jc w:val="left"/>
      </w:pPr>
      <w:r>
        <w:rPr/>
        <w:t>（</w:t>
      </w:r>
      <w:r>
        <w:rPr>
          <w:rFonts w:ascii="Times New Roman" w:hAnsi="Times New Roman" w:cs="Times New Roman" w:eastAsia="Times New Roman" w:hint="default"/>
        </w:rPr>
        <w:t>5</w:t>
      </w:r>
      <w:r>
        <w:rPr/>
        <w:t>）评价财务报表中可供出售金融资产减值的相关披露是否符合企业会计准则的要求。</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62"/>
        <w:ind w:left="634" w:right="0"/>
        <w:jc w:val="left"/>
      </w:pPr>
      <w:r>
        <w:rPr/>
        <w:t>（三）长期股权投资减值和投资损失</w:t>
      </w:r>
    </w:p>
    <w:p>
      <w:pPr>
        <w:pStyle w:val="Heading3"/>
        <w:spacing w:line="345" w:lineRule="auto" w:before="166"/>
        <w:ind w:left="634" w:right="0"/>
        <w:jc w:val="left"/>
      </w:pPr>
      <w:r>
        <w:rPr>
          <w:rFonts w:ascii="Times New Roman" w:hAnsi="Times New Roman" w:cs="Times New Roman" w:eastAsia="Times New Roman" w:hint="default"/>
        </w:rPr>
        <w:t>1</w:t>
      </w:r>
      <w:r>
        <w:rPr/>
        <w:t>、事项描述 如财务报表附注六、（十一）所示，截至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日，华闻传媒合并资产负债表中</w:t>
      </w:r>
    </w:p>
    <w:p>
      <w:pPr>
        <w:pStyle w:val="Heading3"/>
        <w:spacing w:line="345" w:lineRule="auto" w:before="31"/>
        <w:ind w:right="1130"/>
        <w:jc w:val="both"/>
      </w:pPr>
      <w:r>
        <w:rPr>
          <w:spacing w:val="-2"/>
        </w:rPr>
        <w:t>长期股权投资账面原值扣除累计减值准备后的净值为人民币</w:t>
      </w:r>
      <w:r>
        <w:rPr>
          <w:rFonts w:ascii="Times New Roman" w:hAnsi="Times New Roman" w:cs="Times New Roman" w:eastAsia="Times New Roman" w:hint="default"/>
          <w:spacing w:val="-2"/>
        </w:rPr>
        <w:t>219,218.16</w:t>
      </w:r>
      <w:r>
        <w:rPr>
          <w:spacing w:val="-2"/>
        </w:rPr>
        <w:t>万元，占总资产比例的</w:t>
      </w:r>
      <w:r>
        <w:rPr>
          <w:spacing w:val="-110"/>
        </w:rPr>
        <w:t> </w:t>
      </w:r>
      <w:r>
        <w:rPr>
          <w:spacing w:val="-110"/>
        </w:rPr>
      </w:r>
      <w:r>
        <w:rPr>
          <w:rFonts w:ascii="Times New Roman" w:hAnsi="Times New Roman" w:cs="Times New Roman" w:eastAsia="Times New Roman" w:hint="default"/>
        </w:rPr>
        <w:t>16.99%</w:t>
      </w:r>
      <w:r>
        <w:rPr/>
        <w:t>。如财务报表附注六、（四十五）所示本期发生长期股权投资减值损失主要为华闻传 媒之联营单位东海证券股份有限公司（以下简称为</w:t>
      </w:r>
      <w:r>
        <w:rPr>
          <w:rFonts w:ascii="Times New Roman" w:hAnsi="Times New Roman" w:cs="Times New Roman" w:eastAsia="Times New Roman" w:hint="default"/>
        </w:rPr>
        <w:t>“</w:t>
      </w:r>
      <w:r>
        <w:rPr/>
        <w:t>东海证券</w:t>
      </w:r>
      <w:r>
        <w:rPr>
          <w:rFonts w:ascii="Times New Roman" w:hAnsi="Times New Roman" w:cs="Times New Roman" w:eastAsia="Times New Roman" w:hint="default"/>
        </w:rPr>
        <w:t>”</w:t>
      </w:r>
      <w:r>
        <w:rPr/>
        <w:t>）发生长期股权投资减值损失</w:t>
      </w:r>
      <w:r>
        <w:rPr>
          <w:spacing w:val="-83"/>
        </w:rPr>
        <w:t> </w:t>
      </w:r>
      <w:r>
        <w:rPr>
          <w:spacing w:val="-83"/>
        </w:rPr>
      </w:r>
      <w:r>
        <w:rPr>
          <w:rFonts w:ascii="Times New Roman" w:hAnsi="Times New Roman" w:cs="Times New Roman" w:eastAsia="Times New Roman" w:hint="default"/>
        </w:rPr>
        <w:t>86,709.68</w:t>
      </w:r>
      <w:r>
        <w:rPr/>
        <w:t>万元。如财务报表附注六、（四十七）所示，主要为海南国文文化旅游产业投资基</w:t>
      </w:r>
      <w:r>
        <w:rPr>
          <w:spacing w:val="-115"/>
        </w:rPr>
        <w:t> </w:t>
      </w:r>
      <w:r>
        <w:rPr>
          <w:spacing w:val="-115"/>
        </w:rPr>
      </w:r>
      <w:r>
        <w:rPr/>
        <w:t>金（有限合伙）（以下简称</w:t>
      </w:r>
      <w:r>
        <w:rPr>
          <w:rFonts w:ascii="Times New Roman" w:hAnsi="Times New Roman" w:cs="Times New Roman" w:eastAsia="Times New Roman" w:hint="default"/>
        </w:rPr>
        <w:t>“</w:t>
      </w:r>
      <w:r>
        <w:rPr/>
        <w:t>文旅基金</w:t>
      </w:r>
      <w:r>
        <w:rPr>
          <w:rFonts w:ascii="Times New Roman" w:hAnsi="Times New Roman" w:cs="Times New Roman" w:eastAsia="Times New Roman" w:hint="default"/>
        </w:rPr>
        <w:t>”</w:t>
      </w:r>
      <w:r>
        <w:rPr/>
        <w:t>）发生投资损失</w:t>
      </w:r>
      <w:r>
        <w:rPr>
          <w:rFonts w:ascii="Times New Roman" w:hAnsi="Times New Roman" w:cs="Times New Roman" w:eastAsia="Times New Roman" w:hint="default"/>
        </w:rPr>
        <w:t>99,072.58</w:t>
      </w:r>
      <w:r>
        <w:rPr/>
        <w:t>万元。如财务报表附注四、</w:t>
      </w:r>
    </w:p>
    <w:p>
      <w:pPr>
        <w:pStyle w:val="Heading3"/>
        <w:spacing w:line="367" w:lineRule="auto" w:before="31"/>
        <w:ind w:right="1139"/>
        <w:jc w:val="both"/>
      </w:pPr>
      <w:r>
        <w:rPr/>
        <w:t>（二十）所示，长期股权投资于资产负债表日存在减值迹象的，应当进行减值测试。这涉及 管理层运用重大会计估计和判断，同时考虑长期股权投资对于财务报表整体的重要性，因此 我们将长期股权投资减值作为关键审计事项。</w:t>
      </w:r>
    </w:p>
    <w:p>
      <w:pPr>
        <w:pStyle w:val="Heading3"/>
        <w:spacing w:line="240" w:lineRule="auto"/>
        <w:ind w:left="634" w:right="0"/>
        <w:jc w:val="left"/>
      </w:pPr>
      <w:r>
        <w:rPr>
          <w:rFonts w:ascii="Times New Roman" w:hAnsi="Times New Roman" w:cs="Times New Roman" w:eastAsia="Times New Roman" w:hint="default"/>
        </w:rPr>
        <w:t>2</w:t>
      </w:r>
      <w:r>
        <w:rPr/>
        <w:t>、审计应对：</w:t>
      </w:r>
    </w:p>
    <w:p>
      <w:pPr>
        <w:pStyle w:val="Heading3"/>
        <w:spacing w:line="345" w:lineRule="auto" w:before="147"/>
        <w:ind w:right="1131" w:firstLine="480"/>
        <w:jc w:val="both"/>
      </w:pPr>
      <w:r>
        <w:rPr>
          <w:spacing w:val="-3"/>
        </w:rPr>
        <w:t>（</w:t>
      </w:r>
      <w:r>
        <w:rPr>
          <w:rFonts w:ascii="Times New Roman" w:hAnsi="Times New Roman" w:cs="Times New Roman" w:eastAsia="Times New Roman" w:hint="default"/>
          <w:spacing w:val="-3"/>
        </w:rPr>
        <w:t>1</w:t>
      </w:r>
      <w:r>
        <w:rPr>
          <w:spacing w:val="-3"/>
        </w:rPr>
        <w:t>）询问管理层对长期股权投资减值的会计政策，测试计提减值准备相关的内部控制是</w:t>
      </w:r>
      <w:r>
        <w:rPr/>
        <w:t> 否得到有效实施。</w:t>
      </w:r>
    </w:p>
    <w:p>
      <w:pPr>
        <w:pStyle w:val="Heading3"/>
        <w:spacing w:line="357" w:lineRule="auto" w:before="60"/>
        <w:ind w:right="1131" w:firstLine="480"/>
        <w:jc w:val="both"/>
      </w:pPr>
      <w:r>
        <w:rPr>
          <w:spacing w:val="-3"/>
        </w:rPr>
        <w:t>（</w:t>
      </w:r>
      <w:r>
        <w:rPr>
          <w:rFonts w:ascii="Times New Roman" w:hAnsi="Times New Roman" w:cs="Times New Roman" w:eastAsia="Times New Roman" w:hint="default"/>
          <w:spacing w:val="-3"/>
        </w:rPr>
        <w:t>2</w:t>
      </w:r>
      <w:r>
        <w:rPr>
          <w:spacing w:val="-3"/>
        </w:rPr>
        <w:t>）与管理层讨论长期股权投资减值迹象和计提投资损失的判断依据，获取联营公司的</w:t>
      </w:r>
      <w:r>
        <w:rPr/>
        <w:t> 财务报表，分析其财务信息，评价管理层对联营公司减值迹象的判断是否合理，计提的投资 损失是否合理。</w:t>
      </w:r>
    </w:p>
    <w:p>
      <w:pPr>
        <w:pStyle w:val="Heading3"/>
        <w:spacing w:line="360" w:lineRule="auto" w:before="48"/>
        <w:ind w:right="1131" w:firstLine="480"/>
        <w:jc w:val="both"/>
      </w:pPr>
      <w:r>
        <w:rPr>
          <w:spacing w:val="-3"/>
        </w:rPr>
        <w:t>（</w:t>
      </w:r>
      <w:r>
        <w:rPr>
          <w:rFonts w:ascii="Times New Roman" w:hAnsi="Times New Roman" w:cs="Times New Roman" w:eastAsia="Times New Roman" w:hint="default"/>
          <w:spacing w:val="-3"/>
        </w:rPr>
        <w:t>3</w:t>
      </w:r>
      <w:r>
        <w:rPr>
          <w:spacing w:val="-3"/>
        </w:rPr>
        <w:t>）利用外部评估专家的意见，与管理层、外部评估专家进行沟通，对评估报告中选取</w:t>
      </w:r>
      <w:r>
        <w:rPr/>
        <w:t> 的样本，分析被投资单位的财务信息及所在行业信息，使用可观测的公开市场价格评价管理 层对公允价值是否发生严重或非暂时性下跌的判断是否合理，同时检查减值准备计算的正确 性。</w:t>
      </w:r>
    </w:p>
    <w:p>
      <w:pPr>
        <w:pStyle w:val="Heading3"/>
        <w:spacing w:line="240" w:lineRule="auto" w:before="46"/>
        <w:ind w:left="634" w:right="0"/>
        <w:jc w:val="left"/>
      </w:pPr>
      <w:r>
        <w:rPr/>
        <w:t>（</w:t>
      </w:r>
      <w:r>
        <w:rPr>
          <w:rFonts w:ascii="Times New Roman" w:hAnsi="Times New Roman" w:cs="Times New Roman" w:eastAsia="Times New Roman" w:hint="default"/>
        </w:rPr>
        <w:t>4</w:t>
      </w:r>
      <w:r>
        <w:rPr/>
        <w:t>）对重要的投资损失实地走访核查，分析管理层确认投资损失的合理性。</w:t>
      </w:r>
    </w:p>
    <w:p>
      <w:pPr>
        <w:pStyle w:val="Heading3"/>
        <w:spacing w:line="345" w:lineRule="auto" w:before="147"/>
        <w:ind w:right="1131" w:firstLine="480"/>
        <w:jc w:val="both"/>
      </w:pPr>
      <w:r>
        <w:rPr>
          <w:spacing w:val="-3"/>
        </w:rPr>
        <w:t>（</w:t>
      </w:r>
      <w:r>
        <w:rPr>
          <w:rFonts w:ascii="Times New Roman" w:hAnsi="Times New Roman" w:cs="Times New Roman" w:eastAsia="Times New Roman" w:hint="default"/>
          <w:spacing w:val="-3"/>
        </w:rPr>
        <w:t>5</w:t>
      </w:r>
      <w:r>
        <w:rPr>
          <w:spacing w:val="-3"/>
        </w:rPr>
        <w:t>）评价财务报表中长期股权投资减值准备和投资损失的相关披露是否符合企业会计准</w:t>
      </w:r>
      <w:r>
        <w:rPr/>
        <w:t> 则的要求。</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pStyle w:val="Heading3"/>
        <w:spacing w:line="240" w:lineRule="auto" w:before="0"/>
        <w:ind w:left="634" w:right="0"/>
        <w:jc w:val="left"/>
      </w:pPr>
      <w:r>
        <w:rPr/>
        <w:t>（四）营业收入</w:t>
      </w:r>
    </w:p>
    <w:p>
      <w:pPr>
        <w:pStyle w:val="Heading3"/>
        <w:spacing w:line="345" w:lineRule="auto" w:before="166"/>
        <w:ind w:left="634" w:right="0"/>
        <w:jc w:val="left"/>
      </w:pPr>
      <w:r>
        <w:rPr>
          <w:rFonts w:ascii="Times New Roman" w:hAnsi="Times New Roman" w:cs="Times New Roman" w:eastAsia="Times New Roman" w:hint="default"/>
        </w:rPr>
        <w:t>1</w:t>
      </w:r>
      <w:r>
        <w:rPr/>
        <w:t>、事项描述： 华闻传媒</w:t>
      </w:r>
      <w:r>
        <w:rPr>
          <w:rFonts w:ascii="Times New Roman" w:hAnsi="Times New Roman" w:cs="Times New Roman" w:eastAsia="Times New Roman" w:hint="default"/>
        </w:rPr>
        <w:t>2018</w:t>
      </w:r>
      <w:r>
        <w:rPr/>
        <w:t>年度营业收入的会计政策见后附的财务报表附注</w:t>
      </w:r>
      <w:r>
        <w:rPr>
          <w:rFonts w:ascii="Times New Roman" w:hAnsi="Times New Roman" w:cs="Times New Roman" w:eastAsia="Times New Roman" w:hint="default"/>
        </w:rPr>
        <w:t>“</w:t>
      </w:r>
      <w:r>
        <w:rPr/>
        <w:t>四、（二十四）收入</w:t>
      </w:r>
      <w:r>
        <w:rPr>
          <w:rFonts w:ascii="Times New Roman" w:hAnsi="Times New Roman" w:cs="Times New Roman" w:eastAsia="Times New Roman" w:hint="default"/>
        </w:rPr>
        <w:t>”</w:t>
      </w:r>
      <w:r>
        <w:rPr/>
        <w:t>，</w:t>
      </w:r>
    </w:p>
    <w:p>
      <w:pPr>
        <w:pStyle w:val="Heading3"/>
        <w:spacing w:line="240" w:lineRule="auto" w:before="31"/>
        <w:ind w:right="0"/>
        <w:jc w:val="both"/>
      </w:pPr>
      <w:r>
        <w:rPr/>
        <w:t>营业收入为华闻传媒的关键绩效之一，因此我们将华闻传媒营业收入确认识别为关键审计事</w:t>
      </w:r>
    </w:p>
    <w:p>
      <w:pPr>
        <w:spacing w:after="0" w:line="240"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62"/>
        <w:ind w:right="0"/>
        <w:jc w:val="left"/>
      </w:pPr>
      <w:r>
        <w:rPr/>
        <w:t>项。</w:t>
      </w:r>
    </w:p>
    <w:p>
      <w:pPr>
        <w:pStyle w:val="Heading3"/>
        <w:spacing w:line="240" w:lineRule="auto" w:before="166"/>
        <w:ind w:left="634" w:right="0"/>
        <w:jc w:val="left"/>
      </w:pPr>
      <w:r>
        <w:rPr>
          <w:rFonts w:ascii="Times New Roman" w:hAnsi="Times New Roman" w:cs="Times New Roman" w:eastAsia="Times New Roman" w:hint="default"/>
        </w:rPr>
        <w:t>2</w:t>
      </w:r>
      <w:r>
        <w:rPr/>
        <w:t>、审计应对：</w:t>
      </w:r>
    </w:p>
    <w:p>
      <w:pPr>
        <w:pStyle w:val="Heading3"/>
        <w:spacing w:line="348" w:lineRule="auto" w:before="147"/>
        <w:ind w:right="1032" w:firstLine="480"/>
        <w:jc w:val="left"/>
      </w:pPr>
      <w:r>
        <w:rPr/>
        <w:t>（</w:t>
      </w:r>
      <w:r>
        <w:rPr>
          <w:rFonts w:ascii="Times New Roman" w:hAnsi="Times New Roman" w:cs="Times New Roman" w:eastAsia="Times New Roman" w:hint="default"/>
        </w:rPr>
        <w:t>1</w:t>
      </w:r>
      <w:r>
        <w:rPr/>
        <w:t>）我们通过审阅销售合同与管理层的访谈，了解和评估了华闻传媒的收入确认政策。 我们向管理层、治理层进行询问，评价管理层诚信及舞弊风险。</w:t>
      </w:r>
    </w:p>
    <w:p>
      <w:pPr>
        <w:pStyle w:val="Heading3"/>
        <w:spacing w:line="345" w:lineRule="auto" w:before="58"/>
        <w:ind w:right="0" w:firstLine="480"/>
        <w:jc w:val="left"/>
      </w:pPr>
      <w:r>
        <w:rPr>
          <w:spacing w:val="-3"/>
        </w:rPr>
        <w:t>（</w:t>
      </w:r>
      <w:r>
        <w:rPr>
          <w:rFonts w:ascii="Times New Roman" w:hAnsi="Times New Roman" w:cs="Times New Roman" w:eastAsia="Times New Roman" w:hint="default"/>
          <w:spacing w:val="-3"/>
        </w:rPr>
        <w:t>2</w:t>
      </w:r>
      <w:r>
        <w:rPr>
          <w:spacing w:val="-3"/>
        </w:rPr>
        <w:t>）对华闻传媒的销售与收款内部控制循环进行了解并执行穿行测试，并对收入确认时</w:t>
      </w:r>
      <w:r>
        <w:rPr/>
        <w:t> 点等重要的控制点执行了控制测试；</w:t>
      </w:r>
    </w:p>
    <w:p>
      <w:pPr>
        <w:pStyle w:val="Heading3"/>
        <w:spacing w:line="345" w:lineRule="auto" w:before="60"/>
        <w:ind w:right="1116" w:firstLine="480"/>
        <w:jc w:val="left"/>
      </w:pPr>
      <w:r>
        <w:rPr>
          <w:spacing w:val="-3"/>
        </w:rPr>
        <w:t>（</w:t>
      </w:r>
      <w:r>
        <w:rPr>
          <w:rFonts w:ascii="Times New Roman" w:hAnsi="Times New Roman" w:cs="Times New Roman" w:eastAsia="Times New Roman" w:hint="default"/>
          <w:spacing w:val="-3"/>
        </w:rPr>
        <w:t>3</w:t>
      </w:r>
      <w:r>
        <w:rPr>
          <w:spacing w:val="-3"/>
        </w:rPr>
        <w:t>）检查华闻传媒与主要客户的业务合同，评价华闻传媒收入确认是否符合会计准则的</w:t>
      </w:r>
      <w:r>
        <w:rPr/>
        <w:t> 要求；</w:t>
      </w:r>
    </w:p>
    <w:p>
      <w:pPr>
        <w:pStyle w:val="Heading3"/>
        <w:spacing w:line="345" w:lineRule="auto" w:before="60"/>
        <w:ind w:right="0" w:firstLine="480"/>
        <w:jc w:val="left"/>
      </w:pPr>
      <w:r>
        <w:rPr>
          <w:spacing w:val="-3"/>
        </w:rPr>
        <w:t>（</w:t>
      </w:r>
      <w:r>
        <w:rPr>
          <w:rFonts w:ascii="Times New Roman" w:hAnsi="Times New Roman" w:cs="Times New Roman" w:eastAsia="Times New Roman" w:hint="default"/>
          <w:spacing w:val="-3"/>
        </w:rPr>
        <w:t>4</w:t>
      </w:r>
      <w:r>
        <w:rPr>
          <w:spacing w:val="-3"/>
        </w:rPr>
        <w:t>）按照抽样原则选择本年度的样本，检查其业务合同、入账记录及客户签收记录，检</w:t>
      </w:r>
      <w:r>
        <w:rPr/>
        <w:t> 查华闻传媒收入确认是否与披露的会计政策一致；</w:t>
      </w:r>
    </w:p>
    <w:p>
      <w:pPr>
        <w:pStyle w:val="Heading3"/>
        <w:spacing w:line="240" w:lineRule="auto" w:before="60"/>
        <w:ind w:left="634" w:right="0"/>
        <w:jc w:val="left"/>
      </w:pPr>
      <w:r>
        <w:rPr/>
        <w:t>（</w:t>
      </w:r>
      <w:r>
        <w:rPr>
          <w:rFonts w:ascii="Times New Roman" w:hAnsi="Times New Roman" w:cs="Times New Roman" w:eastAsia="Times New Roman" w:hint="default"/>
        </w:rPr>
        <w:t>5</w:t>
      </w:r>
      <w:r>
        <w:rPr/>
        <w:t>）对营业收入执行截止测试，确认华闻传媒的收入确认是否记录在正确的会计期间；</w:t>
      </w:r>
    </w:p>
    <w:p>
      <w:pPr>
        <w:pStyle w:val="Heading3"/>
        <w:spacing w:line="345" w:lineRule="auto" w:before="147"/>
        <w:ind w:right="1118" w:firstLine="480"/>
        <w:jc w:val="left"/>
      </w:pPr>
      <w:r>
        <w:rPr>
          <w:spacing w:val="-2"/>
        </w:rPr>
        <w:t>（</w:t>
      </w:r>
      <w:r>
        <w:rPr>
          <w:rFonts w:ascii="Times New Roman" w:hAnsi="Times New Roman" w:cs="Times New Roman" w:eastAsia="Times New Roman" w:hint="default"/>
          <w:spacing w:val="-2"/>
        </w:rPr>
        <w:t>6</w:t>
      </w:r>
      <w:r>
        <w:rPr>
          <w:spacing w:val="-2"/>
        </w:rPr>
        <w:t>）发函询证</w:t>
      </w:r>
      <w:r>
        <w:rPr>
          <w:rFonts w:ascii="Times New Roman" w:hAnsi="Times New Roman" w:cs="Times New Roman" w:eastAsia="Times New Roman" w:hint="default"/>
          <w:spacing w:val="-2"/>
        </w:rPr>
        <w:t>2018</w:t>
      </w:r>
      <w:r>
        <w:rPr>
          <w:spacing w:val="-2"/>
        </w:rPr>
        <w:t>年末应收余额以及</w:t>
      </w:r>
      <w:r>
        <w:rPr>
          <w:rFonts w:ascii="Times New Roman" w:hAnsi="Times New Roman" w:cs="Times New Roman" w:eastAsia="Times New Roman" w:hint="default"/>
          <w:spacing w:val="-2"/>
        </w:rPr>
        <w:t>2018</w:t>
      </w:r>
      <w:r>
        <w:rPr>
          <w:spacing w:val="-2"/>
        </w:rPr>
        <w:t>年度交易发生额，对不能执行发函询证的零散</w:t>
      </w:r>
      <w:r>
        <w:rPr/>
        <w:t> 客户实施替代程序；</w:t>
      </w:r>
    </w:p>
    <w:p>
      <w:pPr>
        <w:pStyle w:val="Heading3"/>
        <w:spacing w:line="240" w:lineRule="auto" w:before="60"/>
        <w:ind w:left="634" w:right="0"/>
        <w:jc w:val="left"/>
      </w:pPr>
      <w:r>
        <w:rPr/>
        <w:t>（</w:t>
      </w:r>
      <w:r>
        <w:rPr>
          <w:rFonts w:ascii="Times New Roman" w:hAnsi="Times New Roman" w:cs="Times New Roman" w:eastAsia="Times New Roman" w:hint="default"/>
        </w:rPr>
        <w:t>7</w:t>
      </w:r>
      <w:r>
        <w:rPr/>
        <w:t>）对于重要客户进行电话访谈或现场走访核查。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367" w:lineRule="auto" w:before="0"/>
        <w:ind w:left="634" w:right="0" w:firstLine="2"/>
        <w:jc w:val="left"/>
      </w:pPr>
      <w:r>
        <w:rPr>
          <w:rFonts w:ascii="宋体" w:hAnsi="宋体" w:cs="宋体" w:eastAsia="宋体" w:hint="default"/>
          <w:b/>
          <w:bCs/>
        </w:rPr>
        <w:t>四、其他信息</w:t>
      </w:r>
      <w:r>
        <w:rPr>
          <w:rFonts w:ascii="宋体" w:hAnsi="宋体" w:cs="宋体" w:eastAsia="宋体" w:hint="default"/>
          <w:b/>
          <w:bCs/>
          <w:w w:val="99"/>
        </w:rPr>
        <w:t> </w:t>
      </w:r>
      <w:r>
        <w:rPr/>
        <w:t>华闻传媒管理层对其他信息负责。其他信息包括华闻传媒年度报告中涵盖的信息，但不</w:t>
      </w:r>
    </w:p>
    <w:p>
      <w:pPr>
        <w:pStyle w:val="Heading3"/>
        <w:spacing w:line="367" w:lineRule="auto"/>
        <w:ind w:left="634" w:right="0" w:hanging="480"/>
        <w:jc w:val="left"/>
      </w:pPr>
      <w:r>
        <w:rPr/>
        <w:t>包括财务报表和我们的审计报告。 我们对财务报表发表的审计意见不涵盖其他信息，我们也不对其他信息发表任何形式的</w:t>
      </w:r>
    </w:p>
    <w:p>
      <w:pPr>
        <w:pStyle w:val="Heading3"/>
        <w:spacing w:line="240" w:lineRule="auto"/>
        <w:ind w:right="0"/>
        <w:jc w:val="left"/>
      </w:pPr>
      <w:r>
        <w:rPr/>
        <w:t>鉴证结论。</w:t>
      </w:r>
    </w:p>
    <w:p>
      <w:pPr>
        <w:pStyle w:val="Heading3"/>
        <w:spacing w:line="367" w:lineRule="auto" w:before="166"/>
        <w:ind w:right="1140" w:firstLine="480"/>
        <w:jc w:val="right"/>
      </w:pPr>
      <w:r>
        <w:rPr/>
        <w:t>结合我们对财务报表的审计，我们的责任是阅读其他信息，在此过程中，考虑其他信息 是否与财务报表或我们在审计过程中了解到的情况存在重大不一致或者似乎存在重大错报。 基于我们已执行的工作，如果我们确定其他信息存在重大错报，我们应当报告该事实。</w:t>
      </w:r>
    </w:p>
    <w:p>
      <w:pPr>
        <w:pStyle w:val="Heading3"/>
        <w:spacing w:line="240" w:lineRule="auto"/>
        <w:ind w:right="0"/>
        <w:jc w:val="left"/>
      </w:pPr>
      <w:r>
        <w:rPr/>
        <w:t>在这方面，我们无任何事项需要报告。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spacing w:line="367" w:lineRule="auto" w:before="0"/>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华闻传媒管理层（以下简称管理层）负责按照企业会计准则的规定编制财务报表，使其</w:t>
      </w:r>
    </w:p>
    <w:p>
      <w:pPr>
        <w:pStyle w:val="Heading3"/>
        <w:spacing w:line="367" w:lineRule="auto"/>
        <w:ind w:right="0"/>
        <w:jc w:val="left"/>
      </w:pPr>
      <w:r>
        <w:rPr/>
        <w:t>实现公允反映，并设计、执行和维护必要的内部控制，以使财务报表不存在由于舞弊或错误 导致的重大错报。</w:t>
      </w:r>
    </w:p>
    <w:p>
      <w:pPr>
        <w:spacing w:after="0" w:line="367"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pStyle w:val="Heading3"/>
        <w:spacing w:line="367" w:lineRule="auto" w:before="162"/>
        <w:ind w:right="1139" w:firstLine="480"/>
        <w:jc w:val="both"/>
      </w:pPr>
      <w:r>
        <w:rPr/>
        <w:t>在编制财务报表时，管理层负责评估华闻传媒的持续经营能力，披露与持续经营相关的 事项，并运用持续经营假设，除非管理层计划清算华闻传媒、终止运营或别无其他现实的选 择。</w:t>
      </w:r>
    </w:p>
    <w:p>
      <w:pPr>
        <w:pStyle w:val="Heading3"/>
        <w:spacing w:line="240" w:lineRule="auto" w:before="39"/>
        <w:ind w:left="634" w:right="0"/>
        <w:jc w:val="left"/>
      </w:pPr>
      <w:r>
        <w:rPr/>
        <w:t>治理层负责监督华闻传媒的财务报告过程。</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spacing w:line="367" w:lineRule="auto" w:before="0"/>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六、注册会计师对财务报表审计的责任</w:t>
      </w:r>
      <w:r>
        <w:rPr>
          <w:rFonts w:ascii="宋体" w:hAnsi="宋体" w:cs="宋体" w:eastAsia="宋体" w:hint="default"/>
          <w:b/>
          <w:bCs/>
          <w:w w:val="99"/>
          <w:sz w:val="24"/>
          <w:szCs w:val="24"/>
        </w:rPr>
        <w:t> </w:t>
      </w:r>
      <w:r>
        <w:rPr>
          <w:rFonts w:ascii="宋体" w:hAnsi="宋体" w:cs="宋体" w:eastAsia="宋体" w:hint="default"/>
          <w:spacing w:val="6"/>
          <w:sz w:val="24"/>
          <w:szCs w:val="24"/>
        </w:rPr>
        <w:t>我们的目标是对财务报表整体是否不存在由于舞弊或错误导致的重大错报获取合理保</w:t>
      </w:r>
    </w:p>
    <w:p>
      <w:pPr>
        <w:pStyle w:val="Heading3"/>
        <w:spacing w:line="367" w:lineRule="auto"/>
        <w:ind w:right="1138"/>
        <w:jc w:val="both"/>
      </w:pPr>
      <w:r>
        <w:rPr/>
        <w:t>证，并出具包含审计意见的审计报告。合理保证是高水平的保证，但并不能保证按照审计准</w:t>
      </w:r>
      <w:r>
        <w:rPr>
          <w:spacing w:val="-116"/>
        </w:rPr>
        <w:t> </w:t>
      </w:r>
      <w:r>
        <w:rPr>
          <w:spacing w:val="-116"/>
        </w:rPr>
      </w:r>
      <w:r>
        <w:rPr/>
        <w:t>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Heading3"/>
        <w:spacing w:line="367" w:lineRule="auto"/>
        <w:ind w:right="1140" w:firstLine="480"/>
        <w:jc w:val="both"/>
      </w:pPr>
      <w:r>
        <w:rPr/>
        <w:t>在按照审计准则执行审计工作的过程中，我们运用职业判断，并保持职业怀疑。同时， 我们也执行以下工作：</w:t>
      </w:r>
    </w:p>
    <w:p>
      <w:pPr>
        <w:pStyle w:val="Heading3"/>
        <w:spacing w:line="367" w:lineRule="auto"/>
        <w:ind w:right="1138" w:firstLine="480"/>
        <w:jc w:val="both"/>
      </w:pPr>
      <w:r>
        <w:rPr/>
        <w:t>（一）识别和评估由于舞弊或错误导致的财务报表重大错报风险，设计和实施审计程序 以应对这些风险，并获取充分、适当的审计证据，作为发表审计意见的基础。由于舞弊可能 涉及串通、伪造、故意遗漏、虚假陈述或凌驾于内部控制之上，未能发现由于舞弊导致的重 大错报的风险高于未能发现由于错误导致的重大错报的风险。</w:t>
      </w:r>
    </w:p>
    <w:p>
      <w:pPr>
        <w:pStyle w:val="Heading3"/>
        <w:spacing w:line="240" w:lineRule="auto"/>
        <w:ind w:left="634" w:right="0"/>
        <w:jc w:val="left"/>
      </w:pPr>
      <w:r>
        <w:rPr/>
        <w:t>（二）了解与审计相关的内部控制，以设计恰当的审计程序。</w:t>
      </w:r>
    </w:p>
    <w:p>
      <w:pPr>
        <w:pStyle w:val="Heading3"/>
        <w:spacing w:line="240" w:lineRule="auto" w:before="166"/>
        <w:ind w:left="634" w:right="0"/>
        <w:jc w:val="left"/>
      </w:pPr>
      <w:r>
        <w:rPr/>
        <w:t>（三）评价管理层选用会计政策的恰当性和作出会计估计及相关披露的合理性。</w:t>
      </w:r>
    </w:p>
    <w:p>
      <w:pPr>
        <w:pStyle w:val="Heading3"/>
        <w:spacing w:line="367" w:lineRule="auto" w:before="166"/>
        <w:ind w:right="1136" w:firstLine="480"/>
        <w:jc w:val="both"/>
      </w:pPr>
      <w:r>
        <w:rPr/>
        <w:t>（四）对管理层使用持续经营假设的恰当性得出结论。同时，根据获取的审计证据，就 可能导致对华闻传媒持续经营能力产生重大疑虑的事项或情况是否存在重大不确定性得出结 论。如果我们得出结论认为存在重大不确定性，审计准则要求我们在审计报告中提请报表使 用者注意财务报表中的相关披露；如果披露不充分，我们应当发表非无保留意见。我们的结</w:t>
      </w:r>
      <w:r>
        <w:rPr>
          <w:spacing w:val="-117"/>
        </w:rPr>
        <w:t> </w:t>
      </w:r>
      <w:r>
        <w:rPr>
          <w:spacing w:val="-117"/>
        </w:rPr>
      </w:r>
      <w:r>
        <w:rPr/>
        <w:t>论基于截至审计报告日可获得的信息。然而，未来的事项或情况可能导致华闻传媒不能持续 经营。</w:t>
      </w:r>
    </w:p>
    <w:p>
      <w:pPr>
        <w:pStyle w:val="Heading3"/>
        <w:spacing w:line="367" w:lineRule="auto"/>
        <w:ind w:right="1140" w:firstLine="480"/>
        <w:jc w:val="both"/>
      </w:pPr>
      <w:r>
        <w:rPr/>
        <w:t>（五）评价财务报表的总体列报、结构和内容（包括披露），并评价财务报表是否公允 反映相关交易和事项。</w:t>
      </w:r>
    </w:p>
    <w:p>
      <w:pPr>
        <w:pStyle w:val="Heading3"/>
        <w:spacing w:line="367" w:lineRule="auto"/>
        <w:ind w:right="1140" w:firstLine="480"/>
        <w:jc w:val="both"/>
      </w:pPr>
      <w:r>
        <w:rPr/>
        <w:t>（六）就华闻传媒实体或业务活动的财务信息获取充分、适当的审计证据，以对财务报 表发表审计意见。我们负责指导、监督和执行集团审计，并对审计意见承担全部责任。</w:t>
      </w:r>
    </w:p>
    <w:p>
      <w:pPr>
        <w:spacing w:after="0" w:line="367"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pStyle w:val="Heading3"/>
        <w:spacing w:line="367" w:lineRule="auto" w:before="162"/>
        <w:ind w:right="1140" w:firstLine="480"/>
        <w:jc w:val="both"/>
      </w:pPr>
      <w:r>
        <w:rPr/>
        <w:t>我们与治理层就计划的审计范围、时间安排和重大审计发现等事项进行沟通，包括沟通 我们在审计中识别出的值得关注的内部控制缺陷。</w:t>
      </w:r>
    </w:p>
    <w:p>
      <w:pPr>
        <w:pStyle w:val="Heading3"/>
        <w:spacing w:line="367" w:lineRule="auto"/>
        <w:ind w:right="1140" w:firstLine="480"/>
        <w:jc w:val="both"/>
      </w:pPr>
      <w:r>
        <w:rPr/>
        <w:t>我们还就已遵守与独立性相关的职业道德要求向治理层提供声明，并与治理层沟通可能 被合理认为影响我们独立性的所有关系和其他事项，以及相关的防范措施。</w:t>
      </w:r>
    </w:p>
    <w:p>
      <w:pPr>
        <w:pStyle w:val="Heading3"/>
        <w:spacing w:line="367" w:lineRule="auto"/>
        <w:ind w:right="1139" w:firstLine="480"/>
        <w:jc w:val="both"/>
      </w:pPr>
      <w:r>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tbl>
      <w:tblPr>
        <w:tblW w:w="0" w:type="auto"/>
        <w:jc w:val="left"/>
        <w:tblInd w:w="444" w:type="dxa"/>
        <w:tblLayout w:type="fixed"/>
        <w:tblCellMar>
          <w:top w:w="0" w:type="dxa"/>
          <w:left w:w="0" w:type="dxa"/>
          <w:bottom w:w="0" w:type="dxa"/>
          <w:right w:w="0" w:type="dxa"/>
        </w:tblCellMar>
        <w:tblLook w:val="01E0"/>
      </w:tblPr>
      <w:tblGrid>
        <w:gridCol w:w="3942"/>
        <w:gridCol w:w="3750"/>
      </w:tblGrid>
      <w:tr>
        <w:trPr>
          <w:trHeight w:val="2770" w:hRule="exact"/>
        </w:trPr>
        <w:tc>
          <w:tcPr>
            <w:tcW w:w="3942" w:type="dxa"/>
            <w:tcBorders>
              <w:top w:val="nil" w:sz="6" w:space="0" w:color="auto"/>
              <w:left w:val="nil" w:sz="6" w:space="0" w:color="auto"/>
              <w:bottom w:val="nil" w:sz="6" w:space="0" w:color="auto"/>
              <w:right w:val="nil" w:sz="6" w:space="0" w:color="auto"/>
            </w:tcBorders>
          </w:tcPr>
          <w:p>
            <w:pPr>
              <w:pStyle w:val="TableParagraph"/>
              <w:spacing w:line="240" w:lineRule="exact"/>
              <w:ind w:right="660"/>
              <w:jc w:val="center"/>
              <w:rPr>
                <w:rFonts w:ascii="宋体" w:hAnsi="宋体" w:cs="宋体" w:eastAsia="宋体" w:hint="default"/>
                <w:sz w:val="24"/>
                <w:szCs w:val="24"/>
              </w:rPr>
            </w:pPr>
            <w:r>
              <w:rPr>
                <w:rFonts w:ascii="宋体" w:hAnsi="宋体" w:cs="宋体" w:eastAsia="宋体" w:hint="default"/>
                <w:sz w:val="24"/>
                <w:szCs w:val="24"/>
              </w:rPr>
              <w:t>亚太（集团）会计师事务所</w:t>
            </w:r>
          </w:p>
          <w:p>
            <w:pPr>
              <w:pStyle w:val="TableParagraph"/>
              <w:spacing w:line="240" w:lineRule="auto" w:before="166"/>
              <w:ind w:right="660"/>
              <w:jc w:val="center"/>
              <w:rPr>
                <w:rFonts w:ascii="宋体" w:hAnsi="宋体" w:cs="宋体" w:eastAsia="宋体" w:hint="default"/>
                <w:sz w:val="24"/>
                <w:szCs w:val="24"/>
              </w:rPr>
            </w:pPr>
            <w:r>
              <w:rPr>
                <w:rFonts w:ascii="宋体" w:hAnsi="宋体" w:cs="宋体" w:eastAsia="宋体" w:hint="default"/>
                <w:sz w:val="24"/>
                <w:szCs w:val="24"/>
              </w:rPr>
              <w:t>（特殊普通合伙）</w:t>
            </w:r>
          </w:p>
        </w:tc>
        <w:tc>
          <w:tcPr>
            <w:tcW w:w="3750" w:type="dxa"/>
            <w:tcBorders>
              <w:top w:val="nil" w:sz="6" w:space="0" w:color="auto"/>
              <w:left w:val="nil" w:sz="6" w:space="0" w:color="auto"/>
              <w:bottom w:val="nil" w:sz="6" w:space="0" w:color="auto"/>
              <w:right w:val="nil" w:sz="6" w:space="0" w:color="auto"/>
            </w:tcBorders>
          </w:tcPr>
          <w:p>
            <w:pPr>
              <w:pStyle w:val="TableParagraph"/>
              <w:spacing w:line="240" w:lineRule="exact"/>
              <w:ind w:left="614" w:right="0"/>
              <w:jc w:val="center"/>
              <w:rPr>
                <w:rFonts w:ascii="宋体" w:hAnsi="宋体" w:cs="宋体" w:eastAsia="宋体" w:hint="default"/>
                <w:sz w:val="24"/>
                <w:szCs w:val="24"/>
              </w:rPr>
            </w:pPr>
            <w:r>
              <w:rPr>
                <w:rFonts w:ascii="宋体" w:hAnsi="宋体" w:cs="宋体" w:eastAsia="宋体" w:hint="default"/>
                <w:sz w:val="24"/>
                <w:szCs w:val="24"/>
              </w:rPr>
              <w:t>中国注册会计师：傅伟兵</w:t>
            </w:r>
          </w:p>
          <w:p>
            <w:pPr>
              <w:pStyle w:val="TableParagraph"/>
              <w:spacing w:line="240" w:lineRule="auto" w:before="166"/>
              <w:ind w:left="614" w:right="0"/>
              <w:jc w:val="center"/>
              <w:rPr>
                <w:rFonts w:ascii="宋体" w:hAnsi="宋体" w:cs="宋体" w:eastAsia="宋体" w:hint="default"/>
                <w:sz w:val="24"/>
                <w:szCs w:val="24"/>
              </w:rPr>
            </w:pPr>
            <w:r>
              <w:rPr>
                <w:rFonts w:ascii="宋体" w:hAnsi="宋体" w:cs="宋体" w:eastAsia="宋体" w:hint="default"/>
                <w:sz w:val="24"/>
                <w:szCs w:val="24"/>
              </w:rPr>
              <w:t>（项目合伙人）</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3"/>
              <w:ind w:left="710" w:right="0"/>
              <w:jc w:val="center"/>
              <w:rPr>
                <w:rFonts w:ascii="宋体" w:hAnsi="宋体" w:cs="宋体" w:eastAsia="宋体" w:hint="default"/>
                <w:sz w:val="24"/>
                <w:szCs w:val="24"/>
              </w:rPr>
            </w:pPr>
            <w:r>
              <w:rPr>
                <w:rFonts w:ascii="宋体" w:hAnsi="宋体" w:cs="宋体" w:eastAsia="宋体" w:hint="default"/>
                <w:sz w:val="24"/>
                <w:szCs w:val="24"/>
              </w:rPr>
              <w:t>中国注册会计师：方鹏翔</w:t>
            </w:r>
          </w:p>
        </w:tc>
      </w:tr>
      <w:tr>
        <w:trPr>
          <w:trHeight w:val="863" w:hRule="exact"/>
        </w:trPr>
        <w:tc>
          <w:tcPr>
            <w:tcW w:w="39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920" w:right="0"/>
              <w:jc w:val="left"/>
              <w:rPr>
                <w:rFonts w:ascii="宋体" w:hAnsi="宋体" w:cs="宋体" w:eastAsia="宋体" w:hint="default"/>
                <w:sz w:val="24"/>
                <w:szCs w:val="24"/>
              </w:rPr>
            </w:pPr>
            <w:r>
              <w:rPr>
                <w:rFonts w:ascii="宋体" w:hAnsi="宋体" w:cs="宋体" w:eastAsia="宋体" w:hint="default"/>
                <w:sz w:val="24"/>
                <w:szCs w:val="24"/>
              </w:rPr>
              <w:t>中国</w:t>
            </w:r>
            <w:r>
              <w:rPr>
                <w:rFonts w:ascii="Times New Roman" w:hAnsi="Times New Roman" w:cs="Times New Roman" w:eastAsia="Times New Roman" w:hint="default"/>
                <w:sz w:val="24"/>
                <w:szCs w:val="24"/>
              </w:rPr>
              <w:t>·</w:t>
            </w:r>
            <w:r>
              <w:rPr>
                <w:rFonts w:ascii="宋体" w:hAnsi="宋体" w:cs="宋体" w:eastAsia="宋体" w:hint="default"/>
                <w:sz w:val="24"/>
                <w:szCs w:val="24"/>
              </w:rPr>
              <w:t>北京</w:t>
            </w:r>
          </w:p>
        </w:tc>
        <w:tc>
          <w:tcPr>
            <w:tcW w:w="37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910" w:right="0"/>
              <w:jc w:val="left"/>
              <w:rPr>
                <w:rFonts w:ascii="宋体" w:hAnsi="宋体" w:cs="宋体" w:eastAsia="宋体" w:hint="default"/>
                <w:sz w:val="24"/>
                <w:szCs w:val="24"/>
              </w:rPr>
            </w:pPr>
            <w:r>
              <w:rPr>
                <w:rFonts w:ascii="宋体" w:hAnsi="宋体" w:cs="宋体" w:eastAsia="宋体" w:hint="default"/>
                <w:sz w:val="24"/>
                <w:szCs w:val="24"/>
              </w:rPr>
              <w:t>二〇一九年四月二十五日</w:t>
            </w:r>
          </w:p>
        </w:tc>
      </w:tr>
    </w:tbl>
    <w:p>
      <w:pPr>
        <w:spacing w:after="0" w:line="240" w:lineRule="auto"/>
        <w:jc w:val="left"/>
        <w:rPr>
          <w:rFonts w:ascii="宋体" w:hAnsi="宋体" w:cs="宋体" w:eastAsia="宋体" w:hint="default"/>
          <w:sz w:val="24"/>
          <w:szCs w:val="24"/>
        </w:rPr>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bookmarkStart w:name="二、财务报表" w:id="159"/>
      <w:bookmarkEnd w:id="159"/>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60"/>
      <w:bookmarkEnd w:id="16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编制单位：华闻传媒投资集团股份有限公司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575" w:space="50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1,307,307,693.84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2,887,813,698.02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68,535,329.45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82,333,986.54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1,396,312,614.72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673,900,095.28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1,762,895.00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3,020,867.00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1,394,549,719.72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670,879,228.28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255,109,906.98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291,603,931.99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349,886,366.83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360,517,663.81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749,589.04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13,600,000.00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79,995,000.00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584,989,512.11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622,721,264.51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236,977.93</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36,432,000.00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78,003,895.99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136,397,273.30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714,218,762.59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4,135,207,675.16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5,711,113,298.73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1,984,689,512.28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2,228,241,650.40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2,192,181,574.07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3,646,233,158.22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38,876,012.21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52,462,612.91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581,948,916.78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615,348,885.22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123,399,574.92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94,479,408.44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162,798,530.81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242,606,585.58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12,161,007.21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1,747,236,420.62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1,961,731,096.34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33,073,134.63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22,657,810.16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66,661,330.92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58,081,169.36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1,839,522,569.05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1,186,512,514.55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8,770,387,576.29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10,120,515,898.39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12,905,595,251.45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15,831,629,197.12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342,200,000.00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468,719,868.97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309,569,468.78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281,630,899.34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340,163,212.64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149,366,864.29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138,365,610.52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149,767,079.98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171,271,592.36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638,489,027.42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243,377,898.59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91,690,206.13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54,656,348.43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11,581,131.52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22,414,602.62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854,322,946.26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844,909,946.26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71,435.46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100,949.30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2,884,568,121.72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2,047,758,678.45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2,222,250,000.00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1,922,000,000.00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2,294,056,062.74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1,694,734,624.47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2,407,469.79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3,041,824.08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19,698,908.47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19,827,117.62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3,412,954.44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9,201,396.60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3,143,347.00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3,275,259.28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4,544,968,742.44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3,652,080,222.05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7,429,536,864.16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5,699,838,900.50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1,997,245,457.00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2,001,294,740.00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3,770,729,320.86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3,721,401,553.06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-31,787,258.59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19,233,933.64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384,109,971.11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384,109,971.11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-1,416,875,710.13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3,603,753,836.10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4,703,421,780.25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9,729,794,033.91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772,636,607.04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401,996,262.71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5,476,058,387.29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10,131,790,296.62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12,905,595,251.45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15,831,629,197.12</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Times New Roman" w:hAnsi="Times New Roman" w:cs="Times New Roman" w:eastAsia="Times New Roman" w:hint="default"/>
          <w:sz w:val="25"/>
          <w:szCs w:val="25"/>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法定代表人：汪方怀</w:t>
        <w:tab/>
        <w:t>主管会计工作负责人：张小勇</w:t>
        <w:tab/>
        <w:t>会计机构负责人：刘秀菊</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61"/>
      <w:bookmarkEnd w:id="161"/>
      <w:r>
        <w:rPr>
          <w:b w:val="0"/>
          <w:bCs w:val="0"/>
        </w:rPr>
      </w:r>
      <w:r>
        <w:rPr>
          <w:rFonts w:ascii="宋体" w:hAnsi="宋体" w:cs="宋体" w:eastAsia="宋体" w:hint="default"/>
        </w:rPr>
        <w:t>2</w:t>
      </w:r>
      <w:r>
        <w:rPr/>
        <w:t>、母公司资产负债表</w:t>
      </w:r>
      <w:r>
        <w:rPr>
          <w:b w:val="0"/>
          <w:bCs w:val="0"/>
        </w:rPr>
      </w:r>
    </w:p>
    <w:p>
      <w:pPr>
        <w:spacing w:line="240" w:lineRule="auto" w:before="12"/>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122,794,495.35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911,363,570.83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724,978.87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1,598,875.42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774,754,933.79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864,633,391.90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7,547,311.07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11,556,954.92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33,589,853.02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68,461,141.01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10,644,667.33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179,427,195.60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908,919,075.34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1,957,023,033.75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491,608,891.47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826,198,891.47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9,891,980,963.09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9,248,947,243.10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131,151,347.31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140,834,245.50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6,621,029.92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9,196,385.89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1,383,146.47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911,327.16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3,022,702.70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10,522,745,378.26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10,229,110,795.82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11,431,664,453.60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12,186,133,829.57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190,000,000.00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28,740.00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28,740.00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43,174.60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817,292.77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11,449,126.92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13,105,371.56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1,699,348.34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1,307,819.21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1,709,161,243.05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867,266,683.62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84,684,152.20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51,879,681.76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4,656,370.37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8,308,841.47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849,096,987.50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844,433,987.50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2,761,478,620.41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1,726,959,894.66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55,000,000.00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2,294,056,062.74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1,694,734,624.47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2,314,056,062.74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1,749,734,624.47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5,075,534,683.15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3,476,694,519.13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963"/>
        <w:gridCol w:w="2410"/>
        <w:gridCol w:w="2196"/>
      </w:tblGrid>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1,997,245,457.00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2,001,294,740.00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5,049,276,583.03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5,081,060,704.02</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330,503,949.95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330,503,949.95</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-1,020,896,219.53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1,296,579,916.47</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6,356,129,770.45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8,709,439,310.44</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11,431,664,453.60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12,186,133,829.57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62"/>
      <w:bookmarkEnd w:id="162"/>
      <w:r>
        <w:rPr>
          <w:b w:val="0"/>
          <w:bCs w:val="0"/>
        </w:rPr>
      </w:r>
      <w:r>
        <w:rPr>
          <w:rFonts w:ascii="宋体" w:hAnsi="宋体" w:cs="宋体" w:eastAsia="宋体" w:hint="default"/>
        </w:rPr>
        <w:t>3</w:t>
      </w:r>
      <w:r>
        <w:rPr/>
        <w:t>、合并利润表</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3,784,764,291.20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3,420,865,937.60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3,784,764,291.20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3,420,865,937.60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7,872,824,286.30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3,693,401,140.04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2,848,252,593.90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2,025,518,613.40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31,481,996.42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29,811,284.88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408,646,650.33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427,781,843.33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364,060,119.90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361,991,369.76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62,481,034.76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15,572,177.30</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963"/>
        <w:gridCol w:w="2410"/>
        <w:gridCol w:w="2196"/>
      </w:tblGrid>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188,862,173.99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100,118,580.15</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274,105,479.24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161,964,477.77</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26,009,630.78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64,426,572.47</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3,969,039,717.00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732,607,271.22</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12,056,486.40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4,653,488.99</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-787,369,077.92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843,114,740.43</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-1,061,205,877.99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11,166,717.33</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-15,878,649.09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-4,947,703.73</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73,232.33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-3,409,835.63</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-4,879,178,003.38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566,875,487.62</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26,474,295.22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17,569,127.08</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24,110,225.48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6,055,689.10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-4,876,813,933.64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578,388,925.60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57,491,840.82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155,718,300.68</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-4,934,305,774.46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422,670,624.92</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-4,909,095,014.09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385,375,711.63</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-25,210,760.37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37,294,913.29</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-4,990,610,136.34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277,104,888.34</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56,304,361.88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145,565,736.58</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-53,021,441.89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-39,731,353.62</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-51,021,192.23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-35,219,822.64</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重新计量设定受益计划变动额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权益法下不能转损益的其他综合收益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-51,021,192.23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-35,219,822.64</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权益法下可转损益的其他综合收益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-33,758,269.02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-14,511,892.70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-17,243,169.12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-20,707,929.94</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持有至到期投资重分类为可供出售金融资产损益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-19,754.09</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-2,000,249.66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-4,511,530.98</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-4,987,327,216.35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382,939,271.30</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-5,041,631,328.57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241,885,065.70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54,304,112.22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141,054,205.60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-2.4950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0.1376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-2.4950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0.1376</w:t>
            </w:r>
          </w:p>
        </w:tc>
      </w:tr>
    </w:tbl>
    <w:p>
      <w:pPr>
        <w:tabs>
          <w:tab w:pos="3574" w:val="left" w:leader="none"/>
          <w:tab w:pos="7715" w:val="left" w:leader="none"/>
        </w:tabs>
        <w:spacing w:line="609" w:lineRule="auto" w:before="51"/>
        <w:ind w:left="154" w:right="1140" w:firstLine="0"/>
        <w:jc w:val="left"/>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元，上期被合并方实现的净利润为：</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 法定代表人：汪方怀</w:t>
        <w:tab/>
        <w:t>主管会计工作负责人：张小勇</w:t>
        <w:tab/>
        <w:t>会计机构负责人：刘秀菊 </w:t>
      </w:r>
      <w:bookmarkStart w:name="4、母公司利润表" w:id="163"/>
      <w:bookmarkEnd w:id="163"/>
      <w:r>
        <w:rPr>
          <w:rFonts w:ascii="宋体" w:hAnsi="宋体" w:cs="宋体" w:eastAsia="宋体" w:hint="default"/>
          <w:sz w:val="18"/>
          <w:szCs w:val="18"/>
        </w:rPr>
      </w:r>
      <w:r>
        <w:rPr>
          <w:rFonts w:ascii="宋体" w:hAnsi="宋体" w:cs="宋体" w:eastAsia="宋体"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4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10,020,324.56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9,368,983.21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6,666,967.53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3,863,674.46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2,647,959.45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2,972,449.75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104,075,651.05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93,433,620.87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158,028,026.66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41,210,881.69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182,193,036.21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89,318,132.07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24,264,578.18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48,401,868.96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1,496,785,522.20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693,180,711.95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354,897.16</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-523,083,156.42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778,696,238.85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-1,036,522,503.22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2,582,873.40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-254,995.41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5,553,785.22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-2,281,167,057.00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-41,042,331.44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2,824,236.44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52,760.02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9,113,905.55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310,575.03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-2,287,456,726.11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-41,300,146.45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31,503,015.98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-2,287,456,726.11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-72,803,162.43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6"/>
              <w:jc w:val="righ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-2,287,456,726.11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-72,803,162.43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6"/>
              <w:jc w:val="righ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重新计量设定受益计划变动额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权益法下不能转损益的其他综合收益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权益法下可转损益的其他综合收益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可供出售金融资产公允价值变动损益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持有至到期投资重分类为可供出售金融资产损益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现金流量套期损益的有效部分</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846" w:right="0"/>
              <w:jc w:val="left"/>
              <w:rPr>
                <w:rFonts w:ascii="宋体" w:hAnsi="宋体" w:cs="宋体" w:eastAsia="宋体" w:hint="default"/>
                <w:sz w:val="18"/>
                <w:szCs w:val="18"/>
              </w:rPr>
            </w:pPr>
            <w:r>
              <w:rPr>
                <w:rFonts w:ascii="宋体"/>
                <w:sz w:val="18"/>
              </w:rPr>
              <w:t>-2,287,456,726.11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3" w:right="0"/>
              <w:jc w:val="left"/>
              <w:rPr>
                <w:rFonts w:ascii="宋体" w:hAnsi="宋体" w:cs="宋体" w:eastAsia="宋体" w:hint="default"/>
                <w:sz w:val="18"/>
                <w:szCs w:val="18"/>
              </w:rPr>
            </w:pPr>
            <w:r>
              <w:rPr>
                <w:rFonts w:ascii="宋体"/>
                <w:sz w:val="18"/>
              </w:rPr>
              <w:t>-72,803,162.43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合并现金流量表" w:id="164"/>
      <w:bookmarkEnd w:id="164"/>
      <w:r>
        <w:rPr>
          <w:b w:val="0"/>
          <w:bCs w:val="0"/>
        </w:rPr>
      </w:r>
      <w:r>
        <w:rPr>
          <w:rFonts w:ascii="宋体" w:hAnsi="宋体" w:cs="宋体" w:eastAsia="宋体" w:hint="default"/>
        </w:rPr>
        <w:t>5</w:t>
      </w:r>
      <w:r>
        <w:rPr/>
        <w:t>、合并现金流量表</w:t>
      </w:r>
      <w:r>
        <w:rPr>
          <w:b w:val="0"/>
          <w:bCs w:val="0"/>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3,298,181,727.88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3,918,839,120.51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58"/>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56"/>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 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3,546,755.22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10,910,505.35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833,385,599.07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697,919,103.71</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4,135,114,082.17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4,627,668,729.57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2,758,281,166.42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2,064,264,471.93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667,021,638.79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570,224,777.12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177,536,860.16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303,850,605.51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893,695,168.61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1,031,464,112.55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4,496,534,833.98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3,969,803,967.11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-361,420,751.81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657,864,762.46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4,153,567,653.41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5,862,498,290.95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147,528,310.80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344,177,104.70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4,513,330.86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4,499,216.78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28,963,705.24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429,870,445.22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2,100,000.00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4,334,573,000.31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6,643,145,057.65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860,750,247.11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130,496,390.45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4,211,431,834.05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9,493,235,707.92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1,748,058,414.70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6,820,240,495.86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9,623,732,098.37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-2,485,667,495.55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-2,980,587,040.72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316,200,000.00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316,200,000.00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682,200,000.00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1,972,348,300.00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1,294,930,000.00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996,100,000.00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2,293,330,000.00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2,969,448,300.00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730,000,000.00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15,000,000.00</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963"/>
        <w:gridCol w:w="2410"/>
        <w:gridCol w:w="2196"/>
      </w:tblGrid>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286,535,277.81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517,888,962.83</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12,182,140.00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331,352,873.73</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295,000,000.00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1,311,535,277.81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532,888,962.83</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981,794,722.19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2,436,559,337.17</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-231,056.73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-2,696.22</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-1,865,524,581.90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113,834,362.69</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2,868,555,257.15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2,754,720,894.46</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1,003,030,675.25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2,868,555,257.15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母公司现金流量表" w:id="165"/>
      <w:bookmarkEnd w:id="165"/>
      <w:r>
        <w:rPr>
          <w:b w:val="0"/>
          <w:bCs w:val="0"/>
        </w:rPr>
      </w:r>
      <w:r>
        <w:rPr>
          <w:rFonts w:ascii="宋体" w:hAnsi="宋体" w:cs="宋体" w:eastAsia="宋体" w:hint="default"/>
        </w:rPr>
        <w:t>6</w:t>
      </w:r>
      <w:r>
        <w:rPr/>
        <w:t>、母公司现金流量表</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35"/>
        <w:gridCol w:w="2426"/>
        <w:gridCol w:w="2196"/>
      </w:tblGrid>
      <w:tr>
        <w:trPr>
          <w:trHeight w:val="402"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6"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6"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5,003,365,642.17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1,821,580,228.06</w:t>
            </w:r>
          </w:p>
        </w:tc>
      </w:tr>
      <w:tr>
        <w:trPr>
          <w:trHeight w:val="402"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5,003,365,642.17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1,821,580,228.06</w:t>
            </w:r>
          </w:p>
        </w:tc>
      </w:tr>
      <w:tr>
        <w:trPr>
          <w:trHeight w:val="402"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6"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33,521,094.24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37,478,694.41</w:t>
            </w:r>
          </w:p>
        </w:tc>
      </w:tr>
      <w:tr>
        <w:trPr>
          <w:trHeight w:val="402"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-1,919,734.45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8,429,253.12</w:t>
            </w:r>
          </w:p>
        </w:tc>
      </w:tr>
      <w:tr>
        <w:trPr>
          <w:trHeight w:val="402"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4,498,858,069.16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1,295,105,055.44</w:t>
            </w:r>
          </w:p>
        </w:tc>
      </w:tr>
      <w:tr>
        <w:trPr>
          <w:trHeight w:val="402"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4,530,459,428.95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1,341,013,002.97</w:t>
            </w:r>
          </w:p>
        </w:tc>
      </w:tr>
      <w:tr>
        <w:trPr>
          <w:trHeight w:val="402"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472,906,213.22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480,567,225.09</w:t>
            </w:r>
          </w:p>
        </w:tc>
      </w:tr>
      <w:tr>
        <w:trPr>
          <w:trHeight w:val="402"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2,235,149,201.51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2,221,950,369.82</w:t>
            </w:r>
          </w:p>
        </w:tc>
      </w:tr>
      <w:tr>
        <w:trPr>
          <w:trHeight w:val="402"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384,694,679.23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425,416,013.61</w:t>
            </w:r>
          </w:p>
        </w:tc>
      </w:tr>
      <w:tr>
        <w:trPr>
          <w:trHeight w:val="402"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897,662.90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16,948,086.00</w:t>
            </w:r>
          </w:p>
        </w:tc>
      </w:tr>
      <w:tr>
        <w:trPr>
          <w:trHeight w:val="402"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6"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65,170,000.00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1,025,096,674.79</w:t>
            </w:r>
          </w:p>
        </w:tc>
      </w:tr>
      <w:tr>
        <w:trPr>
          <w:trHeight w:val="402"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2,685,911,543.64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3,689,411,144.22</w:t>
            </w:r>
          </w:p>
        </w:tc>
      </w:tr>
      <w:tr>
        <w:trPr>
          <w:trHeight w:val="402"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2,954,551.88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6,790,122.46</w:t>
            </w:r>
          </w:p>
        </w:tc>
      </w:tr>
      <w:tr>
        <w:trPr>
          <w:trHeight w:val="402"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2,748,088,010.00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4,827,751,375.00</w:t>
            </w:r>
          </w:p>
        </w:tc>
      </w:tr>
      <w:tr>
        <w:trPr>
          <w:trHeight w:val="402"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1,773,640,000.00</w:t>
            </w: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4,524,682,561.88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4,834,541,497.46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-1,838,771,018.24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-1,145,130,353.24</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190,000,000.00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1,294,930,000.00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996,100,000.00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1,484,930,000.00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1,096,100,000.00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730,000,000.00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15,000,000.00</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177,634,270.46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161,888,184.17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907,634,270.46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176,888,184.17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577,295,729.54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919,211,815.83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-788,569,075.48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254,648,687.68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911,362,314.25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656,713,626.57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122,793,238.77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911,362,314.25</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06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22"/>
          <w:szCs w:val="22"/>
        </w:rPr>
      </w:pPr>
    </w:p>
    <w:p>
      <w:pPr>
        <w:pStyle w:val="Heading4"/>
        <w:spacing w:line="240" w:lineRule="auto" w:before="35"/>
        <w:ind w:left="1100" w:right="0"/>
        <w:jc w:val="left"/>
        <w:rPr>
          <w:b w:val="0"/>
          <w:bCs w:val="0"/>
        </w:rPr>
      </w:pPr>
      <w:bookmarkStart w:name="7、合并所有者权益变动表" w:id="166"/>
      <w:bookmarkEnd w:id="166"/>
      <w:r>
        <w:rPr>
          <w:b w:val="0"/>
          <w:bCs w:val="0"/>
        </w:rPr>
      </w:r>
      <w:r>
        <w:rPr>
          <w:rFonts w:ascii="宋体" w:hAnsi="宋体" w:cs="宋体" w:eastAsia="宋体" w:hint="default"/>
        </w:rPr>
        <w:t>7</w:t>
      </w:r>
      <w:r>
        <w:rPr/>
        <w:t>、合并所有者权益变动表</w:t>
      </w:r>
      <w:r>
        <w:rPr>
          <w:b w:val="0"/>
          <w:bCs w:val="0"/>
        </w:rPr>
      </w:r>
    </w:p>
    <w:p>
      <w:pPr>
        <w:spacing w:line="240" w:lineRule="auto" w:before="5"/>
        <w:rPr>
          <w:rFonts w:ascii="宋体" w:hAnsi="宋体" w:cs="宋体" w:eastAsia="宋体" w:hint="default"/>
          <w:b/>
          <w:bCs/>
          <w:sz w:val="24"/>
          <w:szCs w:val="24"/>
        </w:rPr>
      </w:pPr>
    </w:p>
    <w:p>
      <w:pPr>
        <w:spacing w:before="44"/>
        <w:ind w:left="110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9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537"/>
        <w:gridCol w:w="1552"/>
        <w:gridCol w:w="530"/>
        <w:gridCol w:w="532"/>
        <w:gridCol w:w="374"/>
        <w:gridCol w:w="1525"/>
        <w:gridCol w:w="587"/>
        <w:gridCol w:w="1419"/>
        <w:gridCol w:w="1290"/>
        <w:gridCol w:w="1432"/>
        <w:gridCol w:w="504"/>
        <w:gridCol w:w="1602"/>
        <w:gridCol w:w="1419"/>
        <w:gridCol w:w="1721"/>
      </w:tblGrid>
      <w:tr>
        <w:trPr>
          <w:trHeight w:val="402" w:hRule="exact"/>
        </w:trPr>
        <w:tc>
          <w:tcPr>
            <w:tcW w:w="1537" w:type="dxa"/>
            <w:vMerge w:val="restart"/>
            <w:tcBorders>
              <w:top w:val="single" w:sz="4" w:space="0" w:color="000000"/>
              <w:left w:val="single" w:sz="4" w:space="0" w:color="000000"/>
              <w:right w:val="single" w:sz="4" w:space="0" w:color="000000"/>
            </w:tcBorders>
            <w:shd w:val="clear" w:color="auto" w:fill="D2D2D2"/>
          </w:tcPr>
          <w:p>
            <w:pPr/>
          </w:p>
        </w:tc>
        <w:tc>
          <w:tcPr>
            <w:tcW w:w="1448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7" w:hRule="exact"/>
        </w:trPr>
        <w:tc>
          <w:tcPr>
            <w:tcW w:w="1537" w:type="dxa"/>
            <w:vMerge/>
            <w:tcBorders>
              <w:left w:val="single" w:sz="4" w:space="0" w:color="000000"/>
              <w:bottom w:val="nil" w:sz="6" w:space="0" w:color="auto"/>
              <w:right w:val="single" w:sz="4" w:space="0" w:color="000000"/>
            </w:tcBorders>
            <w:shd w:val="clear" w:color="auto" w:fill="D2D2D2"/>
          </w:tcPr>
          <w:p>
            <w:pPr/>
          </w:p>
        </w:tc>
        <w:tc>
          <w:tcPr>
            <w:tcW w:w="1134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721"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15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52" w:type="dxa"/>
            <w:vMerge w:val="restart"/>
            <w:tcBorders>
              <w:top w:val="single" w:sz="4" w:space="0" w:color="000000"/>
              <w:left w:val="single" w:sz="4" w:space="0" w:color="000000"/>
              <w:right w:val="single" w:sz="4" w:space="0" w:color="000000"/>
            </w:tcBorders>
            <w:shd w:val="clear" w:color="auto" w:fill="D2D2D2"/>
          </w:tcPr>
          <w:p>
            <w:pPr/>
          </w:p>
        </w:tc>
        <w:tc>
          <w:tcPr>
            <w:tcW w:w="143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25" w:type="dxa"/>
            <w:vMerge w:val="restart"/>
            <w:tcBorders>
              <w:top w:val="single" w:sz="4" w:space="0" w:color="000000"/>
              <w:left w:val="single" w:sz="4" w:space="0" w:color="000000"/>
              <w:right w:val="single" w:sz="4" w:space="0" w:color="FFFFFF"/>
            </w:tcBorders>
            <w:shd w:val="clear" w:color="auto" w:fill="D2D2D2"/>
          </w:tcPr>
          <w:p>
            <w:pPr/>
          </w:p>
        </w:tc>
        <w:tc>
          <w:tcPr>
            <w:tcW w:w="587" w:type="dxa"/>
            <w:tcBorders>
              <w:top w:val="single" w:sz="4" w:space="0" w:color="000000"/>
              <w:left w:val="single" w:sz="4" w:space="0" w:color="FFFFFF"/>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290" w:type="dxa"/>
            <w:vMerge w:val="restart"/>
            <w:tcBorders>
              <w:top w:val="single" w:sz="4" w:space="0" w:color="000000"/>
              <w:left w:val="single" w:sz="4" w:space="0" w:color="000000"/>
              <w:right w:val="single" w:sz="4" w:space="0" w:color="000000"/>
            </w:tcBorders>
            <w:shd w:val="clear" w:color="auto" w:fill="D2D2D2"/>
          </w:tcPr>
          <w:p>
            <w:pPr/>
          </w:p>
        </w:tc>
        <w:tc>
          <w:tcPr>
            <w:tcW w:w="1432" w:type="dxa"/>
            <w:vMerge w:val="restart"/>
            <w:tcBorders>
              <w:top w:val="single" w:sz="4" w:space="0" w:color="000000"/>
              <w:left w:val="single" w:sz="4" w:space="0" w:color="000000"/>
              <w:right w:val="single" w:sz="4" w:space="0" w:color="000000"/>
            </w:tcBorders>
            <w:shd w:val="clear" w:color="auto" w:fill="D2D2D2"/>
          </w:tcPr>
          <w:p>
            <w:pPr/>
          </w:p>
        </w:tc>
        <w:tc>
          <w:tcPr>
            <w:tcW w:w="5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67" w:right="65"/>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602"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721"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537" w:type="dxa"/>
            <w:vMerge/>
            <w:tcBorders>
              <w:left w:val="single" w:sz="4" w:space="0" w:color="000000"/>
              <w:bottom w:val="single" w:sz="4" w:space="0" w:color="FFFFFF"/>
              <w:right w:val="single" w:sz="4" w:space="0" w:color="000000"/>
            </w:tcBorders>
            <w:shd w:val="clear" w:color="auto" w:fill="D2D2D2"/>
          </w:tcPr>
          <w:p>
            <w:pPr/>
          </w:p>
        </w:tc>
        <w:tc>
          <w:tcPr>
            <w:tcW w:w="1552" w:type="dxa"/>
            <w:vMerge/>
            <w:tcBorders>
              <w:left w:val="single" w:sz="4" w:space="0" w:color="000000"/>
              <w:bottom w:val="single" w:sz="4" w:space="0" w:color="FFFFFF"/>
              <w:right w:val="single" w:sz="4" w:space="0" w:color="000000"/>
            </w:tcBorders>
            <w:shd w:val="clear" w:color="auto" w:fill="D2D2D2"/>
          </w:tcPr>
          <w:p>
            <w:pPr/>
          </w:p>
        </w:tc>
        <w:tc>
          <w:tcPr>
            <w:tcW w:w="1436" w:type="dxa"/>
            <w:gridSpan w:val="3"/>
            <w:vMerge/>
            <w:tcBorders>
              <w:left w:val="single" w:sz="4" w:space="0" w:color="000000"/>
              <w:bottom w:val="single" w:sz="4" w:space="0" w:color="FFFFFF"/>
              <w:right w:val="single" w:sz="4" w:space="0" w:color="000000"/>
            </w:tcBorders>
            <w:shd w:val="clear" w:color="auto" w:fill="D2D2D2"/>
          </w:tcPr>
          <w:p>
            <w:pPr/>
          </w:p>
        </w:tc>
        <w:tc>
          <w:tcPr>
            <w:tcW w:w="1525" w:type="dxa"/>
            <w:vMerge/>
            <w:tcBorders>
              <w:left w:val="single" w:sz="4" w:space="0" w:color="000000"/>
              <w:bottom w:val="single" w:sz="4" w:space="0" w:color="FFFFFF"/>
              <w:right w:val="single" w:sz="4" w:space="0" w:color="FFFFFF"/>
            </w:tcBorders>
            <w:shd w:val="clear" w:color="auto" w:fill="D2D2D2"/>
          </w:tcPr>
          <w:p>
            <w:pPr/>
          </w:p>
        </w:tc>
        <w:tc>
          <w:tcPr>
            <w:tcW w:w="587"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74"/>
              <w:ind w:left="108" w:right="20" w:hanging="86"/>
              <w:jc w:val="left"/>
              <w:rPr>
                <w:rFonts w:ascii="宋体" w:hAnsi="宋体" w:cs="宋体" w:eastAsia="宋体" w:hint="default"/>
                <w:sz w:val="18"/>
                <w:szCs w:val="18"/>
              </w:rPr>
            </w:pPr>
            <w:r>
              <w:rPr>
                <w:rFonts w:ascii="宋体" w:hAnsi="宋体" w:cs="宋体" w:eastAsia="宋体" w:hint="default"/>
                <w:spacing w:val="-3"/>
                <w:sz w:val="18"/>
                <w:szCs w:val="18"/>
              </w:rPr>
              <w:t>减：库</w:t>
            </w:r>
            <w:r>
              <w:rPr>
                <w:rFonts w:ascii="宋体" w:hAnsi="宋体" w:cs="宋体" w:eastAsia="宋体" w:hint="default"/>
                <w:sz w:val="18"/>
                <w:szCs w:val="18"/>
              </w:rPr>
              <w:t> 存股</w:t>
            </w:r>
          </w:p>
        </w:tc>
        <w:tc>
          <w:tcPr>
            <w:tcW w:w="1419" w:type="dxa"/>
            <w:vMerge/>
            <w:tcBorders>
              <w:left w:val="single" w:sz="4" w:space="0" w:color="000000"/>
              <w:bottom w:val="nil" w:sz="6" w:space="0" w:color="auto"/>
              <w:right w:val="single" w:sz="4" w:space="0" w:color="000000"/>
            </w:tcBorders>
            <w:shd w:val="clear" w:color="auto" w:fill="D2D2D2"/>
          </w:tcPr>
          <w:p>
            <w:pPr/>
          </w:p>
        </w:tc>
        <w:tc>
          <w:tcPr>
            <w:tcW w:w="1290" w:type="dxa"/>
            <w:vMerge/>
            <w:tcBorders>
              <w:left w:val="single" w:sz="4" w:space="0" w:color="000000"/>
              <w:bottom w:val="nil" w:sz="6" w:space="0" w:color="auto"/>
              <w:right w:val="single" w:sz="4" w:space="0" w:color="000000"/>
            </w:tcBorders>
            <w:shd w:val="clear" w:color="auto" w:fill="D2D2D2"/>
          </w:tcPr>
          <w:p>
            <w:pPr/>
          </w:p>
        </w:tc>
        <w:tc>
          <w:tcPr>
            <w:tcW w:w="1432" w:type="dxa"/>
            <w:vMerge/>
            <w:tcBorders>
              <w:left w:val="single" w:sz="4" w:space="0" w:color="000000"/>
              <w:bottom w:val="nil" w:sz="6" w:space="0" w:color="auto"/>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1602"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6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2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2" w:hRule="exact"/>
        </w:trPr>
        <w:tc>
          <w:tcPr>
            <w:tcW w:w="1537" w:type="dxa"/>
            <w:vMerge w:val="restart"/>
            <w:tcBorders>
              <w:top w:val="single" w:sz="4" w:space="0" w:color="FFFFFF"/>
              <w:left w:val="single" w:sz="4" w:space="0" w:color="000000"/>
              <w:right w:val="single" w:sz="4" w:space="0" w:color="000000"/>
            </w:tcBorders>
            <w:shd w:val="clear" w:color="auto" w:fill="D2D2D2"/>
          </w:tcPr>
          <w:p>
            <w:pPr/>
          </w:p>
        </w:tc>
        <w:tc>
          <w:tcPr>
            <w:tcW w:w="15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3"/>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37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3"/>
              <w:ind w:left="92" w:right="90"/>
              <w:jc w:val="left"/>
              <w:rPr>
                <w:rFonts w:ascii="宋体" w:hAnsi="宋体" w:cs="宋体" w:eastAsia="宋体" w:hint="default"/>
                <w:sz w:val="18"/>
                <w:szCs w:val="18"/>
              </w:rPr>
            </w:pPr>
            <w:r>
              <w:rPr>
                <w:rFonts w:ascii="宋体" w:hAnsi="宋体" w:cs="宋体" w:eastAsia="宋体" w:hint="default"/>
                <w:sz w:val="18"/>
                <w:szCs w:val="18"/>
              </w:rPr>
              <w:t>其 他</w:t>
            </w:r>
          </w:p>
        </w:tc>
        <w:tc>
          <w:tcPr>
            <w:tcW w:w="1525" w:type="dxa"/>
            <w:vMerge w:val="restart"/>
            <w:tcBorders>
              <w:top w:val="single" w:sz="4" w:space="0" w:color="FFFFFF"/>
              <w:left w:val="single" w:sz="4" w:space="0" w:color="000000"/>
              <w:right w:val="single" w:sz="4" w:space="0" w:color="FFFFFF"/>
            </w:tcBorders>
            <w:shd w:val="clear" w:color="auto" w:fill="D2D2D2"/>
          </w:tcPr>
          <w:p>
            <w:pPr>
              <w:pStyle w:val="TableParagraph"/>
              <w:spacing w:line="240" w:lineRule="auto" w:before="48"/>
              <w:ind w:left="39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87" w:type="dxa"/>
            <w:vMerge/>
            <w:tcBorders>
              <w:left w:val="single" w:sz="4" w:space="0" w:color="FFFFFF"/>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6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5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04" w:type="dxa"/>
            <w:vMerge/>
            <w:tcBorders>
              <w:left w:val="single" w:sz="4" w:space="0" w:color="000000"/>
              <w:right w:val="single" w:sz="4" w:space="0" w:color="000000"/>
            </w:tcBorders>
            <w:shd w:val="clear" w:color="auto" w:fill="D2D2D2"/>
          </w:tcPr>
          <w:p>
            <w:pPr/>
          </w:p>
        </w:tc>
        <w:tc>
          <w:tcPr>
            <w:tcW w:w="16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9" w:type="dxa"/>
            <w:vMerge/>
            <w:tcBorders>
              <w:left w:val="single" w:sz="4" w:space="0" w:color="000000"/>
              <w:bottom w:val="nil" w:sz="6" w:space="0" w:color="auto"/>
              <w:right w:val="single" w:sz="4" w:space="0" w:color="000000"/>
            </w:tcBorders>
            <w:shd w:val="clear" w:color="auto" w:fill="D2D2D2"/>
          </w:tcPr>
          <w:p>
            <w:pPr/>
          </w:p>
        </w:tc>
        <w:tc>
          <w:tcPr>
            <w:tcW w:w="1721"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537" w:type="dxa"/>
            <w:vMerge/>
            <w:tcBorders>
              <w:left w:val="single" w:sz="4" w:space="0" w:color="000000"/>
              <w:right w:val="single" w:sz="4" w:space="0" w:color="000000"/>
            </w:tcBorders>
            <w:shd w:val="clear" w:color="auto" w:fill="D2D2D2"/>
          </w:tcPr>
          <w:p>
            <w:pPr/>
          </w:p>
        </w:tc>
        <w:tc>
          <w:tcPr>
            <w:tcW w:w="155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374" w:type="dxa"/>
            <w:vMerge/>
            <w:tcBorders>
              <w:left w:val="single" w:sz="4" w:space="0" w:color="000000"/>
              <w:right w:val="single" w:sz="4" w:space="0" w:color="000000"/>
            </w:tcBorders>
            <w:shd w:val="clear" w:color="auto" w:fill="D2D2D2"/>
          </w:tcPr>
          <w:p>
            <w:pPr/>
          </w:p>
        </w:tc>
        <w:tc>
          <w:tcPr>
            <w:tcW w:w="1525" w:type="dxa"/>
            <w:vMerge/>
            <w:tcBorders>
              <w:left w:val="single" w:sz="4" w:space="0" w:color="000000"/>
              <w:bottom w:val="nil" w:sz="6" w:space="0" w:color="auto"/>
              <w:right w:val="single" w:sz="4" w:space="0" w:color="FFFFFF"/>
            </w:tcBorders>
            <w:shd w:val="clear" w:color="auto" w:fill="D2D2D2"/>
          </w:tcPr>
          <w:p>
            <w:pPr/>
          </w:p>
        </w:tc>
        <w:tc>
          <w:tcPr>
            <w:tcW w:w="587" w:type="dxa"/>
            <w:vMerge/>
            <w:tcBorders>
              <w:left w:val="single" w:sz="4" w:space="0" w:color="FFFFFF"/>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290" w:type="dxa"/>
            <w:vMerge/>
            <w:tcBorders>
              <w:left w:val="single" w:sz="4" w:space="0" w:color="000000"/>
              <w:bottom w:val="nil" w:sz="6" w:space="0" w:color="auto"/>
              <w:right w:val="single" w:sz="4" w:space="0" w:color="000000"/>
            </w:tcBorders>
            <w:shd w:val="clear" w:color="auto" w:fill="D2D2D2"/>
          </w:tcPr>
          <w:p>
            <w:pPr/>
          </w:p>
        </w:tc>
        <w:tc>
          <w:tcPr>
            <w:tcW w:w="1432" w:type="dxa"/>
            <w:vMerge/>
            <w:tcBorders>
              <w:left w:val="single" w:sz="4" w:space="0" w:color="000000"/>
              <w:bottom w:val="nil" w:sz="6" w:space="0" w:color="auto"/>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1602"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1721"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537" w:type="dxa"/>
            <w:vMerge/>
            <w:tcBorders>
              <w:left w:val="single" w:sz="4" w:space="0" w:color="000000"/>
              <w:right w:val="single" w:sz="4" w:space="0" w:color="000000"/>
            </w:tcBorders>
            <w:shd w:val="clear" w:color="auto" w:fill="D2D2D2"/>
          </w:tcPr>
          <w:p>
            <w:pPr/>
          </w:p>
        </w:tc>
        <w:tc>
          <w:tcPr>
            <w:tcW w:w="155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374" w:type="dxa"/>
            <w:vMerge/>
            <w:tcBorders>
              <w:left w:val="single" w:sz="4" w:space="0" w:color="000000"/>
              <w:right w:val="single" w:sz="4" w:space="0" w:color="000000"/>
            </w:tcBorders>
            <w:shd w:val="clear" w:color="auto" w:fill="D2D2D2"/>
          </w:tcPr>
          <w:p>
            <w:pPr/>
          </w:p>
        </w:tc>
        <w:tc>
          <w:tcPr>
            <w:tcW w:w="1525" w:type="dxa"/>
            <w:vMerge w:val="restart"/>
            <w:tcBorders>
              <w:top w:val="nil" w:sz="6" w:space="0" w:color="auto"/>
              <w:left w:val="single" w:sz="4" w:space="0" w:color="000000"/>
              <w:right w:val="single" w:sz="4" w:space="0" w:color="FFFFFF"/>
            </w:tcBorders>
            <w:shd w:val="clear" w:color="auto" w:fill="D2D2D2"/>
          </w:tcPr>
          <w:p>
            <w:pPr/>
          </w:p>
        </w:tc>
        <w:tc>
          <w:tcPr>
            <w:tcW w:w="587" w:type="dxa"/>
            <w:vMerge/>
            <w:tcBorders>
              <w:left w:val="single" w:sz="4" w:space="0" w:color="FFFFFF"/>
              <w:bottom w:val="nil" w:sz="6" w:space="0" w:color="auto"/>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1290" w:type="dxa"/>
            <w:vMerge w:val="restart"/>
            <w:tcBorders>
              <w:top w:val="nil" w:sz="6" w:space="0" w:color="auto"/>
              <w:left w:val="single" w:sz="4" w:space="0" w:color="000000"/>
              <w:right w:val="single" w:sz="4" w:space="0" w:color="000000"/>
            </w:tcBorders>
            <w:shd w:val="clear" w:color="auto" w:fill="D2D2D2"/>
          </w:tcPr>
          <w:p>
            <w:pPr/>
          </w:p>
        </w:tc>
        <w:tc>
          <w:tcPr>
            <w:tcW w:w="1432" w:type="dxa"/>
            <w:vMerge w:val="restart"/>
            <w:tcBorders>
              <w:top w:val="nil" w:sz="6" w:space="0" w:color="auto"/>
              <w:left w:val="single" w:sz="4" w:space="0" w:color="000000"/>
              <w:right w:val="single" w:sz="4" w:space="0" w:color="000000"/>
            </w:tcBorders>
            <w:shd w:val="clear" w:color="auto" w:fill="D2D2D2"/>
          </w:tcPr>
          <w:p>
            <w:pPr/>
          </w:p>
        </w:tc>
        <w:tc>
          <w:tcPr>
            <w:tcW w:w="504" w:type="dxa"/>
            <w:vMerge/>
            <w:tcBorders>
              <w:left w:val="single" w:sz="4" w:space="0" w:color="000000"/>
              <w:right w:val="single" w:sz="4" w:space="0" w:color="000000"/>
            </w:tcBorders>
            <w:shd w:val="clear" w:color="auto" w:fill="D2D2D2"/>
          </w:tcPr>
          <w:p>
            <w:pPr/>
          </w:p>
        </w:tc>
        <w:tc>
          <w:tcPr>
            <w:tcW w:w="1602" w:type="dxa"/>
            <w:vMerge w:val="restart"/>
            <w:tcBorders>
              <w:top w:val="nil" w:sz="6" w:space="0" w:color="auto"/>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721" w:type="dxa"/>
            <w:vMerge/>
            <w:tcBorders>
              <w:left w:val="single" w:sz="4" w:space="0" w:color="000000"/>
              <w:right w:val="single" w:sz="4" w:space="0" w:color="000000"/>
            </w:tcBorders>
            <w:shd w:val="clear" w:color="auto" w:fill="D2D2D2"/>
          </w:tcPr>
          <w:p>
            <w:pPr/>
          </w:p>
        </w:tc>
      </w:tr>
      <w:tr>
        <w:trPr>
          <w:trHeight w:val="206" w:hRule="exact"/>
        </w:trPr>
        <w:tc>
          <w:tcPr>
            <w:tcW w:w="1537" w:type="dxa"/>
            <w:vMerge/>
            <w:tcBorders>
              <w:left w:val="single" w:sz="4" w:space="0" w:color="000000"/>
              <w:bottom w:val="single" w:sz="4" w:space="0" w:color="000000"/>
              <w:right w:val="single" w:sz="4" w:space="0" w:color="000000"/>
            </w:tcBorders>
            <w:shd w:val="clear" w:color="auto" w:fill="D2D2D2"/>
          </w:tcPr>
          <w:p>
            <w:pPr/>
          </w:p>
        </w:tc>
        <w:tc>
          <w:tcPr>
            <w:tcW w:w="155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374" w:type="dxa"/>
            <w:vMerge/>
            <w:tcBorders>
              <w:left w:val="single" w:sz="4" w:space="0" w:color="000000"/>
              <w:bottom w:val="single" w:sz="4" w:space="0" w:color="000000"/>
              <w:right w:val="single" w:sz="4" w:space="0" w:color="000000"/>
            </w:tcBorders>
            <w:shd w:val="clear" w:color="auto" w:fill="D2D2D2"/>
          </w:tcPr>
          <w:p>
            <w:pPr/>
          </w:p>
        </w:tc>
        <w:tc>
          <w:tcPr>
            <w:tcW w:w="1525" w:type="dxa"/>
            <w:vMerge/>
            <w:tcBorders>
              <w:left w:val="single" w:sz="4" w:space="0" w:color="000000"/>
              <w:bottom w:val="single" w:sz="4" w:space="0" w:color="000000"/>
              <w:right w:val="single" w:sz="4" w:space="0" w:color="FFFFFF"/>
            </w:tcBorders>
            <w:shd w:val="clear" w:color="auto" w:fill="D2D2D2"/>
          </w:tcPr>
          <w:p>
            <w:pPr/>
          </w:p>
        </w:tc>
        <w:tc>
          <w:tcPr>
            <w:tcW w:w="587" w:type="dxa"/>
            <w:tcBorders>
              <w:top w:val="nil" w:sz="6" w:space="0" w:color="auto"/>
              <w:left w:val="single" w:sz="4" w:space="0" w:color="FFFFFF"/>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90" w:type="dxa"/>
            <w:vMerge/>
            <w:tcBorders>
              <w:left w:val="single" w:sz="4" w:space="0" w:color="000000"/>
              <w:bottom w:val="single" w:sz="4" w:space="0" w:color="000000"/>
              <w:right w:val="single" w:sz="4" w:space="0" w:color="000000"/>
            </w:tcBorders>
            <w:shd w:val="clear" w:color="auto" w:fill="D2D2D2"/>
          </w:tcPr>
          <w:p>
            <w:pPr/>
          </w:p>
        </w:tc>
        <w:tc>
          <w:tcPr>
            <w:tcW w:w="1432" w:type="dxa"/>
            <w:vMerge/>
            <w:tcBorders>
              <w:left w:val="single" w:sz="4" w:space="0" w:color="000000"/>
              <w:bottom w:val="single" w:sz="4" w:space="0" w:color="000000"/>
              <w:right w:val="single" w:sz="4" w:space="0" w:color="000000"/>
            </w:tcBorders>
            <w:shd w:val="clear" w:color="auto" w:fill="D2D2D2"/>
          </w:tcPr>
          <w:p>
            <w:pPr/>
          </w:p>
        </w:tc>
        <w:tc>
          <w:tcPr>
            <w:tcW w:w="504" w:type="dxa"/>
            <w:vMerge/>
            <w:tcBorders>
              <w:left w:val="single" w:sz="4" w:space="0" w:color="000000"/>
              <w:bottom w:val="single" w:sz="4" w:space="0" w:color="000000"/>
              <w:right w:val="single" w:sz="4" w:space="0" w:color="000000"/>
            </w:tcBorders>
            <w:shd w:val="clear" w:color="auto" w:fill="D2D2D2"/>
          </w:tcPr>
          <w:p>
            <w:pPr/>
          </w:p>
        </w:tc>
        <w:tc>
          <w:tcPr>
            <w:tcW w:w="1602"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72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2,001,294,740.00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3,721,401,553.06</w:t>
            </w:r>
          </w:p>
        </w:tc>
        <w:tc>
          <w:tcPr>
            <w:tcW w:w="587" w:type="dxa"/>
            <w:tcBorders>
              <w:top w:val="single" w:sz="4" w:space="0" w:color="000000"/>
              <w:left w:val="single" w:sz="4" w:space="0" w:color="FFFFFF"/>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19,233,933.64</w:t>
            </w: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384,109,971.11</w:t>
            </w:r>
          </w:p>
        </w:tc>
        <w:tc>
          <w:tcPr>
            <w:tcW w:w="504" w:type="dxa"/>
            <w:tcBorders>
              <w:top w:val="single" w:sz="18" w:space="0" w:color="D2D2D2"/>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3,636,292,086.82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center"/>
              <w:rPr>
                <w:rFonts w:ascii="宋体" w:hAnsi="宋体" w:cs="宋体" w:eastAsia="宋体" w:hint="default"/>
                <w:sz w:val="18"/>
                <w:szCs w:val="18"/>
              </w:rPr>
            </w:pPr>
            <w:r>
              <w:rPr>
                <w:rFonts w:ascii="宋体"/>
                <w:sz w:val="18"/>
              </w:rPr>
              <w:t>408,654,353.12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10,170,986,637.75</w:t>
            </w:r>
          </w:p>
        </w:tc>
      </w:tr>
      <w:tr>
        <w:trPr>
          <w:trHeight w:val="714"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3" w:firstLine="360"/>
              <w:jc w:val="left"/>
              <w:rPr>
                <w:rFonts w:ascii="宋体" w:hAnsi="宋体" w:cs="宋体" w:eastAsia="宋体" w:hint="default"/>
                <w:sz w:val="18"/>
                <w:szCs w:val="18"/>
              </w:rPr>
            </w:pPr>
            <w:r>
              <w:rPr>
                <w:rFonts w:ascii="宋体" w:hAnsi="宋体" w:cs="宋体" w:eastAsia="宋体" w:hint="default"/>
                <w:sz w:val="18"/>
                <w:szCs w:val="18"/>
              </w:rPr>
              <w:t>加：会计政策 变更</w:t>
            </w:r>
          </w:p>
        </w:tc>
        <w:tc>
          <w:tcPr>
            <w:tcW w:w="155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FFFFFF"/>
            </w:tcBorders>
          </w:tcPr>
          <w:p>
            <w:pPr/>
          </w:p>
        </w:tc>
        <w:tc>
          <w:tcPr>
            <w:tcW w:w="587" w:type="dxa"/>
            <w:tcBorders>
              <w:top w:val="single" w:sz="4" w:space="0" w:color="000000"/>
              <w:left w:val="single" w:sz="4" w:space="0" w:color="FFFFFF"/>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55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FFFFFF"/>
            </w:tcBorders>
          </w:tcPr>
          <w:p>
            <w:pPr/>
          </w:p>
        </w:tc>
        <w:tc>
          <w:tcPr>
            <w:tcW w:w="587" w:type="dxa"/>
            <w:tcBorders>
              <w:top w:val="single" w:sz="4" w:space="0" w:color="000000"/>
              <w:left w:val="single" w:sz="4" w:space="0" w:color="FFFFFF"/>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-32,538,250.72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2" w:right="0"/>
              <w:jc w:val="center"/>
              <w:rPr>
                <w:rFonts w:ascii="宋体" w:hAnsi="宋体" w:cs="宋体" w:eastAsia="宋体" w:hint="default"/>
                <w:sz w:val="18"/>
                <w:szCs w:val="18"/>
              </w:rPr>
            </w:pPr>
            <w:r>
              <w:rPr>
                <w:rFonts w:ascii="宋体"/>
                <w:sz w:val="18"/>
              </w:rPr>
              <w:t>-6,658,090.41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-39,196,341.13</w:t>
            </w:r>
          </w:p>
        </w:tc>
      </w:tr>
      <w:tr>
        <w:trPr>
          <w:trHeight w:val="714"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3" w:firstLine="720"/>
              <w:jc w:val="left"/>
              <w:rPr>
                <w:rFonts w:ascii="宋体" w:hAnsi="宋体" w:cs="宋体" w:eastAsia="宋体" w:hint="default"/>
                <w:sz w:val="18"/>
                <w:szCs w:val="18"/>
              </w:rPr>
            </w:pPr>
            <w:r>
              <w:rPr>
                <w:rFonts w:ascii="宋体" w:hAnsi="宋体" w:cs="宋体" w:eastAsia="宋体" w:hint="default"/>
                <w:sz w:val="18"/>
                <w:szCs w:val="18"/>
              </w:rPr>
              <w:t>同一控制 下企业合并</w:t>
            </w:r>
          </w:p>
        </w:tc>
        <w:tc>
          <w:tcPr>
            <w:tcW w:w="155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FFFFFF"/>
            </w:tcBorders>
          </w:tcPr>
          <w:p>
            <w:pPr/>
          </w:p>
        </w:tc>
        <w:tc>
          <w:tcPr>
            <w:tcW w:w="587" w:type="dxa"/>
            <w:tcBorders>
              <w:top w:val="single" w:sz="4" w:space="0" w:color="000000"/>
              <w:left w:val="single" w:sz="4" w:space="0" w:color="FFFFFF"/>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FFFFFF"/>
            </w:tcBorders>
          </w:tcPr>
          <w:p>
            <w:pPr/>
          </w:p>
        </w:tc>
        <w:tc>
          <w:tcPr>
            <w:tcW w:w="587" w:type="dxa"/>
            <w:tcBorders>
              <w:top w:val="single" w:sz="4" w:space="0" w:color="000000"/>
              <w:left w:val="single" w:sz="4" w:space="0" w:color="FFFFFF"/>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2,001,294,740.00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3,721,401,553.06</w:t>
            </w:r>
          </w:p>
        </w:tc>
        <w:tc>
          <w:tcPr>
            <w:tcW w:w="587" w:type="dxa"/>
            <w:tcBorders>
              <w:top w:val="single" w:sz="4" w:space="0" w:color="000000"/>
              <w:left w:val="single" w:sz="4" w:space="0" w:color="FFFFFF"/>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19,233,933.64</w:t>
            </w: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384,109,971.11</w:t>
            </w: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3,603,753,836.10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center"/>
              <w:rPr>
                <w:rFonts w:ascii="宋体" w:hAnsi="宋体" w:cs="宋体" w:eastAsia="宋体" w:hint="default"/>
                <w:sz w:val="18"/>
                <w:szCs w:val="18"/>
              </w:rPr>
            </w:pPr>
            <w:r>
              <w:rPr>
                <w:rFonts w:ascii="宋体"/>
                <w:sz w:val="18"/>
              </w:rPr>
              <w:t>401,996,262.71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10,131,790,296.62</w:t>
            </w:r>
          </w:p>
        </w:tc>
      </w:tr>
      <w:tr>
        <w:trPr>
          <w:trHeight w:val="1026"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3"/>
              <w:jc w:val="left"/>
              <w:rPr>
                <w:rFonts w:ascii="宋体" w:hAnsi="宋体" w:cs="宋体" w:eastAsia="宋体" w:hint="default"/>
                <w:sz w:val="18"/>
                <w:szCs w:val="18"/>
              </w:rPr>
            </w:pPr>
            <w:r>
              <w:rPr>
                <w:rFonts w:ascii="宋体" w:hAnsi="宋体" w:cs="宋体" w:eastAsia="宋体" w:hint="default"/>
                <w:sz w:val="18"/>
                <w:szCs w:val="18"/>
              </w:rPr>
              <w:t>三、本期增减变动 金额（减少以 “－”号填列）</w:t>
            </w:r>
          </w:p>
        </w:tc>
        <w:tc>
          <w:tcPr>
            <w:tcW w:w="15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-4,049,283.00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49,327,767.80</w:t>
            </w:r>
          </w:p>
        </w:tc>
        <w:tc>
          <w:tcPr>
            <w:tcW w:w="587" w:type="dxa"/>
            <w:tcBorders>
              <w:top w:val="single" w:sz="4" w:space="0" w:color="000000"/>
              <w:left w:val="single" w:sz="4" w:space="0" w:color="FFFFFF"/>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-51,021,192.23</w:t>
            </w: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-5,020,629,546.23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center"/>
              <w:rPr>
                <w:rFonts w:ascii="宋体" w:hAnsi="宋体" w:cs="宋体" w:eastAsia="宋体" w:hint="default"/>
                <w:sz w:val="18"/>
                <w:szCs w:val="18"/>
              </w:rPr>
            </w:pPr>
            <w:r>
              <w:rPr>
                <w:rFonts w:ascii="宋体"/>
                <w:sz w:val="18"/>
              </w:rPr>
              <w:t>370,640,344.33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-4,655,731,909.33</w:t>
            </w:r>
          </w:p>
        </w:tc>
      </w:tr>
      <w:tr>
        <w:trPr>
          <w:trHeight w:val="714"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3"/>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155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FFFFFF"/>
            </w:tcBorders>
          </w:tcPr>
          <w:p>
            <w:pPr/>
          </w:p>
        </w:tc>
        <w:tc>
          <w:tcPr>
            <w:tcW w:w="587" w:type="dxa"/>
            <w:tcBorders>
              <w:top w:val="single" w:sz="4" w:space="0" w:color="000000"/>
              <w:left w:val="single" w:sz="4" w:space="0" w:color="FFFFFF"/>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-51,021,192.23</w:t>
            </w: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-4,990,610,136.34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2" w:right="0"/>
              <w:jc w:val="center"/>
              <w:rPr>
                <w:rFonts w:ascii="宋体" w:hAnsi="宋体" w:cs="宋体" w:eastAsia="宋体" w:hint="default"/>
                <w:sz w:val="18"/>
                <w:szCs w:val="18"/>
              </w:rPr>
            </w:pPr>
            <w:r>
              <w:rPr>
                <w:rFonts w:ascii="宋体"/>
                <w:sz w:val="18"/>
              </w:rPr>
              <w:t>54,304,112.22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-4,987,327,216.35</w:t>
            </w:r>
          </w:p>
        </w:tc>
      </w:tr>
      <w:tr>
        <w:trPr>
          <w:trHeight w:val="714"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3"/>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15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-4,049,283.00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49,327,767.80</w:t>
            </w:r>
          </w:p>
        </w:tc>
        <w:tc>
          <w:tcPr>
            <w:tcW w:w="587" w:type="dxa"/>
            <w:tcBorders>
              <w:top w:val="single" w:sz="4" w:space="0" w:color="000000"/>
              <w:left w:val="single" w:sz="4" w:space="0" w:color="FFFFFF"/>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center"/>
              <w:rPr>
                <w:rFonts w:ascii="宋体" w:hAnsi="宋体" w:cs="宋体" w:eastAsia="宋体" w:hint="default"/>
                <w:sz w:val="18"/>
                <w:szCs w:val="18"/>
              </w:rPr>
            </w:pPr>
            <w:r>
              <w:rPr>
                <w:rFonts w:ascii="宋体"/>
                <w:sz w:val="18"/>
              </w:rPr>
              <w:t>316,836,232.11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362,114,716.91</w:t>
            </w:r>
          </w:p>
        </w:tc>
      </w:tr>
    </w:tbl>
    <w:p>
      <w:pPr>
        <w:spacing w:after="0" w:line="240" w:lineRule="auto"/>
        <w:jc w:val="right"/>
        <w:rPr>
          <w:rFonts w:ascii="宋体" w:hAnsi="宋体" w:cs="宋体" w:eastAsia="宋体" w:hint="default"/>
          <w:sz w:val="18"/>
          <w:szCs w:val="18"/>
        </w:rPr>
        <w:sectPr>
          <w:headerReference w:type="default" r:id="rId34"/>
          <w:footerReference w:type="default" r:id="rId35"/>
          <w:pgSz w:w="16840" w:h="11910" w:orient="landscape"/>
          <w:pgMar w:header="867" w:footer="979" w:top="1060" w:bottom="1160" w:left="340" w:right="240"/>
          <w:pgNumType w:start="134"/>
        </w:sectPr>
      </w:pPr>
    </w:p>
    <w:p>
      <w:pPr>
        <w:spacing w:line="240" w:lineRule="auto" w:before="4"/>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560"/>
        <w:gridCol w:w="1541"/>
        <w:gridCol w:w="530"/>
        <w:gridCol w:w="532"/>
        <w:gridCol w:w="374"/>
        <w:gridCol w:w="1525"/>
        <w:gridCol w:w="587"/>
        <w:gridCol w:w="1419"/>
        <w:gridCol w:w="1290"/>
        <w:gridCol w:w="1432"/>
        <w:gridCol w:w="504"/>
        <w:gridCol w:w="1602"/>
        <w:gridCol w:w="1419"/>
        <w:gridCol w:w="1721"/>
      </w:tblGrid>
      <w:tr>
        <w:trPr>
          <w:trHeight w:val="729" w:hRule="exact"/>
        </w:trPr>
        <w:tc>
          <w:tcPr>
            <w:tcW w:w="156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．所有者投入的普</w:t>
            </w:r>
            <w:r>
              <w:rPr>
                <w:rFonts w:ascii="宋体" w:hAnsi="宋体" w:cs="宋体" w:eastAsia="宋体" w:hint="default"/>
                <w:sz w:val="18"/>
                <w:szCs w:val="18"/>
              </w:rPr>
              <w:t> 通股</w:t>
            </w:r>
          </w:p>
        </w:tc>
        <w:tc>
          <w:tcPr>
            <w:tcW w:w="154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37" w:right="0"/>
              <w:jc w:val="left"/>
              <w:rPr>
                <w:rFonts w:ascii="宋体" w:hAnsi="宋体" w:cs="宋体" w:eastAsia="宋体" w:hint="default"/>
                <w:sz w:val="18"/>
                <w:szCs w:val="18"/>
              </w:rPr>
            </w:pPr>
            <w:r>
              <w:rPr>
                <w:rFonts w:ascii="宋体"/>
                <w:sz w:val="18"/>
              </w:rPr>
              <w:t>-4,049,283.00</w:t>
            </w:r>
          </w:p>
        </w:tc>
        <w:tc>
          <w:tcPr>
            <w:tcW w:w="530" w:type="dxa"/>
            <w:tcBorders>
              <w:top w:val="single" w:sz="15" w:space="0" w:color="000000"/>
              <w:left w:val="single" w:sz="4" w:space="0" w:color="000000"/>
              <w:bottom w:val="single" w:sz="4" w:space="0" w:color="000000"/>
              <w:right w:val="single" w:sz="4" w:space="0" w:color="000000"/>
            </w:tcBorders>
          </w:tcPr>
          <w:p>
            <w:pPr/>
          </w:p>
        </w:tc>
        <w:tc>
          <w:tcPr>
            <w:tcW w:w="532" w:type="dxa"/>
            <w:tcBorders>
              <w:top w:val="single" w:sz="15" w:space="0" w:color="000000"/>
              <w:left w:val="single" w:sz="4" w:space="0" w:color="000000"/>
              <w:bottom w:val="single" w:sz="4" w:space="0" w:color="000000"/>
              <w:right w:val="single" w:sz="4" w:space="0" w:color="000000"/>
            </w:tcBorders>
          </w:tcPr>
          <w:p>
            <w:pPr/>
          </w:p>
        </w:tc>
        <w:tc>
          <w:tcPr>
            <w:tcW w:w="374" w:type="dxa"/>
            <w:tcBorders>
              <w:top w:val="single" w:sz="15" w:space="0" w:color="000000"/>
              <w:left w:val="single" w:sz="4" w:space="0" w:color="000000"/>
              <w:bottom w:val="single" w:sz="4" w:space="0" w:color="000000"/>
              <w:right w:val="single" w:sz="4" w:space="0" w:color="000000"/>
            </w:tcBorders>
          </w:tcPr>
          <w:p>
            <w:pPr/>
          </w:p>
        </w:tc>
        <w:tc>
          <w:tcPr>
            <w:tcW w:w="152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4,049,283.00</w:t>
            </w:r>
          </w:p>
        </w:tc>
        <w:tc>
          <w:tcPr>
            <w:tcW w:w="587"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1290" w:type="dxa"/>
            <w:tcBorders>
              <w:top w:val="single" w:sz="15" w:space="0" w:color="000000"/>
              <w:left w:val="single" w:sz="4" w:space="0" w:color="000000"/>
              <w:bottom w:val="single" w:sz="4" w:space="0" w:color="000000"/>
              <w:right w:val="single" w:sz="4" w:space="0" w:color="000000"/>
            </w:tcBorders>
          </w:tcPr>
          <w:p>
            <w:pPr/>
          </w:p>
        </w:tc>
        <w:tc>
          <w:tcPr>
            <w:tcW w:w="1432" w:type="dxa"/>
            <w:tcBorders>
              <w:top w:val="single" w:sz="15" w:space="0" w:color="000000"/>
              <w:left w:val="single" w:sz="4" w:space="0" w:color="000000"/>
              <w:bottom w:val="single" w:sz="4" w:space="0" w:color="000000"/>
              <w:right w:val="single" w:sz="4" w:space="0" w:color="000000"/>
            </w:tcBorders>
          </w:tcPr>
          <w:p>
            <w:pPr/>
          </w:p>
        </w:tc>
        <w:tc>
          <w:tcPr>
            <w:tcW w:w="504" w:type="dxa"/>
            <w:tcBorders>
              <w:top w:val="single" w:sz="15" w:space="0" w:color="000000"/>
              <w:left w:val="single" w:sz="4" w:space="0" w:color="000000"/>
              <w:bottom w:val="single" w:sz="4" w:space="0" w:color="000000"/>
              <w:right w:val="single" w:sz="4" w:space="0" w:color="000000"/>
            </w:tcBorders>
          </w:tcPr>
          <w:p>
            <w:pPr/>
          </w:p>
        </w:tc>
        <w:tc>
          <w:tcPr>
            <w:tcW w:w="1602"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277,450,000.00</w:t>
            </w:r>
          </w:p>
        </w:tc>
        <w:tc>
          <w:tcPr>
            <w:tcW w:w="17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277,450,000.00</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．其他权益工具持</w:t>
            </w:r>
            <w:r>
              <w:rPr>
                <w:rFonts w:ascii="宋体" w:hAnsi="宋体" w:cs="宋体" w:eastAsia="宋体" w:hint="default"/>
                <w:sz w:val="18"/>
                <w:szCs w:val="18"/>
              </w:rPr>
              <w:t> 有者投入资本</w:t>
            </w:r>
          </w:p>
        </w:tc>
        <w:tc>
          <w:tcPr>
            <w:tcW w:w="154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．股份支付计入所</w:t>
            </w:r>
            <w:r>
              <w:rPr>
                <w:rFonts w:ascii="宋体" w:hAnsi="宋体" w:cs="宋体" w:eastAsia="宋体" w:hint="default"/>
                <w:sz w:val="18"/>
                <w:szCs w:val="18"/>
              </w:rPr>
              <w:t> 有者权益的金额</w:t>
            </w:r>
          </w:p>
        </w:tc>
        <w:tc>
          <w:tcPr>
            <w:tcW w:w="154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4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45,278,484.80</w:t>
            </w:r>
          </w:p>
        </w:tc>
        <w:tc>
          <w:tcPr>
            <w:tcW w:w="58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39,386,232.11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84,664,716.91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4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-30,019,409.89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-500,000.00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-30,519,409.89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4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．提取一般风险准</w:t>
            </w:r>
            <w:r>
              <w:rPr>
                <w:rFonts w:ascii="宋体" w:hAnsi="宋体" w:cs="宋体" w:eastAsia="宋体" w:hint="default"/>
                <w:sz w:val="18"/>
                <w:szCs w:val="18"/>
              </w:rPr>
              <w:t> 备</w:t>
            </w:r>
          </w:p>
        </w:tc>
        <w:tc>
          <w:tcPr>
            <w:tcW w:w="154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．对所有者（或股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东）的分配</w:t>
            </w:r>
          </w:p>
        </w:tc>
        <w:tc>
          <w:tcPr>
            <w:tcW w:w="154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-30,019,409.89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-500,000.00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-30,519,409.89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4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86"/>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154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．资本公积转增资</w:t>
            </w:r>
            <w:r>
              <w:rPr>
                <w:rFonts w:ascii="宋体" w:hAnsi="宋体" w:cs="宋体" w:eastAsia="宋体" w:hint="default"/>
                <w:sz w:val="18"/>
                <w:szCs w:val="18"/>
              </w:rPr>
              <w:t> 本（或股本）</w:t>
            </w:r>
          </w:p>
        </w:tc>
        <w:tc>
          <w:tcPr>
            <w:tcW w:w="154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．盈余公积转增资</w:t>
            </w:r>
            <w:r>
              <w:rPr>
                <w:rFonts w:ascii="宋体" w:hAnsi="宋体" w:cs="宋体" w:eastAsia="宋体" w:hint="default"/>
                <w:sz w:val="18"/>
                <w:szCs w:val="18"/>
              </w:rPr>
              <w:t> 本（或股本）</w:t>
            </w:r>
          </w:p>
        </w:tc>
        <w:tc>
          <w:tcPr>
            <w:tcW w:w="154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．盈余公积弥补亏</w:t>
            </w:r>
            <w:r>
              <w:rPr>
                <w:rFonts w:ascii="宋体" w:hAnsi="宋体" w:cs="宋体" w:eastAsia="宋体" w:hint="default"/>
                <w:sz w:val="18"/>
                <w:szCs w:val="18"/>
              </w:rPr>
              <w:t> 损</w:t>
            </w:r>
          </w:p>
        </w:tc>
        <w:tc>
          <w:tcPr>
            <w:tcW w:w="154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．设定受益计划变</w:t>
            </w:r>
            <w:r>
              <w:rPr>
                <w:rFonts w:ascii="宋体" w:hAnsi="宋体" w:cs="宋体" w:eastAsia="宋体" w:hint="default"/>
                <w:sz w:val="18"/>
                <w:szCs w:val="18"/>
              </w:rPr>
              <w:t> 动额结转留存收益</w:t>
            </w:r>
          </w:p>
        </w:tc>
        <w:tc>
          <w:tcPr>
            <w:tcW w:w="154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54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4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200" w:left="340" w:right="240"/>
        </w:sectPr>
      </w:pPr>
    </w:p>
    <w:p>
      <w:pPr>
        <w:spacing w:line="240" w:lineRule="auto" w:before="4"/>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560"/>
        <w:gridCol w:w="1541"/>
        <w:gridCol w:w="530"/>
        <w:gridCol w:w="532"/>
        <w:gridCol w:w="374"/>
        <w:gridCol w:w="1525"/>
        <w:gridCol w:w="587"/>
        <w:gridCol w:w="1419"/>
        <w:gridCol w:w="1290"/>
        <w:gridCol w:w="1432"/>
        <w:gridCol w:w="504"/>
        <w:gridCol w:w="1602"/>
        <w:gridCol w:w="1419"/>
        <w:gridCol w:w="1721"/>
      </w:tblGrid>
      <w:tr>
        <w:trPr>
          <w:trHeight w:val="416" w:hRule="exact"/>
        </w:trPr>
        <w:tc>
          <w:tcPr>
            <w:tcW w:w="156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41" w:type="dxa"/>
            <w:tcBorders>
              <w:top w:val="single" w:sz="15" w:space="0" w:color="000000"/>
              <w:left w:val="single" w:sz="4" w:space="0" w:color="000000"/>
              <w:bottom w:val="single" w:sz="4" w:space="0" w:color="000000"/>
              <w:right w:val="single" w:sz="4" w:space="0" w:color="000000"/>
            </w:tcBorders>
          </w:tcPr>
          <w:p>
            <w:pPr/>
          </w:p>
        </w:tc>
        <w:tc>
          <w:tcPr>
            <w:tcW w:w="530" w:type="dxa"/>
            <w:tcBorders>
              <w:top w:val="single" w:sz="15" w:space="0" w:color="000000"/>
              <w:left w:val="single" w:sz="4" w:space="0" w:color="000000"/>
              <w:bottom w:val="single" w:sz="4" w:space="0" w:color="000000"/>
              <w:right w:val="single" w:sz="4" w:space="0" w:color="000000"/>
            </w:tcBorders>
          </w:tcPr>
          <w:p>
            <w:pPr/>
          </w:p>
        </w:tc>
        <w:tc>
          <w:tcPr>
            <w:tcW w:w="532" w:type="dxa"/>
            <w:tcBorders>
              <w:top w:val="single" w:sz="15" w:space="0" w:color="000000"/>
              <w:left w:val="single" w:sz="4" w:space="0" w:color="000000"/>
              <w:bottom w:val="single" w:sz="4" w:space="0" w:color="000000"/>
              <w:right w:val="single" w:sz="4" w:space="0" w:color="000000"/>
            </w:tcBorders>
          </w:tcPr>
          <w:p>
            <w:pPr/>
          </w:p>
        </w:tc>
        <w:tc>
          <w:tcPr>
            <w:tcW w:w="374" w:type="dxa"/>
            <w:tcBorders>
              <w:top w:val="single" w:sz="15" w:space="0" w:color="000000"/>
              <w:left w:val="single" w:sz="4" w:space="0" w:color="000000"/>
              <w:bottom w:val="single" w:sz="4" w:space="0" w:color="000000"/>
              <w:right w:val="single" w:sz="4" w:space="0" w:color="000000"/>
            </w:tcBorders>
          </w:tcPr>
          <w:p>
            <w:pPr/>
          </w:p>
        </w:tc>
        <w:tc>
          <w:tcPr>
            <w:tcW w:w="1525" w:type="dxa"/>
            <w:tcBorders>
              <w:top w:val="single" w:sz="15" w:space="0" w:color="000000"/>
              <w:left w:val="single" w:sz="4" w:space="0" w:color="000000"/>
              <w:bottom w:val="single" w:sz="4" w:space="0" w:color="000000"/>
              <w:right w:val="single" w:sz="4" w:space="0" w:color="000000"/>
            </w:tcBorders>
          </w:tcPr>
          <w:p>
            <w:pPr/>
          </w:p>
        </w:tc>
        <w:tc>
          <w:tcPr>
            <w:tcW w:w="587"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1290" w:type="dxa"/>
            <w:tcBorders>
              <w:top w:val="single" w:sz="15" w:space="0" w:color="000000"/>
              <w:left w:val="single" w:sz="4" w:space="0" w:color="000000"/>
              <w:bottom w:val="single" w:sz="4" w:space="0" w:color="000000"/>
              <w:right w:val="single" w:sz="4" w:space="0" w:color="000000"/>
            </w:tcBorders>
          </w:tcPr>
          <w:p>
            <w:pPr/>
          </w:p>
        </w:tc>
        <w:tc>
          <w:tcPr>
            <w:tcW w:w="1432" w:type="dxa"/>
            <w:tcBorders>
              <w:top w:val="single" w:sz="15" w:space="0" w:color="000000"/>
              <w:left w:val="single" w:sz="4" w:space="0" w:color="000000"/>
              <w:bottom w:val="single" w:sz="4" w:space="0" w:color="000000"/>
              <w:right w:val="single" w:sz="4" w:space="0" w:color="000000"/>
            </w:tcBorders>
          </w:tcPr>
          <w:p>
            <w:pPr/>
          </w:p>
        </w:tc>
        <w:tc>
          <w:tcPr>
            <w:tcW w:w="504" w:type="dxa"/>
            <w:tcBorders>
              <w:top w:val="single" w:sz="15" w:space="0" w:color="000000"/>
              <w:left w:val="single" w:sz="4" w:space="0" w:color="000000"/>
              <w:bottom w:val="single" w:sz="4" w:space="0" w:color="000000"/>
              <w:right w:val="single" w:sz="4" w:space="0" w:color="000000"/>
            </w:tcBorders>
          </w:tcPr>
          <w:p>
            <w:pPr/>
          </w:p>
        </w:tc>
        <w:tc>
          <w:tcPr>
            <w:tcW w:w="1602"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1721"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4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4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7" w:right="0"/>
              <w:jc w:val="left"/>
              <w:rPr>
                <w:rFonts w:ascii="宋体" w:hAnsi="宋体" w:cs="宋体" w:eastAsia="宋体" w:hint="default"/>
                <w:sz w:val="18"/>
                <w:szCs w:val="18"/>
              </w:rPr>
            </w:pPr>
            <w:r>
              <w:rPr>
                <w:rFonts w:ascii="宋体"/>
                <w:sz w:val="18"/>
              </w:rPr>
              <w:t>1,997,245,457.00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left"/>
              <w:rPr>
                <w:rFonts w:ascii="宋体" w:hAnsi="宋体" w:cs="宋体" w:eastAsia="宋体" w:hint="default"/>
                <w:sz w:val="18"/>
                <w:szCs w:val="18"/>
              </w:rPr>
            </w:pPr>
            <w:r>
              <w:rPr>
                <w:rFonts w:ascii="宋体"/>
                <w:sz w:val="18"/>
              </w:rPr>
              <w:t>3,770,729,320.86</w:t>
            </w:r>
          </w:p>
        </w:tc>
        <w:tc>
          <w:tcPr>
            <w:tcW w:w="58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 w:right="0"/>
              <w:jc w:val="left"/>
              <w:rPr>
                <w:rFonts w:ascii="宋体" w:hAnsi="宋体" w:cs="宋体" w:eastAsia="宋体" w:hint="default"/>
                <w:sz w:val="18"/>
                <w:szCs w:val="18"/>
              </w:rPr>
            </w:pPr>
            <w:r>
              <w:rPr>
                <w:rFonts w:ascii="宋体"/>
                <w:sz w:val="18"/>
              </w:rPr>
              <w:t>-31,787,258.59</w:t>
            </w:r>
          </w:p>
        </w:tc>
        <w:tc>
          <w:tcPr>
            <w:tcW w:w="1290"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 w:right="0"/>
              <w:jc w:val="left"/>
              <w:rPr>
                <w:rFonts w:ascii="宋体" w:hAnsi="宋体" w:cs="宋体" w:eastAsia="宋体" w:hint="default"/>
                <w:sz w:val="18"/>
                <w:szCs w:val="18"/>
              </w:rPr>
            </w:pPr>
            <w:r>
              <w:rPr>
                <w:rFonts w:ascii="宋体"/>
                <w:sz w:val="18"/>
              </w:rPr>
              <w:t>384,109,971.11</w:t>
            </w:r>
          </w:p>
        </w:tc>
        <w:tc>
          <w:tcPr>
            <w:tcW w:w="504"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left"/>
              <w:rPr>
                <w:rFonts w:ascii="宋体" w:hAnsi="宋体" w:cs="宋体" w:eastAsia="宋体" w:hint="default"/>
                <w:sz w:val="18"/>
                <w:szCs w:val="18"/>
              </w:rPr>
            </w:pPr>
            <w:r>
              <w:rPr>
                <w:rFonts w:ascii="宋体"/>
                <w:sz w:val="18"/>
              </w:rPr>
              <w:t>-1,416,875,710.13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 w:right="0"/>
              <w:jc w:val="left"/>
              <w:rPr>
                <w:rFonts w:ascii="宋体" w:hAnsi="宋体" w:cs="宋体" w:eastAsia="宋体" w:hint="default"/>
                <w:sz w:val="18"/>
                <w:szCs w:val="18"/>
              </w:rPr>
            </w:pPr>
            <w:r>
              <w:rPr>
                <w:rFonts w:ascii="宋体"/>
                <w:sz w:val="18"/>
              </w:rPr>
              <w:t>772,636,607.04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8" w:right="0"/>
              <w:jc w:val="left"/>
              <w:rPr>
                <w:rFonts w:ascii="宋体" w:hAnsi="宋体" w:cs="宋体" w:eastAsia="宋体" w:hint="default"/>
                <w:sz w:val="18"/>
                <w:szCs w:val="18"/>
              </w:rPr>
            </w:pPr>
            <w:r>
              <w:rPr>
                <w:rFonts w:ascii="宋体"/>
                <w:sz w:val="18"/>
              </w:rPr>
              <w:t>5,476,058,387.29</w:t>
            </w:r>
          </w:p>
        </w:tc>
      </w:tr>
    </w:tbl>
    <w:p>
      <w:pPr>
        <w:spacing w:before="51"/>
        <w:ind w:left="110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9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537"/>
        <w:gridCol w:w="1572"/>
        <w:gridCol w:w="530"/>
        <w:gridCol w:w="532"/>
        <w:gridCol w:w="355"/>
        <w:gridCol w:w="1525"/>
        <w:gridCol w:w="601"/>
        <w:gridCol w:w="1419"/>
        <w:gridCol w:w="1274"/>
        <w:gridCol w:w="1418"/>
        <w:gridCol w:w="565"/>
        <w:gridCol w:w="1560"/>
        <w:gridCol w:w="1418"/>
        <w:gridCol w:w="1703"/>
      </w:tblGrid>
      <w:tr>
        <w:trPr>
          <w:trHeight w:val="402" w:hRule="exact"/>
        </w:trPr>
        <w:tc>
          <w:tcPr>
            <w:tcW w:w="1537" w:type="dxa"/>
            <w:vMerge w:val="restart"/>
            <w:tcBorders>
              <w:top w:val="single" w:sz="4" w:space="0" w:color="000000"/>
              <w:left w:val="single" w:sz="4" w:space="0" w:color="000000"/>
              <w:right w:val="single" w:sz="4" w:space="0" w:color="000000"/>
            </w:tcBorders>
            <w:shd w:val="clear" w:color="auto" w:fill="D2D2D2"/>
          </w:tcPr>
          <w:p>
            <w:pPr/>
          </w:p>
        </w:tc>
        <w:tc>
          <w:tcPr>
            <w:tcW w:w="1447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537" w:type="dxa"/>
            <w:vMerge/>
            <w:tcBorders>
              <w:left w:val="single" w:sz="4" w:space="0" w:color="000000"/>
              <w:bottom w:val="nil" w:sz="6" w:space="0" w:color="auto"/>
              <w:right w:val="single" w:sz="4" w:space="0" w:color="000000"/>
            </w:tcBorders>
            <w:shd w:val="clear" w:color="auto" w:fill="D2D2D2"/>
          </w:tcPr>
          <w:p>
            <w:pPr/>
          </w:p>
        </w:tc>
        <w:tc>
          <w:tcPr>
            <w:tcW w:w="1135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703" w:type="dxa"/>
            <w:vMerge w:val="restart"/>
            <w:tcBorders>
              <w:top w:val="single" w:sz="4" w:space="0" w:color="000000"/>
              <w:left w:val="single" w:sz="4" w:space="0" w:color="000000"/>
              <w:right w:val="single" w:sz="4" w:space="0" w:color="000000"/>
            </w:tcBorders>
            <w:shd w:val="clear" w:color="auto" w:fill="D2D2D2"/>
          </w:tcPr>
          <w:p>
            <w:pPr/>
          </w:p>
        </w:tc>
      </w:tr>
      <w:tr>
        <w:trPr>
          <w:trHeight w:val="184" w:hRule="exact"/>
        </w:trPr>
        <w:tc>
          <w:tcPr>
            <w:tcW w:w="15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72"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25" w:type="dxa"/>
            <w:vMerge w:val="restart"/>
            <w:tcBorders>
              <w:top w:val="single" w:sz="4" w:space="0" w:color="000000"/>
              <w:left w:val="single" w:sz="4" w:space="0" w:color="000000"/>
              <w:right w:val="single" w:sz="4" w:space="0" w:color="000000"/>
            </w:tcBorders>
            <w:shd w:val="clear" w:color="auto" w:fill="D2D2D2"/>
          </w:tcPr>
          <w:p>
            <w:pPr/>
          </w:p>
        </w:tc>
        <w:tc>
          <w:tcPr>
            <w:tcW w:w="6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5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97" w:right="9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703"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537" w:type="dxa"/>
            <w:vMerge/>
            <w:tcBorders>
              <w:left w:val="single" w:sz="4" w:space="0" w:color="000000"/>
              <w:bottom w:val="nil" w:sz="6" w:space="0" w:color="auto"/>
              <w:right w:val="single" w:sz="4" w:space="0" w:color="000000"/>
            </w:tcBorders>
            <w:shd w:val="clear" w:color="auto" w:fill="D2D2D2"/>
          </w:tcPr>
          <w:p>
            <w:pPr/>
          </w:p>
        </w:tc>
        <w:tc>
          <w:tcPr>
            <w:tcW w:w="1572" w:type="dxa"/>
            <w:vMerge/>
            <w:tcBorders>
              <w:left w:val="single" w:sz="4" w:space="0" w:color="000000"/>
              <w:bottom w:val="nil" w:sz="6" w:space="0" w:color="auto"/>
              <w:right w:val="single" w:sz="4" w:space="0" w:color="000000"/>
            </w:tcBorders>
            <w:shd w:val="clear" w:color="auto" w:fill="D2D2D2"/>
          </w:tcPr>
          <w:p>
            <w:pPr/>
          </w:p>
        </w:tc>
        <w:tc>
          <w:tcPr>
            <w:tcW w:w="1417" w:type="dxa"/>
            <w:gridSpan w:val="3"/>
            <w:vMerge/>
            <w:tcBorders>
              <w:left w:val="single" w:sz="4" w:space="0" w:color="000000"/>
              <w:bottom w:val="single" w:sz="4" w:space="0" w:color="000000"/>
              <w:right w:val="single" w:sz="4" w:space="0" w:color="000000"/>
            </w:tcBorders>
            <w:shd w:val="clear" w:color="auto" w:fill="D2D2D2"/>
          </w:tcPr>
          <w:p>
            <w:pPr/>
          </w:p>
        </w:tc>
        <w:tc>
          <w:tcPr>
            <w:tcW w:w="1525" w:type="dxa"/>
            <w:vMerge/>
            <w:tcBorders>
              <w:left w:val="single" w:sz="4" w:space="0" w:color="000000"/>
              <w:bottom w:val="nil" w:sz="6" w:space="0" w:color="auto"/>
              <w:right w:val="single" w:sz="4" w:space="0" w:color="000000"/>
            </w:tcBorders>
            <w:shd w:val="clear" w:color="auto" w:fill="D2D2D2"/>
          </w:tcPr>
          <w:p>
            <w:pPr/>
          </w:p>
        </w:tc>
        <w:tc>
          <w:tcPr>
            <w:tcW w:w="60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15" w:right="24"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1419"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565"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21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2" w:hRule="exact"/>
        </w:trPr>
        <w:tc>
          <w:tcPr>
            <w:tcW w:w="1537" w:type="dxa"/>
            <w:vMerge w:val="restart"/>
            <w:tcBorders>
              <w:top w:val="nil" w:sz="6" w:space="0" w:color="auto"/>
              <w:left w:val="single" w:sz="4" w:space="0" w:color="000000"/>
              <w:right w:val="single" w:sz="4" w:space="0" w:color="000000"/>
            </w:tcBorders>
            <w:shd w:val="clear" w:color="auto" w:fill="D2D2D2"/>
          </w:tcPr>
          <w:p>
            <w:pPr/>
          </w:p>
        </w:tc>
        <w:tc>
          <w:tcPr>
            <w:tcW w:w="1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3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82" w:right="80"/>
              <w:jc w:val="left"/>
              <w:rPr>
                <w:rFonts w:ascii="宋体" w:hAnsi="宋体" w:cs="宋体" w:eastAsia="宋体" w:hint="default"/>
                <w:sz w:val="18"/>
                <w:szCs w:val="18"/>
              </w:rPr>
            </w:pPr>
            <w:r>
              <w:rPr>
                <w:rFonts w:ascii="宋体" w:hAnsi="宋体" w:cs="宋体" w:eastAsia="宋体" w:hint="default"/>
                <w:sz w:val="18"/>
                <w:szCs w:val="18"/>
              </w:rPr>
              <w:t>其 他</w:t>
            </w:r>
          </w:p>
        </w:tc>
        <w:tc>
          <w:tcPr>
            <w:tcW w:w="15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9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01"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5" w:type="dxa"/>
            <w:vMerge/>
            <w:tcBorders>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2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tcBorders>
              <w:left w:val="single" w:sz="4" w:space="0" w:color="000000"/>
              <w:bottom w:val="nil" w:sz="6" w:space="0" w:color="auto"/>
              <w:right w:val="single" w:sz="4" w:space="0" w:color="000000"/>
            </w:tcBorders>
            <w:shd w:val="clear" w:color="auto" w:fill="D2D2D2"/>
          </w:tcPr>
          <w:p>
            <w:pPr/>
          </w:p>
        </w:tc>
        <w:tc>
          <w:tcPr>
            <w:tcW w:w="170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537" w:type="dxa"/>
            <w:vMerge/>
            <w:tcBorders>
              <w:left w:val="single" w:sz="4" w:space="0" w:color="000000"/>
              <w:right w:val="single" w:sz="4" w:space="0" w:color="000000"/>
            </w:tcBorders>
            <w:shd w:val="clear" w:color="auto" w:fill="D2D2D2"/>
          </w:tcPr>
          <w:p>
            <w:pPr/>
          </w:p>
        </w:tc>
        <w:tc>
          <w:tcPr>
            <w:tcW w:w="157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1525" w:type="dxa"/>
            <w:vMerge/>
            <w:tcBorders>
              <w:left w:val="single" w:sz="4" w:space="0" w:color="000000"/>
              <w:bottom w:val="nil" w:sz="6" w:space="0" w:color="auto"/>
              <w:right w:val="single" w:sz="4" w:space="0" w:color="000000"/>
            </w:tcBorders>
            <w:shd w:val="clear" w:color="auto" w:fill="D2D2D2"/>
          </w:tcPr>
          <w:p>
            <w:pPr/>
          </w:p>
        </w:tc>
        <w:tc>
          <w:tcPr>
            <w:tcW w:w="601"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565"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1703"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1537" w:type="dxa"/>
            <w:vMerge/>
            <w:tcBorders>
              <w:left w:val="single" w:sz="4" w:space="0" w:color="000000"/>
              <w:right w:val="single" w:sz="4" w:space="0" w:color="000000"/>
            </w:tcBorders>
            <w:shd w:val="clear" w:color="auto" w:fill="D2D2D2"/>
          </w:tcPr>
          <w:p>
            <w:pPr/>
          </w:p>
        </w:tc>
        <w:tc>
          <w:tcPr>
            <w:tcW w:w="157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355" w:type="dxa"/>
            <w:vMerge/>
            <w:tcBorders>
              <w:left w:val="single" w:sz="4" w:space="0" w:color="000000"/>
              <w:right w:val="single" w:sz="4" w:space="0" w:color="000000"/>
            </w:tcBorders>
            <w:shd w:val="clear" w:color="auto" w:fill="D2D2D2"/>
          </w:tcPr>
          <w:p>
            <w:pPr/>
          </w:p>
        </w:tc>
        <w:tc>
          <w:tcPr>
            <w:tcW w:w="1525" w:type="dxa"/>
            <w:vMerge w:val="restart"/>
            <w:tcBorders>
              <w:top w:val="nil" w:sz="6" w:space="0" w:color="auto"/>
              <w:left w:val="single" w:sz="4" w:space="0" w:color="000000"/>
              <w:right w:val="single" w:sz="4" w:space="0" w:color="000000"/>
            </w:tcBorders>
            <w:shd w:val="clear" w:color="auto" w:fill="D2D2D2"/>
          </w:tcPr>
          <w:p>
            <w:pPr/>
          </w:p>
        </w:tc>
        <w:tc>
          <w:tcPr>
            <w:tcW w:w="601"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
        </w:tc>
        <w:tc>
          <w:tcPr>
            <w:tcW w:w="565" w:type="dxa"/>
            <w:vMerge/>
            <w:tcBorders>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703" w:type="dxa"/>
            <w:vMerge/>
            <w:tcBorders>
              <w:left w:val="single" w:sz="4" w:space="0" w:color="000000"/>
              <w:right w:val="single" w:sz="4" w:space="0" w:color="000000"/>
            </w:tcBorders>
            <w:shd w:val="clear" w:color="auto" w:fill="D2D2D2"/>
          </w:tcPr>
          <w:p>
            <w:pPr/>
          </w:p>
        </w:tc>
      </w:tr>
      <w:tr>
        <w:trPr>
          <w:trHeight w:val="205" w:hRule="exact"/>
        </w:trPr>
        <w:tc>
          <w:tcPr>
            <w:tcW w:w="1537" w:type="dxa"/>
            <w:vMerge/>
            <w:tcBorders>
              <w:left w:val="single" w:sz="4" w:space="0" w:color="000000"/>
              <w:bottom w:val="single" w:sz="4" w:space="0" w:color="000000"/>
              <w:right w:val="single" w:sz="4" w:space="0" w:color="000000"/>
            </w:tcBorders>
            <w:shd w:val="clear" w:color="auto" w:fill="D2D2D2"/>
          </w:tcPr>
          <w:p>
            <w:pPr/>
          </w:p>
        </w:tc>
        <w:tc>
          <w:tcPr>
            <w:tcW w:w="157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355" w:type="dxa"/>
            <w:vMerge/>
            <w:tcBorders>
              <w:left w:val="single" w:sz="4" w:space="0" w:color="000000"/>
              <w:bottom w:val="single" w:sz="4" w:space="0" w:color="000000"/>
              <w:right w:val="single" w:sz="4" w:space="0" w:color="000000"/>
            </w:tcBorders>
            <w:shd w:val="clear" w:color="auto" w:fill="D2D2D2"/>
          </w:tcPr>
          <w:p>
            <w:pPr/>
          </w:p>
        </w:tc>
        <w:tc>
          <w:tcPr>
            <w:tcW w:w="1525" w:type="dxa"/>
            <w:vMerge/>
            <w:tcBorders>
              <w:left w:val="single" w:sz="4" w:space="0" w:color="000000"/>
              <w:bottom w:val="single" w:sz="4" w:space="0" w:color="000000"/>
              <w:right w:val="single" w:sz="4" w:space="0" w:color="000000"/>
            </w:tcBorders>
            <w:shd w:val="clear" w:color="auto" w:fill="D2D2D2"/>
          </w:tcPr>
          <w:p>
            <w:pPr/>
          </w:p>
        </w:tc>
        <w:tc>
          <w:tcPr>
            <w:tcW w:w="6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565"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7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2,017,365,965.00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3,577,810,820.13</w:t>
            </w: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54,453,756.28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9" w:right="0"/>
              <w:jc w:val="center"/>
              <w:rPr>
                <w:rFonts w:ascii="宋体" w:hAnsi="宋体" w:cs="宋体" w:eastAsia="宋体" w:hint="default"/>
                <w:sz w:val="18"/>
                <w:szCs w:val="18"/>
              </w:rPr>
            </w:pPr>
            <w:r>
              <w:rPr>
                <w:rFonts w:ascii="宋体"/>
                <w:sz w:val="18"/>
              </w:rPr>
              <w:t>9,297,069.23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384,109,971.11</w:t>
            </w:r>
          </w:p>
        </w:tc>
        <w:tc>
          <w:tcPr>
            <w:tcW w:w="565" w:type="dxa"/>
            <w:tcBorders>
              <w:top w:val="single" w:sz="22" w:space="0" w:color="D2D2D2"/>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3,449,835,468.69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center"/>
              <w:rPr>
                <w:rFonts w:ascii="宋体" w:hAnsi="宋体" w:cs="宋体" w:eastAsia="宋体" w:hint="default"/>
                <w:sz w:val="18"/>
                <w:szCs w:val="18"/>
              </w:rPr>
            </w:pPr>
            <w:r>
              <w:rPr>
                <w:rFonts w:ascii="宋体"/>
                <w:sz w:val="18"/>
              </w:rPr>
              <w:t>501,119,640.41</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9,993,992,690.85</w:t>
            </w:r>
          </w:p>
        </w:tc>
      </w:tr>
      <w:tr>
        <w:trPr>
          <w:trHeight w:val="714"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3" w:firstLine="360"/>
              <w:jc w:val="left"/>
              <w:rPr>
                <w:rFonts w:ascii="宋体" w:hAnsi="宋体" w:cs="宋体" w:eastAsia="宋体" w:hint="default"/>
                <w:sz w:val="18"/>
                <w:szCs w:val="18"/>
              </w:rPr>
            </w:pPr>
            <w:r>
              <w:rPr>
                <w:rFonts w:ascii="宋体" w:hAnsi="宋体" w:cs="宋体" w:eastAsia="宋体" w:hint="default"/>
                <w:sz w:val="18"/>
                <w:szCs w:val="18"/>
              </w:rPr>
              <w:t>加：会计政策 变更</w:t>
            </w:r>
          </w:p>
        </w:tc>
        <w:tc>
          <w:tcPr>
            <w:tcW w:w="157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57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-32,405,064.33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1" w:right="0"/>
              <w:jc w:val="center"/>
              <w:rPr>
                <w:rFonts w:ascii="宋体" w:hAnsi="宋体" w:cs="宋体" w:eastAsia="宋体" w:hint="default"/>
                <w:sz w:val="18"/>
                <w:szCs w:val="18"/>
              </w:rPr>
            </w:pPr>
            <w:r>
              <w:rPr>
                <w:rFonts w:ascii="宋体"/>
                <w:sz w:val="18"/>
              </w:rPr>
              <w:t>-6,191,138.69</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-38,596,203.02</w:t>
            </w:r>
          </w:p>
        </w:tc>
      </w:tr>
      <w:tr>
        <w:trPr>
          <w:trHeight w:val="714"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3" w:firstLine="720"/>
              <w:jc w:val="left"/>
              <w:rPr>
                <w:rFonts w:ascii="宋体" w:hAnsi="宋体" w:cs="宋体" w:eastAsia="宋体" w:hint="default"/>
                <w:sz w:val="18"/>
                <w:szCs w:val="18"/>
              </w:rPr>
            </w:pPr>
            <w:r>
              <w:rPr>
                <w:rFonts w:ascii="宋体" w:hAnsi="宋体" w:cs="宋体" w:eastAsia="宋体" w:hint="default"/>
                <w:sz w:val="18"/>
                <w:szCs w:val="18"/>
              </w:rPr>
              <w:t>同一控制 下企业合并</w:t>
            </w:r>
          </w:p>
        </w:tc>
        <w:tc>
          <w:tcPr>
            <w:tcW w:w="157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2,017,365,965.00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3,577,810,820.13</w:t>
            </w: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54,453,756.28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9" w:right="0"/>
              <w:jc w:val="center"/>
              <w:rPr>
                <w:rFonts w:ascii="宋体" w:hAnsi="宋体" w:cs="宋体" w:eastAsia="宋体" w:hint="default"/>
                <w:sz w:val="18"/>
                <w:szCs w:val="18"/>
              </w:rPr>
            </w:pPr>
            <w:r>
              <w:rPr>
                <w:rFonts w:ascii="宋体"/>
                <w:sz w:val="18"/>
              </w:rPr>
              <w:t>9,297,069.23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384,109,971.11</w:t>
            </w: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3,417,430,404.36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center"/>
              <w:rPr>
                <w:rFonts w:ascii="宋体" w:hAnsi="宋体" w:cs="宋体" w:eastAsia="宋体" w:hint="default"/>
                <w:sz w:val="18"/>
                <w:szCs w:val="18"/>
              </w:rPr>
            </w:pPr>
            <w:r>
              <w:rPr>
                <w:rFonts w:ascii="宋体"/>
                <w:sz w:val="18"/>
              </w:rPr>
              <w:t>494,928,501.72</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9,955,396,487.83</w:t>
            </w:r>
          </w:p>
        </w:tc>
      </w:tr>
      <w:tr>
        <w:trPr>
          <w:trHeight w:val="1026"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3"/>
              <w:jc w:val="left"/>
              <w:rPr>
                <w:rFonts w:ascii="宋体" w:hAnsi="宋体" w:cs="宋体" w:eastAsia="宋体" w:hint="default"/>
                <w:sz w:val="18"/>
                <w:szCs w:val="18"/>
              </w:rPr>
            </w:pPr>
            <w:r>
              <w:rPr>
                <w:rFonts w:ascii="宋体" w:hAnsi="宋体" w:cs="宋体" w:eastAsia="宋体" w:hint="default"/>
                <w:sz w:val="18"/>
                <w:szCs w:val="18"/>
              </w:rPr>
              <w:t>三、本期增减变动 金额（减少以 “－”号填列）</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-16,071,225.00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143,590,732.93</w:t>
            </w: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-35,219,822.64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9" w:right="0"/>
              <w:jc w:val="center"/>
              <w:rPr>
                <w:rFonts w:ascii="宋体" w:hAnsi="宋体" w:cs="宋体" w:eastAsia="宋体" w:hint="default"/>
                <w:sz w:val="18"/>
                <w:szCs w:val="18"/>
              </w:rPr>
            </w:pPr>
            <w:r>
              <w:rPr>
                <w:rFonts w:ascii="宋体"/>
                <w:sz w:val="18"/>
              </w:rPr>
              <w:t>-9,297,069.23</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186,323,431.74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1" w:right="0"/>
              <w:jc w:val="center"/>
              <w:rPr>
                <w:rFonts w:ascii="宋体" w:hAnsi="宋体" w:cs="宋体" w:eastAsia="宋体" w:hint="default"/>
                <w:sz w:val="18"/>
                <w:szCs w:val="18"/>
              </w:rPr>
            </w:pPr>
            <w:r>
              <w:rPr>
                <w:rFonts w:ascii="宋体"/>
                <w:sz w:val="18"/>
              </w:rPr>
              <w:t>-92,932,239.01</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176,393,808.79</w:t>
            </w:r>
          </w:p>
        </w:tc>
      </w:tr>
      <w:tr>
        <w:trPr>
          <w:trHeight w:val="715"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3"/>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157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-35,219,822.64</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277,104,888.34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center"/>
              <w:rPr>
                <w:rFonts w:ascii="宋体" w:hAnsi="宋体" w:cs="宋体" w:eastAsia="宋体" w:hint="default"/>
                <w:sz w:val="18"/>
                <w:szCs w:val="18"/>
              </w:rPr>
            </w:pPr>
            <w:r>
              <w:rPr>
                <w:rFonts w:ascii="宋体"/>
                <w:sz w:val="18"/>
              </w:rPr>
              <w:t>141,054,205.60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382,939,271.30</w:t>
            </w:r>
          </w:p>
        </w:tc>
      </w:tr>
    </w:tbl>
    <w:p>
      <w:pPr>
        <w:spacing w:after="0" w:line="240" w:lineRule="auto"/>
        <w:jc w:val="right"/>
        <w:rPr>
          <w:rFonts w:ascii="宋体" w:hAnsi="宋体" w:cs="宋体" w:eastAsia="宋体" w:hint="default"/>
          <w:sz w:val="18"/>
          <w:szCs w:val="18"/>
        </w:rPr>
        <w:sectPr>
          <w:pgSz w:w="16840" w:h="11910" w:orient="landscape"/>
          <w:pgMar w:header="867" w:footer="979" w:top="1060" w:bottom="1160" w:left="340" w:right="240"/>
        </w:sectPr>
      </w:pPr>
    </w:p>
    <w:p>
      <w:pPr>
        <w:spacing w:line="240" w:lineRule="auto" w:before="4"/>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560"/>
        <w:gridCol w:w="1561"/>
        <w:gridCol w:w="530"/>
        <w:gridCol w:w="532"/>
        <w:gridCol w:w="355"/>
        <w:gridCol w:w="1525"/>
        <w:gridCol w:w="601"/>
        <w:gridCol w:w="1419"/>
        <w:gridCol w:w="1274"/>
        <w:gridCol w:w="1418"/>
        <w:gridCol w:w="565"/>
        <w:gridCol w:w="1560"/>
        <w:gridCol w:w="1418"/>
        <w:gridCol w:w="1703"/>
      </w:tblGrid>
      <w:tr>
        <w:trPr>
          <w:trHeight w:val="729" w:hRule="exact"/>
        </w:trPr>
        <w:tc>
          <w:tcPr>
            <w:tcW w:w="156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86"/>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15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-16,071,225.00</w:t>
            </w:r>
          </w:p>
        </w:tc>
        <w:tc>
          <w:tcPr>
            <w:tcW w:w="530" w:type="dxa"/>
            <w:tcBorders>
              <w:top w:val="single" w:sz="15" w:space="0" w:color="000000"/>
              <w:left w:val="single" w:sz="4" w:space="0" w:color="000000"/>
              <w:bottom w:val="single" w:sz="4" w:space="0" w:color="000000"/>
              <w:right w:val="single" w:sz="4" w:space="0" w:color="000000"/>
            </w:tcBorders>
          </w:tcPr>
          <w:p>
            <w:pPr/>
          </w:p>
        </w:tc>
        <w:tc>
          <w:tcPr>
            <w:tcW w:w="532" w:type="dxa"/>
            <w:tcBorders>
              <w:top w:val="single" w:sz="15" w:space="0" w:color="000000"/>
              <w:left w:val="single" w:sz="4" w:space="0" w:color="000000"/>
              <w:bottom w:val="single" w:sz="4" w:space="0" w:color="000000"/>
              <w:right w:val="single" w:sz="4" w:space="0" w:color="000000"/>
            </w:tcBorders>
          </w:tcPr>
          <w:p>
            <w:pPr/>
          </w:p>
        </w:tc>
        <w:tc>
          <w:tcPr>
            <w:tcW w:w="355" w:type="dxa"/>
            <w:tcBorders>
              <w:top w:val="single" w:sz="15" w:space="0" w:color="000000"/>
              <w:left w:val="single" w:sz="4" w:space="0" w:color="000000"/>
              <w:bottom w:val="single" w:sz="4" w:space="0" w:color="000000"/>
              <w:right w:val="single" w:sz="4" w:space="0" w:color="000000"/>
            </w:tcBorders>
          </w:tcPr>
          <w:p>
            <w:pPr/>
          </w:p>
        </w:tc>
        <w:tc>
          <w:tcPr>
            <w:tcW w:w="152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143,590,732.93</w:t>
            </w:r>
          </w:p>
        </w:tc>
        <w:tc>
          <w:tcPr>
            <w:tcW w:w="601"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565"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-116,961,444.61</w:t>
            </w:r>
          </w:p>
        </w:tc>
        <w:tc>
          <w:tcPr>
            <w:tcW w:w="170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10,558,063.32</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．所有者投入的普</w:t>
            </w:r>
            <w:r>
              <w:rPr>
                <w:rFonts w:ascii="宋体" w:hAnsi="宋体" w:cs="宋体" w:eastAsia="宋体" w:hint="default"/>
                <w:sz w:val="18"/>
                <w:szCs w:val="18"/>
              </w:rPr>
              <w:t> 通股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-16,071,225.00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16,071,225.00</w:t>
            </w: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1,000,000.00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1,000,000.00</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．其他权益工具持</w:t>
            </w:r>
            <w:r>
              <w:rPr>
                <w:rFonts w:ascii="宋体" w:hAnsi="宋体" w:cs="宋体" w:eastAsia="宋体" w:hint="default"/>
                <w:sz w:val="18"/>
                <w:szCs w:val="18"/>
              </w:rPr>
              <w:t> 有者投入资本</w:t>
            </w:r>
          </w:p>
        </w:tc>
        <w:tc>
          <w:tcPr>
            <w:tcW w:w="15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．股份支付计入所</w:t>
            </w:r>
            <w:r>
              <w:rPr>
                <w:rFonts w:ascii="宋体" w:hAnsi="宋体" w:cs="宋体" w:eastAsia="宋体" w:hint="default"/>
                <w:sz w:val="18"/>
                <w:szCs w:val="18"/>
              </w:rPr>
              <w:t> 有者权益的金额</w:t>
            </w:r>
          </w:p>
        </w:tc>
        <w:tc>
          <w:tcPr>
            <w:tcW w:w="15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127,519,507.93</w:t>
            </w: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-117,961,444.61</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9,558,063.32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-90,781,456.60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-117,025,000.00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-207,806,456.60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．提取一般风险准</w:t>
            </w:r>
            <w:r>
              <w:rPr>
                <w:rFonts w:ascii="宋体" w:hAnsi="宋体" w:cs="宋体" w:eastAsia="宋体" w:hint="default"/>
                <w:sz w:val="18"/>
                <w:szCs w:val="18"/>
              </w:rPr>
              <w:t> 备</w:t>
            </w:r>
          </w:p>
        </w:tc>
        <w:tc>
          <w:tcPr>
            <w:tcW w:w="15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．对所有者（或股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东）的分配</w:t>
            </w:r>
          </w:p>
        </w:tc>
        <w:tc>
          <w:tcPr>
            <w:tcW w:w="15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-90,781,456.60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-117,025,000.00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-207,806,456.60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86"/>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15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．资本公积转增资</w:t>
            </w:r>
            <w:r>
              <w:rPr>
                <w:rFonts w:ascii="宋体" w:hAnsi="宋体" w:cs="宋体" w:eastAsia="宋体" w:hint="default"/>
                <w:sz w:val="18"/>
                <w:szCs w:val="18"/>
              </w:rPr>
              <w:t> 本（或股本）</w:t>
            </w:r>
          </w:p>
        </w:tc>
        <w:tc>
          <w:tcPr>
            <w:tcW w:w="15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．盈余公积转增资</w:t>
            </w:r>
            <w:r>
              <w:rPr>
                <w:rFonts w:ascii="宋体" w:hAnsi="宋体" w:cs="宋体" w:eastAsia="宋体" w:hint="default"/>
                <w:sz w:val="18"/>
                <w:szCs w:val="18"/>
              </w:rPr>
              <w:t> 本（或股本）</w:t>
            </w:r>
          </w:p>
        </w:tc>
        <w:tc>
          <w:tcPr>
            <w:tcW w:w="15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．盈余公积弥补亏</w:t>
            </w:r>
            <w:r>
              <w:rPr>
                <w:rFonts w:ascii="宋体" w:hAnsi="宋体" w:cs="宋体" w:eastAsia="宋体" w:hint="default"/>
                <w:sz w:val="18"/>
                <w:szCs w:val="18"/>
              </w:rPr>
              <w:t> 损</w:t>
            </w:r>
          </w:p>
        </w:tc>
        <w:tc>
          <w:tcPr>
            <w:tcW w:w="15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．设定受益计划变</w:t>
            </w:r>
            <w:r>
              <w:rPr>
                <w:rFonts w:ascii="宋体" w:hAnsi="宋体" w:cs="宋体" w:eastAsia="宋体" w:hint="default"/>
                <w:sz w:val="18"/>
                <w:szCs w:val="18"/>
              </w:rPr>
              <w:t> 动额结转留存收益</w:t>
            </w:r>
          </w:p>
        </w:tc>
        <w:tc>
          <w:tcPr>
            <w:tcW w:w="15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340" w:right="240"/>
        </w:sectPr>
      </w:pPr>
    </w:p>
    <w:p>
      <w:pPr>
        <w:spacing w:line="240" w:lineRule="auto" w:before="4"/>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560"/>
        <w:gridCol w:w="1561"/>
        <w:gridCol w:w="530"/>
        <w:gridCol w:w="532"/>
        <w:gridCol w:w="355"/>
        <w:gridCol w:w="1525"/>
        <w:gridCol w:w="601"/>
        <w:gridCol w:w="1419"/>
        <w:gridCol w:w="1274"/>
        <w:gridCol w:w="1418"/>
        <w:gridCol w:w="565"/>
        <w:gridCol w:w="1560"/>
        <w:gridCol w:w="1418"/>
        <w:gridCol w:w="1703"/>
      </w:tblGrid>
      <w:tr>
        <w:trPr>
          <w:trHeight w:val="416" w:hRule="exact"/>
        </w:trPr>
        <w:tc>
          <w:tcPr>
            <w:tcW w:w="156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561" w:type="dxa"/>
            <w:tcBorders>
              <w:top w:val="single" w:sz="15" w:space="0" w:color="000000"/>
              <w:left w:val="single" w:sz="4" w:space="0" w:color="000000"/>
              <w:bottom w:val="single" w:sz="4" w:space="0" w:color="000000"/>
              <w:right w:val="single" w:sz="4" w:space="0" w:color="000000"/>
            </w:tcBorders>
          </w:tcPr>
          <w:p>
            <w:pPr/>
          </w:p>
        </w:tc>
        <w:tc>
          <w:tcPr>
            <w:tcW w:w="530" w:type="dxa"/>
            <w:tcBorders>
              <w:top w:val="single" w:sz="15" w:space="0" w:color="000000"/>
              <w:left w:val="single" w:sz="4" w:space="0" w:color="000000"/>
              <w:bottom w:val="single" w:sz="4" w:space="0" w:color="000000"/>
              <w:right w:val="single" w:sz="4" w:space="0" w:color="000000"/>
            </w:tcBorders>
          </w:tcPr>
          <w:p>
            <w:pPr/>
          </w:p>
        </w:tc>
        <w:tc>
          <w:tcPr>
            <w:tcW w:w="532" w:type="dxa"/>
            <w:tcBorders>
              <w:top w:val="single" w:sz="15" w:space="0" w:color="000000"/>
              <w:left w:val="single" w:sz="4" w:space="0" w:color="000000"/>
              <w:bottom w:val="single" w:sz="4" w:space="0" w:color="000000"/>
              <w:right w:val="single" w:sz="4" w:space="0" w:color="000000"/>
            </w:tcBorders>
          </w:tcPr>
          <w:p>
            <w:pPr/>
          </w:p>
        </w:tc>
        <w:tc>
          <w:tcPr>
            <w:tcW w:w="355" w:type="dxa"/>
            <w:tcBorders>
              <w:top w:val="single" w:sz="15" w:space="0" w:color="000000"/>
              <w:left w:val="single" w:sz="4" w:space="0" w:color="000000"/>
              <w:bottom w:val="single" w:sz="4" w:space="0" w:color="000000"/>
              <w:right w:val="single" w:sz="4" w:space="0" w:color="000000"/>
            </w:tcBorders>
          </w:tcPr>
          <w:p>
            <w:pPr/>
          </w:p>
        </w:tc>
        <w:tc>
          <w:tcPr>
            <w:tcW w:w="1525" w:type="dxa"/>
            <w:tcBorders>
              <w:top w:val="single" w:sz="15" w:space="0" w:color="000000"/>
              <w:left w:val="single" w:sz="4" w:space="0" w:color="000000"/>
              <w:bottom w:val="single" w:sz="4" w:space="0" w:color="000000"/>
              <w:right w:val="single" w:sz="4" w:space="0" w:color="000000"/>
            </w:tcBorders>
          </w:tcPr>
          <w:p>
            <w:pPr/>
          </w:p>
        </w:tc>
        <w:tc>
          <w:tcPr>
            <w:tcW w:w="601"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565"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703"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6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 w:right="0"/>
              <w:jc w:val="left"/>
              <w:rPr>
                <w:rFonts w:ascii="宋体" w:hAnsi="宋体" w:cs="宋体" w:eastAsia="宋体" w:hint="default"/>
                <w:sz w:val="18"/>
                <w:szCs w:val="18"/>
              </w:rPr>
            </w:pPr>
            <w:r>
              <w:rPr>
                <w:rFonts w:ascii="宋体"/>
                <w:sz w:val="18"/>
              </w:rPr>
              <w:t>-9,297,069.23</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-9,297,069.23</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sz w:val="18"/>
              </w:rPr>
              <w:t>2,001,294,740.00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 w:right="0"/>
              <w:jc w:val="left"/>
              <w:rPr>
                <w:rFonts w:ascii="宋体" w:hAnsi="宋体" w:cs="宋体" w:eastAsia="宋体" w:hint="default"/>
                <w:sz w:val="18"/>
                <w:szCs w:val="18"/>
              </w:rPr>
            </w:pPr>
            <w:r>
              <w:rPr>
                <w:rFonts w:ascii="宋体"/>
                <w:sz w:val="18"/>
              </w:rPr>
              <w:t>3,721,401,553.06</w:t>
            </w:r>
          </w:p>
        </w:tc>
        <w:tc>
          <w:tcPr>
            <w:tcW w:w="60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4" w:right="0"/>
              <w:jc w:val="left"/>
              <w:rPr>
                <w:rFonts w:ascii="宋体" w:hAnsi="宋体" w:cs="宋体" w:eastAsia="宋体" w:hint="default"/>
                <w:sz w:val="18"/>
                <w:szCs w:val="18"/>
              </w:rPr>
            </w:pPr>
            <w:r>
              <w:rPr>
                <w:rFonts w:ascii="宋体"/>
                <w:sz w:val="18"/>
              </w:rPr>
              <w:t>19,233,933.64</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sz w:val="18"/>
              </w:rPr>
              <w:t>384,109,971.11</w:t>
            </w:r>
          </w:p>
        </w:tc>
        <w:tc>
          <w:tcPr>
            <w:tcW w:w="56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sz w:val="18"/>
              </w:rPr>
              <w:t>3,603,753,836.10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sz w:val="18"/>
              </w:rPr>
              <w:t>401,996,262.71</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10,131,790,296.62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00" w:right="0"/>
        <w:jc w:val="left"/>
        <w:rPr>
          <w:b w:val="0"/>
          <w:bCs w:val="0"/>
        </w:rPr>
      </w:pPr>
      <w:bookmarkStart w:name="8、母公司所有者权益变动表" w:id="167"/>
      <w:bookmarkEnd w:id="167"/>
      <w:r>
        <w:rPr>
          <w:b w:val="0"/>
          <w:bCs w:val="0"/>
        </w:rPr>
      </w:r>
      <w:r>
        <w:rPr>
          <w:rFonts w:ascii="宋体" w:hAnsi="宋体" w:cs="宋体" w:eastAsia="宋体" w:hint="default"/>
        </w:rPr>
        <w:t>8</w:t>
      </w:r>
      <w:r>
        <w:rPr/>
        <w:t>、母公司所有者权益变动表</w:t>
      </w:r>
      <w:r>
        <w:rPr>
          <w:b w:val="0"/>
          <w:bCs w:val="0"/>
        </w:rPr>
      </w:r>
    </w:p>
    <w:p>
      <w:pPr>
        <w:spacing w:line="240" w:lineRule="auto" w:before="5"/>
        <w:rPr>
          <w:rFonts w:ascii="宋体" w:hAnsi="宋体" w:cs="宋体" w:eastAsia="宋体" w:hint="default"/>
          <w:b/>
          <w:bCs/>
          <w:sz w:val="24"/>
          <w:szCs w:val="24"/>
        </w:rPr>
      </w:pPr>
    </w:p>
    <w:p>
      <w:pPr>
        <w:spacing w:before="44"/>
        <w:ind w:left="110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9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680" w:type="dxa"/>
        <w:tblLayout w:type="fixed"/>
        <w:tblCellMar>
          <w:top w:w="0" w:type="dxa"/>
          <w:left w:w="0" w:type="dxa"/>
          <w:bottom w:w="0" w:type="dxa"/>
          <w:right w:w="0" w:type="dxa"/>
        </w:tblCellMar>
        <w:tblLook w:val="01E0"/>
      </w:tblPr>
      <w:tblGrid>
        <w:gridCol w:w="2105"/>
        <w:gridCol w:w="1691"/>
        <w:gridCol w:w="665"/>
        <w:gridCol w:w="665"/>
        <w:gridCol w:w="665"/>
        <w:gridCol w:w="1548"/>
        <w:gridCol w:w="798"/>
        <w:gridCol w:w="797"/>
        <w:gridCol w:w="798"/>
        <w:gridCol w:w="1435"/>
        <w:gridCol w:w="1700"/>
        <w:gridCol w:w="1701"/>
      </w:tblGrid>
      <w:tr>
        <w:trPr>
          <w:trHeight w:val="397" w:hRule="exact"/>
        </w:trPr>
        <w:tc>
          <w:tcPr>
            <w:tcW w:w="21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6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21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3" w:right="33" w:hanging="271"/>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105" w:type="dxa"/>
            <w:vMerge/>
            <w:tcBorders>
              <w:left w:val="single" w:sz="4" w:space="0" w:color="000000"/>
              <w:bottom w:val="nil" w:sz="6" w:space="0" w:color="auto"/>
              <w:right w:val="single" w:sz="4" w:space="0" w:color="000000"/>
            </w:tcBorders>
            <w:shd w:val="clear" w:color="auto" w:fill="D2D2D2"/>
          </w:tcPr>
          <w:p>
            <w:pPr/>
          </w:p>
        </w:tc>
        <w:tc>
          <w:tcPr>
            <w:tcW w:w="1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vMerge/>
            <w:tcBorders>
              <w:left w:val="single" w:sz="4" w:space="0" w:color="000000"/>
              <w:bottom w:val="single" w:sz="4" w:space="0" w:color="000000"/>
              <w:right w:val="single" w:sz="4" w:space="0" w:color="000000"/>
            </w:tcBorders>
            <w:shd w:val="clear" w:color="auto" w:fill="D2D2D2"/>
          </w:tcPr>
          <w:p>
            <w:pPr/>
          </w:p>
        </w:tc>
        <w:tc>
          <w:tcPr>
            <w:tcW w:w="15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2105" w:type="dxa"/>
            <w:vMerge w:val="restart"/>
            <w:tcBorders>
              <w:top w:val="nil" w:sz="6" w:space="0" w:color="auto"/>
              <w:left w:val="single" w:sz="4" w:space="0" w:color="000000"/>
              <w:right w:val="single" w:sz="4" w:space="0" w:color="000000"/>
            </w:tcBorders>
            <w:shd w:val="clear" w:color="auto" w:fill="D2D2D2"/>
          </w:tcPr>
          <w:p>
            <w:pPr/>
          </w:p>
        </w:tc>
        <w:tc>
          <w:tcPr>
            <w:tcW w:w="1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1435" w:type="dxa"/>
            <w:vMerge/>
            <w:tcBorders>
              <w:left w:val="single" w:sz="4" w:space="0" w:color="000000"/>
              <w:bottom w:val="nil" w:sz="6" w:space="0" w:color="auto"/>
              <w:right w:val="single" w:sz="4" w:space="0" w:color="000000"/>
            </w:tcBorders>
            <w:shd w:val="clear" w:color="auto" w:fill="D2D2D2"/>
          </w:tcPr>
          <w:p>
            <w:pPr/>
          </w:p>
        </w:tc>
        <w:tc>
          <w:tcPr>
            <w:tcW w:w="1700" w:type="dxa"/>
            <w:vMerge/>
            <w:tcBorders>
              <w:left w:val="single" w:sz="4" w:space="0" w:color="000000"/>
              <w:bottom w:val="nil" w:sz="6" w:space="0" w:color="auto"/>
              <w:right w:val="single" w:sz="4" w:space="0" w:color="000000"/>
            </w:tcBorders>
            <w:shd w:val="clear" w:color="auto" w:fill="D2D2D2"/>
          </w:tcPr>
          <w:p>
            <w:pPr/>
          </w:p>
        </w:tc>
        <w:tc>
          <w:tcPr>
            <w:tcW w:w="1701"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2105" w:type="dxa"/>
            <w:vMerge/>
            <w:tcBorders>
              <w:left w:val="single" w:sz="4" w:space="0" w:color="000000"/>
              <w:bottom w:val="single" w:sz="4" w:space="0" w:color="000000"/>
              <w:right w:val="single" w:sz="4" w:space="0" w:color="000000"/>
            </w:tcBorders>
            <w:shd w:val="clear" w:color="auto" w:fill="D2D2D2"/>
          </w:tcPr>
          <w:p>
            <w:pPr/>
          </w:p>
        </w:tc>
        <w:tc>
          <w:tcPr>
            <w:tcW w:w="1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5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2,001,294,740.00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5,081,060,704.02</w:t>
            </w:r>
          </w:p>
        </w:tc>
        <w:tc>
          <w:tcPr>
            <w:tcW w:w="798" w:type="dxa"/>
            <w:tcBorders>
              <w:top w:val="single" w:sz="22" w:space="0" w:color="D2D2D2"/>
              <w:left w:val="single" w:sz="4" w:space="0" w:color="000000"/>
              <w:bottom w:val="single" w:sz="4" w:space="0" w:color="000000"/>
              <w:right w:val="single" w:sz="4" w:space="0" w:color="000000"/>
            </w:tcBorders>
          </w:tcPr>
          <w:p>
            <w:pPr/>
          </w:p>
        </w:tc>
        <w:tc>
          <w:tcPr>
            <w:tcW w:w="797"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330,503,949.95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1,296,579,916.47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8,709,439,310.44</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0"/>
              <w:jc w:val="center"/>
              <w:rPr>
                <w:rFonts w:ascii="宋体" w:hAnsi="宋体" w:cs="宋体" w:eastAsia="宋体" w:hint="default"/>
                <w:sz w:val="18"/>
                <w:szCs w:val="18"/>
              </w:rPr>
            </w:pPr>
            <w:r>
              <w:rPr>
                <w:rFonts w:ascii="宋体" w:hAnsi="宋体" w:cs="宋体" w:eastAsia="宋体" w:hint="default"/>
                <w:sz w:val="18"/>
                <w:szCs w:val="18"/>
              </w:rPr>
              <w:t>其他</w:t>
            </w:r>
          </w:p>
        </w:tc>
        <w:tc>
          <w:tcPr>
            <w:tcW w:w="1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2,001,294,740.00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5,081,060,704.02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330,503,949.95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1,296,579,916.47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8,709,439,310.44</w:t>
            </w:r>
          </w:p>
        </w:tc>
      </w:tr>
      <w:tr>
        <w:trPr>
          <w:trHeight w:val="714"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少以“－”号填列）</w:t>
            </w:r>
          </w:p>
        </w:tc>
        <w:tc>
          <w:tcPr>
            <w:tcW w:w="1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-4,049,283.00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-31,784,120.99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-2,317,476,136.00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-2,353,309,539.99</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-2,287,456,726.11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-2,287,456,726.11</w:t>
            </w:r>
          </w:p>
        </w:tc>
      </w:tr>
      <w:tr>
        <w:trPr>
          <w:trHeight w:val="714"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（二）所有者投入和减少资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w:t>
            </w:r>
          </w:p>
        </w:tc>
        <w:tc>
          <w:tcPr>
            <w:tcW w:w="1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-4,049,283.00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-31,784,120.99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-35,833,403.99</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-4,049,283.00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4,049,283.00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340" w:right="24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127"/>
        <w:gridCol w:w="1679"/>
        <w:gridCol w:w="665"/>
        <w:gridCol w:w="665"/>
        <w:gridCol w:w="665"/>
        <w:gridCol w:w="1548"/>
        <w:gridCol w:w="798"/>
        <w:gridCol w:w="797"/>
        <w:gridCol w:w="798"/>
        <w:gridCol w:w="1435"/>
        <w:gridCol w:w="1700"/>
        <w:gridCol w:w="1701"/>
      </w:tblGrid>
      <w:tr>
        <w:trPr>
          <w:trHeight w:val="729" w:hRule="exact"/>
        </w:trPr>
        <w:tc>
          <w:tcPr>
            <w:tcW w:w="21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 入资本</w:t>
            </w:r>
          </w:p>
        </w:tc>
        <w:tc>
          <w:tcPr>
            <w:tcW w:w="1679"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548" w:type="dxa"/>
            <w:tcBorders>
              <w:top w:val="single" w:sz="15" w:space="0" w:color="000000"/>
              <w:left w:val="single" w:sz="4" w:space="0" w:color="000000"/>
              <w:bottom w:val="single" w:sz="4" w:space="0" w:color="000000"/>
              <w:right w:val="single" w:sz="4" w:space="0" w:color="000000"/>
            </w:tcBorders>
          </w:tcPr>
          <w:p>
            <w:pPr/>
          </w:p>
        </w:tc>
        <w:tc>
          <w:tcPr>
            <w:tcW w:w="798" w:type="dxa"/>
            <w:tcBorders>
              <w:top w:val="single" w:sz="15" w:space="0" w:color="000000"/>
              <w:left w:val="single" w:sz="4" w:space="0" w:color="000000"/>
              <w:bottom w:val="single" w:sz="4" w:space="0" w:color="000000"/>
              <w:right w:val="single" w:sz="4" w:space="0" w:color="000000"/>
            </w:tcBorders>
          </w:tcPr>
          <w:p>
            <w:pPr/>
          </w:p>
        </w:tc>
        <w:tc>
          <w:tcPr>
            <w:tcW w:w="797" w:type="dxa"/>
            <w:tcBorders>
              <w:top w:val="single" w:sz="15" w:space="0" w:color="000000"/>
              <w:left w:val="single" w:sz="4" w:space="0" w:color="000000"/>
              <w:bottom w:val="single" w:sz="4" w:space="0" w:color="000000"/>
              <w:right w:val="single" w:sz="4" w:space="0" w:color="000000"/>
            </w:tcBorders>
          </w:tcPr>
          <w:p>
            <w:pPr/>
          </w:p>
        </w:tc>
        <w:tc>
          <w:tcPr>
            <w:tcW w:w="798" w:type="dxa"/>
            <w:tcBorders>
              <w:top w:val="single" w:sz="15" w:space="0" w:color="000000"/>
              <w:left w:val="single" w:sz="4" w:space="0" w:color="000000"/>
              <w:bottom w:val="single" w:sz="4" w:space="0" w:color="000000"/>
              <w:right w:val="single" w:sz="4" w:space="0" w:color="000000"/>
            </w:tcBorders>
          </w:tcPr>
          <w:p>
            <w:pPr/>
          </w:p>
        </w:tc>
        <w:tc>
          <w:tcPr>
            <w:tcW w:w="1435" w:type="dxa"/>
            <w:tcBorders>
              <w:top w:val="single" w:sz="15" w:space="0" w:color="000000"/>
              <w:left w:val="single" w:sz="4" w:space="0" w:color="000000"/>
              <w:bottom w:val="single" w:sz="4" w:space="0" w:color="000000"/>
              <w:right w:val="single" w:sz="4" w:space="0" w:color="000000"/>
            </w:tcBorders>
          </w:tcPr>
          <w:p>
            <w:pPr/>
          </w:p>
        </w:tc>
        <w:tc>
          <w:tcPr>
            <w:tcW w:w="1700" w:type="dxa"/>
            <w:tcBorders>
              <w:top w:val="single" w:sz="15" w:space="0" w:color="000000"/>
              <w:left w:val="single" w:sz="4" w:space="0" w:color="000000"/>
              <w:bottom w:val="single" w:sz="4" w:space="0" w:color="000000"/>
              <w:right w:val="single" w:sz="4" w:space="0" w:color="000000"/>
            </w:tcBorders>
          </w:tcPr>
          <w:p>
            <w:pPr/>
          </w:p>
        </w:tc>
        <w:tc>
          <w:tcPr>
            <w:tcW w:w="1701"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 益的金额</w:t>
            </w:r>
          </w:p>
        </w:tc>
        <w:tc>
          <w:tcPr>
            <w:tcW w:w="16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-35,833,403.99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-35,833,403.99</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-30,019,409.89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-30,019,409.89</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 分配</w:t>
            </w:r>
          </w:p>
        </w:tc>
        <w:tc>
          <w:tcPr>
            <w:tcW w:w="16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-30,019,409.89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-30,019,409.89</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6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9"/>
                <w:sz w:val="18"/>
                <w:szCs w:val="18"/>
              </w:rPr>
              <w:t>）</w:t>
            </w:r>
            <w:r>
              <w:rPr>
                <w:rFonts w:ascii="宋体" w:hAnsi="宋体" w:cs="宋体" w:eastAsia="宋体" w:hint="default"/>
                <w:sz w:val="18"/>
                <w:szCs w:val="18"/>
              </w:rPr>
              <w:t>所有者权益内部结转</w:t>
            </w:r>
          </w:p>
        </w:tc>
        <w:tc>
          <w:tcPr>
            <w:tcW w:w="16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 股本）</w:t>
            </w:r>
          </w:p>
        </w:tc>
        <w:tc>
          <w:tcPr>
            <w:tcW w:w="16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 股本）</w:t>
            </w:r>
          </w:p>
        </w:tc>
        <w:tc>
          <w:tcPr>
            <w:tcW w:w="16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6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 转留存收益</w:t>
            </w:r>
          </w:p>
        </w:tc>
        <w:tc>
          <w:tcPr>
            <w:tcW w:w="16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6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5" w:right="0"/>
              <w:jc w:val="left"/>
              <w:rPr>
                <w:rFonts w:ascii="宋体" w:hAnsi="宋体" w:cs="宋体" w:eastAsia="宋体" w:hint="default"/>
                <w:sz w:val="18"/>
                <w:szCs w:val="18"/>
              </w:rPr>
            </w:pPr>
            <w:r>
              <w:rPr>
                <w:rFonts w:ascii="宋体"/>
                <w:sz w:val="18"/>
              </w:rPr>
              <w:t>1,997,245,457.00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5,049,276,583.03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 w:right="0"/>
              <w:jc w:val="left"/>
              <w:rPr>
                <w:rFonts w:ascii="宋体" w:hAnsi="宋体" w:cs="宋体" w:eastAsia="宋体" w:hint="default"/>
                <w:sz w:val="18"/>
                <w:szCs w:val="18"/>
              </w:rPr>
            </w:pPr>
            <w:r>
              <w:rPr>
                <w:rFonts w:ascii="宋体"/>
                <w:sz w:val="18"/>
              </w:rPr>
              <w:t>330,503,949.95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-1,020,896,219.53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6,356,129,770.45</w:t>
            </w:r>
          </w:p>
        </w:tc>
      </w:tr>
    </w:tbl>
    <w:p>
      <w:pPr>
        <w:spacing w:before="51"/>
        <w:ind w:left="5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after="0"/>
        <w:jc w:val="left"/>
        <w:rPr>
          <w:rFonts w:ascii="宋体" w:hAnsi="宋体" w:cs="宋体" w:eastAsia="宋体" w:hint="default"/>
          <w:sz w:val="18"/>
          <w:szCs w:val="18"/>
        </w:rPr>
        <w:sectPr>
          <w:pgSz w:w="16840" w:h="11910" w:orient="landscape"/>
          <w:pgMar w:header="867" w:footer="979" w:top="1060" w:bottom="1160" w:left="900" w:right="1120"/>
        </w:sectPr>
      </w:pPr>
    </w:p>
    <w:p>
      <w:pPr>
        <w:spacing w:line="240" w:lineRule="auto" w:before="12"/>
        <w:rPr>
          <w:rFonts w:ascii="宋体" w:hAnsi="宋体" w:cs="宋体" w:eastAsia="宋体" w:hint="default"/>
          <w:sz w:val="2"/>
          <w:szCs w:val="2"/>
        </w:rPr>
      </w:pPr>
    </w:p>
    <w:p>
      <w:pPr>
        <w:spacing w:line="20" w:lineRule="exact"/>
        <w:ind w:left="48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before="20"/>
        <w:ind w:left="0" w:right="31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105"/>
        <w:gridCol w:w="1690"/>
        <w:gridCol w:w="665"/>
        <w:gridCol w:w="665"/>
        <w:gridCol w:w="665"/>
        <w:gridCol w:w="1549"/>
        <w:gridCol w:w="798"/>
        <w:gridCol w:w="797"/>
        <w:gridCol w:w="798"/>
        <w:gridCol w:w="1434"/>
        <w:gridCol w:w="1702"/>
        <w:gridCol w:w="1701"/>
      </w:tblGrid>
      <w:tr>
        <w:trPr>
          <w:trHeight w:val="397" w:hRule="exact"/>
        </w:trPr>
        <w:tc>
          <w:tcPr>
            <w:tcW w:w="21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6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21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4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2"/>
              <w:ind w:left="303" w:right="33" w:hanging="271"/>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2"/>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2105" w:type="dxa"/>
            <w:vMerge/>
            <w:tcBorders>
              <w:left w:val="single" w:sz="4" w:space="0" w:color="000000"/>
              <w:bottom w:val="nil" w:sz="6" w:space="0" w:color="auto"/>
              <w:right w:val="single" w:sz="4" w:space="0" w:color="000000"/>
            </w:tcBorders>
            <w:shd w:val="clear" w:color="auto" w:fill="D2D2D2"/>
          </w:tcPr>
          <w:p>
            <w:pPr/>
          </w:p>
        </w:tc>
        <w:tc>
          <w:tcPr>
            <w:tcW w:w="16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vMerge/>
            <w:tcBorders>
              <w:left w:val="single" w:sz="4" w:space="0" w:color="000000"/>
              <w:bottom w:val="single" w:sz="4" w:space="0" w:color="000000"/>
              <w:right w:val="single" w:sz="4" w:space="0" w:color="000000"/>
            </w:tcBorders>
            <w:shd w:val="clear" w:color="auto" w:fill="D2D2D2"/>
          </w:tcPr>
          <w:p>
            <w:pPr/>
          </w:p>
        </w:tc>
        <w:tc>
          <w:tcPr>
            <w:tcW w:w="15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41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35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39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2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2105" w:type="dxa"/>
            <w:vMerge w:val="restart"/>
            <w:tcBorders>
              <w:top w:val="nil" w:sz="6" w:space="0" w:color="auto"/>
              <w:left w:val="single" w:sz="4" w:space="0" w:color="000000"/>
              <w:right w:val="single" w:sz="4" w:space="0" w:color="000000"/>
            </w:tcBorders>
            <w:shd w:val="clear" w:color="auto" w:fill="D2D2D2"/>
          </w:tcPr>
          <w:p>
            <w:pPr/>
          </w:p>
        </w:tc>
        <w:tc>
          <w:tcPr>
            <w:tcW w:w="1690"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9"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1434"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c>
          <w:tcPr>
            <w:tcW w:w="1701"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2105" w:type="dxa"/>
            <w:vMerge/>
            <w:tcBorders>
              <w:left w:val="single" w:sz="4" w:space="0" w:color="000000"/>
              <w:bottom w:val="single" w:sz="4" w:space="0" w:color="000000"/>
              <w:right w:val="single" w:sz="4" w:space="0" w:color="000000"/>
            </w:tcBorders>
            <w:shd w:val="clear" w:color="auto" w:fill="D2D2D2"/>
          </w:tcPr>
          <w:p>
            <w:pPr/>
          </w:p>
        </w:tc>
        <w:tc>
          <w:tcPr>
            <w:tcW w:w="1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54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2,017,365,965.00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5,064,529,724.73</w:t>
            </w:r>
          </w:p>
        </w:tc>
        <w:tc>
          <w:tcPr>
            <w:tcW w:w="798" w:type="dxa"/>
            <w:tcBorders>
              <w:top w:val="single" w:sz="18" w:space="0" w:color="D2D2D2"/>
              <w:left w:val="single" w:sz="4" w:space="0" w:color="000000"/>
              <w:bottom w:val="single" w:sz="4" w:space="0" w:color="000000"/>
              <w:right w:val="single" w:sz="4" w:space="0" w:color="000000"/>
            </w:tcBorders>
          </w:tcPr>
          <w:p>
            <w:pPr/>
          </w:p>
        </w:tc>
        <w:tc>
          <w:tcPr>
            <w:tcW w:w="797" w:type="dxa"/>
            <w:tcBorders>
              <w:top w:val="single" w:sz="18"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330,503,949.95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1,460,164,535.50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8,872,564,175.18</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90"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90"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270"/>
              <w:jc w:val="center"/>
              <w:rPr>
                <w:rFonts w:ascii="宋体" w:hAnsi="宋体" w:cs="宋体" w:eastAsia="宋体" w:hint="default"/>
                <w:sz w:val="18"/>
                <w:szCs w:val="18"/>
              </w:rPr>
            </w:pPr>
            <w:r>
              <w:rPr>
                <w:rFonts w:ascii="宋体" w:hAnsi="宋体" w:cs="宋体" w:eastAsia="宋体" w:hint="default"/>
                <w:sz w:val="18"/>
                <w:szCs w:val="18"/>
              </w:rPr>
              <w:t>其他</w:t>
            </w:r>
          </w:p>
        </w:tc>
        <w:tc>
          <w:tcPr>
            <w:tcW w:w="1690"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2,017,365,965.00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5,064,529,724.73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330,503,949.95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1,460,164,535.50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8,872,564,175.18</w:t>
            </w:r>
          </w:p>
        </w:tc>
      </w:tr>
      <w:tr>
        <w:trPr>
          <w:trHeight w:val="714"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1" w:right="1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少以“－”号填列）</w:t>
            </w:r>
          </w:p>
        </w:tc>
        <w:tc>
          <w:tcPr>
            <w:tcW w:w="1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-16,071,225.00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16,530,979.29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-163,584,619.03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-163,124,864.74</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90"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-72,803,162.43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-72,803,162.43</w:t>
            </w:r>
          </w:p>
        </w:tc>
      </w:tr>
      <w:tr>
        <w:trPr>
          <w:trHeight w:val="714"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（二）所有者投入和减少资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本</w:t>
            </w:r>
          </w:p>
        </w:tc>
        <w:tc>
          <w:tcPr>
            <w:tcW w:w="1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-16,071,225.00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16,530,979.29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459,754.29</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-16,071,225.00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16,071,225.00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1" w:right="1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 入资本</w:t>
            </w:r>
          </w:p>
        </w:tc>
        <w:tc>
          <w:tcPr>
            <w:tcW w:w="1690"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11" w:right="1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 益的金额</w:t>
            </w:r>
          </w:p>
        </w:tc>
        <w:tc>
          <w:tcPr>
            <w:tcW w:w="1690"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90"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459,754.29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459,754.29</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90"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-90,781,456.60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宋体" w:hAnsi="宋体" w:cs="宋体" w:eastAsia="宋体" w:hint="default"/>
                <w:sz w:val="18"/>
                <w:szCs w:val="18"/>
              </w:rPr>
            </w:pPr>
            <w:r>
              <w:rPr>
                <w:rFonts w:ascii="宋体"/>
                <w:sz w:val="18"/>
              </w:rPr>
              <w:t>-90,781,456.60</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90"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1" w:right="1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 分配</w:t>
            </w:r>
          </w:p>
        </w:tc>
        <w:tc>
          <w:tcPr>
            <w:tcW w:w="1690"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-90,781,456.60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-90,781,456.60</w:t>
            </w:r>
          </w:p>
        </w:tc>
      </w:tr>
      <w:tr>
        <w:trPr>
          <w:trHeight w:val="403"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690"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220" w:left="920" w:right="1120"/>
        </w:sectPr>
      </w:pPr>
    </w:p>
    <w:tbl>
      <w:tblPr>
        <w:tblW w:w="0" w:type="auto"/>
        <w:jc w:val="left"/>
        <w:tblInd w:w="109" w:type="dxa"/>
        <w:tblLayout w:type="fixed"/>
        <w:tblCellMar>
          <w:top w:w="0" w:type="dxa"/>
          <w:left w:w="0" w:type="dxa"/>
          <w:bottom w:w="0" w:type="dxa"/>
          <w:right w:w="0" w:type="dxa"/>
        </w:tblCellMar>
        <w:tblLook w:val="01E0"/>
      </w:tblPr>
      <w:tblGrid>
        <w:gridCol w:w="2127"/>
        <w:gridCol w:w="1678"/>
        <w:gridCol w:w="665"/>
        <w:gridCol w:w="665"/>
        <w:gridCol w:w="665"/>
        <w:gridCol w:w="1549"/>
        <w:gridCol w:w="798"/>
        <w:gridCol w:w="797"/>
        <w:gridCol w:w="798"/>
        <w:gridCol w:w="1434"/>
        <w:gridCol w:w="1702"/>
        <w:gridCol w:w="1701"/>
      </w:tblGrid>
      <w:tr>
        <w:trPr>
          <w:trHeight w:val="416" w:hRule="exact"/>
        </w:trPr>
        <w:tc>
          <w:tcPr>
            <w:tcW w:w="21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9"/>
                <w:sz w:val="18"/>
                <w:szCs w:val="18"/>
              </w:rPr>
              <w:t>）</w:t>
            </w:r>
            <w:r>
              <w:rPr>
                <w:rFonts w:ascii="宋体" w:hAnsi="宋体" w:cs="宋体" w:eastAsia="宋体" w:hint="default"/>
                <w:sz w:val="18"/>
                <w:szCs w:val="18"/>
              </w:rPr>
              <w:t>所有者权益内部结转</w:t>
            </w:r>
          </w:p>
        </w:tc>
        <w:tc>
          <w:tcPr>
            <w:tcW w:w="1678"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549" w:type="dxa"/>
            <w:tcBorders>
              <w:top w:val="single" w:sz="15" w:space="0" w:color="000000"/>
              <w:left w:val="single" w:sz="4" w:space="0" w:color="000000"/>
              <w:bottom w:val="single" w:sz="4" w:space="0" w:color="000000"/>
              <w:right w:val="single" w:sz="4" w:space="0" w:color="000000"/>
            </w:tcBorders>
          </w:tcPr>
          <w:p>
            <w:pPr/>
          </w:p>
        </w:tc>
        <w:tc>
          <w:tcPr>
            <w:tcW w:w="798" w:type="dxa"/>
            <w:tcBorders>
              <w:top w:val="single" w:sz="15" w:space="0" w:color="000000"/>
              <w:left w:val="single" w:sz="4" w:space="0" w:color="000000"/>
              <w:bottom w:val="single" w:sz="4" w:space="0" w:color="000000"/>
              <w:right w:val="single" w:sz="4" w:space="0" w:color="000000"/>
            </w:tcBorders>
          </w:tcPr>
          <w:p>
            <w:pPr/>
          </w:p>
        </w:tc>
        <w:tc>
          <w:tcPr>
            <w:tcW w:w="797" w:type="dxa"/>
            <w:tcBorders>
              <w:top w:val="single" w:sz="15" w:space="0" w:color="000000"/>
              <w:left w:val="single" w:sz="4" w:space="0" w:color="000000"/>
              <w:bottom w:val="single" w:sz="4" w:space="0" w:color="000000"/>
              <w:right w:val="single" w:sz="4" w:space="0" w:color="000000"/>
            </w:tcBorders>
          </w:tcPr>
          <w:p>
            <w:pPr/>
          </w:p>
        </w:tc>
        <w:tc>
          <w:tcPr>
            <w:tcW w:w="798" w:type="dxa"/>
            <w:tcBorders>
              <w:top w:val="single" w:sz="15" w:space="0" w:color="000000"/>
              <w:left w:val="single" w:sz="4" w:space="0" w:color="000000"/>
              <w:bottom w:val="single" w:sz="4" w:space="0" w:color="000000"/>
              <w:right w:val="single" w:sz="4" w:space="0" w:color="000000"/>
            </w:tcBorders>
          </w:tcPr>
          <w:p>
            <w:pPr/>
          </w:p>
        </w:tc>
        <w:tc>
          <w:tcPr>
            <w:tcW w:w="1434"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
        </w:tc>
        <w:tc>
          <w:tcPr>
            <w:tcW w:w="1701"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2"/>
              <w:ind w:left="22" w:right="2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 股本）</w:t>
            </w:r>
          </w:p>
        </w:tc>
        <w:tc>
          <w:tcPr>
            <w:tcW w:w="167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2"/>
              <w:ind w:left="22" w:right="2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 股本）</w:t>
            </w:r>
          </w:p>
        </w:tc>
        <w:tc>
          <w:tcPr>
            <w:tcW w:w="167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67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2"/>
              <w:ind w:left="22" w:right="24"/>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 转留存收益</w:t>
            </w:r>
          </w:p>
        </w:tc>
        <w:tc>
          <w:tcPr>
            <w:tcW w:w="167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67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7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7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7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7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05" w:right="0"/>
              <w:jc w:val="left"/>
              <w:rPr>
                <w:rFonts w:ascii="宋体" w:hAnsi="宋体" w:cs="宋体" w:eastAsia="宋体" w:hint="default"/>
                <w:sz w:val="18"/>
                <w:szCs w:val="18"/>
              </w:rPr>
            </w:pPr>
            <w:r>
              <w:rPr>
                <w:rFonts w:ascii="宋体"/>
                <w:sz w:val="18"/>
              </w:rPr>
              <w:t>2,001,294,740.00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6" w:right="0"/>
              <w:jc w:val="left"/>
              <w:rPr>
                <w:rFonts w:ascii="宋体" w:hAnsi="宋体" w:cs="宋体" w:eastAsia="宋体" w:hint="default"/>
                <w:sz w:val="18"/>
                <w:szCs w:val="18"/>
              </w:rPr>
            </w:pPr>
            <w:r>
              <w:rPr>
                <w:rFonts w:ascii="宋体"/>
                <w:sz w:val="18"/>
              </w:rPr>
              <w:t>5,081,060,704.02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41" w:right="0"/>
              <w:jc w:val="left"/>
              <w:rPr>
                <w:rFonts w:ascii="宋体" w:hAnsi="宋体" w:cs="宋体" w:eastAsia="宋体" w:hint="default"/>
                <w:sz w:val="18"/>
                <w:szCs w:val="18"/>
              </w:rPr>
            </w:pPr>
            <w:r>
              <w:rPr>
                <w:rFonts w:ascii="宋体"/>
                <w:sz w:val="18"/>
              </w:rPr>
              <w:t>330,503,949.95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9" w:right="0"/>
              <w:jc w:val="left"/>
              <w:rPr>
                <w:rFonts w:ascii="宋体" w:hAnsi="宋体" w:cs="宋体" w:eastAsia="宋体" w:hint="default"/>
                <w:sz w:val="18"/>
                <w:szCs w:val="18"/>
              </w:rPr>
            </w:pPr>
            <w:r>
              <w:rPr>
                <w:rFonts w:ascii="宋体"/>
                <w:sz w:val="18"/>
              </w:rPr>
              <w:t>1,296,579,916.47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8" w:right="0"/>
              <w:jc w:val="left"/>
              <w:rPr>
                <w:rFonts w:ascii="宋体" w:hAnsi="宋体" w:cs="宋体" w:eastAsia="宋体" w:hint="default"/>
                <w:sz w:val="18"/>
                <w:szCs w:val="18"/>
              </w:rPr>
            </w:pPr>
            <w:r>
              <w:rPr>
                <w:rFonts w:ascii="宋体"/>
                <w:sz w:val="18"/>
              </w:rPr>
              <w:t>8,709,439,310.44</w:t>
            </w:r>
          </w:p>
        </w:tc>
      </w:tr>
    </w:tbl>
    <w:p>
      <w:pPr>
        <w:spacing w:after="0" w:line="240" w:lineRule="auto"/>
        <w:jc w:val="left"/>
        <w:rPr>
          <w:rFonts w:ascii="宋体" w:hAnsi="宋体" w:cs="宋体" w:eastAsia="宋体" w:hint="default"/>
          <w:sz w:val="18"/>
          <w:szCs w:val="18"/>
        </w:rPr>
        <w:sectPr>
          <w:headerReference w:type="default" r:id="rId36"/>
          <w:pgSz w:w="16840" w:h="11910" w:orient="landscape"/>
          <w:pgMar w:header="877" w:footer="979" w:top="1120" w:bottom="1160" w:left="900" w:right="1120"/>
        </w:sectPr>
      </w:pP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三、公司基本情况" w:id="168"/>
      <w:bookmarkEnd w:id="168"/>
      <w:r>
        <w:rPr>
          <w:b w:val="0"/>
          <w:bCs w:val="0"/>
        </w:rPr>
      </w:r>
      <w:r>
        <w:rPr/>
        <w:t>三、公司基本情况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1"/>
        <w:ind w:right="0"/>
        <w:jc w:val="left"/>
        <w:rPr>
          <w:b w:val="0"/>
          <w:bCs w:val="0"/>
        </w:rPr>
      </w:pPr>
      <w:r>
        <w:rPr/>
        <w:t>（一）公司概况</w:t>
      </w:r>
      <w:r>
        <w:rPr>
          <w:b w:val="0"/>
          <w:bCs w:val="0"/>
        </w:rPr>
      </w:r>
    </w:p>
    <w:p>
      <w:pPr>
        <w:spacing w:line="240" w:lineRule="auto" w:before="9"/>
        <w:rPr>
          <w:rFonts w:ascii="宋体" w:hAnsi="宋体" w:cs="宋体" w:eastAsia="宋体" w:hint="default"/>
          <w:b/>
          <w:bCs/>
          <w:sz w:val="15"/>
          <w:szCs w:val="15"/>
        </w:rPr>
      </w:pPr>
    </w:p>
    <w:p>
      <w:pPr>
        <w:pStyle w:val="BodyText"/>
        <w:spacing w:line="420" w:lineRule="auto"/>
        <w:ind w:right="1092" w:firstLine="630"/>
        <w:jc w:val="left"/>
      </w:pPr>
      <w:r>
        <w:rPr>
          <w:spacing w:val="-1"/>
        </w:rPr>
        <w:t>华闻传媒投资集团股份有限公司（以下简称“本公司”、“公司”或“华闻传媒”），原名“华闻</w:t>
      </w:r>
      <w:r>
        <w:rPr/>
        <w:t> 传媒投资股份有限公司”、“海南民生燃气（集团）股份有限公司”、“海口管道燃气股份有限公司”， </w:t>
      </w:r>
      <w:r>
        <w:rPr>
          <w:spacing w:val="-1"/>
        </w:rPr>
        <w:t>前身是海南石化煤气公司。本公司是于</w:t>
      </w:r>
      <w:r>
        <w:rPr>
          <w:rFonts w:ascii="宋体" w:hAnsi="宋体" w:cs="宋体" w:eastAsia="宋体" w:hint="default"/>
          <w:spacing w:val="-1"/>
        </w:rPr>
        <w:t>1992</w:t>
      </w:r>
      <w:r>
        <w:rPr>
          <w:spacing w:val="-1"/>
        </w:rPr>
        <w:t>年经海南省股份制试点领导小组办公室琼股办字（</w:t>
      </w:r>
      <w:r>
        <w:rPr>
          <w:rFonts w:ascii="宋体" w:hAnsi="宋体" w:cs="宋体" w:eastAsia="宋体" w:hint="default"/>
          <w:spacing w:val="-1"/>
        </w:rPr>
        <w:t>1992</w:t>
      </w:r>
      <w:r>
        <w:rPr>
          <w:spacing w:val="-1"/>
        </w:rPr>
        <w:t>）</w:t>
      </w:r>
      <w:r>
        <w:rPr>
          <w:rFonts w:ascii="宋体" w:hAnsi="宋体" w:cs="宋体" w:eastAsia="宋体" w:hint="default"/>
          <w:spacing w:val="-1"/>
        </w:rPr>
        <w:t>27</w:t>
      </w:r>
      <w:r>
        <w:rPr>
          <w:spacing w:val="-1"/>
        </w:rPr>
        <w:t>号</w:t>
      </w:r>
      <w:r>
        <w:rPr>
          <w:spacing w:val="-81"/>
        </w:rPr>
        <w:t> </w:t>
      </w:r>
      <w:r>
        <w:rPr>
          <w:spacing w:val="-1"/>
        </w:rPr>
        <w:t>文批准，以定向募集方式设立的股份公司，设立时的注册资本为</w:t>
      </w:r>
      <w:r>
        <w:rPr>
          <w:rFonts w:ascii="宋体" w:hAnsi="宋体" w:cs="宋体" w:eastAsia="宋体" w:hint="default"/>
          <w:spacing w:val="-1"/>
        </w:rPr>
        <w:t>36,674,257.00</w:t>
      </w:r>
      <w:r>
        <w:rPr>
          <w:spacing w:val="-1"/>
        </w:rPr>
        <w:t>元，</w:t>
      </w:r>
      <w:r>
        <w:rPr>
          <w:rFonts w:ascii="宋体" w:hAnsi="宋体" w:cs="宋体" w:eastAsia="宋体" w:hint="default"/>
          <w:spacing w:val="-1"/>
        </w:rPr>
        <w:t>1993</w:t>
      </w:r>
      <w:r>
        <w:rPr>
          <w:spacing w:val="-1"/>
        </w:rPr>
        <w:t>年</w:t>
      </w:r>
      <w:r>
        <w:rPr>
          <w:rFonts w:ascii="宋体" w:hAnsi="宋体" w:cs="宋体" w:eastAsia="宋体" w:hint="default"/>
          <w:spacing w:val="-1"/>
        </w:rPr>
        <w:t>7</w:t>
      </w:r>
      <w:r>
        <w:rPr>
          <w:spacing w:val="-1"/>
        </w:rPr>
        <w:t>月经海南省股</w:t>
      </w:r>
      <w:r>
        <w:rPr>
          <w:spacing w:val="-78"/>
        </w:rPr>
        <w:t> </w:t>
      </w:r>
      <w:r>
        <w:rPr>
          <w:spacing w:val="-78"/>
        </w:rPr>
      </w:r>
      <w:r>
        <w:rPr/>
        <w:t>份制试点领导小组办公室批准，本公司进行了增资扩股，注册资本增加至</w:t>
      </w:r>
      <w:r>
        <w:rPr>
          <w:rFonts w:ascii="宋体" w:hAnsi="宋体" w:cs="宋体" w:eastAsia="宋体" w:hint="default"/>
        </w:rPr>
        <w:t>154,010,257.00</w:t>
      </w:r>
      <w:r>
        <w:rPr/>
        <w:t>元。</w:t>
      </w:r>
      <w:r>
        <w:rPr>
          <w:rFonts w:ascii="宋体" w:hAnsi="宋体" w:cs="宋体" w:eastAsia="宋体" w:hint="default"/>
        </w:rPr>
        <w:t>1997</w:t>
      </w:r>
      <w:r>
        <w:rPr/>
        <w:t>年</w:t>
      </w:r>
      <w:r>
        <w:rPr>
          <w:rFonts w:ascii="宋体" w:hAnsi="宋体" w:cs="宋体" w:eastAsia="宋体" w:hint="default"/>
        </w:rPr>
        <w:t>4</w:t>
      </w:r>
      <w:r>
        <w:rPr/>
        <w:t>月 经海南省证管办批准，本公司以</w:t>
      </w:r>
      <w:r>
        <w:rPr>
          <w:rFonts w:ascii="宋体" w:hAnsi="宋体" w:cs="宋体" w:eastAsia="宋体" w:hint="default"/>
        </w:rPr>
        <w:t>1</w:t>
      </w:r>
      <w:r>
        <w:rPr/>
        <w:t>：</w:t>
      </w:r>
      <w:r>
        <w:rPr>
          <w:rFonts w:ascii="宋体" w:hAnsi="宋体" w:cs="宋体" w:eastAsia="宋体" w:hint="default"/>
        </w:rPr>
        <w:t>0.5</w:t>
      </w:r>
      <w:r>
        <w:rPr/>
        <w:t>的比例进行了缩股。</w:t>
      </w:r>
      <w:r>
        <w:rPr>
          <w:rFonts w:ascii="宋体" w:hAnsi="宋体" w:cs="宋体" w:eastAsia="宋体" w:hint="default"/>
        </w:rPr>
        <w:t>1997</w:t>
      </w:r>
      <w:r>
        <w:rPr/>
        <w:t>年</w:t>
      </w:r>
      <w:r>
        <w:rPr>
          <w:rFonts w:ascii="宋体" w:hAnsi="宋体" w:cs="宋体" w:eastAsia="宋体" w:hint="default"/>
        </w:rPr>
        <w:t>7</w:t>
      </w:r>
      <w:r>
        <w:rPr/>
        <w:t>月，经中国证监会批准，本公司向社 会公开发行</w:t>
      </w:r>
      <w:r>
        <w:rPr>
          <w:rFonts w:ascii="宋体" w:hAnsi="宋体" w:cs="宋体" w:eastAsia="宋体" w:hint="default"/>
        </w:rPr>
        <w:t>5,000</w:t>
      </w:r>
      <w:r>
        <w:rPr/>
        <w:t>万股</w:t>
      </w:r>
      <w:r>
        <w:rPr>
          <w:rFonts w:ascii="宋体" w:hAnsi="宋体" w:cs="宋体" w:eastAsia="宋体" w:hint="default"/>
        </w:rPr>
        <w:t>A</w:t>
      </w:r>
      <w:r>
        <w:rPr/>
        <w:t>股股票，并于</w:t>
      </w:r>
      <w:r>
        <w:rPr>
          <w:rFonts w:ascii="宋体" w:hAnsi="宋体" w:cs="宋体" w:eastAsia="宋体" w:hint="default"/>
        </w:rPr>
        <w:t>7</w:t>
      </w:r>
      <w:r>
        <w:rPr/>
        <w:t>月</w:t>
      </w:r>
      <w:r>
        <w:rPr>
          <w:rFonts w:ascii="宋体" w:hAnsi="宋体" w:cs="宋体" w:eastAsia="宋体" w:hint="default"/>
        </w:rPr>
        <w:t>29</w:t>
      </w:r>
      <w:r>
        <w:rPr/>
        <w:t>日在深圳证券交易所上市。首次公开发行后注册资本为 </w:t>
      </w:r>
      <w:r>
        <w:rPr>
          <w:rFonts w:ascii="宋体" w:hAnsi="宋体" w:cs="宋体" w:eastAsia="宋体" w:hint="default"/>
        </w:rPr>
        <w:t>127,005,129.00</w:t>
      </w:r>
      <w:r>
        <w:rPr/>
        <w:t>元。本公司由海南省工商行政管理局颁发法人营业执照，统一社会信用代码：</w:t>
      </w:r>
    </w:p>
    <w:p>
      <w:pPr>
        <w:pStyle w:val="BodyText"/>
        <w:spacing w:line="240" w:lineRule="auto" w:before="47"/>
        <w:ind w:right="0"/>
        <w:jc w:val="left"/>
      </w:pPr>
      <w:r>
        <w:rPr>
          <w:rFonts w:ascii="宋体" w:hAnsi="宋体" w:cs="宋体" w:eastAsia="宋体" w:hint="default"/>
        </w:rPr>
        <w:t>914600002012502172</w:t>
      </w:r>
      <w:r>
        <w:rPr/>
        <w:t>，法定代表人为汪方怀。</w:t>
      </w:r>
    </w:p>
    <w:p>
      <w:pPr>
        <w:spacing w:line="240" w:lineRule="auto" w:before="9"/>
        <w:rPr>
          <w:rFonts w:ascii="宋体" w:hAnsi="宋体" w:cs="宋体" w:eastAsia="宋体" w:hint="default"/>
          <w:sz w:val="15"/>
          <w:szCs w:val="15"/>
        </w:rPr>
      </w:pPr>
    </w:p>
    <w:p>
      <w:pPr>
        <w:pStyle w:val="BodyText"/>
        <w:spacing w:line="420" w:lineRule="auto"/>
        <w:ind w:right="0" w:firstLine="420"/>
        <w:jc w:val="left"/>
      </w:pPr>
      <w:r>
        <w:rPr>
          <w:rFonts w:ascii="宋体" w:hAnsi="宋体" w:cs="宋体" w:eastAsia="宋体" w:hint="default"/>
          <w:spacing w:val="-1"/>
        </w:rPr>
        <w:t>1998</w:t>
      </w:r>
      <w:r>
        <w:rPr>
          <w:spacing w:val="-1"/>
        </w:rPr>
        <w:t>年</w:t>
      </w:r>
      <w:r>
        <w:rPr>
          <w:rFonts w:ascii="宋体" w:hAnsi="宋体" w:cs="宋体" w:eastAsia="宋体" w:hint="default"/>
          <w:spacing w:val="-1"/>
        </w:rPr>
        <w:t>6</w:t>
      </w:r>
      <w:r>
        <w:rPr>
          <w:spacing w:val="-1"/>
        </w:rPr>
        <w:t>月，经本公司第六次股东大会决议通过，以</w:t>
      </w:r>
      <w:r>
        <w:rPr>
          <w:rFonts w:ascii="宋体" w:hAnsi="宋体" w:cs="宋体" w:eastAsia="宋体" w:hint="default"/>
          <w:spacing w:val="-1"/>
        </w:rPr>
        <w:t>1997</w:t>
      </w:r>
      <w:r>
        <w:rPr>
          <w:spacing w:val="-1"/>
        </w:rPr>
        <w:t>年度末总股本</w:t>
      </w:r>
      <w:r>
        <w:rPr>
          <w:rFonts w:ascii="宋体" w:hAnsi="宋体" w:cs="宋体" w:eastAsia="宋体" w:hint="default"/>
          <w:spacing w:val="-1"/>
        </w:rPr>
        <w:t>127,005,129</w:t>
      </w:r>
      <w:r>
        <w:rPr>
          <w:spacing w:val="-1"/>
        </w:rPr>
        <w:t>股为基数，每</w:t>
      </w:r>
      <w:r>
        <w:rPr>
          <w:rFonts w:ascii="宋体" w:hAnsi="宋体" w:cs="宋体" w:eastAsia="宋体" w:hint="default"/>
          <w:spacing w:val="-1"/>
        </w:rPr>
        <w:t>10</w:t>
      </w:r>
      <w:r>
        <w:rPr>
          <w:spacing w:val="-1"/>
        </w:rPr>
        <w:t>股</w:t>
      </w:r>
      <w:r>
        <w:rPr/>
        <w:t> 送</w:t>
      </w:r>
      <w:r>
        <w:rPr>
          <w:rFonts w:ascii="宋体" w:hAnsi="宋体" w:cs="宋体" w:eastAsia="宋体" w:hint="default"/>
        </w:rPr>
        <w:t>2</w:t>
      </w:r>
      <w:r>
        <w:rPr/>
        <w:t>股红股，同时用资本公积转增</w:t>
      </w:r>
      <w:r>
        <w:rPr>
          <w:rFonts w:ascii="宋体" w:hAnsi="宋体" w:cs="宋体" w:eastAsia="宋体" w:hint="default"/>
        </w:rPr>
        <w:t>8</w:t>
      </w:r>
      <w:r>
        <w:rPr/>
        <w:t>股，转送股后注册资本为</w:t>
      </w:r>
      <w:r>
        <w:rPr>
          <w:rFonts w:ascii="宋体" w:hAnsi="宋体" w:cs="宋体" w:eastAsia="宋体" w:hint="default"/>
        </w:rPr>
        <w:t>254,010,258.00</w:t>
      </w:r>
      <w:r>
        <w:rPr/>
        <w:t>元。</w:t>
      </w:r>
    </w:p>
    <w:p>
      <w:pPr>
        <w:pStyle w:val="BodyText"/>
        <w:spacing w:line="420" w:lineRule="auto" w:before="47"/>
        <w:ind w:right="0" w:firstLine="420"/>
        <w:jc w:val="left"/>
      </w:pPr>
      <w:r>
        <w:rPr>
          <w:rFonts w:ascii="宋体" w:hAnsi="宋体" w:cs="宋体" w:eastAsia="宋体" w:hint="default"/>
          <w:spacing w:val="-1"/>
        </w:rPr>
        <w:t>2000</w:t>
      </w:r>
      <w:r>
        <w:rPr>
          <w:spacing w:val="-1"/>
        </w:rPr>
        <w:t>年</w:t>
      </w:r>
      <w:r>
        <w:rPr>
          <w:rFonts w:ascii="宋体" w:hAnsi="宋体" w:cs="宋体" w:eastAsia="宋体" w:hint="default"/>
          <w:spacing w:val="-1"/>
        </w:rPr>
        <w:t>4</w:t>
      </w:r>
      <w:r>
        <w:rPr>
          <w:spacing w:val="-1"/>
        </w:rPr>
        <w:t>月，经中国证券监督委员会证监公司字〔</w:t>
      </w:r>
      <w:r>
        <w:rPr>
          <w:rFonts w:ascii="宋体" w:hAnsi="宋体" w:cs="宋体" w:eastAsia="宋体" w:hint="default"/>
          <w:spacing w:val="-1"/>
        </w:rPr>
        <w:t>2000</w:t>
      </w:r>
      <w:r>
        <w:rPr>
          <w:spacing w:val="-1"/>
        </w:rPr>
        <w:t>〕</w:t>
      </w:r>
      <w:r>
        <w:rPr>
          <w:rFonts w:ascii="宋体" w:hAnsi="宋体" w:cs="宋体" w:eastAsia="宋体" w:hint="default"/>
          <w:spacing w:val="-1"/>
        </w:rPr>
        <w:t>17</w:t>
      </w:r>
      <w:r>
        <w:rPr>
          <w:spacing w:val="-1"/>
        </w:rPr>
        <w:t>号文核准，本公司以总股本</w:t>
      </w:r>
      <w:r>
        <w:rPr>
          <w:rFonts w:ascii="宋体" w:hAnsi="宋体" w:cs="宋体" w:eastAsia="宋体" w:hint="default"/>
          <w:spacing w:val="-1"/>
        </w:rPr>
        <w:t>254,010,258</w:t>
      </w:r>
      <w:r>
        <w:rPr>
          <w:spacing w:val="-1"/>
        </w:rPr>
        <w:t>股</w:t>
      </w:r>
      <w:r>
        <w:rPr/>
        <w:t> 为基数，按</w:t>
      </w:r>
      <w:r>
        <w:rPr>
          <w:rFonts w:ascii="宋体" w:hAnsi="宋体" w:cs="宋体" w:eastAsia="宋体" w:hint="default"/>
        </w:rPr>
        <w:t>10:3</w:t>
      </w:r>
      <w:r>
        <w:rPr/>
        <w:t>的比例配股，共配售</w:t>
      </w:r>
      <w:r>
        <w:rPr>
          <w:rFonts w:ascii="宋体" w:hAnsi="宋体" w:cs="宋体" w:eastAsia="宋体" w:hint="default"/>
        </w:rPr>
        <w:t>37,401,255</w:t>
      </w:r>
      <w:r>
        <w:rPr/>
        <w:t>股，注册资本变更为</w:t>
      </w:r>
      <w:r>
        <w:rPr>
          <w:rFonts w:ascii="宋体" w:hAnsi="宋体" w:cs="宋体" w:eastAsia="宋体" w:hint="default"/>
        </w:rPr>
        <w:t>291,411,513.00</w:t>
      </w:r>
      <w:r>
        <w:rPr/>
        <w:t>元。</w:t>
      </w:r>
    </w:p>
    <w:p>
      <w:pPr>
        <w:pStyle w:val="BodyText"/>
        <w:spacing w:line="420" w:lineRule="auto" w:before="47"/>
        <w:ind w:right="0" w:firstLine="420"/>
        <w:jc w:val="left"/>
      </w:pPr>
      <w:r>
        <w:rPr>
          <w:rFonts w:ascii="宋体" w:hAnsi="宋体" w:cs="宋体" w:eastAsia="宋体" w:hint="default"/>
          <w:spacing w:val="-1"/>
        </w:rPr>
        <w:t>2003</w:t>
      </w:r>
      <w:r>
        <w:rPr>
          <w:spacing w:val="-1"/>
        </w:rPr>
        <w:t>年</w:t>
      </w:r>
      <w:r>
        <w:rPr>
          <w:rFonts w:ascii="宋体" w:hAnsi="宋体" w:cs="宋体" w:eastAsia="宋体" w:hint="default"/>
          <w:spacing w:val="-1"/>
        </w:rPr>
        <w:t>10</w:t>
      </w:r>
      <w:r>
        <w:rPr>
          <w:spacing w:val="-1"/>
        </w:rPr>
        <w:t>月，经中国证券监督委员会证监发行字〔</w:t>
      </w:r>
      <w:r>
        <w:rPr>
          <w:rFonts w:ascii="宋体" w:hAnsi="宋体" w:cs="宋体" w:eastAsia="宋体" w:hint="default"/>
          <w:spacing w:val="-1"/>
        </w:rPr>
        <w:t>2003</w:t>
      </w:r>
      <w:r>
        <w:rPr>
          <w:spacing w:val="-1"/>
        </w:rPr>
        <w:t>〕</w:t>
      </w:r>
      <w:r>
        <w:rPr>
          <w:rFonts w:ascii="宋体" w:hAnsi="宋体" w:cs="宋体" w:eastAsia="宋体" w:hint="default"/>
          <w:spacing w:val="-1"/>
        </w:rPr>
        <w:t>110</w:t>
      </w:r>
      <w:r>
        <w:rPr>
          <w:spacing w:val="-1"/>
        </w:rPr>
        <w:t>号文核准，本公司以总股本</w:t>
      </w:r>
      <w:r>
        <w:rPr>
          <w:rFonts w:ascii="宋体" w:hAnsi="宋体" w:cs="宋体" w:eastAsia="宋体" w:hint="default"/>
          <w:spacing w:val="-1"/>
        </w:rPr>
        <w:t>291,411,513</w:t>
      </w:r>
      <w:r>
        <w:rPr>
          <w:rFonts w:ascii="宋体" w:hAnsi="宋体" w:cs="宋体" w:eastAsia="宋体" w:hint="default"/>
        </w:rPr>
        <w:t> </w:t>
      </w:r>
      <w:r>
        <w:rPr/>
        <w:t>股为基数，按</w:t>
      </w:r>
      <w:r>
        <w:rPr>
          <w:rFonts w:ascii="宋体" w:hAnsi="宋体" w:cs="宋体" w:eastAsia="宋体" w:hint="default"/>
        </w:rPr>
        <w:t>10:3</w:t>
      </w:r>
      <w:r>
        <w:rPr/>
        <w:t>的比例配股，共配售</w:t>
      </w:r>
      <w:r>
        <w:rPr>
          <w:rFonts w:ascii="宋体" w:hAnsi="宋体" w:cs="宋体" w:eastAsia="宋体" w:hint="default"/>
        </w:rPr>
        <w:t>48,621,631</w:t>
      </w:r>
      <w:r>
        <w:rPr/>
        <w:t>股，注册资本变更为</w:t>
      </w:r>
      <w:r>
        <w:rPr>
          <w:rFonts w:ascii="宋体" w:hAnsi="宋体" w:cs="宋体" w:eastAsia="宋体" w:hint="default"/>
        </w:rPr>
        <w:t>340,033,144.00</w:t>
      </w:r>
      <w:r>
        <w:rPr/>
        <w:t>元。</w:t>
      </w:r>
    </w:p>
    <w:p>
      <w:pPr>
        <w:pStyle w:val="BodyText"/>
        <w:spacing w:line="240" w:lineRule="auto" w:before="47"/>
        <w:ind w:left="574" w:right="0"/>
        <w:jc w:val="left"/>
      </w:pPr>
      <w:r>
        <w:rPr>
          <w:rFonts w:ascii="宋体" w:hAnsi="宋体" w:cs="宋体" w:eastAsia="宋体" w:hint="default"/>
        </w:rPr>
        <w:t>2004</w:t>
      </w:r>
      <w:r>
        <w:rPr/>
        <w:t>年</w:t>
      </w:r>
      <w:r>
        <w:rPr>
          <w:rFonts w:ascii="宋体" w:hAnsi="宋体" w:cs="宋体" w:eastAsia="宋体" w:hint="default"/>
        </w:rPr>
        <w:t>4</w:t>
      </w:r>
      <w:r>
        <w:rPr/>
        <w:t>月，经本公司</w:t>
      </w:r>
      <w:r>
        <w:rPr>
          <w:rFonts w:ascii="宋体" w:hAnsi="宋体" w:cs="宋体" w:eastAsia="宋体" w:hint="default"/>
        </w:rPr>
        <w:t>2004</w:t>
      </w:r>
      <w:r>
        <w:rPr/>
        <w:t>年</w:t>
      </w:r>
      <w:r>
        <w:rPr>
          <w:rFonts w:ascii="宋体" w:hAnsi="宋体" w:cs="宋体" w:eastAsia="宋体" w:hint="default"/>
        </w:rPr>
        <w:t>4</w:t>
      </w:r>
      <w:r>
        <w:rPr/>
        <w:t>月</w:t>
      </w:r>
      <w:r>
        <w:rPr>
          <w:rFonts w:ascii="宋体" w:hAnsi="宋体" w:cs="宋体" w:eastAsia="宋体" w:hint="default"/>
        </w:rPr>
        <w:t>8</w:t>
      </w:r>
      <w:r>
        <w:rPr/>
        <w:t>日召开的</w:t>
      </w:r>
      <w:r>
        <w:rPr>
          <w:rFonts w:ascii="宋体" w:hAnsi="宋体" w:cs="宋体" w:eastAsia="宋体" w:hint="default"/>
        </w:rPr>
        <w:t>2003</w:t>
      </w:r>
      <w:r>
        <w:rPr/>
        <w:t>年度股东大会决议通过，以</w:t>
      </w:r>
      <w:r>
        <w:rPr>
          <w:rFonts w:ascii="宋体" w:hAnsi="宋体" w:cs="宋体" w:eastAsia="宋体" w:hint="default"/>
        </w:rPr>
        <w:t>2003</w:t>
      </w:r>
      <w:r>
        <w:rPr/>
        <w:t>年</w:t>
      </w:r>
      <w:r>
        <w:rPr>
          <w:rFonts w:ascii="宋体" w:hAnsi="宋体" w:cs="宋体" w:eastAsia="宋体" w:hint="default"/>
        </w:rPr>
        <w:t>12</w:t>
      </w:r>
      <w:r>
        <w:rPr/>
        <w:t>月</w:t>
      </w:r>
      <w:r>
        <w:rPr>
          <w:rFonts w:ascii="宋体" w:hAnsi="宋体" w:cs="宋体" w:eastAsia="宋体" w:hint="default"/>
        </w:rPr>
        <w:t>31</w:t>
      </w:r>
      <w:r>
        <w:rPr/>
        <w:t>日总股本</w:t>
      </w:r>
    </w:p>
    <w:p>
      <w:pPr>
        <w:spacing w:line="240" w:lineRule="auto" w:before="9"/>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340,033,144</w:t>
      </w:r>
      <w:r>
        <w:rPr/>
        <w:t>股为基数，每</w:t>
      </w:r>
      <w:r>
        <w:rPr>
          <w:rFonts w:ascii="宋体" w:hAnsi="宋体" w:cs="宋体" w:eastAsia="宋体" w:hint="default"/>
        </w:rPr>
        <w:t>10</w:t>
      </w:r>
      <w:r>
        <w:rPr/>
        <w:t>股送</w:t>
      </w:r>
      <w:r>
        <w:rPr>
          <w:rFonts w:ascii="宋体" w:hAnsi="宋体" w:cs="宋体" w:eastAsia="宋体" w:hint="default"/>
        </w:rPr>
        <w:t>2</w:t>
      </w:r>
      <w:r>
        <w:rPr/>
        <w:t>股红股，同时用资本公积转增</w:t>
      </w:r>
      <w:r>
        <w:rPr>
          <w:rFonts w:ascii="宋体" w:hAnsi="宋体" w:cs="宋体" w:eastAsia="宋体" w:hint="default"/>
        </w:rPr>
        <w:t>8</w:t>
      </w:r>
      <w:r>
        <w:rPr/>
        <w:t>股。转增后注册资本变更为</w:t>
      </w:r>
    </w:p>
    <w:p>
      <w:pPr>
        <w:spacing w:line="240" w:lineRule="auto" w:before="9"/>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680,066,288.00</w:t>
      </w:r>
      <w:r>
        <w:rPr/>
        <w:t>元。</w:t>
      </w:r>
    </w:p>
    <w:p>
      <w:pPr>
        <w:spacing w:line="240" w:lineRule="auto" w:before="9"/>
        <w:rPr>
          <w:rFonts w:ascii="宋体" w:hAnsi="宋体" w:cs="宋体" w:eastAsia="宋体" w:hint="default"/>
          <w:sz w:val="15"/>
          <w:szCs w:val="15"/>
        </w:rPr>
      </w:pPr>
    </w:p>
    <w:p>
      <w:pPr>
        <w:pStyle w:val="BodyText"/>
        <w:spacing w:line="240" w:lineRule="auto"/>
        <w:ind w:left="574" w:right="0"/>
        <w:jc w:val="left"/>
      </w:pPr>
      <w:r>
        <w:rPr>
          <w:rFonts w:ascii="宋体" w:hAnsi="宋体" w:cs="宋体" w:eastAsia="宋体" w:hint="default"/>
        </w:rPr>
        <w:t>2005</w:t>
      </w:r>
      <w:r>
        <w:rPr/>
        <w:t>年</w:t>
      </w:r>
      <w:r>
        <w:rPr>
          <w:rFonts w:ascii="宋体" w:hAnsi="宋体" w:cs="宋体" w:eastAsia="宋体" w:hint="default"/>
        </w:rPr>
        <w:t>3</w:t>
      </w:r>
      <w:r>
        <w:rPr/>
        <w:t>月，经本公司</w:t>
      </w:r>
      <w:r>
        <w:rPr>
          <w:rFonts w:ascii="宋体" w:hAnsi="宋体" w:cs="宋体" w:eastAsia="宋体" w:hint="default"/>
        </w:rPr>
        <w:t>2005</w:t>
      </w:r>
      <w:r>
        <w:rPr/>
        <w:t>年</w:t>
      </w:r>
      <w:r>
        <w:rPr>
          <w:rFonts w:ascii="宋体" w:hAnsi="宋体" w:cs="宋体" w:eastAsia="宋体" w:hint="default"/>
        </w:rPr>
        <w:t>2</w:t>
      </w:r>
      <w:r>
        <w:rPr/>
        <w:t>月</w:t>
      </w:r>
      <w:r>
        <w:rPr>
          <w:rFonts w:ascii="宋体" w:hAnsi="宋体" w:cs="宋体" w:eastAsia="宋体" w:hint="default"/>
        </w:rPr>
        <w:t>22</w:t>
      </w:r>
      <w:r>
        <w:rPr/>
        <w:t>日召开的</w:t>
      </w:r>
      <w:r>
        <w:rPr>
          <w:rFonts w:ascii="宋体" w:hAnsi="宋体" w:cs="宋体" w:eastAsia="宋体" w:hint="default"/>
        </w:rPr>
        <w:t>2004</w:t>
      </w:r>
      <w:r>
        <w:rPr/>
        <w:t>年度股东大会决议通过，以</w:t>
      </w:r>
      <w:r>
        <w:rPr>
          <w:rFonts w:ascii="宋体" w:hAnsi="宋体" w:cs="宋体" w:eastAsia="宋体" w:hint="default"/>
        </w:rPr>
        <w:t>2004</w:t>
      </w:r>
      <w:r>
        <w:rPr/>
        <w:t>年</w:t>
      </w:r>
      <w:r>
        <w:rPr>
          <w:rFonts w:ascii="宋体" w:hAnsi="宋体" w:cs="宋体" w:eastAsia="宋体" w:hint="default"/>
        </w:rPr>
        <w:t>12</w:t>
      </w:r>
      <w:r>
        <w:rPr/>
        <w:t>月</w:t>
      </w:r>
      <w:r>
        <w:rPr>
          <w:rFonts w:ascii="宋体" w:hAnsi="宋体" w:cs="宋体" w:eastAsia="宋体" w:hint="default"/>
        </w:rPr>
        <w:t>31</w:t>
      </w:r>
      <w:r>
        <w:rPr/>
        <w:t>日总股本</w:t>
      </w:r>
    </w:p>
    <w:p>
      <w:pPr>
        <w:spacing w:line="240" w:lineRule="auto" w:before="9"/>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680,066,288</w:t>
      </w:r>
      <w:r>
        <w:rPr/>
        <w:t>股为基数，每</w:t>
      </w:r>
      <w:r>
        <w:rPr>
          <w:rFonts w:ascii="宋体" w:hAnsi="宋体" w:cs="宋体" w:eastAsia="宋体" w:hint="default"/>
        </w:rPr>
        <w:t>10</w:t>
      </w:r>
      <w:r>
        <w:rPr/>
        <w:t>股送</w:t>
      </w:r>
      <w:r>
        <w:rPr>
          <w:rFonts w:ascii="宋体" w:hAnsi="宋体" w:cs="宋体" w:eastAsia="宋体" w:hint="default"/>
        </w:rPr>
        <w:t>1</w:t>
      </w:r>
      <w:r>
        <w:rPr/>
        <w:t>股红股，同时用资本公积转增</w:t>
      </w:r>
      <w:r>
        <w:rPr>
          <w:rFonts w:ascii="宋体" w:hAnsi="宋体" w:cs="宋体" w:eastAsia="宋体" w:hint="default"/>
        </w:rPr>
        <w:t>9</w:t>
      </w:r>
      <w:r>
        <w:rPr/>
        <w:t>股。转增后注册资本变更为</w:t>
      </w:r>
    </w:p>
    <w:p>
      <w:pPr>
        <w:spacing w:line="240" w:lineRule="auto" w:before="9"/>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1,360,132,576.00</w:t>
      </w:r>
      <w:r>
        <w:rPr/>
        <w:t>元。</w:t>
      </w:r>
    </w:p>
    <w:p>
      <w:pPr>
        <w:spacing w:line="240" w:lineRule="auto" w:before="9"/>
        <w:rPr>
          <w:rFonts w:ascii="宋体" w:hAnsi="宋体" w:cs="宋体" w:eastAsia="宋体" w:hint="default"/>
          <w:sz w:val="15"/>
          <w:szCs w:val="15"/>
        </w:rPr>
      </w:pPr>
    </w:p>
    <w:p>
      <w:pPr>
        <w:pStyle w:val="BodyText"/>
        <w:spacing w:line="420" w:lineRule="auto"/>
        <w:ind w:right="1197" w:firstLine="420"/>
        <w:jc w:val="left"/>
      </w:pPr>
      <w:r>
        <w:rPr>
          <w:rFonts w:ascii="宋体" w:hAnsi="宋体" w:cs="宋体" w:eastAsia="宋体" w:hint="default"/>
        </w:rPr>
        <w:t>2006</w:t>
      </w:r>
      <w:r>
        <w:rPr/>
        <w:t>年</w:t>
      </w:r>
      <w:r>
        <w:rPr>
          <w:rFonts w:ascii="宋体" w:hAnsi="宋体" w:cs="宋体" w:eastAsia="宋体" w:hint="default"/>
        </w:rPr>
        <w:t>11</w:t>
      </w:r>
      <w:r>
        <w:rPr/>
        <w:t>月</w:t>
      </w:r>
      <w:r>
        <w:rPr>
          <w:rFonts w:ascii="宋体" w:hAnsi="宋体" w:cs="宋体" w:eastAsia="宋体" w:hint="default"/>
        </w:rPr>
        <w:t>1</w:t>
      </w:r>
      <w:r>
        <w:rPr/>
        <w:t>日，经本公司</w:t>
      </w:r>
      <w:r>
        <w:rPr>
          <w:rFonts w:ascii="宋体" w:hAnsi="宋体" w:cs="宋体" w:eastAsia="宋体" w:hint="default"/>
        </w:rPr>
        <w:t>2006</w:t>
      </w:r>
      <w:r>
        <w:rPr/>
        <w:t>年第四次临时股东大会决议通过，将公司名称由“海南民生燃气（集 团）股份有限公司”变更为“华闻传媒投资股份有限公司”。</w:t>
      </w:r>
    </w:p>
    <w:p>
      <w:pPr>
        <w:pStyle w:val="BodyText"/>
        <w:spacing w:line="420" w:lineRule="auto" w:before="47"/>
        <w:ind w:right="1197" w:firstLine="420"/>
        <w:jc w:val="left"/>
      </w:pPr>
      <w:r>
        <w:rPr>
          <w:rFonts w:ascii="宋体" w:hAnsi="宋体" w:cs="宋体" w:eastAsia="宋体" w:hint="default"/>
        </w:rPr>
        <w:t>2008</w:t>
      </w:r>
      <w:r>
        <w:rPr/>
        <w:t>年</w:t>
      </w:r>
      <w:r>
        <w:rPr>
          <w:rFonts w:ascii="宋体" w:hAnsi="宋体" w:cs="宋体" w:eastAsia="宋体" w:hint="default"/>
        </w:rPr>
        <w:t>2</w:t>
      </w:r>
      <w:r>
        <w:rPr/>
        <w:t>月</w:t>
      </w:r>
      <w:r>
        <w:rPr>
          <w:rFonts w:ascii="宋体" w:hAnsi="宋体" w:cs="宋体" w:eastAsia="宋体" w:hint="default"/>
        </w:rPr>
        <w:t>20</w:t>
      </w:r>
      <w:r>
        <w:rPr/>
        <w:t>日，经本公司</w:t>
      </w:r>
      <w:r>
        <w:rPr>
          <w:rFonts w:ascii="宋体" w:hAnsi="宋体" w:cs="宋体" w:eastAsia="宋体" w:hint="default"/>
        </w:rPr>
        <w:t>2008</w:t>
      </w:r>
      <w:r>
        <w:rPr/>
        <w:t>年第一次临时股东大会决议通过，将公司名称由“华闻传媒投资股份 有限公司”变更为“华闻传媒投资集团股份有限公司”。</w:t>
      </w:r>
    </w:p>
    <w:p>
      <w:pPr>
        <w:spacing w:after="0" w:line="420" w:lineRule="auto"/>
        <w:jc w:val="left"/>
        <w:sectPr>
          <w:headerReference w:type="default" r:id="rId37"/>
          <w:footerReference w:type="default" r:id="rId38"/>
          <w:pgSz w:w="11910" w:h="16840"/>
          <w:pgMar w:header="877" w:footer="979" w:top="1100" w:bottom="1160" w:left="980" w:right="0"/>
          <w:pgNumType w:start="142"/>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092" w:firstLine="420"/>
        <w:jc w:val="left"/>
      </w:pPr>
      <w:r>
        <w:rPr>
          <w:rFonts w:ascii="宋体" w:hAnsi="宋体" w:cs="宋体" w:eastAsia="宋体" w:hint="default"/>
          <w:spacing w:val="-1"/>
        </w:rPr>
        <w:t>2013</w:t>
      </w:r>
      <w:r>
        <w:rPr>
          <w:spacing w:val="-1"/>
        </w:rPr>
        <w:t>年</w:t>
      </w:r>
      <w:r>
        <w:rPr>
          <w:rFonts w:ascii="宋体" w:hAnsi="宋体" w:cs="宋体" w:eastAsia="宋体" w:hint="default"/>
          <w:spacing w:val="-1"/>
        </w:rPr>
        <w:t>12</w:t>
      </w:r>
      <w:r>
        <w:rPr>
          <w:spacing w:val="-1"/>
        </w:rPr>
        <w:t>月，经中国证券监督管理委员会《关于核准华闻传媒投资集团股份有限公司向陕西华路新型</w:t>
      </w:r>
      <w:r>
        <w:rPr/>
        <w:t> </w:t>
      </w:r>
      <w:r>
        <w:rPr>
          <w:spacing w:val="-1"/>
        </w:rPr>
        <w:t>塑料建材有限公司等发行股份购买资产的批复》（证监许可</w:t>
      </w:r>
      <w:r>
        <w:rPr>
          <w:rFonts w:ascii="宋体" w:hAnsi="宋体" w:cs="宋体" w:eastAsia="宋体" w:hint="default"/>
          <w:spacing w:val="-1"/>
        </w:rPr>
        <w:t>[2013]1467</w:t>
      </w:r>
      <w:r>
        <w:rPr>
          <w:spacing w:val="-1"/>
        </w:rPr>
        <w:t>号）核准，本公司分别向陕西华路</w:t>
      </w:r>
      <w:r>
        <w:rPr>
          <w:spacing w:val="-79"/>
        </w:rPr>
        <w:t> </w:t>
      </w:r>
      <w:r>
        <w:rPr>
          <w:spacing w:val="-79"/>
        </w:rPr>
      </w:r>
      <w:r>
        <w:rPr/>
        <w:t>新型塑料建材有限公司（以下简称“华路建材”）发行</w:t>
      </w:r>
      <w:r>
        <w:rPr>
          <w:rFonts w:ascii="宋体" w:hAnsi="宋体" w:cs="宋体" w:eastAsia="宋体" w:hint="default"/>
        </w:rPr>
        <w:t>76,678,241</w:t>
      </w:r>
      <w:r>
        <w:rPr/>
        <w:t>股、上海常喜投资有限公司发行 </w:t>
      </w:r>
      <w:r>
        <w:rPr>
          <w:rFonts w:ascii="宋体" w:hAnsi="宋体" w:cs="宋体" w:eastAsia="宋体" w:hint="default"/>
        </w:rPr>
        <w:t>60,763,889</w:t>
      </w:r>
      <w:r>
        <w:rPr/>
        <w:t>股、上海大黎资产管理有限公司发行</w:t>
      </w:r>
      <w:r>
        <w:rPr>
          <w:rFonts w:ascii="宋体" w:hAnsi="宋体" w:cs="宋体" w:eastAsia="宋体" w:hint="default"/>
        </w:rPr>
        <w:t>86,805,555</w:t>
      </w:r>
      <w:r>
        <w:rPr/>
        <w:t>股、新疆锐盈股权投资合伙企业（有限合伙）</w:t>
      </w:r>
    </w:p>
    <w:p>
      <w:pPr>
        <w:pStyle w:val="BodyText"/>
        <w:spacing w:line="420" w:lineRule="auto" w:before="47"/>
        <w:ind w:right="1197"/>
        <w:jc w:val="left"/>
      </w:pPr>
      <w:r>
        <w:rPr/>
        <w:t>（原名“西安锐盈企业管理咨询有限公司”）发行</w:t>
      </w:r>
      <w:r>
        <w:rPr>
          <w:rFonts w:ascii="宋体" w:hAnsi="宋体" w:cs="宋体" w:eastAsia="宋体" w:hint="default"/>
        </w:rPr>
        <w:t>154,166,667</w:t>
      </w:r>
      <w:r>
        <w:rPr/>
        <w:t>股、拉萨澄怀管理咨询有限公司（以下简 称“拉萨澄怀”）发行</w:t>
      </w:r>
      <w:r>
        <w:rPr>
          <w:rFonts w:ascii="宋体" w:hAnsi="宋体" w:cs="宋体" w:eastAsia="宋体" w:hint="default"/>
        </w:rPr>
        <w:t>21,543,210</w:t>
      </w:r>
      <w:r>
        <w:rPr/>
        <w:t>股、拉萨观道管理咨询有限公司（以下简称“拉萨观道”）发行 </w:t>
      </w:r>
      <w:r>
        <w:rPr>
          <w:rFonts w:ascii="宋体" w:hAnsi="宋体" w:cs="宋体" w:eastAsia="宋体" w:hint="default"/>
        </w:rPr>
        <w:t>33,391,975</w:t>
      </w:r>
      <w:r>
        <w:rPr/>
        <w:t>股、天津大振资产管理有限公司发行</w:t>
      </w:r>
      <w:r>
        <w:rPr>
          <w:rFonts w:ascii="宋体" w:hAnsi="宋体" w:cs="宋体" w:eastAsia="宋体" w:hint="default"/>
        </w:rPr>
        <w:t>52,780,864</w:t>
      </w:r>
      <w:r>
        <w:rPr/>
        <w:t>股，本次合计发行</w:t>
      </w:r>
      <w:r>
        <w:rPr>
          <w:rFonts w:ascii="宋体" w:hAnsi="宋体" w:cs="宋体" w:eastAsia="宋体" w:hint="default"/>
        </w:rPr>
        <w:t>486,130,401</w:t>
      </w:r>
      <w:r>
        <w:rPr/>
        <w:t>股，每股面值 为</w:t>
      </w:r>
      <w:r>
        <w:rPr>
          <w:rFonts w:ascii="宋体" w:hAnsi="宋体" w:cs="宋体" w:eastAsia="宋体" w:hint="default"/>
        </w:rPr>
        <w:t>1.00</w:t>
      </w:r>
      <w:r>
        <w:rPr/>
        <w:t>元，每股发行价格为</w:t>
      </w:r>
      <w:r>
        <w:rPr>
          <w:rFonts w:ascii="宋体" w:hAnsi="宋体" w:cs="宋体" w:eastAsia="宋体" w:hint="default"/>
        </w:rPr>
        <w:t>6.48</w:t>
      </w:r>
      <w:r>
        <w:rPr/>
        <w:t>元，注册资本变更为 </w:t>
      </w:r>
      <w:r>
        <w:rPr>
          <w:rFonts w:ascii="宋体" w:hAnsi="宋体" w:cs="宋体" w:eastAsia="宋体" w:hint="default"/>
        </w:rPr>
        <w:t>1,846,262,977.00</w:t>
      </w:r>
      <w:r>
        <w:rPr>
          <w:rFonts w:ascii="宋体" w:hAnsi="宋体" w:cs="宋体" w:eastAsia="宋体" w:hint="default"/>
          <w:spacing w:val="-3"/>
        </w:rPr>
        <w:t> </w:t>
      </w:r>
      <w:r>
        <w:rPr/>
        <w:t>元。</w:t>
      </w:r>
    </w:p>
    <w:p>
      <w:pPr>
        <w:pStyle w:val="BodyText"/>
        <w:spacing w:line="240" w:lineRule="auto" w:before="47"/>
        <w:ind w:left="574" w:right="0"/>
        <w:jc w:val="left"/>
      </w:pPr>
      <w:r>
        <w:rPr>
          <w:rFonts w:ascii="宋体" w:hAnsi="宋体" w:cs="宋体" w:eastAsia="宋体" w:hint="default"/>
        </w:rPr>
        <w:t>2014</w:t>
      </w:r>
      <w:r>
        <w:rPr/>
        <w:t>年</w:t>
      </w:r>
      <w:r>
        <w:rPr>
          <w:rFonts w:ascii="宋体" w:hAnsi="宋体" w:cs="宋体" w:eastAsia="宋体" w:hint="default"/>
        </w:rPr>
        <w:t>7</w:t>
      </w:r>
      <w:r>
        <w:rPr/>
        <w:t>月，经本公司</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25</w:t>
      </w:r>
      <w:r>
        <w:rPr/>
        <w:t>日召开的</w:t>
      </w:r>
      <w:r>
        <w:rPr>
          <w:rFonts w:ascii="宋体" w:hAnsi="宋体" w:cs="宋体" w:eastAsia="宋体" w:hint="default"/>
        </w:rPr>
        <w:t>2013</w:t>
      </w:r>
      <w:r>
        <w:rPr/>
        <w:t>年度股东大会决议通过关于重大资产重组相关资产</w:t>
      </w:r>
    </w:p>
    <w:p>
      <w:pPr>
        <w:spacing w:line="240" w:lineRule="auto" w:before="9"/>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2013</w:t>
      </w:r>
      <w:r>
        <w:rPr>
          <w:rFonts w:ascii="宋体" w:hAnsi="宋体" w:cs="宋体" w:eastAsia="宋体" w:hint="default"/>
          <w:spacing w:val="-3"/>
        </w:rPr>
        <w:t> </w:t>
      </w:r>
      <w:r>
        <w:rPr/>
        <w:t>年度业绩承诺股份补偿实施方案的议案，公司无偿回购股份</w:t>
      </w:r>
      <w:r>
        <w:rPr>
          <w:rFonts w:ascii="宋体" w:hAnsi="宋体" w:cs="宋体" w:eastAsia="宋体" w:hint="default"/>
        </w:rPr>
        <w:t>4,531,236</w:t>
      </w:r>
      <w:r>
        <w:rPr/>
        <w:t>股并予以注销，共计人民币</w:t>
      </w:r>
    </w:p>
    <w:p>
      <w:pPr>
        <w:spacing w:line="240" w:lineRule="auto" w:before="9"/>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4,531,236.00</w:t>
      </w:r>
      <w:r>
        <w:rPr/>
        <w:t>元，公司申请减少注册资本人民币</w:t>
      </w:r>
      <w:r>
        <w:rPr>
          <w:rFonts w:ascii="宋体" w:hAnsi="宋体" w:cs="宋体" w:eastAsia="宋体" w:hint="default"/>
        </w:rPr>
        <w:t>4,531,236.00</w:t>
      </w:r>
      <w:r>
        <w:rPr/>
        <w:t>元，注册资本变更为人民币</w:t>
      </w:r>
    </w:p>
    <w:p>
      <w:pPr>
        <w:spacing w:line="240" w:lineRule="auto" w:before="9"/>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1,841,731,741.00</w:t>
      </w:r>
      <w:r>
        <w:rPr/>
        <w:t>元。</w:t>
      </w:r>
    </w:p>
    <w:p>
      <w:pPr>
        <w:spacing w:line="240" w:lineRule="auto" w:before="9"/>
        <w:rPr>
          <w:rFonts w:ascii="宋体" w:hAnsi="宋体" w:cs="宋体" w:eastAsia="宋体" w:hint="default"/>
          <w:sz w:val="15"/>
          <w:szCs w:val="15"/>
        </w:rPr>
      </w:pPr>
    </w:p>
    <w:p>
      <w:pPr>
        <w:pStyle w:val="BodyText"/>
        <w:spacing w:line="420" w:lineRule="auto"/>
        <w:ind w:right="0" w:firstLine="420"/>
        <w:jc w:val="left"/>
      </w:pPr>
      <w:r>
        <w:rPr>
          <w:rFonts w:ascii="宋体" w:hAnsi="宋体" w:cs="宋体" w:eastAsia="宋体" w:hint="default"/>
        </w:rPr>
        <w:t>2014</w:t>
      </w:r>
      <w:r>
        <w:rPr/>
        <w:t>年</w:t>
      </w:r>
      <w:r>
        <w:rPr>
          <w:rFonts w:ascii="宋体" w:hAnsi="宋体" w:cs="宋体" w:eastAsia="宋体" w:hint="default"/>
        </w:rPr>
        <w:t>11</w:t>
      </w:r>
      <w:r>
        <w:rPr/>
        <w:t>月，经中国证券监督管理委员会《关于核准华闻传媒投资集团股份有限公司向西藏风网科技 有限公司等发行股份购买资产并募集配套资金的批复》（证监许可</w:t>
      </w:r>
      <w:r>
        <w:rPr>
          <w:rFonts w:ascii="宋体" w:hAnsi="宋体" w:cs="宋体" w:eastAsia="宋体" w:hint="default"/>
        </w:rPr>
        <w:t>[2014]1077</w:t>
      </w:r>
      <w:r>
        <w:rPr/>
        <w:t>号）核准，本公司分别向西 </w:t>
      </w:r>
      <w:r>
        <w:rPr>
          <w:spacing w:val="-5"/>
        </w:rPr>
        <w:t>藏风网科技有限公司（以下简称“西藏风网”）发行</w:t>
      </w:r>
      <w:r>
        <w:rPr>
          <w:rFonts w:ascii="宋体" w:hAnsi="宋体" w:cs="宋体" w:eastAsia="宋体" w:hint="default"/>
          <w:spacing w:val="-5"/>
        </w:rPr>
        <w:t>59,144,736</w:t>
      </w:r>
      <w:r>
        <w:rPr>
          <w:spacing w:val="-5"/>
        </w:rPr>
        <w:t>股、德清精视投资发展有限公司（原名“上</w:t>
      </w:r>
      <w:r>
        <w:rPr>
          <w:spacing w:val="-80"/>
        </w:rPr>
        <w:t> </w:t>
      </w:r>
      <w:r>
        <w:rPr>
          <w:spacing w:val="-80"/>
        </w:rPr>
      </w:r>
      <w:r>
        <w:rPr/>
        <w:t>海精视投资发展有限公司，以下简称“精视投资”）发行</w:t>
      </w:r>
      <w:r>
        <w:rPr>
          <w:rFonts w:ascii="宋体" w:hAnsi="宋体" w:cs="宋体" w:eastAsia="宋体" w:hint="default"/>
        </w:rPr>
        <w:t>13,039,049</w:t>
      </w:r>
      <w:r>
        <w:rPr/>
        <w:t>股、上海莫昂投资合伙企业（有限合 </w:t>
      </w:r>
      <w:r>
        <w:rPr>
          <w:spacing w:val="-1"/>
        </w:rPr>
        <w:t>伙）（以下简称“莫昂投资”）发行</w:t>
      </w:r>
      <w:r>
        <w:rPr>
          <w:rFonts w:ascii="宋体" w:hAnsi="宋体" w:cs="宋体" w:eastAsia="宋体" w:hint="default"/>
          <w:spacing w:val="-1"/>
        </w:rPr>
        <w:t>5,908,319</w:t>
      </w:r>
      <w:r>
        <w:rPr>
          <w:spacing w:val="-1"/>
        </w:rPr>
        <w:t>股、程顺玲发行</w:t>
      </w:r>
      <w:r>
        <w:rPr>
          <w:rFonts w:ascii="宋体" w:hAnsi="宋体" w:cs="宋体" w:eastAsia="宋体" w:hint="default"/>
          <w:spacing w:val="-1"/>
        </w:rPr>
        <w:t>20,751,789</w:t>
      </w:r>
      <w:r>
        <w:rPr>
          <w:spacing w:val="-1"/>
        </w:rPr>
        <w:t>股、李菊莲发行</w:t>
      </w:r>
      <w:r>
        <w:rPr>
          <w:rFonts w:ascii="宋体" w:hAnsi="宋体" w:cs="宋体" w:eastAsia="宋体" w:hint="default"/>
          <w:spacing w:val="-1"/>
        </w:rPr>
        <w:t>14,436,421</w:t>
      </w:r>
      <w:r>
        <w:rPr>
          <w:spacing w:val="-1"/>
        </w:rPr>
        <w:t>股、</w:t>
      </w:r>
      <w:r>
        <w:rPr>
          <w:spacing w:val="-67"/>
        </w:rPr>
        <w:t> </w:t>
      </w:r>
      <w:r>
        <w:rPr/>
        <w:t>曾子帆发行</w:t>
      </w:r>
      <w:r>
        <w:rPr>
          <w:rFonts w:ascii="宋体" w:hAnsi="宋体" w:cs="宋体" w:eastAsia="宋体" w:hint="default"/>
        </w:rPr>
        <w:t>2,706,526</w:t>
      </w:r>
      <w:r>
        <w:rPr/>
        <w:t>股、金城发行</w:t>
      </w:r>
      <w:r>
        <w:rPr>
          <w:rFonts w:ascii="宋体" w:hAnsi="宋体" w:cs="宋体" w:eastAsia="宋体" w:hint="default"/>
        </w:rPr>
        <w:t>11,348,684</w:t>
      </w:r>
      <w:r>
        <w:rPr/>
        <w:t>股、长沙传怡合盛股权投资合伙企业（有限合伙）（以下 </w:t>
      </w:r>
      <w:r>
        <w:rPr>
          <w:spacing w:val="-5"/>
        </w:rPr>
        <w:t>简称“长沙传怡”）发行</w:t>
      </w:r>
      <w:r>
        <w:rPr>
          <w:rFonts w:ascii="宋体" w:hAnsi="宋体" w:cs="宋体" w:eastAsia="宋体" w:hint="default"/>
          <w:spacing w:val="-5"/>
        </w:rPr>
        <w:t>2,691,885</w:t>
      </w:r>
      <w:r>
        <w:rPr>
          <w:spacing w:val="-5"/>
        </w:rPr>
        <w:t>股、湖南富坤文化传媒投资中心（有限合伙）（以下简称“湖南富坤”）</w:t>
      </w:r>
      <w:r>
        <w:rPr>
          <w:spacing w:val="-79"/>
        </w:rPr>
        <w:t> </w:t>
      </w:r>
      <w:r>
        <w:rPr>
          <w:spacing w:val="-79"/>
        </w:rPr>
      </w:r>
      <w:r>
        <w:rPr>
          <w:spacing w:val="-3"/>
        </w:rPr>
        <w:t>发行</w:t>
      </w:r>
      <w:r>
        <w:rPr>
          <w:rFonts w:ascii="宋体" w:hAnsi="宋体" w:cs="宋体" w:eastAsia="宋体" w:hint="default"/>
          <w:spacing w:val="-3"/>
        </w:rPr>
        <w:t>1,096,491</w:t>
      </w:r>
      <w:r>
        <w:rPr>
          <w:spacing w:val="-3"/>
        </w:rPr>
        <w:t>股、北京中技富坤创业投资中心（有限合伙）（以下简称“北京中技”）发行</w:t>
      </w:r>
      <w:r>
        <w:rPr>
          <w:rFonts w:ascii="宋体" w:hAnsi="宋体" w:cs="宋体" w:eastAsia="宋体" w:hint="default"/>
          <w:spacing w:val="-3"/>
        </w:rPr>
        <w:t>1,096,491</w:t>
      </w:r>
      <w:r>
        <w:rPr>
          <w:spacing w:val="-3"/>
        </w:rPr>
        <w:t>股、</w:t>
      </w:r>
      <w:r>
        <w:rPr>
          <w:spacing w:val="-71"/>
        </w:rPr>
        <w:t> </w:t>
      </w:r>
      <w:r>
        <w:rPr/>
        <w:t>广东粤文投一号文化产业投资合伙企业（有限合伙）（以下简称“广东粤文投”）发行</w:t>
      </w:r>
      <w:r>
        <w:rPr>
          <w:rFonts w:ascii="宋体" w:hAnsi="宋体" w:cs="宋体" w:eastAsia="宋体" w:hint="default"/>
        </w:rPr>
        <w:t>1,096,491</w:t>
      </w:r>
      <w:r>
        <w:rPr/>
        <w:t>股、广 州漫时代投资管理中心（有限合伙）（以下简称“广州漫时代”）发行</w:t>
      </w:r>
      <w:r>
        <w:rPr>
          <w:rFonts w:ascii="宋体" w:hAnsi="宋体" w:cs="宋体" w:eastAsia="宋体" w:hint="default"/>
        </w:rPr>
        <w:t>375,000</w:t>
      </w:r>
      <w:r>
        <w:rPr/>
        <w:t>股、俞涌发行</w:t>
      </w:r>
      <w:r>
        <w:rPr>
          <w:rFonts w:ascii="宋体" w:hAnsi="宋体" w:cs="宋体" w:eastAsia="宋体" w:hint="default"/>
        </w:rPr>
        <w:t>230,263</w:t>
      </w:r>
      <w:r>
        <w:rPr/>
        <w:t>股、 </w:t>
      </w:r>
      <w:r>
        <w:rPr>
          <w:spacing w:val="-3"/>
        </w:rPr>
        <w:t>邵璐璐发行</w:t>
      </w:r>
      <w:r>
        <w:rPr>
          <w:rFonts w:ascii="宋体" w:hAnsi="宋体" w:cs="宋体" w:eastAsia="宋体" w:hint="default"/>
          <w:spacing w:val="-3"/>
        </w:rPr>
        <w:t>98,684</w:t>
      </w:r>
      <w:r>
        <w:rPr>
          <w:spacing w:val="-3"/>
        </w:rPr>
        <w:t>股、刘洋发行</w:t>
      </w:r>
      <w:r>
        <w:rPr>
          <w:rFonts w:ascii="宋体" w:hAnsi="宋体" w:cs="宋体" w:eastAsia="宋体" w:hint="default"/>
          <w:spacing w:val="-3"/>
        </w:rPr>
        <w:t>78,947</w:t>
      </w:r>
      <w:r>
        <w:rPr>
          <w:spacing w:val="-3"/>
        </w:rPr>
        <w:t>股、张显峰发行</w:t>
      </w:r>
      <w:r>
        <w:rPr>
          <w:rFonts w:ascii="宋体" w:hAnsi="宋体" w:cs="宋体" w:eastAsia="宋体" w:hint="default"/>
          <w:spacing w:val="-3"/>
        </w:rPr>
        <w:t>78,947</w:t>
      </w:r>
      <w:r>
        <w:rPr>
          <w:spacing w:val="-3"/>
        </w:rPr>
        <w:t>股、张茜发行</w:t>
      </w:r>
      <w:r>
        <w:rPr>
          <w:rFonts w:ascii="宋体" w:hAnsi="宋体" w:cs="宋体" w:eastAsia="宋体" w:hint="default"/>
          <w:spacing w:val="-3"/>
        </w:rPr>
        <w:t>78,947</w:t>
      </w:r>
      <w:r>
        <w:rPr>
          <w:spacing w:val="-3"/>
        </w:rPr>
        <w:t>股、朱斌发行</w:t>
      </w:r>
      <w:r>
        <w:rPr>
          <w:rFonts w:ascii="宋体" w:hAnsi="宋体" w:cs="宋体" w:eastAsia="宋体" w:hint="default"/>
          <w:spacing w:val="-3"/>
        </w:rPr>
        <w:t>78,947</w:t>
      </w:r>
      <w:r>
        <w:rPr>
          <w:spacing w:val="-3"/>
        </w:rPr>
        <w:t>股、</w:t>
      </w:r>
      <w:r>
        <w:rPr>
          <w:spacing w:val="-52"/>
        </w:rPr>
        <w:t> </w:t>
      </w:r>
      <w:r>
        <w:rPr/>
        <w:t>崔伟良发行</w:t>
      </w:r>
      <w:r>
        <w:rPr>
          <w:rFonts w:ascii="宋体" w:hAnsi="宋体" w:cs="宋体" w:eastAsia="宋体" w:hint="default"/>
        </w:rPr>
        <w:t>49,342</w:t>
      </w:r>
      <w:r>
        <w:rPr/>
        <w:t>股、施桂贤发行</w:t>
      </w:r>
      <w:r>
        <w:rPr>
          <w:rFonts w:ascii="宋体" w:hAnsi="宋体" w:cs="宋体" w:eastAsia="宋体" w:hint="default"/>
        </w:rPr>
        <w:t>49,342</w:t>
      </w:r>
      <w:r>
        <w:rPr/>
        <w:t>股、许勇和发行</w:t>
      </w:r>
      <w:r>
        <w:rPr>
          <w:rFonts w:ascii="宋体" w:hAnsi="宋体" w:cs="宋体" w:eastAsia="宋体" w:hint="default"/>
        </w:rPr>
        <w:t>49,342</w:t>
      </w:r>
      <w:r>
        <w:rPr/>
        <w:t>股、曹凌玲发行</w:t>
      </w:r>
      <w:r>
        <w:rPr>
          <w:rFonts w:ascii="宋体" w:hAnsi="宋体" w:cs="宋体" w:eastAsia="宋体" w:hint="default"/>
        </w:rPr>
        <w:t>49,342</w:t>
      </w:r>
      <w:r>
        <w:rPr/>
        <w:t>股、赖春晖发行 </w:t>
      </w:r>
      <w:r>
        <w:rPr>
          <w:rFonts w:ascii="宋体" w:hAnsi="宋体" w:cs="宋体" w:eastAsia="宋体" w:hint="default"/>
        </w:rPr>
        <w:t>49,342</w:t>
      </w:r>
      <w:r>
        <w:rPr/>
        <w:t>股、邵洪涛发行</w:t>
      </w:r>
      <w:r>
        <w:rPr>
          <w:rFonts w:ascii="宋体" w:hAnsi="宋体" w:cs="宋体" w:eastAsia="宋体" w:hint="default"/>
        </w:rPr>
        <w:t>29,605</w:t>
      </w:r>
      <w:r>
        <w:rPr/>
        <w:t>股、祖雅乐发行</w:t>
      </w:r>
      <w:r>
        <w:rPr>
          <w:rFonts w:ascii="宋体" w:hAnsi="宋体" w:cs="宋体" w:eastAsia="宋体" w:hint="default"/>
        </w:rPr>
        <w:t>29,605</w:t>
      </w:r>
      <w:r>
        <w:rPr/>
        <w:t>股、邱月仙发行</w:t>
      </w:r>
      <w:r>
        <w:rPr>
          <w:rFonts w:ascii="宋体" w:hAnsi="宋体" w:cs="宋体" w:eastAsia="宋体" w:hint="default"/>
        </w:rPr>
        <w:t>29,605</w:t>
      </w:r>
      <w:r>
        <w:rPr/>
        <w:t>股、葛重葳发行</w:t>
      </w:r>
      <w:r>
        <w:rPr>
          <w:rFonts w:ascii="宋体" w:hAnsi="宋体" w:cs="宋体" w:eastAsia="宋体" w:hint="default"/>
        </w:rPr>
        <w:t>29,605</w:t>
      </w:r>
      <w:r>
        <w:rPr/>
        <w:t>股、韩 露发行</w:t>
      </w:r>
      <w:r>
        <w:rPr>
          <w:rFonts w:ascii="宋体" w:hAnsi="宋体" w:cs="宋体" w:eastAsia="宋体" w:hint="default"/>
        </w:rPr>
        <w:t>19,736</w:t>
      </w:r>
      <w:r>
        <w:rPr/>
        <w:t>股、丁冰发行</w:t>
      </w:r>
      <w:r>
        <w:rPr>
          <w:rFonts w:ascii="宋体" w:hAnsi="宋体" w:cs="宋体" w:eastAsia="宋体" w:hint="default"/>
        </w:rPr>
        <w:t>19,736</w:t>
      </w:r>
      <w:r>
        <w:rPr/>
        <w:t>股、李凌彪发行</w:t>
      </w:r>
      <w:r>
        <w:rPr>
          <w:rFonts w:ascii="宋体" w:hAnsi="宋体" w:cs="宋体" w:eastAsia="宋体" w:hint="default"/>
        </w:rPr>
        <w:t>19,736</w:t>
      </w:r>
      <w:r>
        <w:rPr/>
        <w:t>股。本次合计发行</w:t>
      </w:r>
      <w:r>
        <w:rPr>
          <w:rFonts w:ascii="宋体" w:hAnsi="宋体" w:cs="宋体" w:eastAsia="宋体" w:hint="default"/>
        </w:rPr>
        <w:t>134,760,955</w:t>
      </w:r>
      <w:r>
        <w:rPr/>
        <w:t>股，每股面值为 </w:t>
      </w:r>
      <w:r>
        <w:rPr>
          <w:rFonts w:ascii="宋体" w:hAnsi="宋体" w:cs="宋体" w:eastAsia="宋体" w:hint="default"/>
        </w:rPr>
        <w:t>1.00</w:t>
      </w:r>
      <w:r>
        <w:rPr/>
        <w:t>元，每股发行价格为</w:t>
      </w:r>
      <w:r>
        <w:rPr>
          <w:rFonts w:ascii="宋体" w:hAnsi="宋体" w:cs="宋体" w:eastAsia="宋体" w:hint="default"/>
        </w:rPr>
        <w:t>13.68</w:t>
      </w:r>
      <w:r>
        <w:rPr/>
        <w:t>元，注册资本变更为</w:t>
      </w:r>
      <w:r>
        <w:rPr>
          <w:spacing w:val="-4"/>
        </w:rPr>
        <w:t> </w:t>
      </w:r>
      <w:r>
        <w:rPr>
          <w:rFonts w:ascii="宋体" w:hAnsi="宋体" w:cs="宋体" w:eastAsia="宋体" w:hint="default"/>
        </w:rPr>
        <w:t>1,976,492,696.00</w:t>
      </w:r>
      <w:r>
        <w:rPr/>
        <w:t>元。</w:t>
      </w:r>
    </w:p>
    <w:p>
      <w:pPr>
        <w:pStyle w:val="BodyText"/>
        <w:spacing w:line="420" w:lineRule="auto" w:before="47"/>
        <w:ind w:right="0" w:firstLine="420"/>
        <w:jc w:val="left"/>
      </w:pPr>
      <w:r>
        <w:rPr>
          <w:rFonts w:ascii="宋体" w:hAnsi="宋体" w:cs="宋体" w:eastAsia="宋体" w:hint="default"/>
        </w:rPr>
        <w:t>2015</w:t>
      </w:r>
      <w:r>
        <w:rPr/>
        <w:t>年</w:t>
      </w:r>
      <w:r>
        <w:rPr>
          <w:rFonts w:ascii="宋体" w:hAnsi="宋体" w:cs="宋体" w:eastAsia="宋体" w:hint="default"/>
        </w:rPr>
        <w:t>3</w:t>
      </w:r>
      <w:r>
        <w:rPr/>
        <w:t>月，经中国证券监督管理委员会《关于核准华闻传媒投资集团股份有限公司向西藏风网科技 </w:t>
      </w:r>
      <w:r>
        <w:rPr>
          <w:spacing w:val="-1"/>
        </w:rPr>
        <w:t>有限公司等发行股份购买资产并募集配套资金的批复》（证监许可</w:t>
      </w:r>
      <w:r>
        <w:rPr>
          <w:rFonts w:ascii="宋体" w:hAnsi="宋体" w:cs="宋体" w:eastAsia="宋体" w:hint="default"/>
          <w:spacing w:val="-1"/>
        </w:rPr>
        <w:t>[2014]1077</w:t>
      </w:r>
      <w:r>
        <w:rPr>
          <w:spacing w:val="-1"/>
        </w:rPr>
        <w:t>号文）核准，本公司分别向</w:t>
      </w:r>
    </w:p>
    <w:p>
      <w:pPr>
        <w:spacing w:after="0" w:line="42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132"/>
        <w:jc w:val="both"/>
      </w:pPr>
      <w:r>
        <w:rPr>
          <w:spacing w:val="-1"/>
        </w:rPr>
        <w:t>申万菱信（上海）资产管理有限公司发行</w:t>
      </w:r>
      <w:r>
        <w:rPr>
          <w:rFonts w:ascii="宋体" w:hAnsi="宋体" w:cs="宋体" w:eastAsia="宋体" w:hint="default"/>
          <w:spacing w:val="-1"/>
        </w:rPr>
        <w:t>22,000,000</w:t>
      </w:r>
      <w:r>
        <w:rPr>
          <w:spacing w:val="-1"/>
        </w:rPr>
        <w:t>股、鹏华资产管理（深圳）有限公司发行</w:t>
      </w:r>
      <w:r>
        <w:rPr>
          <w:rFonts w:ascii="宋体" w:hAnsi="宋体" w:cs="宋体" w:eastAsia="宋体" w:hint="default"/>
          <w:spacing w:val="-1"/>
        </w:rPr>
        <w:t>22,000,000</w:t>
      </w:r>
      <w:r>
        <w:rPr>
          <w:rFonts w:ascii="宋体" w:hAnsi="宋体" w:cs="宋体" w:eastAsia="宋体" w:hint="default"/>
          <w:spacing w:val="-74"/>
        </w:rPr>
        <w:t> </w:t>
      </w:r>
      <w:r>
        <w:rPr>
          <w:spacing w:val="-1"/>
        </w:rPr>
        <w:t>股、东海证券发行</w:t>
      </w:r>
      <w:r>
        <w:rPr>
          <w:rFonts w:ascii="宋体" w:hAnsi="宋体" w:cs="宋体" w:eastAsia="宋体" w:hint="default"/>
          <w:spacing w:val="-1"/>
        </w:rPr>
        <w:t>7,500,000</w:t>
      </w:r>
      <w:r>
        <w:rPr>
          <w:spacing w:val="-1"/>
        </w:rPr>
        <w:t>股、重庆涌瑞股权投资有限公司发行</w:t>
      </w:r>
      <w:r>
        <w:rPr>
          <w:rFonts w:ascii="宋体" w:hAnsi="宋体" w:cs="宋体" w:eastAsia="宋体" w:hint="default"/>
          <w:spacing w:val="-1"/>
        </w:rPr>
        <w:t>7,500,000</w:t>
      </w:r>
      <w:r>
        <w:rPr>
          <w:spacing w:val="-1"/>
        </w:rPr>
        <w:t>股、嘉实基金管理有限公司发</w:t>
      </w:r>
      <w:r>
        <w:rPr>
          <w:spacing w:val="-78"/>
        </w:rPr>
        <w:t> </w:t>
      </w:r>
      <w:r>
        <w:rPr>
          <w:spacing w:val="-78"/>
        </w:rPr>
      </w:r>
      <w:r>
        <w:rPr>
          <w:spacing w:val="-1"/>
        </w:rPr>
        <w:t>行</w:t>
      </w:r>
      <w:r>
        <w:rPr>
          <w:rFonts w:ascii="宋体" w:hAnsi="宋体" w:cs="宋体" w:eastAsia="宋体" w:hint="default"/>
          <w:spacing w:val="-1"/>
        </w:rPr>
        <w:t>7,500,000</w:t>
      </w:r>
      <w:r>
        <w:rPr>
          <w:spacing w:val="-1"/>
        </w:rPr>
        <w:t>股、金鹰基金管理有限公司发行</w:t>
      </w:r>
      <w:r>
        <w:rPr>
          <w:rFonts w:ascii="宋体" w:hAnsi="宋体" w:cs="宋体" w:eastAsia="宋体" w:hint="default"/>
          <w:spacing w:val="-1"/>
        </w:rPr>
        <w:t>8,235,987</w:t>
      </w:r>
      <w:r>
        <w:rPr>
          <w:spacing w:val="-1"/>
        </w:rPr>
        <w:t>股，本次合计发行</w:t>
      </w:r>
      <w:r>
        <w:rPr>
          <w:rFonts w:ascii="宋体" w:hAnsi="宋体" w:cs="宋体" w:eastAsia="宋体" w:hint="default"/>
          <w:spacing w:val="-1"/>
        </w:rPr>
        <w:t>74,735,987</w:t>
      </w:r>
      <w:r>
        <w:rPr>
          <w:spacing w:val="-1"/>
        </w:rPr>
        <w:t>股新股，注册资本变</w:t>
      </w:r>
      <w:r>
        <w:rPr>
          <w:spacing w:val="-72"/>
        </w:rPr>
        <w:t> </w:t>
      </w:r>
      <w:r>
        <w:rPr>
          <w:spacing w:val="-72"/>
        </w:rPr>
      </w:r>
      <w:r>
        <w:rPr/>
        <w:t>更为</w:t>
      </w:r>
      <w:r>
        <w:rPr>
          <w:rFonts w:ascii="宋体" w:hAnsi="宋体" w:cs="宋体" w:eastAsia="宋体" w:hint="default"/>
        </w:rPr>
        <w:t>2,051,228,683.00</w:t>
      </w:r>
      <w:r>
        <w:rPr/>
        <w:t>元。</w:t>
      </w:r>
    </w:p>
    <w:p>
      <w:pPr>
        <w:pStyle w:val="BodyText"/>
        <w:spacing w:line="240" w:lineRule="auto" w:before="47"/>
        <w:ind w:left="574" w:right="0"/>
        <w:jc w:val="left"/>
      </w:pPr>
      <w:r>
        <w:rPr>
          <w:rFonts w:ascii="宋体" w:hAnsi="宋体" w:cs="宋体" w:eastAsia="宋体" w:hint="default"/>
        </w:rPr>
        <w:t>2016</w:t>
      </w:r>
      <w:r>
        <w:rPr/>
        <w:t>年</w:t>
      </w:r>
      <w:r>
        <w:rPr>
          <w:rFonts w:ascii="宋体" w:hAnsi="宋体" w:cs="宋体" w:eastAsia="宋体" w:hint="default"/>
        </w:rPr>
        <w:t>6</w:t>
      </w:r>
      <w:r>
        <w:rPr/>
        <w:t>月，经本公司</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26</w:t>
      </w:r>
      <w:r>
        <w:rPr/>
        <w:t>日召开的</w:t>
      </w:r>
      <w:r>
        <w:rPr>
          <w:rFonts w:ascii="宋体" w:hAnsi="宋体" w:cs="宋体" w:eastAsia="宋体" w:hint="default"/>
        </w:rPr>
        <w:t>2015</w:t>
      </w:r>
      <w:r>
        <w:rPr/>
        <w:t>年度股东大会决议通过关于重大资产重组相关资产</w:t>
      </w:r>
    </w:p>
    <w:p>
      <w:pPr>
        <w:spacing w:line="240" w:lineRule="auto" w:before="9"/>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2015</w:t>
      </w:r>
      <w:r>
        <w:rPr>
          <w:rFonts w:ascii="宋体" w:hAnsi="宋体" w:cs="宋体" w:eastAsia="宋体" w:hint="default"/>
          <w:spacing w:val="-3"/>
        </w:rPr>
        <w:t> </w:t>
      </w:r>
      <w:r>
        <w:rPr/>
        <w:t>年度业绩承诺股份补偿实施方案的议案，公司无偿回购股份</w:t>
      </w:r>
      <w:r>
        <w:rPr>
          <w:rFonts w:ascii="宋体" w:hAnsi="宋体" w:cs="宋体" w:eastAsia="宋体" w:hint="default"/>
        </w:rPr>
        <w:t>33,862,718</w:t>
      </w:r>
      <w:r>
        <w:rPr/>
        <w:t>股并予以注销，共计人民币</w:t>
      </w:r>
    </w:p>
    <w:p>
      <w:pPr>
        <w:spacing w:line="240" w:lineRule="auto" w:before="9"/>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33,862,718.00</w:t>
      </w:r>
      <w:r>
        <w:rPr/>
        <w:t>元，公司申请减少注册资本人民币</w:t>
      </w:r>
      <w:r>
        <w:rPr>
          <w:rFonts w:ascii="宋体" w:hAnsi="宋体" w:cs="宋体" w:eastAsia="宋体" w:hint="default"/>
        </w:rPr>
        <w:t>33,862,718.00</w:t>
      </w:r>
      <w:r>
        <w:rPr/>
        <w:t>元，注册资本变更为</w:t>
      </w:r>
      <w:r>
        <w:rPr>
          <w:rFonts w:ascii="宋体" w:hAnsi="宋体" w:cs="宋体" w:eastAsia="宋体" w:hint="default"/>
        </w:rPr>
        <w:t>2,017,365,965.00</w:t>
      </w:r>
      <w:r>
        <w:rPr/>
        <w:t>元。</w:t>
      </w:r>
    </w:p>
    <w:p>
      <w:pPr>
        <w:spacing w:line="240" w:lineRule="auto" w:before="9"/>
        <w:rPr>
          <w:rFonts w:ascii="宋体" w:hAnsi="宋体" w:cs="宋体" w:eastAsia="宋体" w:hint="default"/>
          <w:sz w:val="15"/>
          <w:szCs w:val="15"/>
        </w:rPr>
      </w:pPr>
    </w:p>
    <w:p>
      <w:pPr>
        <w:pStyle w:val="BodyText"/>
        <w:spacing w:line="240" w:lineRule="auto"/>
        <w:ind w:left="574" w:right="0"/>
        <w:jc w:val="left"/>
      </w:pPr>
      <w:r>
        <w:rPr>
          <w:rFonts w:ascii="宋体" w:hAnsi="宋体" w:cs="宋体" w:eastAsia="宋体" w:hint="default"/>
        </w:rPr>
        <w:t>2017</w:t>
      </w:r>
      <w:r>
        <w:rPr/>
        <w:t>年</w:t>
      </w:r>
      <w:r>
        <w:rPr>
          <w:rFonts w:ascii="宋体" w:hAnsi="宋体" w:cs="宋体" w:eastAsia="宋体" w:hint="default"/>
        </w:rPr>
        <w:t>9</w:t>
      </w:r>
      <w:r>
        <w:rPr/>
        <w:t>月，经本公司</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23</w:t>
      </w:r>
      <w:r>
        <w:rPr/>
        <w:t>日召开的</w:t>
      </w:r>
      <w:r>
        <w:rPr>
          <w:rFonts w:ascii="宋体" w:hAnsi="宋体" w:cs="宋体" w:eastAsia="宋体" w:hint="default"/>
        </w:rPr>
        <w:t>2016</w:t>
      </w:r>
      <w:r>
        <w:rPr/>
        <w:t>年度股东大会决议通过关于重大资产重组相关资产</w:t>
      </w:r>
    </w:p>
    <w:p>
      <w:pPr>
        <w:spacing w:line="240" w:lineRule="auto" w:before="9"/>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2016</w:t>
      </w:r>
      <w:r>
        <w:rPr/>
        <w:t>年度业绩承诺股份补偿实施方案的议案，公司无偿回购股份</w:t>
      </w:r>
      <w:r>
        <w:rPr>
          <w:rFonts w:ascii="宋体" w:hAnsi="宋体" w:cs="宋体" w:eastAsia="宋体" w:hint="default"/>
        </w:rPr>
        <w:t>16,071,225</w:t>
      </w:r>
      <w:r>
        <w:rPr/>
        <w:t>股并予以注销，共计人民币</w:t>
      </w:r>
    </w:p>
    <w:p>
      <w:pPr>
        <w:spacing w:line="240" w:lineRule="auto" w:before="9"/>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16,071,225.00</w:t>
      </w:r>
      <w:r>
        <w:rPr/>
        <w:t>元，公司申请减少注册资本人民币</w:t>
      </w:r>
      <w:r>
        <w:rPr>
          <w:rFonts w:ascii="宋体" w:hAnsi="宋体" w:cs="宋体" w:eastAsia="宋体" w:hint="default"/>
        </w:rPr>
        <w:t>16,071,225.00</w:t>
      </w:r>
      <w:r>
        <w:rPr/>
        <w:t>元，注册资本变更为</w:t>
      </w:r>
      <w:r>
        <w:rPr>
          <w:rFonts w:ascii="宋体" w:hAnsi="宋体" w:cs="宋体" w:eastAsia="宋体" w:hint="default"/>
        </w:rPr>
        <w:t>2,001,294,740.00</w:t>
      </w:r>
      <w:r>
        <w:rPr/>
        <w:t>元。</w:t>
      </w:r>
    </w:p>
    <w:p>
      <w:pPr>
        <w:spacing w:line="240" w:lineRule="auto" w:before="9"/>
        <w:rPr>
          <w:rFonts w:ascii="宋体" w:hAnsi="宋体" w:cs="宋体" w:eastAsia="宋体" w:hint="default"/>
          <w:sz w:val="15"/>
          <w:szCs w:val="15"/>
        </w:rPr>
      </w:pPr>
    </w:p>
    <w:p>
      <w:pPr>
        <w:pStyle w:val="BodyText"/>
        <w:spacing w:line="420" w:lineRule="auto"/>
        <w:ind w:right="1216" w:firstLine="420"/>
        <w:jc w:val="left"/>
      </w:pPr>
      <w:r>
        <w:rPr>
          <w:rFonts w:ascii="宋体" w:hAnsi="宋体" w:cs="宋体" w:eastAsia="宋体" w:hint="default"/>
        </w:rPr>
        <w:t>2018</w:t>
      </w:r>
      <w:r>
        <w:rPr/>
        <w:t>年</w:t>
      </w:r>
      <w:r>
        <w:rPr>
          <w:rFonts w:ascii="宋体" w:hAnsi="宋体" w:cs="宋体" w:eastAsia="宋体" w:hint="default"/>
        </w:rPr>
        <w:t>11</w:t>
      </w:r>
      <w:r>
        <w:rPr/>
        <w:t>月，经本公司</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17</w:t>
      </w:r>
      <w:r>
        <w:rPr/>
        <w:t>日召开的</w:t>
      </w:r>
      <w:r>
        <w:rPr>
          <w:rFonts w:ascii="宋体" w:hAnsi="宋体" w:cs="宋体" w:eastAsia="宋体" w:hint="default"/>
        </w:rPr>
        <w:t>2018</w:t>
      </w:r>
      <w:r>
        <w:rPr/>
        <w:t>年第四次临时股东大会第四号决议通过关于</w:t>
      </w:r>
      <w:r>
        <w:rPr>
          <w:rFonts w:ascii="宋体" w:hAnsi="宋体" w:cs="宋体" w:eastAsia="宋体" w:hint="default"/>
        </w:rPr>
        <w:t>2014</w:t>
      </w:r>
      <w:r>
        <w:rPr/>
        <w:t>年 重大资产重组部分标的资产补充</w:t>
      </w:r>
      <w:r>
        <w:rPr>
          <w:rFonts w:ascii="宋体" w:hAnsi="宋体" w:cs="宋体" w:eastAsia="宋体" w:hint="default"/>
        </w:rPr>
        <w:t>2014-2016</w:t>
      </w:r>
      <w:r>
        <w:rPr/>
        <w:t>年度业绩承诺股份补偿实施方案的议案，公司无偿回购股份 </w:t>
      </w:r>
      <w:r>
        <w:rPr>
          <w:rFonts w:ascii="宋体" w:hAnsi="宋体" w:cs="宋体" w:eastAsia="宋体" w:hint="default"/>
        </w:rPr>
        <w:t>4,049,283</w:t>
      </w:r>
      <w:r>
        <w:rPr/>
        <w:t>股并予以注销，共计人民币</w:t>
      </w:r>
      <w:r>
        <w:rPr>
          <w:rFonts w:ascii="宋体" w:hAnsi="宋体" w:cs="宋体" w:eastAsia="宋体" w:hint="default"/>
        </w:rPr>
        <w:t>4,049,283.00</w:t>
      </w:r>
      <w:r>
        <w:rPr/>
        <w:t>元，公司申请减少注册资本人民币</w:t>
      </w:r>
      <w:r>
        <w:rPr>
          <w:rFonts w:ascii="宋体" w:hAnsi="宋体" w:cs="宋体" w:eastAsia="宋体" w:hint="default"/>
        </w:rPr>
        <w:t>4,049,283.00</w:t>
      </w:r>
      <w:r>
        <w:rPr/>
        <w:t>元， 注册资本变更为</w:t>
      </w:r>
      <w:r>
        <w:rPr>
          <w:rFonts w:ascii="宋体" w:hAnsi="宋体" w:cs="宋体" w:eastAsia="宋体" w:hint="default"/>
        </w:rPr>
        <w:t>1,997,245,457.00</w:t>
      </w:r>
      <w:r>
        <w:rPr/>
        <w:t>元。</w:t>
      </w:r>
    </w:p>
    <w:p>
      <w:pPr>
        <w:pStyle w:val="BodyText"/>
        <w:spacing w:line="420" w:lineRule="auto" w:before="48"/>
        <w:ind w:right="2352" w:firstLine="420"/>
        <w:jc w:val="left"/>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日，本公司累计发行股本总数</w:t>
      </w:r>
      <w:r>
        <w:rPr>
          <w:rFonts w:ascii="宋体" w:hAnsi="宋体" w:cs="宋体" w:eastAsia="宋体" w:hint="default"/>
        </w:rPr>
        <w:t>1,997,245,457.00</w:t>
      </w:r>
      <w:r>
        <w:rPr/>
        <w:t>股，公司注册资本为 </w:t>
      </w:r>
      <w:r>
        <w:rPr>
          <w:rFonts w:ascii="宋体" w:hAnsi="宋体" w:cs="宋体" w:eastAsia="宋体" w:hint="default"/>
        </w:rPr>
        <w:t>1,997,245,457.00</w:t>
      </w:r>
      <w:r>
        <w:rPr/>
        <w:t>元。</w:t>
      </w:r>
    </w:p>
    <w:p>
      <w:pPr>
        <w:pStyle w:val="BodyText"/>
        <w:spacing w:line="420" w:lineRule="auto" w:before="47"/>
        <w:ind w:right="1131" w:firstLine="420"/>
        <w:jc w:val="both"/>
      </w:pPr>
      <w:r>
        <w:rPr>
          <w:spacing w:val="-1"/>
        </w:rPr>
        <w:t>本公司的母公司为国广环球资产管理有限公司（以下简称“国广资产”，原名为上海渝富资产管理有</w:t>
      </w:r>
      <w:r>
        <w:rPr/>
        <w:t> </w:t>
      </w:r>
      <w:r>
        <w:rPr>
          <w:spacing w:val="-1"/>
        </w:rPr>
        <w:t>限公司），国广环球传媒控股有限公司（以下简称“国广控股”）为国广资产第一大股东和控股股东，国</w:t>
      </w:r>
      <w:r>
        <w:rPr>
          <w:spacing w:val="-83"/>
        </w:rPr>
        <w:t> </w:t>
      </w:r>
      <w:r>
        <w:rPr>
          <w:spacing w:val="-83"/>
        </w:rPr>
      </w:r>
      <w:r>
        <w:rPr>
          <w:spacing w:val="-1"/>
        </w:rPr>
        <w:t>广控股由国广传媒发展有限公司（以下简称“国广传媒”）、拉萨融威企业管理有限公司（以下简称“拉</w:t>
      </w:r>
      <w:r>
        <w:rPr>
          <w:spacing w:val="-86"/>
        </w:rPr>
        <w:t> </w:t>
      </w:r>
      <w:r>
        <w:rPr>
          <w:spacing w:val="-86"/>
        </w:rPr>
      </w:r>
      <w:r>
        <w:rPr>
          <w:spacing w:val="-1"/>
        </w:rPr>
        <w:t>萨融威”）共同控制。国广传媒的实际控制人为中国国际广播电台。拉萨融威的单一股东为和融浙联实业</w:t>
      </w:r>
      <w:r>
        <w:rPr>
          <w:spacing w:val="-83"/>
        </w:rPr>
        <w:t> </w:t>
      </w:r>
      <w:r>
        <w:rPr>
          <w:spacing w:val="-83"/>
        </w:rPr>
      </w:r>
      <w:r>
        <w:rPr/>
        <w:t>有限公司（以下简称“和融浙联”），和融浙联任一股东均不对其形成实际控制。</w:t>
      </w:r>
    </w:p>
    <w:p>
      <w:pPr>
        <w:pStyle w:val="BodyText"/>
        <w:spacing w:line="240" w:lineRule="auto" w:before="47"/>
        <w:ind w:left="574" w:right="0"/>
        <w:jc w:val="left"/>
      </w:pPr>
      <w:r>
        <w:rPr/>
        <w:t>公司注册地：海南省海口市海甸四东路民生大厦，总部办公地：海南省海口市海甸四东路民生大厦。</w:t>
      </w:r>
    </w:p>
    <w:p>
      <w:pPr>
        <w:spacing w:line="240" w:lineRule="auto" w:before="9"/>
        <w:rPr>
          <w:rFonts w:ascii="宋体" w:hAnsi="宋体" w:cs="宋体" w:eastAsia="宋体" w:hint="default"/>
          <w:sz w:val="15"/>
          <w:szCs w:val="15"/>
        </w:rPr>
      </w:pPr>
    </w:p>
    <w:p>
      <w:pPr>
        <w:pStyle w:val="BodyText"/>
        <w:spacing w:line="420" w:lineRule="auto"/>
        <w:ind w:right="1023"/>
        <w:jc w:val="left"/>
      </w:pPr>
      <w:r>
        <w:rPr>
          <w:rFonts w:ascii="宋体" w:hAnsi="宋体" w:cs="宋体" w:eastAsia="宋体" w:hint="default"/>
          <w:b/>
          <w:bCs/>
        </w:rPr>
        <w:t>（二）公司业务性质和主要经营活动</w:t>
      </w:r>
      <w:r>
        <w:rPr>
          <w:rFonts w:ascii="宋体" w:hAnsi="宋体" w:cs="宋体" w:eastAsia="宋体" w:hint="default"/>
          <w:b/>
          <w:bCs/>
          <w:w w:val="99"/>
        </w:rPr>
        <w:t> </w:t>
      </w:r>
      <w:r>
        <w:rPr/>
        <w:t>本公司属于传播与文化业。经营范围为：传播与文化产业的投资、开发、管理及咨询服务；信息集成、多 </w:t>
      </w:r>
      <w:r>
        <w:rPr>
          <w:spacing w:val="-3"/>
        </w:rPr>
        <w:t>媒体内容制作与经营，广告策划、制作和经营，多媒体技术开发与投资，电子商务，股权投资，创业投资，</w:t>
      </w:r>
      <w:r>
        <w:rPr>
          <w:spacing w:val="-94"/>
        </w:rPr>
        <w:t> </w:t>
      </w:r>
      <w:r>
        <w:rPr>
          <w:spacing w:val="-94"/>
        </w:rPr>
      </w:r>
      <w:r>
        <w:rPr/>
        <w:t>高科技风险投资；贸易及贸易代理（一般经营项目自主经营，许可经营项目凭相关许可证或者批准文件经</w:t>
      </w:r>
      <w:r>
        <w:rPr/>
        <w:t> 营）（依法须经批准的项目，经相关部门批准后方可开展经营活动。）</w:t>
      </w:r>
    </w:p>
    <w:p>
      <w:pPr>
        <w:spacing w:line="420" w:lineRule="auto" w:before="47"/>
        <w:ind w:left="154" w:right="2457" w:firstLine="0"/>
        <w:jc w:val="left"/>
        <w:rPr>
          <w:rFonts w:ascii="宋体" w:hAnsi="宋体" w:cs="宋体" w:eastAsia="宋体" w:hint="default"/>
          <w:sz w:val="21"/>
          <w:szCs w:val="21"/>
        </w:rPr>
      </w:pPr>
      <w:r>
        <w:rPr>
          <w:rFonts w:ascii="宋体" w:hAnsi="宋体" w:cs="宋体" w:eastAsia="宋体" w:hint="default"/>
          <w:b/>
          <w:bCs/>
          <w:sz w:val="21"/>
          <w:szCs w:val="21"/>
        </w:rPr>
        <w:t>（三）财务报表的批准报出</w:t>
      </w:r>
      <w:r>
        <w:rPr>
          <w:rFonts w:ascii="宋体" w:hAnsi="宋体" w:cs="宋体" w:eastAsia="宋体" w:hint="default"/>
          <w:b/>
          <w:bCs/>
          <w:w w:val="99"/>
          <w:sz w:val="21"/>
          <w:szCs w:val="21"/>
        </w:rPr>
        <w:t> </w:t>
      </w:r>
      <w:r>
        <w:rPr>
          <w:rFonts w:ascii="宋体" w:hAnsi="宋体" w:cs="宋体" w:eastAsia="宋体" w:hint="default"/>
          <w:sz w:val="21"/>
          <w:szCs w:val="21"/>
        </w:rPr>
        <w:t>本财务报表及财务报表附注业经本公司第七届董事会第十一次会议于</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日批准。</w:t>
      </w:r>
    </w:p>
    <w:p>
      <w:pPr>
        <w:spacing w:after="0" w:line="420"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5"/>
        <w:ind w:right="0"/>
        <w:jc w:val="left"/>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日止，本期纳入合并报表范围的主体共</w:t>
      </w:r>
      <w:r>
        <w:rPr>
          <w:rFonts w:ascii="宋体" w:hAnsi="宋体" w:cs="宋体" w:eastAsia="宋体" w:hint="default"/>
        </w:rPr>
        <w:t>126</w:t>
      </w:r>
      <w:r>
        <w:rPr/>
        <w:t>家，具体如下：</w:t>
      </w:r>
    </w:p>
    <w:p>
      <w:pPr>
        <w:spacing w:line="240" w:lineRule="auto" w:before="1"/>
        <w:rPr>
          <w:rFonts w:ascii="宋体" w:hAnsi="宋体" w:cs="宋体" w:eastAsia="宋体" w:hint="default"/>
          <w:sz w:val="5"/>
          <w:szCs w:val="5"/>
        </w:rPr>
      </w:pPr>
    </w:p>
    <w:tbl>
      <w:tblPr>
        <w:tblW w:w="0" w:type="auto"/>
        <w:jc w:val="left"/>
        <w:tblInd w:w="250" w:type="dxa"/>
        <w:tblLayout w:type="fixed"/>
        <w:tblCellMar>
          <w:top w:w="0" w:type="dxa"/>
          <w:left w:w="0" w:type="dxa"/>
          <w:bottom w:w="0" w:type="dxa"/>
          <w:right w:w="0" w:type="dxa"/>
        </w:tblCellMar>
        <w:tblLook w:val="01E0"/>
      </w:tblPr>
      <w:tblGrid>
        <w:gridCol w:w="1152"/>
        <w:gridCol w:w="4523"/>
        <w:gridCol w:w="2553"/>
      </w:tblGrid>
      <w:tr>
        <w:trPr>
          <w:trHeight w:val="347" w:hRule="exact"/>
        </w:trPr>
        <w:tc>
          <w:tcPr>
            <w:tcW w:w="11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45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5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以下简称</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深圳证券时报传媒有限公司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时报传媒</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深圳市新视野影像有限公司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新视野</w:t>
            </w:r>
          </w:p>
        </w:tc>
      </w:tr>
      <w:tr>
        <w:trPr>
          <w:trHeight w:val="348"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陕西华商传媒集团有限责任公司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华商传媒</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4</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西安华商广告有限责任公司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华商广告</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陕西华商医药投资有限公司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华商医药</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6</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西安华商卓越文化发展有限公司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华商卓越文化</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7</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陕西华商国际会展有限公司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陕西华商会展</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8</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西安华迅直递广告有限公司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西安华迅直递</w:t>
            </w:r>
          </w:p>
        </w:tc>
      </w:tr>
      <w:tr>
        <w:trPr>
          <w:trHeight w:val="348"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9</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北京华商圣锐广告有限公司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北京华商圣锐</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10</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新疆华商盈通股权投资有限公司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华商盈通</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11</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北京华商盈通投资有限公司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北京盈通</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12</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吉林华商传媒有限公司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吉林华商传媒</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13</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长春华锐营销策划有限公司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长春华锐营销</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14</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长春市华晟文化传播有限公司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长春华晟</w:t>
            </w:r>
          </w:p>
        </w:tc>
      </w:tr>
      <w:tr>
        <w:trPr>
          <w:trHeight w:val="348"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15</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吉林大吉之家农特产科技有限公司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大吉之家</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16</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辽宁盈丰传媒有限公司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辽宁盈丰</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17</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沈阳北联全媒体传媒有限公司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沈阳北联</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18</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沈阳盈广丰广告传媒有限公司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盈广丰广告</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19</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重庆华博传媒有限公司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重庆华博</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20</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重庆爱达生活网络科技有限公司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爱达生活网络</w:t>
            </w:r>
          </w:p>
        </w:tc>
      </w:tr>
      <w:tr>
        <w:trPr>
          <w:trHeight w:val="348"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21</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陕西黄马甲物流配送股份有限公司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陕西黄马甲</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22</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陕西黄马甲快递有限公司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黄马甲快递</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23</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重庆黄马甲快递有限公司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重庆黄马甲快递</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24</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吉林黄马甲快递有限公司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吉林黄马甲快递</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25</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兰州黄马甲物流配送有限责任公司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兰州黄马甲物流</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26</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西宁黄马甲物流信息服务有限公司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西宁黄马甲物流</w:t>
            </w:r>
          </w:p>
        </w:tc>
      </w:tr>
      <w:tr>
        <w:trPr>
          <w:trHeight w:val="348"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27</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银川黄马甲快递有限公司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银川黄马甲</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28</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沈阳黄马甲快递有限公司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沈阳黄马甲</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29</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哈尔滨黄马甲快递服务有限公司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哈尔滨黄马甲</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30</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华商数码信息股份有限公司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华商数码</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31</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吉林华商数码印务有限公司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吉林华商数码</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32</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西安华商网络传媒有限公司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华商网络</w:t>
            </w:r>
          </w:p>
        </w:tc>
      </w:tr>
      <w:tr>
        <w:trPr>
          <w:trHeight w:val="348"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33</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吉林盈通网络传媒有限公司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吉林盈通网络</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34</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西安华商泰昌企业管理咨询有限公司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华商泰昌</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35</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北京华商通达文化传媒有限公司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华商通达</w:t>
            </w:r>
          </w:p>
        </w:tc>
      </w:tr>
      <w:tr>
        <w:trPr>
          <w:trHeight w:val="348"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36</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通达云（北京）信息技术服务有限公司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通达云</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250" w:type="dxa"/>
        <w:tblLayout w:type="fixed"/>
        <w:tblCellMar>
          <w:top w:w="0" w:type="dxa"/>
          <w:left w:w="0" w:type="dxa"/>
          <w:bottom w:w="0" w:type="dxa"/>
          <w:right w:w="0" w:type="dxa"/>
        </w:tblCellMar>
        <w:tblLook w:val="01E0"/>
      </w:tblPr>
      <w:tblGrid>
        <w:gridCol w:w="1152"/>
        <w:gridCol w:w="4523"/>
        <w:gridCol w:w="2553"/>
      </w:tblGrid>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37</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上海鸿立股权投资有限公司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上海鸿立</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38</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上海鸿立华享投资合伙企业（有限合伙）</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鸿立华享</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39</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海南新海岸置业有限公司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新海岸</w:t>
            </w:r>
          </w:p>
        </w:tc>
      </w:tr>
      <w:tr>
        <w:trPr>
          <w:trHeight w:val="348"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40</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海南丰泽投资开发有限公司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丰泽投资</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79"/>
              <w:jc w:val="right"/>
              <w:rPr>
                <w:rFonts w:ascii="宋体" w:hAnsi="宋体" w:cs="宋体" w:eastAsia="宋体" w:hint="default"/>
                <w:sz w:val="18"/>
                <w:szCs w:val="18"/>
              </w:rPr>
            </w:pPr>
            <w:r>
              <w:rPr>
                <w:rFonts w:ascii="宋体"/>
                <w:sz w:val="18"/>
              </w:rPr>
              <w:t>41</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海南椰德利房地产开发有限公司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椰德利</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42</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北京国广光荣广告有限公司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国广光荣</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43</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拉萨环球风尚投资管理咨询有限公司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拉萨环球</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44</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北京澄怀科技有限公司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澄怀科技</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45</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北京成功启航教育咨询有限公司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成功启航</w:t>
            </w:r>
          </w:p>
        </w:tc>
      </w:tr>
      <w:tr>
        <w:trPr>
          <w:trHeight w:val="348"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46</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培领环球有限公司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培领环球</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79"/>
              <w:jc w:val="right"/>
              <w:rPr>
                <w:rFonts w:ascii="宋体" w:hAnsi="宋体" w:cs="宋体" w:eastAsia="宋体" w:hint="default"/>
                <w:sz w:val="18"/>
                <w:szCs w:val="18"/>
              </w:rPr>
            </w:pPr>
            <w:r>
              <w:rPr>
                <w:rFonts w:ascii="宋体"/>
                <w:sz w:val="18"/>
              </w:rPr>
              <w:t>47</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北京澄怀观道网络科技有限公司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澄怀观道</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48</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北京澄怀众合文化传媒有限公司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澄怀众合</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49</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西藏腾踔投资管理有限公司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腾踔投资</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50</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霍尔果斯澄怀观道文化传媒有限责任公司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霍尔果斯澄怀</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51</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北京华闻视讯新媒体科技有限公司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华闻视讯</w:t>
            </w:r>
          </w:p>
        </w:tc>
      </w:tr>
      <w:tr>
        <w:trPr>
          <w:trHeight w:val="348"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52</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国视通讯（上海）有限公司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国视上海</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79"/>
              <w:jc w:val="right"/>
              <w:rPr>
                <w:rFonts w:ascii="宋体" w:hAnsi="宋体" w:cs="宋体" w:eastAsia="宋体" w:hint="default"/>
                <w:sz w:val="18"/>
                <w:szCs w:val="18"/>
              </w:rPr>
            </w:pPr>
            <w:r>
              <w:rPr>
                <w:rFonts w:ascii="宋体"/>
                <w:sz w:val="18"/>
              </w:rPr>
              <w:t>53</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国广华屏网络传媒（北京）有限公司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国广华屏</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54</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华屏传媒国际有限公司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华屏国际</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55</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天津掌视亿通信息技术有限公司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掌视亿通</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56</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上海精视文化传播有限公司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精视文化</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57</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上海精视广告传播有限公司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精视广告</w:t>
            </w:r>
          </w:p>
        </w:tc>
      </w:tr>
      <w:tr>
        <w:trPr>
          <w:trHeight w:val="348"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58</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德清尚峰文化传播有限公司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精视尚峰</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79"/>
              <w:jc w:val="right"/>
              <w:rPr>
                <w:rFonts w:ascii="宋体" w:hAnsi="宋体" w:cs="宋体" w:eastAsia="宋体" w:hint="default"/>
                <w:sz w:val="18"/>
                <w:szCs w:val="18"/>
              </w:rPr>
            </w:pPr>
            <w:r>
              <w:rPr>
                <w:rFonts w:ascii="宋体"/>
                <w:sz w:val="18"/>
              </w:rPr>
              <w:t>59</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浙江精视文化传播有限公司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精视浙江</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60</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广州漫友文化科技发展有限公司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漫友文化</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61</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海南华闻民享投资有限公司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民享投资</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62</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广州酷视网络有限公司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酷视网络</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63</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华闻世纪影视投资控股（北京）有限责任公司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华闻影视</w:t>
            </w:r>
          </w:p>
        </w:tc>
      </w:tr>
      <w:tr>
        <w:trPr>
          <w:trHeight w:val="348"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64</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华闻传媒（香港）有限公司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华闻香港</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79"/>
              <w:jc w:val="right"/>
              <w:rPr>
                <w:rFonts w:ascii="宋体" w:hAnsi="宋体" w:cs="宋体" w:eastAsia="宋体" w:hint="default"/>
                <w:sz w:val="18"/>
                <w:szCs w:val="18"/>
              </w:rPr>
            </w:pPr>
            <w:r>
              <w:rPr>
                <w:rFonts w:ascii="宋体"/>
                <w:sz w:val="18"/>
              </w:rPr>
              <w:t>65</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华闻传媒（海外）有限公司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华闻海外</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66</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北京华闻创新传媒文化研究院有限责任公司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华闻研究院</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67</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山南华闻创业投资有限公司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山南华闻</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68</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深圳中上联信息科技有限公司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中上联</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69</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北京瀚祥拓睿国际旅游有限公司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瀚祥拓睿</w:t>
            </w:r>
          </w:p>
        </w:tc>
      </w:tr>
      <w:tr>
        <w:trPr>
          <w:trHeight w:val="348"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70</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霍尔果斯国视通讯文化传媒有限公司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霍尔果斯国视</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79"/>
              <w:jc w:val="right"/>
              <w:rPr>
                <w:rFonts w:ascii="宋体" w:hAnsi="宋体" w:cs="宋体" w:eastAsia="宋体" w:hint="default"/>
                <w:sz w:val="18"/>
                <w:szCs w:val="18"/>
              </w:rPr>
            </w:pPr>
            <w:r>
              <w:rPr>
                <w:rFonts w:ascii="宋体"/>
                <w:sz w:val="18"/>
              </w:rPr>
              <w:t>71</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浙江掌视亿通信息技术有限公司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浙江掌视</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72</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陕西北大荒华商农业发展有限公司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北大荒华商</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73</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南京精视广告传媒有限公司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南京精视</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74</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常州精视广告传播有限公司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常州精视</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75</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山南国广风尚文化传媒有限公司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山南国广</w:t>
            </w:r>
          </w:p>
        </w:tc>
      </w:tr>
      <w:tr>
        <w:trPr>
          <w:trHeight w:val="348"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479"/>
              <w:jc w:val="right"/>
              <w:rPr>
                <w:rFonts w:ascii="宋体" w:hAnsi="宋体" w:cs="宋体" w:eastAsia="宋体" w:hint="default"/>
                <w:sz w:val="18"/>
                <w:szCs w:val="18"/>
              </w:rPr>
            </w:pPr>
            <w:r>
              <w:rPr>
                <w:rFonts w:ascii="宋体"/>
                <w:sz w:val="18"/>
              </w:rPr>
              <w:t>76</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天津掌视广通信息技术有限公司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掌视广通</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250" w:type="dxa"/>
        <w:tblLayout w:type="fixed"/>
        <w:tblCellMar>
          <w:top w:w="0" w:type="dxa"/>
          <w:left w:w="0" w:type="dxa"/>
          <w:bottom w:w="0" w:type="dxa"/>
          <w:right w:w="0" w:type="dxa"/>
        </w:tblCellMar>
        <w:tblLook w:val="01E0"/>
      </w:tblPr>
      <w:tblGrid>
        <w:gridCol w:w="1152"/>
        <w:gridCol w:w="4523"/>
        <w:gridCol w:w="2553"/>
      </w:tblGrid>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77</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成都精视框架广告传媒有限公司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成都精视</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78</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西安二三里网络科技有限公司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二三里</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79</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海南华闻体育文化发展有限公司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华闻体育</w:t>
            </w:r>
          </w:p>
        </w:tc>
      </w:tr>
      <w:tr>
        <w:trPr>
          <w:trHeight w:val="348"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80</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深圳市麦游互动科技有限公司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麦游互动</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81</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陕西华商通用航空机场管理有限公司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陕西华商通用航空</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82</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拉萨悦胜创业投资管理有限公司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拉萨悦胜</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83</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北京城事文化传媒有限公司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北京城事文化</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84</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陕西华商传媒文化产业园管理有限公司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陕西华商文化产业园</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85</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车音智能科技有限公司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车音智能</w:t>
            </w:r>
          </w:p>
        </w:tc>
      </w:tr>
      <w:tr>
        <w:trPr>
          <w:trHeight w:val="348"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86</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深圳市车音智能电子商务有限公司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深圳车音电子</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87</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上海车音智能科技有限公司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上海车音</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88</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北京亚越磐石市场调查有限公司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北京亚越</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89</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上海逊睿市场咨询有限公司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上海逊睿</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90</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广州粤瑛纬市场营销策划有限公司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广州粤瑛纬</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91</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北京车音网科技有限公司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北京车音</w:t>
            </w:r>
          </w:p>
        </w:tc>
      </w:tr>
      <w:tr>
        <w:trPr>
          <w:trHeight w:val="348"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92</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成都融智汽车服务有限公司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成都融智汽车</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93</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四川融智昇拓保险代理有限公司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四川融智昇拓</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94</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上海祥隆电子商务有限公司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上海祥隆</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95</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新加坡车音网科技有限公司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新加坡车音</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96</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海南省文创旅游产业园集团有限公司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海南文旅</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97</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海南文咖投资有限公司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海南文咖</w:t>
            </w:r>
          </w:p>
        </w:tc>
      </w:tr>
      <w:tr>
        <w:trPr>
          <w:trHeight w:val="348"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sz w:val="18"/>
              </w:rPr>
              <w:t>98</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海南文春投资有限公司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海南文春</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99</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海南文绚投资有限公司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海南文绚</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100</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海南文诺投资有限公司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海南文诺</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101</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海南文楷投资有限公司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海南文楷</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102</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海南文贤投资有限公司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海南文贤</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103</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海南创道投资有限公司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海南创道</w:t>
            </w:r>
          </w:p>
        </w:tc>
      </w:tr>
      <w:tr>
        <w:trPr>
          <w:trHeight w:val="348"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104</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海南文宴投资有限公司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海南文宴</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105</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海南文昂投资有限公司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海南文昂</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106</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海南创傲投资有限公司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海南创傲</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107</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海南文妙投资有限公司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海南文妙</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108</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海南创模投资有限公司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海南创模</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109</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海南文泽投资有限公司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海南文泽</w:t>
            </w:r>
          </w:p>
        </w:tc>
      </w:tr>
      <w:tr>
        <w:trPr>
          <w:trHeight w:val="348"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110</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海南祺乐投资有限公司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海南祺乐</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111</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海南文筱投资有限公司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海南文筱</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112</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海南创雄投资有限公司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海南创雄</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113</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海南文舒投资有限公司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海南文舒</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114</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海南达闻投资有限公司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海南达闻</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115</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海南创贵投资有限公司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海南创贵</w:t>
            </w:r>
          </w:p>
        </w:tc>
      </w:tr>
      <w:tr>
        <w:trPr>
          <w:trHeight w:val="348"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116</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海南禧闻投资有限公司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海南禧闻</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250" w:type="dxa"/>
        <w:tblLayout w:type="fixed"/>
        <w:tblCellMar>
          <w:top w:w="0" w:type="dxa"/>
          <w:left w:w="0" w:type="dxa"/>
          <w:bottom w:w="0" w:type="dxa"/>
          <w:right w:w="0" w:type="dxa"/>
        </w:tblCellMar>
        <w:tblLook w:val="01E0"/>
      </w:tblPr>
      <w:tblGrid>
        <w:gridCol w:w="1152"/>
        <w:gridCol w:w="4523"/>
        <w:gridCol w:w="2553"/>
      </w:tblGrid>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117</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海南创铭投资有限公司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9"/>
              <w:jc w:val="right"/>
              <w:rPr>
                <w:rFonts w:ascii="宋体" w:hAnsi="宋体" w:cs="宋体" w:eastAsia="宋体" w:hint="default"/>
                <w:sz w:val="18"/>
                <w:szCs w:val="18"/>
              </w:rPr>
            </w:pPr>
            <w:r>
              <w:rPr>
                <w:rFonts w:ascii="宋体" w:hAnsi="宋体" w:cs="宋体" w:eastAsia="宋体" w:hint="default"/>
                <w:sz w:val="18"/>
                <w:szCs w:val="18"/>
              </w:rPr>
              <w:t>海南创铭</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118</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海南创标投资有限公司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9"/>
              <w:jc w:val="right"/>
              <w:rPr>
                <w:rFonts w:ascii="宋体" w:hAnsi="宋体" w:cs="宋体" w:eastAsia="宋体" w:hint="default"/>
                <w:sz w:val="18"/>
                <w:szCs w:val="18"/>
              </w:rPr>
            </w:pPr>
            <w:r>
              <w:rPr>
                <w:rFonts w:ascii="宋体" w:hAnsi="宋体" w:cs="宋体" w:eastAsia="宋体" w:hint="default"/>
                <w:sz w:val="18"/>
                <w:szCs w:val="18"/>
              </w:rPr>
              <w:t>海南创标</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119</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海南文珠投资有限公司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9"/>
              <w:jc w:val="right"/>
              <w:rPr>
                <w:rFonts w:ascii="宋体" w:hAnsi="宋体" w:cs="宋体" w:eastAsia="宋体" w:hint="default"/>
                <w:sz w:val="18"/>
                <w:szCs w:val="18"/>
              </w:rPr>
            </w:pPr>
            <w:r>
              <w:rPr>
                <w:rFonts w:ascii="宋体" w:hAnsi="宋体" w:cs="宋体" w:eastAsia="宋体" w:hint="default"/>
                <w:sz w:val="18"/>
                <w:szCs w:val="18"/>
              </w:rPr>
              <w:t>海南文珠</w:t>
            </w:r>
          </w:p>
        </w:tc>
      </w:tr>
      <w:tr>
        <w:trPr>
          <w:trHeight w:val="348"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120</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海南创闻投资有限公司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9"/>
              <w:jc w:val="right"/>
              <w:rPr>
                <w:rFonts w:ascii="宋体" w:hAnsi="宋体" w:cs="宋体" w:eastAsia="宋体" w:hint="default"/>
                <w:sz w:val="18"/>
                <w:szCs w:val="18"/>
              </w:rPr>
            </w:pPr>
            <w:r>
              <w:rPr>
                <w:rFonts w:ascii="宋体" w:hAnsi="宋体" w:cs="宋体" w:eastAsia="宋体" w:hint="default"/>
                <w:sz w:val="18"/>
                <w:szCs w:val="18"/>
              </w:rPr>
              <w:t>海南创闻</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121</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海南文聚投资有限公司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9"/>
              <w:jc w:val="right"/>
              <w:rPr>
                <w:rFonts w:ascii="宋体" w:hAnsi="宋体" w:cs="宋体" w:eastAsia="宋体" w:hint="default"/>
                <w:sz w:val="18"/>
                <w:szCs w:val="18"/>
              </w:rPr>
            </w:pPr>
            <w:r>
              <w:rPr>
                <w:rFonts w:ascii="宋体" w:hAnsi="宋体" w:cs="宋体" w:eastAsia="宋体" w:hint="default"/>
                <w:sz w:val="18"/>
                <w:szCs w:val="18"/>
              </w:rPr>
              <w:t>海南文聚</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122</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海南文乐投资有限公司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9"/>
              <w:jc w:val="right"/>
              <w:rPr>
                <w:rFonts w:ascii="宋体" w:hAnsi="宋体" w:cs="宋体" w:eastAsia="宋体" w:hint="default"/>
                <w:sz w:val="18"/>
                <w:szCs w:val="18"/>
              </w:rPr>
            </w:pPr>
            <w:r>
              <w:rPr>
                <w:rFonts w:ascii="宋体" w:hAnsi="宋体" w:cs="宋体" w:eastAsia="宋体" w:hint="default"/>
                <w:sz w:val="18"/>
                <w:szCs w:val="18"/>
              </w:rPr>
              <w:t>海南文乐</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123</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海南创祺投资有限公司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9"/>
              <w:jc w:val="right"/>
              <w:rPr>
                <w:rFonts w:ascii="宋体" w:hAnsi="宋体" w:cs="宋体" w:eastAsia="宋体" w:hint="default"/>
                <w:sz w:val="18"/>
                <w:szCs w:val="18"/>
              </w:rPr>
            </w:pPr>
            <w:r>
              <w:rPr>
                <w:rFonts w:ascii="宋体" w:hAnsi="宋体" w:cs="宋体" w:eastAsia="宋体" w:hint="default"/>
                <w:sz w:val="18"/>
                <w:szCs w:val="18"/>
              </w:rPr>
              <w:t>海南创祺</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124</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海南创牌投资有限公司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9"/>
              <w:jc w:val="right"/>
              <w:rPr>
                <w:rFonts w:ascii="宋体" w:hAnsi="宋体" w:cs="宋体" w:eastAsia="宋体" w:hint="default"/>
                <w:sz w:val="18"/>
                <w:szCs w:val="18"/>
              </w:rPr>
            </w:pPr>
            <w:r>
              <w:rPr>
                <w:rFonts w:ascii="宋体" w:hAnsi="宋体" w:cs="宋体" w:eastAsia="宋体" w:hint="default"/>
                <w:sz w:val="18"/>
                <w:szCs w:val="18"/>
              </w:rPr>
              <w:t>海南创牌</w:t>
            </w:r>
          </w:p>
        </w:tc>
      </w:tr>
      <w:tr>
        <w:trPr>
          <w:trHeight w:val="347"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125</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海南歌闻投资有限公司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9"/>
              <w:jc w:val="right"/>
              <w:rPr>
                <w:rFonts w:ascii="宋体" w:hAnsi="宋体" w:cs="宋体" w:eastAsia="宋体" w:hint="default"/>
                <w:sz w:val="18"/>
                <w:szCs w:val="18"/>
              </w:rPr>
            </w:pPr>
            <w:r>
              <w:rPr>
                <w:rFonts w:ascii="宋体" w:hAnsi="宋体" w:cs="宋体" w:eastAsia="宋体" w:hint="default"/>
                <w:sz w:val="18"/>
                <w:szCs w:val="18"/>
              </w:rPr>
              <w:t>海南歌闻</w:t>
            </w:r>
          </w:p>
        </w:tc>
      </w:tr>
      <w:tr>
        <w:trPr>
          <w:trHeight w:val="348" w:hRule="exact"/>
        </w:trPr>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126</w:t>
            </w:r>
          </w:p>
        </w:tc>
        <w:tc>
          <w:tcPr>
            <w:tcW w:w="4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海南文颂投资有限公司</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9"/>
              <w:jc w:val="right"/>
              <w:rPr>
                <w:rFonts w:ascii="宋体" w:hAnsi="宋体" w:cs="宋体" w:eastAsia="宋体" w:hint="default"/>
                <w:sz w:val="18"/>
                <w:szCs w:val="18"/>
              </w:rPr>
            </w:pPr>
            <w:r>
              <w:rPr>
                <w:rFonts w:ascii="宋体" w:hAnsi="宋体" w:cs="宋体" w:eastAsia="宋体" w:hint="default"/>
                <w:sz w:val="18"/>
                <w:szCs w:val="18"/>
              </w:rPr>
              <w:t>海南文颂</w:t>
            </w:r>
          </w:p>
        </w:tc>
      </w:tr>
    </w:tbl>
    <w:p>
      <w:pPr>
        <w:spacing w:line="240" w:lineRule="auto" w:before="0"/>
        <w:rPr>
          <w:rFonts w:ascii="Times New Roman" w:hAnsi="Times New Roman" w:cs="Times New Roman" w:eastAsia="Times New Roman" w:hint="default"/>
          <w:sz w:val="9"/>
          <w:szCs w:val="9"/>
        </w:rPr>
      </w:pPr>
    </w:p>
    <w:p>
      <w:pPr>
        <w:pStyle w:val="BodyText"/>
        <w:spacing w:line="240" w:lineRule="auto" w:before="35"/>
        <w:ind w:right="0"/>
        <w:jc w:val="both"/>
      </w:pPr>
      <w:r>
        <w:rPr>
          <w:spacing w:val="-3"/>
        </w:rPr>
        <w:t>本期合并财务报表范围及其变化情况详见本附注“八、合并范围的变更”和“九、在其他主体中的权益”。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2"/>
        <w:spacing w:line="240" w:lineRule="auto" w:before="0"/>
        <w:ind w:right="0"/>
        <w:jc w:val="both"/>
        <w:rPr>
          <w:b w:val="0"/>
          <w:bCs w:val="0"/>
        </w:rPr>
      </w:pPr>
      <w:bookmarkStart w:name="四、财务报表的编制基础" w:id="169"/>
      <w:bookmarkEnd w:id="169"/>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编制基础" w:id="170"/>
      <w:bookmarkEnd w:id="170"/>
      <w:r>
        <w:rPr>
          <w:b w:val="0"/>
          <w:bCs w:val="0"/>
        </w:rPr>
      </w:r>
      <w:r>
        <w:rPr>
          <w:rFonts w:ascii="宋体" w:hAnsi="宋体" w:cs="宋体" w:eastAsia="宋体" w:hint="default"/>
        </w:rPr>
        <w:t>1</w:t>
      </w:r>
      <w:r>
        <w:rPr/>
        <w:t>、编制基础</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1109"/>
        <w:jc w:val="both"/>
      </w:pPr>
      <w:r>
        <w:rPr/>
        <w:t>公司以持续经营为基础，根据实际发生的交易和事项，按照财政部颁布的《企业会计准则——基本准则》 </w:t>
      </w:r>
      <w:r>
        <w:rPr>
          <w:spacing w:val="-1"/>
        </w:rPr>
        <w:t>和各项具体会计准则、企业会计准则应用指南、企业会计准则解释及其他相关规定（以下合称“企业会计</w:t>
      </w:r>
      <w:r>
        <w:rPr>
          <w:spacing w:val="-83"/>
        </w:rPr>
        <w:t> </w:t>
      </w:r>
      <w:r>
        <w:rPr>
          <w:spacing w:val="-83"/>
        </w:rPr>
      </w:r>
      <w:r>
        <w:rPr>
          <w:spacing w:val="-1"/>
        </w:rPr>
        <w:t>准则”），以及中国证券监督管理委员会《公开发行证券的公司信息披露编报规则第</w:t>
      </w:r>
      <w:r>
        <w:rPr>
          <w:rFonts w:ascii="宋体" w:hAnsi="宋体" w:cs="宋体" w:eastAsia="宋体" w:hint="default"/>
          <w:spacing w:val="-1"/>
        </w:rPr>
        <w:t>15</w:t>
      </w:r>
      <w:r>
        <w:rPr>
          <w:spacing w:val="-1"/>
        </w:rPr>
        <w:t>号——财务报告的</w:t>
      </w:r>
      <w:r>
        <w:rPr>
          <w:spacing w:val="-84"/>
        </w:rPr>
        <w:t> </w:t>
      </w:r>
      <w:r>
        <w:rPr>
          <w:spacing w:val="-84"/>
        </w:rPr>
      </w:r>
      <w:r>
        <w:rPr/>
        <w:t>一般规定》的披露规定编制财务报表。</w:t>
      </w:r>
    </w:p>
    <w:p>
      <w:pPr>
        <w:spacing w:line="240" w:lineRule="auto" w:before="11"/>
        <w:rPr>
          <w:rFonts w:ascii="宋体" w:hAnsi="宋体" w:cs="宋体" w:eastAsia="宋体" w:hint="default"/>
          <w:sz w:val="14"/>
          <w:szCs w:val="14"/>
        </w:rPr>
      </w:pPr>
    </w:p>
    <w:p>
      <w:pPr>
        <w:pStyle w:val="Heading4"/>
        <w:spacing w:line="240" w:lineRule="auto"/>
        <w:ind w:right="0"/>
        <w:jc w:val="both"/>
        <w:rPr>
          <w:b w:val="0"/>
          <w:bCs w:val="0"/>
        </w:rPr>
      </w:pPr>
      <w:bookmarkStart w:name="2、持续经营" w:id="171"/>
      <w:bookmarkEnd w:id="171"/>
      <w:r>
        <w:rPr>
          <w:b w:val="0"/>
          <w:bCs w:val="0"/>
        </w:rPr>
      </w:r>
      <w:r>
        <w:rPr>
          <w:rFonts w:ascii="宋体" w:hAnsi="宋体" w:cs="宋体" w:eastAsia="宋体" w:hint="default"/>
        </w:rPr>
        <w:t>2</w:t>
      </w:r>
      <w:r>
        <w:rPr/>
        <w:t>、持续经营</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0"/>
        <w:jc w:val="left"/>
      </w:pPr>
      <w:r>
        <w:rPr>
          <w:spacing w:val="-1"/>
        </w:rPr>
        <w:t>本财务报表以持续经营为基础列报。本公司自报告期末起十二个月不存在对本公司持续经营能力产生重大</w:t>
      </w:r>
      <w:r>
        <w:rPr>
          <w:spacing w:val="-81"/>
        </w:rPr>
        <w:t> </w:t>
      </w:r>
      <w:r>
        <w:rPr>
          <w:spacing w:val="-81"/>
        </w:rPr>
      </w:r>
      <w:r>
        <w:rPr/>
        <w:t>疑虑的事项或情况。</w:t>
      </w:r>
    </w:p>
    <w:p>
      <w:pPr>
        <w:pStyle w:val="Heading2"/>
        <w:spacing w:line="240" w:lineRule="auto" w:before="170"/>
        <w:ind w:right="0"/>
        <w:jc w:val="both"/>
        <w:rPr>
          <w:b w:val="0"/>
          <w:bCs w:val="0"/>
        </w:rPr>
      </w:pPr>
      <w:bookmarkStart w:name="五、重要会计政策及会计估计" w:id="172"/>
      <w:bookmarkEnd w:id="172"/>
      <w:r>
        <w:rPr>
          <w:b w:val="0"/>
          <w:bCs w:val="0"/>
        </w:rPr>
      </w:r>
      <w:r>
        <w:rPr/>
        <w:t>五、重要会计政策及会计估计</w:t>
      </w:r>
      <w:r>
        <w:rPr>
          <w:b w:val="0"/>
          <w:bCs w:val="0"/>
        </w:rPr>
      </w:r>
    </w:p>
    <w:p>
      <w:pPr>
        <w:spacing w:line="240" w:lineRule="auto" w:before="0"/>
        <w:rPr>
          <w:rFonts w:ascii="宋体" w:hAnsi="宋体" w:cs="宋体" w:eastAsia="宋体" w:hint="default"/>
          <w:b/>
          <w:bCs/>
          <w:sz w:val="24"/>
          <w:szCs w:val="24"/>
        </w:rPr>
      </w:pPr>
    </w:p>
    <w:p>
      <w:pPr>
        <w:pStyle w:val="BodyText"/>
        <w:spacing w:line="420" w:lineRule="auto" w:before="161"/>
        <w:ind w:right="7182"/>
        <w:jc w:val="left"/>
      </w:pPr>
      <w:r>
        <w:rPr/>
        <w:t>公司是否需要遵守特殊行业的披露要求 否</w:t>
      </w:r>
    </w:p>
    <w:p>
      <w:pPr>
        <w:pStyle w:val="BodyText"/>
        <w:spacing w:line="420" w:lineRule="auto" w:before="47"/>
        <w:ind w:right="7812"/>
        <w:jc w:val="left"/>
      </w:pPr>
      <w:r>
        <w:rPr/>
        <w:t>具体会计政策和会计估计提示： 无。</w:t>
      </w:r>
    </w:p>
    <w:p>
      <w:pPr>
        <w:spacing w:after="0" w:line="42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1、遵循企业会计准则的声明" w:id="173"/>
      <w:bookmarkEnd w:id="173"/>
      <w:r>
        <w:rPr>
          <w:b w:val="0"/>
          <w:bCs w:val="0"/>
        </w:rPr>
      </w:r>
      <w:r>
        <w:rPr>
          <w:rFonts w:ascii="宋体" w:hAnsi="宋体" w:cs="宋体" w:eastAsia="宋体" w:hint="default"/>
        </w:rPr>
        <w:t>1</w:t>
      </w:r>
      <w:r>
        <w:rPr/>
        <w:t>、遵循企业会计准则的声明</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0"/>
        <w:jc w:val="left"/>
      </w:pPr>
      <w:r>
        <w:rPr>
          <w:spacing w:val="-1"/>
        </w:rPr>
        <w:t>本财务报表符合企业会计准则的要求，真实、完整地反映了本公司</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日的合并及母公司财务状</w:t>
      </w:r>
      <w:r>
        <w:rPr>
          <w:spacing w:val="-81"/>
        </w:rPr>
        <w:t> </w:t>
      </w:r>
      <w:r>
        <w:rPr>
          <w:spacing w:val="-81"/>
        </w:rPr>
      </w:r>
      <w:r>
        <w:rPr/>
        <w:t>况以及</w:t>
      </w:r>
      <w:r>
        <w:rPr>
          <w:rFonts w:ascii="宋体" w:hAnsi="宋体" w:cs="宋体" w:eastAsia="宋体" w:hint="default"/>
        </w:rPr>
        <w:t>2018</w:t>
      </w:r>
      <w:r>
        <w:rPr/>
        <w:t>年度的合并及母公司经营成果和合并及母公司现金流量等有关信息。</w:t>
      </w: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bookmarkStart w:name="2、会计期间" w:id="174"/>
      <w:bookmarkEnd w:id="174"/>
      <w:r>
        <w:rPr>
          <w:b w:val="0"/>
          <w:bCs w:val="0"/>
        </w:rPr>
      </w:r>
      <w:r>
        <w:rPr>
          <w:rFonts w:ascii="宋体" w:hAnsi="宋体" w:cs="宋体" w:eastAsia="宋体" w:hint="default"/>
        </w:rPr>
        <w:t>2</w:t>
      </w:r>
      <w:r>
        <w:rPr/>
        <w:t>、会计期间</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0"/>
        <w:jc w:val="left"/>
      </w:pPr>
      <w:r>
        <w:rPr>
          <w:spacing w:val="-1"/>
        </w:rPr>
        <w:t>本公司的会计期间分为年度和中期，会计中期指短于一个完整的会计年度的报告期间。本公司会计年度采</w:t>
      </w:r>
      <w:r>
        <w:rPr>
          <w:spacing w:val="-81"/>
        </w:rPr>
        <w:t> </w:t>
      </w:r>
      <w:r>
        <w:rPr>
          <w:spacing w:val="-81"/>
        </w:rPr>
      </w:r>
      <w:r>
        <w:rPr/>
        <w:t>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bookmarkStart w:name="3、营业周期" w:id="175"/>
      <w:bookmarkEnd w:id="175"/>
      <w:r>
        <w:rPr>
          <w:b w:val="0"/>
          <w:bCs w:val="0"/>
        </w:rPr>
      </w:r>
      <w:r>
        <w:rPr>
          <w:rFonts w:ascii="宋体" w:hAnsi="宋体" w:cs="宋体" w:eastAsia="宋体" w:hint="default"/>
        </w:rPr>
        <w:t>3</w:t>
      </w:r>
      <w:r>
        <w:rPr/>
        <w:t>、营业周期</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0"/>
        <w:jc w:val="left"/>
      </w:pPr>
      <w:r>
        <w:rPr>
          <w:spacing w:val="-1"/>
        </w:rPr>
        <w:t>正常营业周期是指本公司从购买用于加工的资产起至实现现金或现金等价物的期间。本公司以</w:t>
      </w:r>
      <w:r>
        <w:rPr>
          <w:rFonts w:ascii="宋体" w:hAnsi="宋体" w:cs="宋体" w:eastAsia="宋体" w:hint="default"/>
          <w:spacing w:val="-1"/>
        </w:rPr>
        <w:t>12</w:t>
      </w:r>
      <w:r>
        <w:rPr>
          <w:spacing w:val="-1"/>
        </w:rPr>
        <w:t>个月作为</w:t>
      </w:r>
      <w:r>
        <w:rPr>
          <w:spacing w:val="-81"/>
        </w:rPr>
        <w:t> </w:t>
      </w:r>
      <w:r>
        <w:rPr>
          <w:spacing w:val="-81"/>
        </w:rPr>
      </w:r>
      <w:r>
        <w:rPr/>
        <w:t>一个营业周期，并以其作为资产和负债的流动性划分标准。</w:t>
      </w: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bookmarkStart w:name="4、记账本位币" w:id="176"/>
      <w:bookmarkEnd w:id="176"/>
      <w:r>
        <w:rPr>
          <w:b w:val="0"/>
          <w:bCs w:val="0"/>
        </w:rPr>
      </w:r>
      <w:r>
        <w:rPr>
          <w:rFonts w:ascii="宋体" w:hAnsi="宋体" w:cs="宋体" w:eastAsia="宋体" w:hint="default"/>
        </w:rPr>
        <w:t>4</w:t>
      </w:r>
      <w:r>
        <w:rPr/>
        <w:t>、记账本位币</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spacing w:line="547" w:lineRule="auto" w:before="0"/>
        <w:ind w:left="154" w:right="5586" w:firstLine="0"/>
        <w:jc w:val="left"/>
        <w:rPr>
          <w:rFonts w:ascii="宋体" w:hAnsi="宋体" w:cs="宋体" w:eastAsia="宋体" w:hint="default"/>
          <w:sz w:val="21"/>
          <w:szCs w:val="21"/>
        </w:rPr>
      </w:pPr>
      <w:r>
        <w:rPr>
          <w:rFonts w:ascii="宋体" w:hAnsi="宋体" w:cs="宋体" w:eastAsia="宋体" w:hint="default"/>
          <w:sz w:val="21"/>
          <w:szCs w:val="21"/>
        </w:rPr>
        <w:t>本公司采用人民币为记账本位币。 </w:t>
      </w:r>
      <w:bookmarkStart w:name="5、同一控制下和非同一控制下企业合并的会计处理方法" w:id="177"/>
      <w:bookmarkEnd w:id="177"/>
      <w:r>
        <w:rPr>
          <w:rFonts w:ascii="宋体" w:hAnsi="宋体" w:cs="宋体" w:eastAsia="宋体" w:hint="default"/>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3"/>
        <w:rPr>
          <w:rFonts w:ascii="宋体" w:hAnsi="宋体" w:cs="宋体" w:eastAsia="宋体" w:hint="default"/>
          <w:b/>
          <w:bCs/>
          <w:sz w:val="16"/>
          <w:szCs w:val="16"/>
        </w:rPr>
      </w:pPr>
    </w:p>
    <w:p>
      <w:pPr>
        <w:pStyle w:val="BodyText"/>
        <w:spacing w:line="420" w:lineRule="auto"/>
        <w:ind w:right="1023"/>
        <w:jc w:val="left"/>
      </w:pPr>
      <w:r>
        <w:rPr/>
        <w:t>同一控制下企业合并：本公司在企业合并中取得的资产和负债，按照合并日在被合并方资产、负债（包括 最终控制方收购被合并方而形成的商誉）在最终控制方合并财务报表中的账面价值计量。在合并中取得的 </w:t>
      </w:r>
      <w:r>
        <w:rPr>
          <w:spacing w:val="-3"/>
        </w:rPr>
        <w:t>净资产账面价值与支付的合并对价账面价值（或发行股份面值总额）的差额，调整资本公积中的股本溢价，</w:t>
      </w:r>
      <w:r>
        <w:rPr>
          <w:spacing w:val="-90"/>
        </w:rPr>
        <w:t> </w:t>
      </w:r>
      <w:r>
        <w:rPr>
          <w:spacing w:val="-90"/>
        </w:rPr>
      </w:r>
      <w:r>
        <w:rPr/>
        <w:t>资本公积中的股本溢价不足冲减的，调整留存收益。 非同一控制下企业合并：本公司在购买日对作为企业合并对价付出的资产、发生或承担的负债按照公允价</w:t>
      </w:r>
      <w:r>
        <w:rPr/>
        <w:t> 值计量，公允价值与其账面价值的差额，计入当期损益。本公司对合并成本大于合并中取得的被购买方可 辨认净资产公允价值份额的差额，确认为商誉；合并成本小于合并中取得的被购买方可辨认净资产公允价 值份额的差额，经复核后，计入当期损益。 </w:t>
      </w:r>
      <w:r>
        <w:rPr>
          <w:spacing w:val="-3"/>
        </w:rPr>
        <w:t>为企业合并发生的审计、法律服务、评估咨询等中介费用以及其他直接相关费用，于发生时计入当期损益；</w:t>
      </w:r>
      <w:r>
        <w:rPr>
          <w:spacing w:val="-90"/>
        </w:rPr>
        <w:t> </w:t>
      </w:r>
      <w:r>
        <w:rPr>
          <w:spacing w:val="-90"/>
        </w:rPr>
      </w:r>
      <w:r>
        <w:rPr/>
        <w:t>为企业合并而发行权益性证券的交易费用，冲减权益。</w:t>
      </w: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bookmarkStart w:name="6、合并财务报表的编制方法" w:id="178"/>
      <w:bookmarkEnd w:id="178"/>
      <w:r>
        <w:rPr>
          <w:b w:val="0"/>
          <w:bCs w:val="0"/>
        </w:rPr>
      </w:r>
      <w:r>
        <w:rPr>
          <w:rFonts w:ascii="宋体" w:hAnsi="宋体" w:cs="宋体" w:eastAsia="宋体" w:hint="default"/>
        </w:rPr>
        <w:t>6</w:t>
      </w:r>
      <w:r>
        <w:rPr/>
        <w:t>、合并财务报表的编制方法</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w:t>
      </w:r>
      <w:r>
        <w:rPr>
          <w:rFonts w:ascii="宋体" w:hAnsi="宋体" w:cs="宋体" w:eastAsia="宋体" w:hint="default"/>
        </w:rPr>
        <w:t>1</w:t>
      </w:r>
      <w:r>
        <w:rPr/>
        <w:t>）合并范围</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0"/>
        <w:jc w:val="left"/>
      </w:pPr>
      <w:r>
        <w:rPr>
          <w:spacing w:val="-1"/>
        </w:rPr>
        <w:t>本公司合并财务报表的合并范围以控制为基础确定，所有子公司（包括本公司所控制的被投资方可分割的</w:t>
      </w:r>
      <w:r>
        <w:rPr>
          <w:spacing w:val="-81"/>
        </w:rPr>
        <w:t> </w:t>
      </w:r>
      <w:r>
        <w:rPr>
          <w:spacing w:val="-81"/>
        </w:rPr>
      </w:r>
      <w:r>
        <w:rPr/>
        <w:t>部分）均纳入合并财务报表。</w:t>
      </w:r>
    </w:p>
    <w:p>
      <w:pPr>
        <w:pStyle w:val="BodyText"/>
        <w:spacing w:line="420" w:lineRule="auto" w:before="47"/>
        <w:ind w:right="0"/>
        <w:jc w:val="left"/>
      </w:pPr>
      <w:r>
        <w:rPr/>
        <w:t>（</w:t>
      </w:r>
      <w:r>
        <w:rPr>
          <w:rFonts w:ascii="宋体" w:hAnsi="宋体" w:cs="宋体" w:eastAsia="宋体" w:hint="default"/>
        </w:rPr>
        <w:t>2</w:t>
      </w:r>
      <w:r>
        <w:rPr/>
        <w:t>）合并程序 </w:t>
      </w:r>
      <w:r>
        <w:rPr>
          <w:spacing w:val="-1"/>
        </w:rPr>
        <w:t>本公司以自身和各子公司的财务报表为基础，根据其他有关资料，编制合并财务报表。本公司编制合并财</w:t>
      </w:r>
      <w:r>
        <w:rPr>
          <w:spacing w:val="-83"/>
        </w:rPr>
        <w:t> </w:t>
      </w:r>
      <w:r>
        <w:rPr>
          <w:spacing w:val="-83"/>
        </w:rPr>
      </w:r>
      <w:r>
        <w:rPr>
          <w:spacing w:val="-1"/>
        </w:rPr>
        <w:t>务报表，将整个企业集团视为一个会计主体，依据相关企业会计准则的确认、计量和列报要求，按照统一</w:t>
      </w:r>
      <w:r>
        <w:rPr>
          <w:spacing w:val="-86"/>
        </w:rPr>
        <w:t> </w:t>
      </w:r>
      <w:r>
        <w:rPr>
          <w:spacing w:val="-86"/>
        </w:rPr>
      </w:r>
      <w:r>
        <w:rPr/>
        <w:t>的会计政策，反映本企业集团整体财务状况、经营成果和现金流量。 </w:t>
      </w:r>
      <w:r>
        <w:rPr>
          <w:spacing w:val="-1"/>
        </w:rPr>
        <w:t>所有纳入合并财务报表合并范围的子公司所采用的会计政策、会计期间与本公司一致，如子公司采用的会</w:t>
      </w:r>
      <w:r>
        <w:rPr>
          <w:spacing w:val="-81"/>
        </w:rPr>
        <w:t> </w:t>
      </w:r>
      <w:r>
        <w:rPr>
          <w:spacing w:val="-81"/>
        </w:rPr>
      </w:r>
      <w:r>
        <w:rPr>
          <w:spacing w:val="-1"/>
        </w:rPr>
        <w:t>计政策、会计期间与本公司不一致的，在编制合并财务报表时，按本公司的会计政策、会计期间进行必要</w:t>
      </w:r>
      <w:r>
        <w:rPr>
          <w:spacing w:val="-86"/>
        </w:rPr>
        <w:t> </w:t>
      </w:r>
      <w:r>
        <w:rPr>
          <w:spacing w:val="-86"/>
        </w:rPr>
      </w:r>
      <w:r>
        <w:rPr>
          <w:spacing w:val="-1"/>
        </w:rPr>
        <w:t>的调整。对于非同一控制下企业合并取得的子公司，以购买日可辨认净资产公允价值为基础对其财务报表</w:t>
      </w:r>
      <w:r>
        <w:rPr>
          <w:spacing w:val="-81"/>
        </w:rPr>
        <w:t> </w:t>
      </w:r>
      <w:r>
        <w:rPr>
          <w:spacing w:val="-81"/>
        </w:rPr>
      </w:r>
      <w:r>
        <w:rPr>
          <w:spacing w:val="-1"/>
        </w:rPr>
        <w:t>进行调整。对于同一控制下企业合并取得的子公司，以其资产、负债（包括最终控制方收购该子公司而形</w:t>
      </w:r>
      <w:r>
        <w:rPr>
          <w:spacing w:val="-86"/>
        </w:rPr>
        <w:t> </w:t>
      </w:r>
      <w:r>
        <w:rPr>
          <w:spacing w:val="-86"/>
        </w:rPr>
      </w:r>
      <w:r>
        <w:rPr/>
        <w:t>成的商誉）在最终控制方财务报表中的账面价值为基础对其财务报表进行调整。 </w:t>
      </w:r>
      <w:r>
        <w:rPr>
          <w:spacing w:val="-1"/>
        </w:rPr>
        <w:t>子公司所有者权益、当期净损益和当期综合收益中属于少数股东的份额分别在合并资产负债表中所有者权</w:t>
      </w:r>
      <w:r>
        <w:rPr>
          <w:spacing w:val="-81"/>
        </w:rPr>
        <w:t> </w:t>
      </w:r>
      <w:r>
        <w:rPr>
          <w:spacing w:val="-81"/>
        </w:rPr>
      </w:r>
      <w:r>
        <w:rPr>
          <w:spacing w:val="-1"/>
        </w:rPr>
        <w:t>益项目下、合并利润表中净利润项目下和综合收益总额项目下单独列示。子公司少数股东分担的当期亏损</w:t>
      </w:r>
      <w:r>
        <w:rPr>
          <w:spacing w:val="-81"/>
        </w:rPr>
        <w:t> </w:t>
      </w:r>
      <w:r>
        <w:rPr>
          <w:spacing w:val="-81"/>
        </w:rPr>
      </w:r>
      <w:r>
        <w:rPr/>
        <w:t>超过了少数股东在该子公司期初所有者权益中所享有份额而形成的余额，冲减少数股东权益。</w:t>
      </w:r>
    </w:p>
    <w:p>
      <w:pPr>
        <w:pStyle w:val="BodyText"/>
        <w:spacing w:line="420" w:lineRule="auto" w:before="48"/>
        <w:ind w:right="1092"/>
        <w:jc w:val="left"/>
      </w:pPr>
      <w:r>
        <w:rPr/>
        <w:t>①增加子公司或业务 </w:t>
      </w:r>
      <w:r>
        <w:rPr>
          <w:spacing w:val="-1"/>
        </w:rPr>
        <w:t>在报告期内，若因同一控制下企业合并增加子公司或业务的，则调整合并资产负债表的期初数；将子公司</w:t>
      </w:r>
      <w:r>
        <w:rPr>
          <w:spacing w:val="-82"/>
        </w:rPr>
        <w:t> </w:t>
      </w:r>
      <w:r>
        <w:rPr>
          <w:spacing w:val="-82"/>
        </w:rPr>
      </w:r>
      <w:r>
        <w:rPr>
          <w:spacing w:val="-1"/>
        </w:rPr>
        <w:t>或业务合并当期期初至报告期末的收入、费用、利润纳入合并利润表；将子公司或业务合并当期期初至报</w:t>
      </w:r>
      <w:r>
        <w:rPr>
          <w:spacing w:val="-83"/>
        </w:rPr>
        <w:t> </w:t>
      </w:r>
      <w:r>
        <w:rPr>
          <w:spacing w:val="-83"/>
        </w:rPr>
      </w:r>
      <w:r>
        <w:rPr>
          <w:spacing w:val="-1"/>
        </w:rPr>
        <w:t>告期末的现金流量纳入合并现金流量表，同时对比较报表的相关项目进行调整，视同合并后的报告主体自</w:t>
      </w:r>
      <w:r>
        <w:rPr>
          <w:spacing w:val="-81"/>
        </w:rPr>
        <w:t> </w:t>
      </w:r>
      <w:r>
        <w:rPr>
          <w:spacing w:val="-81"/>
        </w:rPr>
      </w:r>
      <w:r>
        <w:rPr/>
        <w:t>最终控制方开始控制时点起一直存在。 </w:t>
      </w:r>
      <w:r>
        <w:rPr>
          <w:spacing w:val="-1"/>
        </w:rPr>
        <w:t>因追加投资等原因能够对同一控制下的被投资方实施控制的，视同参与合并的各方在最终控制方开始控制</w:t>
      </w:r>
      <w:r>
        <w:rPr>
          <w:spacing w:val="-81"/>
        </w:rPr>
        <w:t> </w:t>
      </w:r>
      <w:r>
        <w:rPr>
          <w:spacing w:val="-81"/>
        </w:rPr>
      </w:r>
      <w:r>
        <w:rPr>
          <w:spacing w:val="-1"/>
        </w:rPr>
        <w:t>时即以目前的状态存在进行调整。在取得被合并方控制权之前持有的股权投资，在取得原股权之日与合并</w:t>
      </w:r>
      <w:r>
        <w:rPr>
          <w:spacing w:val="-81"/>
        </w:rPr>
        <w:t> </w:t>
      </w:r>
      <w:r>
        <w:rPr>
          <w:spacing w:val="-81"/>
        </w:rPr>
      </w:r>
      <w:r>
        <w:rPr>
          <w:spacing w:val="-1"/>
        </w:rPr>
        <w:t>方和被合并方同处于同一控制之日孰晚日起至合并日之间已确认有关损益、其他综合收益以及其他净资产</w:t>
      </w:r>
      <w:r>
        <w:rPr>
          <w:spacing w:val="-81"/>
        </w:rPr>
        <w:t> </w:t>
      </w:r>
      <w:r>
        <w:rPr>
          <w:spacing w:val="-81"/>
        </w:rPr>
      </w:r>
      <w:r>
        <w:rPr/>
        <w:t>变动，分别冲减比较报表期间的期初留存收益或当期损益。 </w:t>
      </w:r>
      <w:r>
        <w:rPr>
          <w:spacing w:val="-1"/>
        </w:rPr>
        <w:t>在报告期内，若因非同一控制下企业合并增加子公司或业务的，则不调整合并资产负债表期初数；将该子</w:t>
      </w:r>
      <w:r>
        <w:rPr>
          <w:spacing w:val="-83"/>
        </w:rPr>
        <w:t> </w:t>
      </w:r>
      <w:r>
        <w:rPr>
          <w:spacing w:val="-83"/>
        </w:rPr>
      </w:r>
      <w:r>
        <w:rPr>
          <w:spacing w:val="-1"/>
        </w:rPr>
        <w:t>公司或业务自购买日至报告期末的收入、费用、利润纳入合并利润表；该子公司或业务自购买日至报告期</w:t>
      </w:r>
      <w:r>
        <w:rPr>
          <w:spacing w:val="-83"/>
        </w:rPr>
        <w:t> </w:t>
      </w:r>
      <w:r>
        <w:rPr>
          <w:spacing w:val="-83"/>
        </w:rPr>
      </w:r>
      <w:r>
        <w:rPr/>
        <w:t>末的现金流量纳入合并现金流量表。 因追加投资等原因能够对非同一控制下的被投资方实施控制的，对于购买日之前持有的被购买方的股权， 本公司按照该股权在购买日的公允价值进行重新计量，公允价值与其账面价值的差额计入当期投资收益。 </w:t>
      </w:r>
      <w:r>
        <w:rPr>
          <w:spacing w:val="-1"/>
        </w:rPr>
        <w:t>购买日之前持有的被购买方的股权涉及权益法核算下的其他综合收益以及除净损益、其他综合收益和利润</w:t>
      </w:r>
    </w:p>
    <w:p>
      <w:pPr>
        <w:spacing w:after="0" w:line="42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0"/>
        <w:jc w:val="left"/>
      </w:pPr>
      <w:r>
        <w:rPr>
          <w:spacing w:val="-1"/>
        </w:rPr>
        <w:t>分配之外的其他所有者权益变动的，与其相关的其他综合收益、其他所有者权益变动转为购买日所属当期</w:t>
      </w:r>
      <w:r>
        <w:rPr>
          <w:spacing w:val="-81"/>
        </w:rPr>
        <w:t> </w:t>
      </w:r>
      <w:r>
        <w:rPr>
          <w:spacing w:val="-81"/>
        </w:rPr>
      </w:r>
      <w:r>
        <w:rPr/>
        <w:t>投资收益，由于被投资方重新计量设定受益计划净负债或净资产变动而产生的其他综合收益除外。</w:t>
      </w:r>
    </w:p>
    <w:p>
      <w:pPr>
        <w:pStyle w:val="BodyText"/>
        <w:spacing w:line="420" w:lineRule="auto" w:before="47"/>
        <w:ind w:right="8862"/>
        <w:jc w:val="left"/>
      </w:pPr>
      <w:r>
        <w:rPr/>
        <w:t>②处置子公司或业务 </w:t>
      </w:r>
      <w:r>
        <w:rPr>
          <w:rFonts w:ascii="宋体" w:hAnsi="宋体" w:cs="宋体" w:eastAsia="宋体" w:hint="default"/>
        </w:rPr>
        <w:t>A.</w:t>
      </w:r>
      <w:r>
        <w:rPr/>
        <w:t>一般处理方法</w:t>
      </w:r>
    </w:p>
    <w:p>
      <w:pPr>
        <w:pStyle w:val="BodyText"/>
        <w:spacing w:line="420" w:lineRule="auto" w:before="47"/>
        <w:ind w:right="1092"/>
        <w:jc w:val="left"/>
      </w:pPr>
      <w:r>
        <w:rPr>
          <w:spacing w:val="-1"/>
        </w:rPr>
        <w:t>在报告期内，本公司处置子公司或业务，则该子公司或业务期初至处置日的收入、费用、利润纳入合并利</w:t>
      </w:r>
      <w:r>
        <w:rPr>
          <w:spacing w:val="-86"/>
        </w:rPr>
        <w:t> </w:t>
      </w:r>
      <w:r>
        <w:rPr>
          <w:spacing w:val="-86"/>
        </w:rPr>
      </w:r>
      <w:r>
        <w:rPr/>
        <w:t>润表；该子公司或业务期初至处置日的现金流量纳入合并现金流量表。 </w:t>
      </w:r>
      <w:r>
        <w:rPr>
          <w:spacing w:val="-1"/>
        </w:rPr>
        <w:t>因处置部分股权投资或其他原因丧失了对被投资方控制权时，对于处置后的剩余股权投资，本公司按照其</w:t>
      </w:r>
      <w:r>
        <w:rPr>
          <w:spacing w:val="-81"/>
        </w:rPr>
        <w:t> </w:t>
      </w:r>
      <w:r>
        <w:rPr>
          <w:spacing w:val="-81"/>
        </w:rPr>
      </w:r>
      <w:r>
        <w:rPr>
          <w:spacing w:val="-1"/>
        </w:rPr>
        <w:t>在丧失控制权日的公允价值进行重新计量。处置股权取得的对价与剩余股权公允价值之和，减去按原持股</w:t>
      </w:r>
      <w:r>
        <w:rPr>
          <w:spacing w:val="-81"/>
        </w:rPr>
        <w:t> </w:t>
      </w:r>
      <w:r>
        <w:rPr>
          <w:spacing w:val="-81"/>
        </w:rPr>
      </w:r>
      <w:r>
        <w:rPr>
          <w:spacing w:val="-1"/>
        </w:rPr>
        <w:t>比例计算应享有原有子公司自购买日或合并日开始持续计算的净资产的份额与商誉之和的差额，计入丧失</w:t>
      </w:r>
      <w:r>
        <w:rPr>
          <w:spacing w:val="-81"/>
        </w:rPr>
        <w:t> </w:t>
      </w:r>
      <w:r>
        <w:rPr>
          <w:spacing w:val="-81"/>
        </w:rPr>
      </w:r>
      <w:r>
        <w:rPr>
          <w:spacing w:val="-1"/>
        </w:rPr>
        <w:t>控制权当期的投资收益。与原有子公司股权投资相关的其他综合收益或除净损益、其他综合收益及利润分</w:t>
      </w:r>
      <w:r>
        <w:rPr>
          <w:spacing w:val="-81"/>
        </w:rPr>
        <w:t> </w:t>
      </w:r>
      <w:r>
        <w:rPr>
          <w:spacing w:val="-81"/>
        </w:rPr>
      </w:r>
      <w:r>
        <w:rPr>
          <w:spacing w:val="-1"/>
        </w:rPr>
        <w:t>配之外的其他所有者权益变动，在丧失控制权时转为当期投资收益，由于被投资方重新计量设定受益计划</w:t>
      </w:r>
      <w:r>
        <w:rPr>
          <w:spacing w:val="-81"/>
        </w:rPr>
        <w:t> </w:t>
      </w:r>
      <w:r>
        <w:rPr>
          <w:spacing w:val="-81"/>
        </w:rPr>
      </w:r>
      <w:r>
        <w:rPr/>
        <w:t>净负债或净资产变动而产生的其他综合收益除外。 因其他投资方对子公司增资而导致本公司持股比例下降从而丧失控制权的，按照上述原则进行会计处理。 </w:t>
      </w:r>
      <w:r>
        <w:rPr>
          <w:rFonts w:ascii="宋体" w:hAnsi="宋体" w:cs="宋体" w:eastAsia="宋体" w:hint="default"/>
        </w:rPr>
        <w:t>B.</w:t>
      </w:r>
      <w:r>
        <w:rPr/>
        <w:t>分步处置子公司 通过多次交易分步处置对子公司股权投资直至丧失控制权的，处置对子公司股权投资的各项交易的条款、 条件以及经济影响符合以下一种或多种情况，通常表明应将多次交易事项作为一揽子交易进行会计处理： ⅰ．这些交易是同时或者在考虑了彼此影响的情况下订立的； ⅱ．这些交易整体才能达成一项完整的商业结果；</w:t>
      </w:r>
    </w:p>
    <w:p>
      <w:pPr>
        <w:pStyle w:val="BodyText"/>
        <w:spacing w:line="420" w:lineRule="auto" w:before="47"/>
        <w:ind w:right="0"/>
        <w:jc w:val="left"/>
      </w:pPr>
      <w:r>
        <w:rPr/>
        <w:t>ⅲ．一项交易的发生取决于其他至少一项交易的发生； ⅳ．一项交易单独看是不经济的，但是和其他交易一并考虑时是经济的。 </w:t>
      </w:r>
      <w:r>
        <w:rPr>
          <w:spacing w:val="-1"/>
        </w:rPr>
        <w:t>处置对子公司股权投资直至丧失控制权的各项交易属于一揽子交易的，本公司将各项交易作为一项处置子</w:t>
      </w:r>
      <w:r>
        <w:rPr>
          <w:spacing w:val="-81"/>
        </w:rPr>
        <w:t> </w:t>
      </w:r>
      <w:r>
        <w:rPr>
          <w:spacing w:val="-81"/>
        </w:rPr>
      </w:r>
      <w:r>
        <w:rPr>
          <w:spacing w:val="-1"/>
        </w:rPr>
        <w:t>公司并丧失控制权的交易进行会计处理；但是，在丧失控制权之前每一次处置价款与处置投资对应的享有</w:t>
      </w:r>
      <w:r>
        <w:rPr>
          <w:spacing w:val="-81"/>
        </w:rPr>
        <w:t> </w:t>
      </w:r>
      <w:r>
        <w:rPr>
          <w:spacing w:val="-81"/>
        </w:rPr>
      </w:r>
      <w:r>
        <w:rPr>
          <w:spacing w:val="-1"/>
        </w:rPr>
        <w:t>该子公司净资产份额的差额，在合并财务报表中确认为其他综合收益，在丧失控制权时一并转入丧失控制</w:t>
      </w:r>
      <w:r>
        <w:rPr>
          <w:spacing w:val="-81"/>
        </w:rPr>
        <w:t> </w:t>
      </w:r>
      <w:r>
        <w:rPr>
          <w:spacing w:val="-81"/>
        </w:rPr>
      </w:r>
      <w:r>
        <w:rPr/>
        <w:t>权当期的损益。 </w:t>
      </w:r>
      <w:r>
        <w:rPr>
          <w:spacing w:val="-1"/>
        </w:rPr>
        <w:t>处置对子公司股权投资直至丧失控制权的各项交易不属于一揽子交易的，在丧失控制权之前，按不丧失控</w:t>
      </w:r>
      <w:r>
        <w:rPr>
          <w:spacing w:val="-81"/>
        </w:rPr>
        <w:t> </w:t>
      </w:r>
      <w:r>
        <w:rPr>
          <w:spacing w:val="-81"/>
        </w:rPr>
      </w:r>
      <w:r>
        <w:rPr>
          <w:spacing w:val="-1"/>
        </w:rPr>
        <w:t>制权的情况下部分处置对子公司的股权投资的相关政策进行会计处理；在丧失控制权时，按处置子公司一</w:t>
      </w:r>
      <w:r>
        <w:rPr>
          <w:spacing w:val="-81"/>
        </w:rPr>
        <w:t> </w:t>
      </w:r>
      <w:r>
        <w:rPr>
          <w:spacing w:val="-81"/>
        </w:rPr>
      </w:r>
      <w:r>
        <w:rPr/>
        <w:t>般处理方法进行会计处理。</w:t>
      </w:r>
    </w:p>
    <w:p>
      <w:pPr>
        <w:pStyle w:val="BodyText"/>
        <w:spacing w:line="240" w:lineRule="auto" w:before="47"/>
        <w:ind w:right="0"/>
        <w:jc w:val="left"/>
      </w:pPr>
      <w:r>
        <w:rPr/>
        <w:t>③购买子公司少数股权</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131"/>
        <w:jc w:val="both"/>
      </w:pPr>
      <w:r>
        <w:rPr>
          <w:spacing w:val="3"/>
        </w:rPr>
        <w:t>本公司因购买少数股权新取得的长期股权投资与按照新增持股比例计算应享有子公司自购买日（或合并</w:t>
      </w:r>
      <w:r>
        <w:rPr>
          <w:spacing w:val="-82"/>
        </w:rPr>
        <w:t> </w:t>
      </w:r>
      <w:r>
        <w:rPr>
          <w:spacing w:val="-82"/>
        </w:rPr>
      </w:r>
      <w:r>
        <w:rPr>
          <w:spacing w:val="-1"/>
        </w:rPr>
        <w:t>日）开始持续计算的净资产份额之间的差额，调整合并资产负债表中的资本公积中的股本溢价，资本公积</w:t>
      </w:r>
      <w:r>
        <w:rPr>
          <w:spacing w:val="-83"/>
        </w:rPr>
        <w:t> </w:t>
      </w:r>
      <w:r>
        <w:rPr>
          <w:spacing w:val="-83"/>
        </w:rPr>
      </w:r>
      <w:r>
        <w:rPr/>
        <w:t>中的股本溢价不足冲减的，调整留存收益。</w:t>
      </w:r>
    </w:p>
    <w:p>
      <w:pPr>
        <w:pStyle w:val="BodyText"/>
        <w:spacing w:line="420" w:lineRule="auto" w:before="48"/>
        <w:ind w:right="0"/>
        <w:jc w:val="left"/>
      </w:pPr>
      <w:r>
        <w:rPr/>
        <w:t>④不丧失控制权的情况下部分处置对子公司的股权投资 </w:t>
      </w:r>
      <w:r>
        <w:rPr>
          <w:spacing w:val="3"/>
        </w:rPr>
        <w:t>在不丧失控制权的情况下因部分处置对子公司的长期股权投资而取得的处置价款与处置长期股权投资相</w:t>
      </w:r>
      <w:r>
        <w:rPr>
          <w:spacing w:val="-82"/>
        </w:rPr>
        <w:t> </w:t>
      </w:r>
      <w:r>
        <w:rPr>
          <w:spacing w:val="-82"/>
        </w:rPr>
      </w:r>
      <w:r>
        <w:rPr>
          <w:spacing w:val="-1"/>
        </w:rPr>
        <w:t>对应享有子公司自购买日或合并日开始持续计算的净资产份额之间的差额，调整合并资产负债表中的资本</w:t>
      </w:r>
      <w:r>
        <w:rPr>
          <w:spacing w:val="-81"/>
        </w:rPr>
        <w:t> </w:t>
      </w:r>
      <w:r>
        <w:rPr>
          <w:spacing w:val="-81"/>
        </w:rPr>
      </w:r>
      <w:r>
        <w:rPr/>
        <w:t>公积中的股本溢价，资本公积中的股本溢价不足冲减的，调整留存收益。</w:t>
      </w:r>
    </w:p>
    <w:p>
      <w:pPr>
        <w:spacing w:line="240" w:lineRule="auto" w:before="11"/>
        <w:rPr>
          <w:rFonts w:ascii="宋体" w:hAnsi="宋体" w:cs="宋体" w:eastAsia="宋体" w:hint="default"/>
          <w:sz w:val="14"/>
          <w:szCs w:val="14"/>
        </w:rPr>
      </w:pPr>
    </w:p>
    <w:p>
      <w:pPr>
        <w:pStyle w:val="Heading4"/>
        <w:spacing w:line="240" w:lineRule="auto"/>
        <w:ind w:right="0"/>
        <w:jc w:val="both"/>
        <w:rPr>
          <w:b w:val="0"/>
          <w:bCs w:val="0"/>
        </w:rPr>
      </w:pPr>
      <w:bookmarkStart w:name="7、合营安排分类及共同经营会计处理方法" w:id="179"/>
      <w:bookmarkEnd w:id="179"/>
      <w:r>
        <w:rPr>
          <w:b w:val="0"/>
          <w:bCs w:val="0"/>
        </w:rPr>
      </w:r>
      <w:r>
        <w:rPr>
          <w:rFonts w:ascii="宋体" w:hAnsi="宋体" w:cs="宋体" w:eastAsia="宋体" w:hint="default"/>
        </w:rPr>
        <w:t>7</w:t>
      </w:r>
      <w:r>
        <w:rPr/>
        <w:t>、合营安排分类及共同经营会计处理方法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1512"/>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47"/>
        <w:ind w:right="0"/>
        <w:jc w:val="both"/>
      </w:pPr>
      <w:r>
        <w:rPr/>
        <w:t>（</w:t>
      </w:r>
      <w:r>
        <w:rPr>
          <w:rFonts w:ascii="宋体" w:hAnsi="宋体" w:cs="宋体" w:eastAsia="宋体" w:hint="default"/>
        </w:rPr>
        <w:t>1</w:t>
      </w:r>
      <w:r>
        <w:rPr/>
        <w:t>）确认本公司单独所持有的资产，以及按本公司份额确认共同持有的资产；</w:t>
      </w:r>
    </w:p>
    <w:p>
      <w:pPr>
        <w:spacing w:line="240" w:lineRule="auto" w:before="9"/>
        <w:rPr>
          <w:rFonts w:ascii="宋体" w:hAnsi="宋体" w:cs="宋体" w:eastAsia="宋体" w:hint="default"/>
          <w:sz w:val="15"/>
          <w:szCs w:val="15"/>
        </w:rPr>
      </w:pPr>
    </w:p>
    <w:p>
      <w:pPr>
        <w:pStyle w:val="BodyText"/>
        <w:spacing w:line="240" w:lineRule="auto"/>
        <w:ind w:right="0"/>
        <w:jc w:val="both"/>
      </w:pPr>
      <w:r>
        <w:rPr/>
        <w:t>（</w:t>
      </w:r>
      <w:r>
        <w:rPr>
          <w:rFonts w:ascii="宋体" w:hAnsi="宋体" w:cs="宋体" w:eastAsia="宋体" w:hint="default"/>
        </w:rPr>
        <w:t>2</w:t>
      </w:r>
      <w:r>
        <w:rPr/>
        <w:t>）确认本公司单独所承担的负债，以及按本公司份额确认共同承担的负债；</w:t>
      </w:r>
    </w:p>
    <w:p>
      <w:pPr>
        <w:spacing w:line="240" w:lineRule="auto" w:before="9"/>
        <w:rPr>
          <w:rFonts w:ascii="宋体" w:hAnsi="宋体" w:cs="宋体" w:eastAsia="宋体" w:hint="default"/>
          <w:sz w:val="15"/>
          <w:szCs w:val="15"/>
        </w:rPr>
      </w:pPr>
    </w:p>
    <w:p>
      <w:pPr>
        <w:pStyle w:val="BodyText"/>
        <w:spacing w:line="240" w:lineRule="auto"/>
        <w:ind w:right="0"/>
        <w:jc w:val="both"/>
      </w:pPr>
      <w:r>
        <w:rPr/>
        <w:t>（</w:t>
      </w:r>
      <w:r>
        <w:rPr>
          <w:rFonts w:ascii="宋体" w:hAnsi="宋体" w:cs="宋体" w:eastAsia="宋体" w:hint="default"/>
        </w:rPr>
        <w:t>3</w:t>
      </w:r>
      <w:r>
        <w:rPr/>
        <w:t>）确认出售本公司享有的共同经营产出份额所产生的收入；</w:t>
      </w:r>
    </w:p>
    <w:p>
      <w:pPr>
        <w:spacing w:line="240" w:lineRule="auto" w:before="9"/>
        <w:rPr>
          <w:rFonts w:ascii="宋体" w:hAnsi="宋体" w:cs="宋体" w:eastAsia="宋体" w:hint="default"/>
          <w:sz w:val="15"/>
          <w:szCs w:val="15"/>
        </w:rPr>
      </w:pPr>
    </w:p>
    <w:p>
      <w:pPr>
        <w:pStyle w:val="BodyText"/>
        <w:spacing w:line="240" w:lineRule="auto"/>
        <w:ind w:right="0"/>
        <w:jc w:val="both"/>
      </w:pPr>
      <w:r>
        <w:rPr/>
        <w:t>（</w:t>
      </w:r>
      <w:r>
        <w:rPr>
          <w:rFonts w:ascii="宋体" w:hAnsi="宋体" w:cs="宋体" w:eastAsia="宋体" w:hint="default"/>
        </w:rPr>
        <w:t>4</w:t>
      </w:r>
      <w:r>
        <w:rPr/>
        <w:t>）按本公司份额确认共同经营因出售产出所产生的收入；</w:t>
      </w:r>
    </w:p>
    <w:p>
      <w:pPr>
        <w:spacing w:line="240" w:lineRule="auto" w:before="9"/>
        <w:rPr>
          <w:rFonts w:ascii="宋体" w:hAnsi="宋体" w:cs="宋体" w:eastAsia="宋体" w:hint="default"/>
          <w:sz w:val="15"/>
          <w:szCs w:val="15"/>
        </w:rPr>
      </w:pPr>
    </w:p>
    <w:p>
      <w:pPr>
        <w:spacing w:line="547" w:lineRule="auto" w:before="0"/>
        <w:ind w:left="154" w:right="13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）确认单独所发生的费用，以及按本公司份额确认共同经营发生的费用。 </w:t>
      </w:r>
      <w:bookmarkStart w:name="8、现金及现金等价物的确定标准" w:id="180"/>
      <w:bookmarkEnd w:id="180"/>
      <w:r>
        <w:rPr>
          <w:rFonts w:ascii="宋体" w:hAnsi="宋体" w:cs="宋体" w:eastAsia="宋体" w:hint="default"/>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13"/>
        <w:rPr>
          <w:rFonts w:ascii="宋体" w:hAnsi="宋体" w:cs="宋体" w:eastAsia="宋体" w:hint="default"/>
          <w:b/>
          <w:bCs/>
          <w:sz w:val="16"/>
          <w:szCs w:val="16"/>
        </w:rPr>
      </w:pPr>
    </w:p>
    <w:p>
      <w:pPr>
        <w:pStyle w:val="BodyText"/>
        <w:spacing w:line="420" w:lineRule="auto"/>
        <w:ind w:right="1130"/>
        <w:jc w:val="both"/>
      </w:pPr>
      <w:r>
        <w:rPr>
          <w:spacing w:val="-5"/>
        </w:rPr>
        <w:t>在编制现金流量表时，将本公司库存现金以及可以随时用于支付的存款确认为现金。将同时具备期限短（从</w:t>
      </w:r>
      <w:r>
        <w:rPr>
          <w:spacing w:val="-101"/>
        </w:rPr>
        <w:t> </w:t>
      </w:r>
      <w:r>
        <w:rPr>
          <w:spacing w:val="-101"/>
        </w:rPr>
      </w:r>
      <w:r>
        <w:rPr>
          <w:spacing w:val="-1"/>
        </w:rPr>
        <w:t>购买日起三个月内到期）、流动性强、易于转换为已知现金、价值变动风险很小四个条件的投资，确定为</w:t>
      </w:r>
      <w:r>
        <w:rPr>
          <w:spacing w:val="-83"/>
        </w:rPr>
        <w:t> </w:t>
      </w:r>
      <w:r>
        <w:rPr>
          <w:spacing w:val="-83"/>
        </w:rPr>
      </w:r>
      <w:r>
        <w:rPr/>
        <w:t>现金等价物。</w:t>
      </w:r>
    </w:p>
    <w:p>
      <w:pPr>
        <w:spacing w:line="240" w:lineRule="auto" w:before="11"/>
        <w:rPr>
          <w:rFonts w:ascii="宋体" w:hAnsi="宋体" w:cs="宋体" w:eastAsia="宋体" w:hint="default"/>
          <w:sz w:val="14"/>
          <w:szCs w:val="14"/>
        </w:rPr>
      </w:pPr>
    </w:p>
    <w:p>
      <w:pPr>
        <w:pStyle w:val="Heading4"/>
        <w:spacing w:line="240" w:lineRule="auto"/>
        <w:ind w:right="0"/>
        <w:jc w:val="both"/>
        <w:rPr>
          <w:b w:val="0"/>
          <w:bCs w:val="0"/>
        </w:rPr>
      </w:pPr>
      <w:bookmarkStart w:name="9、外币业务和外币报表折算" w:id="181"/>
      <w:bookmarkEnd w:id="181"/>
      <w:r>
        <w:rPr>
          <w:b w:val="0"/>
          <w:bCs w:val="0"/>
        </w:rPr>
      </w:r>
      <w:r>
        <w:rPr>
          <w:rFonts w:ascii="宋体" w:hAnsi="宋体" w:cs="宋体" w:eastAsia="宋体" w:hint="default"/>
        </w:rPr>
        <w:t>9</w:t>
      </w:r>
      <w:r>
        <w:rPr/>
        <w:t>、外币业务和外币报表折算</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3192"/>
        <w:jc w:val="left"/>
      </w:pPr>
      <w:r>
        <w:rPr/>
        <w:t>（</w:t>
      </w:r>
      <w:r>
        <w:rPr>
          <w:rFonts w:ascii="宋体" w:hAnsi="宋体" w:cs="宋体" w:eastAsia="宋体" w:hint="default"/>
        </w:rPr>
        <w:t>1</w:t>
      </w:r>
      <w:r>
        <w:rPr/>
        <w:t>）外币业务 外币业务采用交易发生日的即期汇率作为折算汇率将外币金额折合成人民币记账。</w:t>
      </w:r>
    </w:p>
    <w:p>
      <w:pPr>
        <w:pStyle w:val="BodyText"/>
        <w:spacing w:line="420" w:lineRule="auto" w:before="48"/>
        <w:ind w:right="1130"/>
        <w:jc w:val="both"/>
      </w:pPr>
      <w:r>
        <w:rPr>
          <w:spacing w:val="-1"/>
        </w:rPr>
        <w:t>资产负债表日外币货币性项目余额按资产负债表日即期汇率折算，由此产生的汇兑差额，除属于与购建符</w:t>
      </w:r>
      <w:r>
        <w:rPr>
          <w:spacing w:val="-81"/>
        </w:rPr>
        <w:t> </w:t>
      </w:r>
      <w:r>
        <w:rPr>
          <w:spacing w:val="-81"/>
        </w:rPr>
      </w:r>
      <w:r>
        <w:rPr>
          <w:spacing w:val="-1"/>
        </w:rPr>
        <w:t>合资本化条件的资产相关的外币专门借款产生的汇兑差额按照借款费用资本化的原则处理外，均计入当期</w:t>
      </w:r>
      <w:r>
        <w:rPr>
          <w:spacing w:val="-80"/>
        </w:rPr>
        <w:t> </w:t>
      </w:r>
      <w:r>
        <w:rPr>
          <w:spacing w:val="-80"/>
        </w:rPr>
      </w:r>
      <w:r>
        <w:rPr/>
        <w:t>损益。</w:t>
      </w:r>
    </w:p>
    <w:p>
      <w:pPr>
        <w:spacing w:after="0" w:line="420"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092"/>
        <w:jc w:val="left"/>
      </w:pPr>
      <w:r>
        <w:rPr/>
        <w:t>（</w:t>
      </w:r>
      <w:r>
        <w:rPr>
          <w:rFonts w:ascii="宋体" w:hAnsi="宋体" w:cs="宋体" w:eastAsia="宋体" w:hint="default"/>
        </w:rPr>
        <w:t>2</w:t>
      </w:r>
      <w:r>
        <w:rPr/>
        <w:t>）外币财务报表的折算 </w:t>
      </w:r>
      <w:r>
        <w:rPr>
          <w:spacing w:val="-1"/>
        </w:rPr>
        <w:t>资产负债表中的资产和负债项目，采用资产负债表日的即期汇率折算；所有者权益项目除“未分配利润”</w:t>
      </w:r>
      <w:r>
        <w:rPr>
          <w:spacing w:val="-80"/>
        </w:rPr>
        <w:t> </w:t>
      </w:r>
      <w:r>
        <w:rPr>
          <w:spacing w:val="-80"/>
        </w:rPr>
      </w:r>
      <w:r>
        <w:rPr>
          <w:spacing w:val="-1"/>
        </w:rPr>
        <w:t>项目外，其他项目采用发生时的即期汇率折算。利润表中的收入和费用项目，采用交易发生日的即期汇率</w:t>
      </w:r>
      <w:r>
        <w:rPr>
          <w:spacing w:val="-83"/>
        </w:rPr>
        <w:t> </w:t>
      </w:r>
      <w:r>
        <w:rPr>
          <w:spacing w:val="-83"/>
        </w:rPr>
      </w:r>
      <w:r>
        <w:rPr/>
        <w:t>折算。 处置境外经营时，将与该境外经营相关的外币财务报表折算差额，自所有者权益项目转入处置当期损益。</w:t>
      </w: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bookmarkStart w:name="10、金融工具" w:id="182"/>
      <w:bookmarkEnd w:id="182"/>
      <w:r>
        <w:rPr>
          <w:b w:val="0"/>
          <w:bCs w:val="0"/>
        </w:rPr>
      </w:r>
      <w:r>
        <w:rPr>
          <w:rFonts w:ascii="宋体" w:hAnsi="宋体" w:cs="宋体" w:eastAsia="宋体" w:hint="default"/>
        </w:rPr>
        <w:t>10</w:t>
      </w:r>
      <w:r>
        <w:rPr/>
        <w:t>、金融工具</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金融工具包括金融资产、金融负债和权益工具。</w:t>
      </w:r>
    </w:p>
    <w:p>
      <w:pPr>
        <w:spacing w:line="240" w:lineRule="auto" w:before="9"/>
        <w:rPr>
          <w:rFonts w:ascii="宋体" w:hAnsi="宋体" w:cs="宋体" w:eastAsia="宋体" w:hint="default"/>
          <w:sz w:val="15"/>
          <w:szCs w:val="15"/>
        </w:rPr>
      </w:pPr>
    </w:p>
    <w:p>
      <w:pPr>
        <w:pStyle w:val="BodyText"/>
        <w:spacing w:line="420" w:lineRule="auto"/>
        <w:ind w:right="0"/>
        <w:jc w:val="left"/>
      </w:pPr>
      <w:r>
        <w:rPr/>
        <w:t>（</w:t>
      </w:r>
      <w:r>
        <w:rPr>
          <w:rFonts w:ascii="宋体" w:hAnsi="宋体" w:cs="宋体" w:eastAsia="宋体" w:hint="default"/>
        </w:rPr>
        <w:t>1</w:t>
      </w:r>
      <w:r>
        <w:rPr/>
        <w:t>）金融工具的分类 </w:t>
      </w:r>
      <w:r>
        <w:rPr>
          <w:spacing w:val="3"/>
        </w:rPr>
        <w:t>金融资产和金融负债于初始确认时分类为：以公允价值计量且其变动计入当期损益的金融资产或金融负</w:t>
      </w:r>
      <w:r>
        <w:rPr>
          <w:spacing w:val="-82"/>
        </w:rPr>
        <w:t> </w:t>
      </w:r>
      <w:r>
        <w:rPr>
          <w:spacing w:val="-82"/>
        </w:rPr>
      </w:r>
      <w:r>
        <w:rPr>
          <w:spacing w:val="-1"/>
        </w:rPr>
        <w:t>债，包括交易性金融资产或金融负债和直接指定为以公允价值计量且其变动计入当期损益的金融资产或金</w:t>
      </w:r>
      <w:r>
        <w:rPr>
          <w:spacing w:val="-81"/>
        </w:rPr>
        <w:t> </w:t>
      </w:r>
      <w:r>
        <w:rPr>
          <w:spacing w:val="-81"/>
        </w:rPr>
      </w:r>
      <w:r>
        <w:rPr/>
        <w:t>融负债；持有至到期投资；应收款项；可供出售金融资产；其他金融负债等。</w:t>
      </w:r>
    </w:p>
    <w:p>
      <w:pPr>
        <w:pStyle w:val="BodyText"/>
        <w:spacing w:line="240" w:lineRule="auto" w:before="47"/>
        <w:ind w:right="0"/>
        <w:jc w:val="left"/>
      </w:pPr>
      <w:r>
        <w:rPr/>
        <w:t>（</w:t>
      </w:r>
      <w:r>
        <w:rPr>
          <w:rFonts w:ascii="宋体" w:hAnsi="宋体" w:cs="宋体" w:eastAsia="宋体" w:hint="default"/>
        </w:rPr>
        <w:t>2</w:t>
      </w:r>
      <w:r>
        <w:rPr/>
        <w:t>）金融工具的确认依据和计量方法</w:t>
      </w:r>
    </w:p>
    <w:p>
      <w:pPr>
        <w:spacing w:line="240" w:lineRule="auto" w:before="9"/>
        <w:rPr>
          <w:rFonts w:ascii="宋体" w:hAnsi="宋体" w:cs="宋体" w:eastAsia="宋体" w:hint="default"/>
          <w:sz w:val="15"/>
          <w:szCs w:val="15"/>
        </w:rPr>
      </w:pPr>
    </w:p>
    <w:p>
      <w:pPr>
        <w:pStyle w:val="BodyText"/>
        <w:spacing w:line="420" w:lineRule="auto"/>
        <w:ind w:right="0"/>
        <w:jc w:val="left"/>
      </w:pPr>
      <w:r>
        <w:rPr/>
        <w:t>①以公允价值计量且其变动计入当期损益的金融资产（金融负债） </w:t>
      </w:r>
      <w:r>
        <w:rPr>
          <w:spacing w:val="-1"/>
        </w:rPr>
        <w:t>取得时以公允价值（扣除已宣告但尚未发放的现金股利或已到付息期但尚未领取的债券利息）作为初始确</w:t>
      </w:r>
      <w:r>
        <w:rPr>
          <w:spacing w:val="-81"/>
        </w:rPr>
        <w:t> </w:t>
      </w:r>
      <w:r>
        <w:rPr>
          <w:spacing w:val="-81"/>
        </w:rPr>
      </w:r>
      <w:r>
        <w:rPr/>
        <w:t>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420" w:lineRule="auto" w:before="47"/>
        <w:ind w:right="1116"/>
        <w:jc w:val="left"/>
      </w:pPr>
      <w:r>
        <w:rPr/>
        <w:t>②持有至到期投资 取得时按公允价值（扣除已到付息期但尚未领取的债券利息）和相关交易费用之和作为初始确认金额。 </w:t>
      </w:r>
      <w:r>
        <w:rPr>
          <w:spacing w:val="-1"/>
        </w:rPr>
        <w:t>持有期间按照摊余成本和实际利率计算确认利息收入，计入投资收益。实际利率在取得时确定，在该预期</w:t>
      </w:r>
      <w:r>
        <w:rPr>
          <w:spacing w:val="-83"/>
        </w:rPr>
        <w:t> </w:t>
      </w:r>
      <w:r>
        <w:rPr>
          <w:spacing w:val="-83"/>
        </w:rPr>
      </w:r>
      <w:r>
        <w:rPr/>
        <w:t>存续期间或适用的更短期间内保持不变。 处置时，将所取得价款与该投资账面价值之间的差额计入投资收益。</w:t>
      </w:r>
    </w:p>
    <w:p>
      <w:pPr>
        <w:pStyle w:val="BodyText"/>
        <w:spacing w:line="420" w:lineRule="auto" w:before="47"/>
        <w:ind w:right="1092"/>
        <w:jc w:val="left"/>
      </w:pPr>
      <w:r>
        <w:rPr/>
        <w:t>③应收款项 </w:t>
      </w:r>
      <w:r>
        <w:rPr>
          <w:spacing w:val="-1"/>
        </w:rPr>
        <w:t>公司对外销售商品或提供劳务形成的应收债权，以及公司持有的其他企业的不包括在活跃市场上有报价的</w:t>
      </w:r>
      <w:r>
        <w:rPr>
          <w:spacing w:val="-81"/>
        </w:rPr>
        <w:t> </w:t>
      </w:r>
      <w:r>
        <w:rPr>
          <w:spacing w:val="-81"/>
        </w:rPr>
      </w:r>
      <w:r>
        <w:rPr/>
        <w:t>债务工具的债权，包括应收账款、其他应收款等，以向购货方应收的合同或协议价款作为初始确认金额；</w:t>
      </w:r>
      <w:r>
        <w:rPr/>
        <w:t> 具有融资性质的，按其现值进行初始确认。 收回或处置时，将取得的价款与该应收款项账面价值之间的差额计入当期损益。</w:t>
      </w:r>
    </w:p>
    <w:p>
      <w:pPr>
        <w:pStyle w:val="BodyText"/>
        <w:spacing w:line="240" w:lineRule="auto" w:before="47"/>
        <w:ind w:right="0"/>
        <w:jc w:val="left"/>
      </w:pPr>
      <w:r>
        <w:rPr/>
        <w:t>④可供出售金融资产</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0"/>
        <w:jc w:val="left"/>
      </w:pPr>
      <w:r>
        <w:rPr>
          <w:spacing w:val="-1"/>
        </w:rPr>
        <w:t>取得时按公允价值（扣除已宣告但尚未发放的现金股利或已到付息期但尚未领取的债券利息）和相关交易</w:t>
      </w:r>
      <w:r>
        <w:rPr>
          <w:spacing w:val="-81"/>
        </w:rPr>
        <w:t> </w:t>
      </w:r>
      <w:r>
        <w:rPr>
          <w:spacing w:val="-81"/>
        </w:rPr>
      </w:r>
      <w:r>
        <w:rPr/>
        <w:t>费用之和作为初始确认金额。 </w:t>
      </w:r>
      <w:r>
        <w:rPr>
          <w:spacing w:val="-1"/>
        </w:rPr>
        <w:t>持有期间将取得的利息或现金股利确认为投资收益。期末以公允价值计量且将公允价值变动计入其他综合</w:t>
      </w:r>
      <w:r>
        <w:rPr>
          <w:spacing w:val="-81"/>
        </w:rPr>
        <w:t> </w:t>
      </w:r>
      <w:r>
        <w:rPr>
          <w:spacing w:val="-81"/>
        </w:rPr>
      </w:r>
      <w:r>
        <w:rPr>
          <w:spacing w:val="-1"/>
        </w:rPr>
        <w:t>收益。但是，在活跃市场中没有报价且其公允价值不能可靠计量的权益工具投资，以及与该权益工具挂钩</w:t>
      </w:r>
      <w:r>
        <w:rPr>
          <w:spacing w:val="-83"/>
        </w:rPr>
        <w:t> </w:t>
      </w:r>
      <w:r>
        <w:rPr>
          <w:spacing w:val="-83"/>
        </w:rPr>
      </w:r>
      <w:r>
        <w:rPr/>
        <w:t>并须通过交付该权益工具结算的衍生金融资产，按照成本计量。 </w:t>
      </w:r>
      <w:r>
        <w:rPr>
          <w:spacing w:val="-1"/>
        </w:rPr>
        <w:t>处置时，将取得的价款与该金融资产账面价值之间的差额，计入投资损益；同时，将原直接计入其他综合</w:t>
      </w:r>
      <w:r>
        <w:rPr>
          <w:spacing w:val="-86"/>
        </w:rPr>
        <w:t> </w:t>
      </w:r>
      <w:r>
        <w:rPr>
          <w:spacing w:val="-86"/>
        </w:rPr>
      </w:r>
      <w:r>
        <w:rPr/>
        <w:t>收益的公允价值变动累计额对应处置部分的金额转出，计入当期损益。</w:t>
      </w:r>
    </w:p>
    <w:p>
      <w:pPr>
        <w:pStyle w:val="BodyText"/>
        <w:spacing w:line="420" w:lineRule="auto" w:before="47"/>
        <w:ind w:right="2982"/>
        <w:jc w:val="left"/>
      </w:pPr>
      <w:r>
        <w:rPr/>
        <w:t>⑤其他金融负债 按其公允价值和相关交易费用之和作为初始确认金额。采用摊余成本进行后续计量。</w:t>
      </w:r>
    </w:p>
    <w:p>
      <w:pPr>
        <w:pStyle w:val="BodyText"/>
        <w:spacing w:line="420" w:lineRule="auto" w:before="47"/>
        <w:ind w:right="0"/>
        <w:jc w:val="left"/>
      </w:pPr>
      <w:r>
        <w:rPr/>
        <w:t>（</w:t>
      </w:r>
      <w:r>
        <w:rPr>
          <w:rFonts w:ascii="宋体" w:hAnsi="宋体" w:cs="宋体" w:eastAsia="宋体" w:hint="default"/>
        </w:rPr>
        <w:t>3</w:t>
      </w:r>
      <w:r>
        <w:rPr/>
        <w:t>）金融资产转移的依据和计量方法 </w:t>
      </w:r>
      <w:r>
        <w:rPr>
          <w:spacing w:val="-1"/>
        </w:rPr>
        <w:t>公司发生金融资产转移时，如已将金融资产所有权上几乎所有的风险和报酬转移给转入方，则终止确认该</w:t>
      </w:r>
      <w:r>
        <w:rPr>
          <w:spacing w:val="-81"/>
        </w:rPr>
        <w:t> </w:t>
      </w:r>
      <w:r>
        <w:rPr>
          <w:spacing w:val="-81"/>
        </w:rPr>
      </w:r>
      <w:r>
        <w:rPr/>
        <w:t>金融资产；如保留了金融资产所有权上几乎所有的风险和报酬的，则不终止确认该金融资产。 </w:t>
      </w:r>
      <w:r>
        <w:rPr>
          <w:spacing w:val="-1"/>
        </w:rPr>
        <w:t>在判断金融资产转移是否满足上述金融资产终止确认条件时，采用实质重于形式的原则。公司将金融资产</w:t>
      </w:r>
      <w:r>
        <w:rPr>
          <w:spacing w:val="-81"/>
        </w:rPr>
        <w:t> </w:t>
      </w:r>
      <w:r>
        <w:rPr>
          <w:spacing w:val="-81"/>
        </w:rPr>
      </w:r>
      <w:r>
        <w:rPr>
          <w:spacing w:val="-1"/>
        </w:rPr>
        <w:t>转移区分为金融资产整体转移和部分转移。金融资产整体转移满足终止确认条件的，将下列两项金额的差</w:t>
      </w:r>
      <w:r>
        <w:rPr>
          <w:spacing w:val="-81"/>
        </w:rPr>
        <w:t> </w:t>
      </w:r>
      <w:r>
        <w:rPr>
          <w:spacing w:val="-81"/>
        </w:rPr>
      </w:r>
      <w:r>
        <w:rPr/>
        <w:t>额计入当期损益：</w:t>
      </w:r>
    </w:p>
    <w:p>
      <w:pPr>
        <w:pStyle w:val="BodyText"/>
        <w:spacing w:line="240" w:lineRule="auto" w:before="47"/>
        <w:ind w:right="0"/>
        <w:jc w:val="left"/>
      </w:pPr>
      <w:r>
        <w:rPr/>
        <w:t>①所转移金融资产的账面价值；</w:t>
      </w:r>
    </w:p>
    <w:p>
      <w:pPr>
        <w:spacing w:line="240" w:lineRule="auto" w:before="9"/>
        <w:rPr>
          <w:rFonts w:ascii="宋体" w:hAnsi="宋体" w:cs="宋体" w:eastAsia="宋体" w:hint="default"/>
          <w:sz w:val="15"/>
          <w:szCs w:val="15"/>
        </w:rPr>
      </w:pPr>
    </w:p>
    <w:p>
      <w:pPr>
        <w:pStyle w:val="BodyText"/>
        <w:spacing w:line="420" w:lineRule="auto"/>
        <w:ind w:right="0"/>
        <w:jc w:val="left"/>
      </w:pPr>
      <w:r>
        <w:rPr>
          <w:spacing w:val="-1"/>
        </w:rPr>
        <w:t>②因转移而收到的对价，与原直接计入所有者权益的公允价值变动累计额（涉及转移的金融资产为可供出</w:t>
      </w:r>
      <w:r>
        <w:rPr>
          <w:spacing w:val="-81"/>
        </w:rPr>
        <w:t> </w:t>
      </w:r>
      <w:r>
        <w:rPr>
          <w:spacing w:val="-81"/>
        </w:rPr>
      </w:r>
      <w:r>
        <w:rPr/>
        <w:t>售金融资产的情形）之和。 </w:t>
      </w:r>
      <w:r>
        <w:rPr>
          <w:spacing w:val="-1"/>
        </w:rPr>
        <w:t>金融资产部分转移满足终止确认条件的，将所转移金融资产整体的账面价值，在终止确认部分和未终止确</w:t>
      </w:r>
      <w:r>
        <w:rPr>
          <w:spacing w:val="-81"/>
        </w:rPr>
        <w:t> </w:t>
      </w:r>
      <w:r>
        <w:rPr>
          <w:spacing w:val="-81"/>
        </w:rPr>
      </w:r>
      <w:r>
        <w:rPr/>
        <w:t>认部分之间，按照各自的相对公允价值进行分摊，并将下列两项金额的差额计入当期损益：</w:t>
      </w:r>
    </w:p>
    <w:p>
      <w:pPr>
        <w:pStyle w:val="BodyText"/>
        <w:spacing w:line="240" w:lineRule="auto" w:before="47"/>
        <w:ind w:right="0"/>
        <w:jc w:val="left"/>
      </w:pPr>
      <w:r>
        <w:rPr/>
        <w:t>①终止确认部分的账面价值；</w:t>
      </w:r>
    </w:p>
    <w:p>
      <w:pPr>
        <w:spacing w:line="240" w:lineRule="auto" w:before="9"/>
        <w:rPr>
          <w:rFonts w:ascii="宋体" w:hAnsi="宋体" w:cs="宋体" w:eastAsia="宋体" w:hint="default"/>
          <w:sz w:val="15"/>
          <w:szCs w:val="15"/>
        </w:rPr>
      </w:pPr>
    </w:p>
    <w:p>
      <w:pPr>
        <w:pStyle w:val="BodyText"/>
        <w:spacing w:line="420" w:lineRule="auto"/>
        <w:ind w:right="0"/>
        <w:jc w:val="left"/>
      </w:pPr>
      <w:r>
        <w:rPr>
          <w:spacing w:val="-1"/>
        </w:rPr>
        <w:t>②终止确认部分的对价，与原直接计入所有者权益的公允价值变动累计额中对应终止确认部分的金额（涉</w:t>
      </w:r>
      <w:r>
        <w:rPr>
          <w:spacing w:val="-81"/>
        </w:rPr>
        <w:t> </w:t>
      </w:r>
      <w:r>
        <w:rPr>
          <w:spacing w:val="-81"/>
        </w:rPr>
      </w:r>
      <w:r>
        <w:rPr/>
        <w:t>及转移的金融资产为可供出售金融资产的情形）之和。 金融资产转移不满足终止确认条件的，继续确认该金融资产，所收到的对价确认为一项金融负债。</w:t>
      </w:r>
    </w:p>
    <w:p>
      <w:pPr>
        <w:pStyle w:val="BodyText"/>
        <w:spacing w:line="420" w:lineRule="auto" w:before="47"/>
        <w:ind w:right="1023"/>
        <w:jc w:val="left"/>
      </w:pPr>
      <w:r>
        <w:rPr/>
        <w:t>（</w:t>
      </w:r>
      <w:r>
        <w:rPr>
          <w:rFonts w:ascii="宋体" w:hAnsi="宋体" w:cs="宋体" w:eastAsia="宋体" w:hint="default"/>
        </w:rPr>
        <w:t>4</w:t>
      </w:r>
      <w:r>
        <w:rPr/>
        <w:t>）金融负债终止确认条件 金融负债的现时义务全部或部分已经解除的，则终止确认该金融负债或其一部分；本公司若与债权人签定 </w:t>
      </w:r>
      <w:r>
        <w:rPr>
          <w:spacing w:val="-3"/>
        </w:rPr>
        <w:t>协议，以承担新金融负债方式替换现存金融负债，且新金融负债与现存金融负债的合同条款实质上不同的，</w:t>
      </w:r>
      <w:r>
        <w:rPr>
          <w:spacing w:val="-92"/>
        </w:rPr>
        <w:t> </w:t>
      </w:r>
      <w:r>
        <w:rPr>
          <w:spacing w:val="-92"/>
        </w:rPr>
      </w:r>
      <w:r>
        <w:rPr/>
        <w:t>则终止确认现存金融负债，并同时确认新金融负债。</w:t>
      </w:r>
    </w:p>
    <w:p>
      <w:pPr>
        <w:spacing w:after="0" w:line="42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0"/>
        <w:jc w:val="left"/>
      </w:pPr>
      <w:r>
        <w:rPr>
          <w:spacing w:val="-1"/>
        </w:rPr>
        <w:t>对现存金融负债全部或部分合同条款作出实质性修改的，则终止确认现存金融负债或其一部分，同时将修</w:t>
      </w:r>
      <w:r>
        <w:rPr>
          <w:spacing w:val="-81"/>
        </w:rPr>
        <w:t> </w:t>
      </w:r>
      <w:r>
        <w:rPr>
          <w:spacing w:val="-81"/>
        </w:rPr>
      </w:r>
      <w:r>
        <w:rPr/>
        <w:t>改条款后的金融负债确认为一项新金融负债。 </w:t>
      </w:r>
      <w:r>
        <w:rPr>
          <w:spacing w:val="-1"/>
        </w:rPr>
        <w:t>金融负债全部或部分终止确认时，终止确认的金融负债账面价值与支付对价（包括转出的非现金资产或承</w:t>
      </w:r>
      <w:r>
        <w:rPr>
          <w:spacing w:val="-81"/>
        </w:rPr>
        <w:t> </w:t>
      </w:r>
      <w:r>
        <w:rPr>
          <w:spacing w:val="-81"/>
        </w:rPr>
      </w:r>
      <w:r>
        <w:rPr/>
        <w:t>担的新金融负债）之间的差额，计入当期损益。 </w:t>
      </w:r>
      <w:r>
        <w:rPr>
          <w:spacing w:val="-1"/>
        </w:rPr>
        <w:t>本公司若回购部分金融负债的，在回购日按照继续确认部分与终止确认部分的相对公允价值，将该金融负</w:t>
      </w:r>
      <w:r>
        <w:rPr>
          <w:spacing w:val="-81"/>
        </w:rPr>
        <w:t> </w:t>
      </w:r>
      <w:r>
        <w:rPr>
          <w:spacing w:val="-81"/>
        </w:rPr>
      </w:r>
      <w:r>
        <w:rPr>
          <w:spacing w:val="-1"/>
        </w:rPr>
        <w:t>债整体的账面价值进行分配。分配给终止确认部分的账面价值与支付的对价（包括转出的非现金资产或承</w:t>
      </w:r>
      <w:r>
        <w:rPr>
          <w:spacing w:val="-81"/>
        </w:rPr>
        <w:t> </w:t>
      </w:r>
      <w:r>
        <w:rPr>
          <w:spacing w:val="-81"/>
        </w:rPr>
      </w:r>
      <w:r>
        <w:rPr/>
        <w:t>担的新金融负债）之间的差额，计入当期损益。</w:t>
      </w:r>
    </w:p>
    <w:p>
      <w:pPr>
        <w:pStyle w:val="BodyText"/>
        <w:spacing w:line="420" w:lineRule="auto" w:before="47"/>
        <w:ind w:right="1116"/>
        <w:jc w:val="left"/>
      </w:pPr>
      <w:r>
        <w:rPr/>
        <w:t>（</w:t>
      </w:r>
      <w:r>
        <w:rPr>
          <w:rFonts w:ascii="宋体" w:hAnsi="宋体" w:cs="宋体" w:eastAsia="宋体" w:hint="default"/>
        </w:rPr>
        <w:t>5</w:t>
      </w:r>
      <w:r>
        <w:rPr/>
        <w:t>）金融资产和金融负债的公允价值的确定方法 </w:t>
      </w:r>
      <w:r>
        <w:rPr>
          <w:spacing w:val="-1"/>
        </w:rPr>
        <w:t>存在活跃市场的金融工具，以活跃市场中的报价确定其公允价值。不存在活跃市场的金融工具，采用估值</w:t>
      </w:r>
      <w:r>
        <w:rPr>
          <w:spacing w:val="-83"/>
        </w:rPr>
        <w:t> </w:t>
      </w:r>
      <w:r>
        <w:rPr>
          <w:spacing w:val="-83"/>
        </w:rPr>
      </w:r>
      <w:r>
        <w:rPr>
          <w:spacing w:val="-1"/>
        </w:rPr>
        <w:t>技术确定其公允价值。在估值时，本公司采用在当前情况下适用并且有足够可利用数据和其他信息支持的</w:t>
      </w:r>
      <w:r>
        <w:rPr>
          <w:spacing w:val="-81"/>
        </w:rPr>
        <w:t> </w:t>
      </w:r>
      <w:r>
        <w:rPr>
          <w:spacing w:val="-81"/>
        </w:rPr>
      </w:r>
      <w:r>
        <w:rPr>
          <w:spacing w:val="-1"/>
        </w:rPr>
        <w:t>估值技术，选择与市场参与者在相关资产或负债的交易中所考虑的资产或负债特征相一致的输入值，并优</w:t>
      </w:r>
      <w:r>
        <w:rPr>
          <w:spacing w:val="-81"/>
        </w:rPr>
        <w:t> </w:t>
      </w:r>
      <w:r>
        <w:rPr>
          <w:spacing w:val="-81"/>
        </w:rPr>
      </w:r>
      <w:r>
        <w:rPr>
          <w:spacing w:val="-1"/>
        </w:rPr>
        <w:t>先使用相关可观察输入值。只有在相关可观察输入值无法取得或取得不切实可行的情况下，才使用不可观</w:t>
      </w:r>
      <w:r>
        <w:rPr>
          <w:spacing w:val="-81"/>
        </w:rPr>
        <w:t> </w:t>
      </w:r>
      <w:r>
        <w:rPr>
          <w:spacing w:val="-81"/>
        </w:rPr>
      </w:r>
      <w:r>
        <w:rPr/>
        <w:t>察输入值。</w:t>
      </w:r>
    </w:p>
    <w:p>
      <w:pPr>
        <w:pStyle w:val="BodyText"/>
        <w:spacing w:line="420" w:lineRule="auto" w:before="47"/>
        <w:ind w:right="0"/>
        <w:jc w:val="left"/>
      </w:pPr>
      <w:r>
        <w:rPr/>
        <w:t>（</w:t>
      </w:r>
      <w:r>
        <w:rPr>
          <w:rFonts w:ascii="宋体" w:hAnsi="宋体" w:cs="宋体" w:eastAsia="宋体" w:hint="default"/>
        </w:rPr>
        <w:t>6</w:t>
      </w:r>
      <w:r>
        <w:rPr/>
        <w:t>）金融资产（不含应收款项）减值的测试方法及会计处理方法 </w:t>
      </w:r>
      <w:r>
        <w:rPr>
          <w:spacing w:val="-1"/>
        </w:rPr>
        <w:t>除以公允价值计量且其变动计入当期损益的金融资产外，本公司于资产负债表日对金融资产的账面价值进</w:t>
      </w:r>
      <w:r>
        <w:rPr>
          <w:spacing w:val="-80"/>
        </w:rPr>
        <w:t> </w:t>
      </w:r>
      <w:r>
        <w:rPr>
          <w:spacing w:val="-80"/>
        </w:rPr>
      </w:r>
      <w:r>
        <w:rPr/>
        <w:t>行检查，如果有客观证据表明某项金融资产发生减值的，计提减值准备。</w:t>
      </w:r>
    </w:p>
    <w:p>
      <w:pPr>
        <w:pStyle w:val="BodyText"/>
        <w:spacing w:line="420" w:lineRule="auto" w:before="47"/>
        <w:ind w:right="1092"/>
        <w:jc w:val="left"/>
      </w:pPr>
      <w:r>
        <w:rPr/>
        <w:t>①可供出售金融资产的减值准备 </w:t>
      </w:r>
      <w:r>
        <w:rPr>
          <w:spacing w:val="-1"/>
        </w:rPr>
        <w:t>期末如果可供出售金融资产的公允价值发生严重下降，或在综合考虑各种相关因素后，预期这种下降趋势</w:t>
      </w:r>
      <w:r>
        <w:rPr>
          <w:spacing w:val="-81"/>
        </w:rPr>
        <w:t> </w:t>
      </w:r>
      <w:r>
        <w:rPr>
          <w:spacing w:val="-81"/>
        </w:rPr>
      </w:r>
      <w:r>
        <w:rPr>
          <w:spacing w:val="-1"/>
        </w:rPr>
        <w:t>属于非暂时性的，就认定其已发生减值，将原直接计入所有者权益的公允价值下降形成的累计损失一并转</w:t>
      </w:r>
      <w:r>
        <w:rPr>
          <w:spacing w:val="-81"/>
        </w:rPr>
        <w:t> </w:t>
      </w:r>
      <w:r>
        <w:rPr>
          <w:spacing w:val="-81"/>
        </w:rPr>
      </w:r>
      <w:r>
        <w:rPr/>
        <w:t>出，确认减值损失。 </w:t>
      </w:r>
      <w:r>
        <w:rPr>
          <w:spacing w:val="-1"/>
        </w:rPr>
        <w:t>对于已确认减值损失的可供出售债务工具，在随后的会计期间公允价值已上升且客观上与确认原减值损失</w:t>
      </w:r>
      <w:r>
        <w:rPr>
          <w:spacing w:val="-81"/>
        </w:rPr>
        <w:t> </w:t>
      </w:r>
      <w:r>
        <w:rPr>
          <w:spacing w:val="-81"/>
        </w:rPr>
      </w:r>
      <w:r>
        <w:rPr/>
        <w:t>确认后发生的事项有关的，原确认的减值损失予以转回，计入当期损益。 可供出售权益工具投资发生的减值损失，不通过损益转回。 </w:t>
      </w:r>
      <w:r>
        <w:rPr>
          <w:spacing w:val="-1"/>
        </w:rPr>
        <w:t>本公司对可供出售债务工具投资减值的认定标准为：债务工具发行方经营所处的技术、市场、经济或法律</w:t>
      </w:r>
      <w:r>
        <w:rPr>
          <w:spacing w:val="-83"/>
        </w:rPr>
        <w:t> </w:t>
      </w:r>
      <w:r>
        <w:rPr>
          <w:spacing w:val="-83"/>
        </w:rPr>
      </w:r>
      <w:r>
        <w:rPr/>
        <w:t>环境等发生重大不利变化，使债务工具投资人可能无法收回投资成本。 本公司对可供出售权益工具投资减值的认定标准为：权益工具投资的公允价值发生严重或非暂时性下跌。 </w:t>
      </w:r>
      <w:r>
        <w:rPr>
          <w:spacing w:val="-1"/>
        </w:rPr>
        <w:t>本公司对可供出售权益工具投资的公允价值下跌“严重”的标准为：一般而言，对于在流动性良好的市场</w:t>
      </w:r>
      <w:r>
        <w:rPr>
          <w:spacing w:val="-81"/>
        </w:rPr>
        <w:t> </w:t>
      </w:r>
      <w:r>
        <w:rPr>
          <w:spacing w:val="-81"/>
        </w:rPr>
      </w:r>
      <w:r>
        <w:rPr/>
        <w:t>上交易活跃的权益性投资，超过</w:t>
      </w:r>
      <w:r>
        <w:rPr>
          <w:rFonts w:ascii="宋体" w:hAnsi="宋体" w:cs="宋体" w:eastAsia="宋体" w:hint="default"/>
        </w:rPr>
        <w:t>50%</w:t>
      </w:r>
      <w:r>
        <w:rPr/>
        <w:t>的跌幅则认为属于严重下跌。</w:t>
      </w:r>
    </w:p>
    <w:p>
      <w:pPr>
        <w:spacing w:after="0" w:line="42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116"/>
        <w:jc w:val="left"/>
      </w:pPr>
      <w:r>
        <w:rPr/>
        <w:t>公允价值下跌“非暂时性”的标准为：一般而言，如果连续下跌时间超过</w:t>
      </w:r>
      <w:r>
        <w:rPr>
          <w:rFonts w:ascii="宋体" w:hAnsi="宋体" w:cs="宋体" w:eastAsia="宋体" w:hint="default"/>
        </w:rPr>
        <w:t>6</w:t>
      </w:r>
      <w:r>
        <w:rPr/>
        <w:t>个月，则认为属于“非暂时性</w:t>
      </w:r>
      <w:r>
        <w:rPr>
          <w:spacing w:val="-24"/>
        </w:rPr>
        <w:t> </w:t>
      </w:r>
      <w:r>
        <w:rPr>
          <w:spacing w:val="-24"/>
        </w:rPr>
      </w:r>
      <w:r>
        <w:rPr/>
        <w:t>下跌”。</w:t>
      </w:r>
    </w:p>
    <w:p>
      <w:pPr>
        <w:pStyle w:val="BodyText"/>
        <w:spacing w:line="420" w:lineRule="auto" w:before="47"/>
        <w:ind w:right="4242"/>
        <w:jc w:val="left"/>
      </w:pPr>
      <w:r>
        <w:rPr/>
        <w:t>②持有至到期投资的减值准备 持有至到期投资减值损失的计量比照应收款项减值损失计量方法处理。</w:t>
      </w: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bookmarkStart w:name="11、应收票据及应收账款" w:id="183"/>
      <w:bookmarkEnd w:id="183"/>
      <w:r>
        <w:rPr>
          <w:b w:val="0"/>
          <w:bCs w:val="0"/>
        </w:rPr>
      </w:r>
      <w:r>
        <w:rPr>
          <w:rFonts w:ascii="宋体" w:hAnsi="宋体" w:cs="宋体" w:eastAsia="宋体" w:hint="default"/>
        </w:rPr>
        <w:t>11</w:t>
      </w:r>
      <w:r>
        <w:rPr/>
        <w:t>、应收票据及应收账款</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left"/>
        <w:rPr>
          <w:b w:val="0"/>
          <w:bCs w:val="0"/>
        </w:rPr>
      </w:pPr>
      <w:bookmarkStart w:name="（1）单项金额重大并单独计提坏账准备的应收款项" w:id="184"/>
      <w:bookmarkEnd w:id="184"/>
      <w:r>
        <w:rPr>
          <w:b w:val="0"/>
          <w:bCs w:val="0"/>
        </w:rPr>
      </w:r>
      <w:r>
        <w:rPr/>
        <w:t>（</w:t>
      </w:r>
      <w:r>
        <w:rPr>
          <w:rFonts w:ascii="宋体" w:hAnsi="宋体" w:cs="宋体" w:eastAsia="宋体" w:hint="default"/>
        </w:rPr>
        <w:t>1</w:t>
      </w:r>
      <w:r>
        <w:rPr/>
        <w:t>）单项金额重大并单独计提坏账准备的应收款项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2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金额在</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万元以上。</w:t>
            </w:r>
          </w:p>
        </w:tc>
      </w:tr>
      <w:tr>
        <w:trPr>
          <w:trHeight w:val="157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单独进行减值测试，如有客观证据表明其发生了减值的，根 据其未来现金流量现值低于其账面价值的差额，确认减值损 失，计提坏账准备。如有确凿证据表明可以收回，则不计提 坏账准备。除上述两项外，包括在具有类似信用风险特征的 应收款项组合中再进行减值测试。</w:t>
            </w:r>
          </w:p>
        </w:tc>
      </w:tr>
    </w:tbl>
    <w:p>
      <w:pPr>
        <w:spacing w:line="240" w:lineRule="auto" w:before="1"/>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85"/>
      <w:bookmarkEnd w:id="185"/>
      <w:r>
        <w:rPr>
          <w:b w:val="0"/>
          <w:bCs w:val="0"/>
        </w:rPr>
      </w:r>
      <w:r>
        <w:rPr/>
        <w:t>（</w:t>
      </w:r>
      <w:r>
        <w:rPr>
          <w:rFonts w:ascii="宋体" w:hAnsi="宋体" w:cs="宋体" w:eastAsia="宋体"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2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32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12"/>
        <w:rPr>
          <w:rFonts w:ascii="宋体" w:hAnsi="宋体" w:cs="宋体" w:eastAsia="宋体" w:hint="default"/>
          <w:b/>
          <w:bCs/>
          <w:sz w:val="7"/>
          <w:szCs w:val="7"/>
        </w:rPr>
      </w:pPr>
    </w:p>
    <w:p>
      <w:pPr>
        <w:pStyle w:val="BodyText"/>
        <w:spacing w:line="240" w:lineRule="auto" w:before="35"/>
        <w:ind w:right="0"/>
        <w:jc w:val="left"/>
      </w:pPr>
      <w:r>
        <w:rPr/>
        <w:t>组合中，采用账龄分析法计提坏账准备的：</w:t>
      </w:r>
    </w:p>
    <w:p>
      <w:pPr>
        <w:spacing w:line="240" w:lineRule="auto" w:before="9"/>
        <w:rPr>
          <w:rFonts w:ascii="宋体" w:hAnsi="宋体" w:cs="宋体" w:eastAsia="宋体" w:hint="default"/>
          <w:sz w:val="15"/>
          <w:szCs w:val="15"/>
        </w:rPr>
      </w:pPr>
    </w:p>
    <w:p>
      <w:pPr>
        <w:pStyle w:val="BodyText"/>
        <w:spacing w:line="240" w:lineRule="auto"/>
        <w:ind w:right="0"/>
        <w:jc w:val="left"/>
      </w:pPr>
      <w:r>
        <w:rPr/>
        <w:t>√ 适用 □</w:t>
      </w:r>
      <w:r>
        <w:rPr>
          <w:spacing w:val="-1"/>
        </w:rPr>
        <w:t> </w:t>
      </w:r>
      <w:r>
        <w:rPr/>
        <w:t>不适用</w:t>
      </w:r>
    </w:p>
    <w:p>
      <w:pPr>
        <w:spacing w:line="240" w:lineRule="auto" w:before="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5.00%</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20.00%</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40.00%</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60.00%</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100.00%</w:t>
            </w:r>
          </w:p>
        </w:tc>
      </w:tr>
    </w:tbl>
    <w:p>
      <w:pPr>
        <w:spacing w:line="240" w:lineRule="auto" w:before="12"/>
        <w:rPr>
          <w:rFonts w:ascii="宋体" w:hAnsi="宋体" w:cs="宋体" w:eastAsia="宋体" w:hint="default"/>
          <w:sz w:val="7"/>
          <w:szCs w:val="7"/>
        </w:rPr>
      </w:pPr>
    </w:p>
    <w:p>
      <w:pPr>
        <w:pStyle w:val="BodyText"/>
        <w:spacing w:line="240" w:lineRule="auto" w:before="35"/>
        <w:ind w:right="0"/>
        <w:jc w:val="left"/>
      </w:pPr>
      <w:r>
        <w:rPr/>
        <w:t>组合中，采用余额百分比法计提坏账准备的：</w:t>
      </w:r>
    </w:p>
    <w:p>
      <w:pPr>
        <w:spacing w:line="240" w:lineRule="auto" w:before="9"/>
        <w:rPr>
          <w:rFonts w:ascii="宋体" w:hAnsi="宋体" w:cs="宋体" w:eastAsia="宋体" w:hint="default"/>
          <w:sz w:val="15"/>
          <w:szCs w:val="15"/>
        </w:rPr>
      </w:pPr>
    </w:p>
    <w:p>
      <w:pPr>
        <w:pStyle w:val="BodyText"/>
        <w:spacing w:line="420" w:lineRule="auto"/>
        <w:ind w:right="6972"/>
        <w:jc w:val="left"/>
      </w:pPr>
      <w:r>
        <w:rPr/>
        <w:t>□ 适用 √</w:t>
      </w:r>
      <w:r>
        <w:rPr>
          <w:spacing w:val="-1"/>
        </w:rPr>
        <w:t> </w:t>
      </w:r>
      <w:r>
        <w:rPr/>
        <w:t>不适用</w:t>
      </w:r>
      <w:r>
        <w:rPr/>
        <w:t> 组合中，采用其他方法计提坏账准备的：</w:t>
      </w:r>
    </w:p>
    <w:p>
      <w:pPr>
        <w:pStyle w:val="BodyText"/>
        <w:spacing w:line="240" w:lineRule="auto" w:before="47"/>
        <w:ind w:right="0"/>
        <w:jc w:val="left"/>
      </w:pPr>
      <w:r>
        <w:rPr/>
        <w:t>□ 适用 √</w:t>
      </w:r>
      <w:r>
        <w:rPr>
          <w:spacing w:val="-1"/>
        </w:rPr>
        <w:t> </w:t>
      </w:r>
      <w:r>
        <w:rPr/>
        <w:t>不适用</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单项金额不重大但单独计提坏账准备的应收款项" w:id="186"/>
      <w:bookmarkEnd w:id="186"/>
      <w:r>
        <w:rPr>
          <w:b w:val="0"/>
          <w:bCs w:val="0"/>
        </w:rPr>
      </w:r>
      <w:r>
        <w:rPr/>
        <w:t>（</w:t>
      </w:r>
      <w:r>
        <w:rPr>
          <w:rFonts w:ascii="宋体" w:hAnsi="宋体" w:cs="宋体" w:eastAsia="宋体" w:hint="default"/>
        </w:rPr>
        <w:t>3</w:t>
      </w:r>
      <w:r>
        <w:rPr/>
        <w:t>）单项金额不重大但单独计提坏账准备的应收款项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94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69"/>
              <w:jc w:val="both"/>
              <w:rPr>
                <w:rFonts w:ascii="宋体" w:hAnsi="宋体" w:cs="宋体" w:eastAsia="宋体" w:hint="default"/>
                <w:sz w:val="18"/>
                <w:szCs w:val="18"/>
              </w:rPr>
            </w:pPr>
            <w:r>
              <w:rPr>
                <w:rFonts w:ascii="宋体" w:hAnsi="宋体" w:cs="宋体" w:eastAsia="宋体" w:hint="default"/>
                <w:sz w:val="18"/>
                <w:szCs w:val="18"/>
              </w:rPr>
              <w:t>①经常发生的、债务单位信誉较好的、确实有把握收回的应 收款项（如：一年以内的应收款项、一年以上有担保单位担 保或公司担保证明、相应的资产抵押证明、法院判决书及债</w:t>
            </w:r>
          </w:p>
        </w:tc>
      </w:tr>
    </w:tbl>
    <w:p>
      <w:pPr>
        <w:spacing w:after="0" w:line="316"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spacing w:before="0"/>
        <w:ind w:left="0" w:right="1140" w:firstLine="0"/>
        <w:jc w:val="right"/>
        <w:rPr>
          <w:rFonts w:ascii="宋体" w:hAnsi="宋体" w:cs="宋体" w:eastAsia="宋体" w:hint="default"/>
          <w:sz w:val="18"/>
          <w:szCs w:val="18"/>
        </w:rPr>
      </w:pPr>
      <w:r>
        <w:rPr/>
        <w:pict>
          <v:shape style="position:absolute;margin-left:56.459999pt;margin-top:-110.768265pt;width:479.2pt;height:157.550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63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69"/>
                          <w:jc w:val="left"/>
                          <w:rPr>
                            <w:rFonts w:ascii="宋体" w:hAnsi="宋体" w:cs="宋体" w:eastAsia="宋体" w:hint="default"/>
                            <w:sz w:val="18"/>
                            <w:szCs w:val="18"/>
                          </w:rPr>
                        </w:pPr>
                        <w:r>
                          <w:rPr>
                            <w:rFonts w:ascii="宋体" w:hAnsi="宋体" w:cs="宋体" w:eastAsia="宋体" w:hint="default"/>
                            <w:sz w:val="18"/>
                            <w:szCs w:val="18"/>
                          </w:rPr>
                          <w:t>务单位承诺的还款计划等的应收款项）以及公司员工个人欠 款；②单项金额不重大且账龄在三年以上的应收款项。</w:t>
                        </w:r>
                      </w:p>
                    </w:tc>
                  </w:tr>
                  <w:tr>
                    <w:trPr>
                      <w:trHeight w:val="25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69"/>
                          <w:jc w:val="both"/>
                          <w:rPr>
                            <w:rFonts w:ascii="宋体" w:hAnsi="宋体" w:cs="宋体" w:eastAsia="宋体" w:hint="default"/>
                            <w:sz w:val="18"/>
                            <w:szCs w:val="18"/>
                          </w:rPr>
                        </w:pPr>
                        <w:r>
                          <w:rPr>
                            <w:rFonts w:ascii="宋体" w:hAnsi="宋体" w:cs="宋体" w:eastAsia="宋体" w:hint="default"/>
                            <w:sz w:val="18"/>
                            <w:szCs w:val="18"/>
                          </w:rPr>
                          <w:t>①经常发生的、债务单位信誉较好的、确实有把握收回的应 收款项（如：一年以内的应收款项、一年以上有担保单位担 保或公司担保证明、相应的资产抵押证明、法院判决书及债 务单位承诺的还款计划等的应收款项）以及公司员工个人欠 款不计提坏账准备。②对有客观证据表明可能发生了减值的 </w:t>
                        </w:r>
                        <w:r>
                          <w:rPr>
                            <w:rFonts w:ascii="宋体" w:hAnsi="宋体" w:cs="宋体" w:eastAsia="宋体" w:hint="default"/>
                            <w:spacing w:val="-2"/>
                            <w:sz w:val="18"/>
                            <w:szCs w:val="18"/>
                          </w:rPr>
                          <w:t>应收款项，将其从相关组合中分离出来，单独进行减值测试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根据其未来现金流量现值低于其账面价值的差额，确认减值 损失，计提坏账准备。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240" w:lineRule="auto"/>
        <w:ind w:right="0"/>
        <w:jc w:val="left"/>
        <w:rPr>
          <w:b w:val="0"/>
          <w:bCs w:val="0"/>
        </w:rPr>
      </w:pPr>
      <w:bookmarkStart w:name="12、存货" w:id="187"/>
      <w:bookmarkEnd w:id="187"/>
      <w:r>
        <w:rPr>
          <w:b w:val="0"/>
          <w:bCs w:val="0"/>
        </w:rPr>
      </w:r>
      <w:r>
        <w:rPr>
          <w:rFonts w:ascii="宋体" w:hAnsi="宋体" w:cs="宋体" w:eastAsia="宋体" w:hint="default"/>
        </w:rPr>
        <w:t>12</w:t>
      </w:r>
      <w:r>
        <w:rPr/>
        <w:t>、存货</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7182"/>
        <w:jc w:val="left"/>
      </w:pPr>
      <w:r>
        <w:rPr/>
        <w:t>公司是否需要遵守特殊行业的披露要求 否</w:t>
      </w:r>
    </w:p>
    <w:p>
      <w:pPr>
        <w:pStyle w:val="BodyText"/>
        <w:spacing w:line="420" w:lineRule="auto" w:before="47"/>
        <w:ind w:right="0"/>
        <w:jc w:val="left"/>
      </w:pPr>
      <w:r>
        <w:rPr/>
        <w:t>（</w:t>
      </w:r>
      <w:r>
        <w:rPr>
          <w:rFonts w:ascii="宋体" w:hAnsi="宋体" w:cs="宋体" w:eastAsia="宋体" w:hint="default"/>
        </w:rPr>
        <w:t>1</w:t>
      </w:r>
      <w:r>
        <w:rPr/>
        <w:t>）存货的分类 </w:t>
      </w:r>
      <w:r>
        <w:rPr>
          <w:spacing w:val="-1"/>
        </w:rPr>
        <w:t>存货分类为：库存商品、发出商品、自制半成品、在产品、原材料、低值易耗品和委托加工物资、工程施</w:t>
      </w:r>
      <w:r>
        <w:rPr>
          <w:spacing w:val="-85"/>
        </w:rPr>
        <w:t> </w:t>
      </w:r>
      <w:r>
        <w:rPr>
          <w:spacing w:val="-85"/>
        </w:rPr>
      </w:r>
      <w:r>
        <w:rPr/>
        <w:t>工、开发成本、开发产品、影视剧成本、影视剧在产品、影视片成本等。 </w:t>
      </w:r>
      <w:r>
        <w:rPr>
          <w:spacing w:val="-1"/>
        </w:rPr>
        <w:t>影视剧成本是指公司计划提供拍摄电影或电视剧所发生的文学剧本的实际成本，此成本于相关电影或电视</w:t>
      </w:r>
      <w:r>
        <w:rPr>
          <w:spacing w:val="-81"/>
        </w:rPr>
        <w:t> </w:t>
      </w:r>
      <w:r>
        <w:rPr>
          <w:spacing w:val="-81"/>
        </w:rPr>
      </w:r>
      <w:r>
        <w:rPr>
          <w:spacing w:val="-1"/>
        </w:rPr>
        <w:t>剧投入拍摄时转入影片制作成本。影视剧在产品是指制作中的电影、电视剧等成本，此成本于拍摄完成并</w:t>
      </w:r>
      <w:r>
        <w:rPr>
          <w:spacing w:val="-83"/>
        </w:rPr>
        <w:t> </w:t>
      </w:r>
      <w:r>
        <w:rPr>
          <w:spacing w:val="-83"/>
        </w:rPr>
      </w:r>
      <w:r>
        <w:rPr/>
        <w:t>取得《电影片公映许可证》或国产《电视剧发行许可证》后转入影视片成本。</w:t>
      </w:r>
    </w:p>
    <w:p>
      <w:pPr>
        <w:pStyle w:val="BodyText"/>
        <w:spacing w:line="420" w:lineRule="auto" w:before="47"/>
        <w:ind w:right="5712"/>
        <w:jc w:val="left"/>
      </w:pPr>
      <w:r>
        <w:rPr/>
        <w:t>（</w:t>
      </w:r>
      <w:r>
        <w:rPr>
          <w:rFonts w:ascii="宋体" w:hAnsi="宋体" w:cs="宋体" w:eastAsia="宋体" w:hint="default"/>
        </w:rPr>
        <w:t>2</w:t>
      </w:r>
      <w:r>
        <w:rPr/>
        <w:t>）发出存货的计价方法 纯土地开发项目，其费用支出单独构成土地开发成本；</w:t>
      </w:r>
    </w:p>
    <w:p>
      <w:pPr>
        <w:pStyle w:val="BodyText"/>
        <w:spacing w:line="420" w:lineRule="auto" w:before="47"/>
        <w:ind w:right="1023"/>
        <w:jc w:val="left"/>
      </w:pPr>
      <w:r>
        <w:rPr/>
        <w:t>连同房产整体开发的项目，其费用可分清负担对象的，一般按实际面积分摊记入商品房成本。 开发产品按已完工工程项目的预计结算成本和未完工工程项目的预算成本之和，扣除本公司拥有产权的配 套设施成本后，按可售建筑面积分摊。 </w:t>
      </w:r>
      <w:r>
        <w:rPr>
          <w:spacing w:val="-3"/>
        </w:rPr>
        <w:t>发出的开发产品按个别认定法计价，发出的农产品按先进先出法计价，发出的其他存货按加权平均法计价。</w:t>
      </w:r>
    </w:p>
    <w:p>
      <w:pPr>
        <w:pStyle w:val="BodyText"/>
        <w:spacing w:line="420" w:lineRule="auto" w:before="47"/>
        <w:ind w:right="0"/>
        <w:jc w:val="left"/>
      </w:pPr>
      <w:r>
        <w:rPr/>
        <w:t>（</w:t>
      </w:r>
      <w:r>
        <w:rPr>
          <w:rFonts w:ascii="宋体" w:hAnsi="宋体" w:cs="宋体" w:eastAsia="宋体" w:hint="default"/>
        </w:rPr>
        <w:t>3</w:t>
      </w:r>
      <w:r>
        <w:rPr/>
        <w:t>）不同类别存货可变现净值的确定依据 期末对存货进行全面清查后，按存货的成本与可变现净值孰低提取或调整存货跌价准备。 </w:t>
      </w:r>
      <w:r>
        <w:rPr>
          <w:spacing w:val="-1"/>
        </w:rPr>
        <w:t>产成品、库存商品和用于出售的材料等直接用于出售的商品存货，在正常生产经营过程中，以该存货的估</w:t>
      </w:r>
      <w:r>
        <w:rPr>
          <w:spacing w:val="-83"/>
        </w:rPr>
        <w:t> </w:t>
      </w:r>
      <w:r>
        <w:rPr>
          <w:spacing w:val="-83"/>
        </w:rPr>
      </w:r>
      <w:r>
        <w:rPr>
          <w:spacing w:val="-1"/>
        </w:rPr>
        <w:t>计售价减去估计的销售费用和相关税费后的金额，确定其可变现净值；需要经过加工的材料存货，在正常</w:t>
      </w:r>
      <w:r>
        <w:rPr>
          <w:spacing w:val="-83"/>
        </w:rPr>
        <w:t> </w:t>
      </w:r>
      <w:r>
        <w:rPr>
          <w:spacing w:val="-83"/>
        </w:rPr>
      </w:r>
      <w:r>
        <w:rPr>
          <w:spacing w:val="-1"/>
        </w:rPr>
        <w:t>生产经营过程中，以所生产的产成品的估计售价减去至完工时估计将要发生的成本、估计的销售费用和相</w:t>
      </w:r>
      <w:r>
        <w:rPr>
          <w:spacing w:val="-81"/>
        </w:rPr>
        <w:t> </w:t>
      </w:r>
      <w:r>
        <w:rPr>
          <w:spacing w:val="-81"/>
        </w:rPr>
      </w:r>
      <w:r>
        <w:rPr>
          <w:spacing w:val="-1"/>
        </w:rPr>
        <w:t>关税费后的金额，确定其可变现净值；为执行销售合同或者劳务合同而持有的存货，其可变现净值以合同</w:t>
      </w:r>
    </w:p>
    <w:p>
      <w:pPr>
        <w:spacing w:after="0" w:line="42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0"/>
        <w:jc w:val="left"/>
      </w:pPr>
      <w:r>
        <w:rPr>
          <w:spacing w:val="-1"/>
        </w:rPr>
        <w:t>价格为基础计算，若持有存货的数量多于销售合同订购数量的，超出部分的存货的可变现净值以一般销售</w:t>
      </w:r>
      <w:r>
        <w:rPr>
          <w:spacing w:val="-81"/>
        </w:rPr>
        <w:t> </w:t>
      </w:r>
      <w:r>
        <w:rPr>
          <w:spacing w:val="-81"/>
        </w:rPr>
      </w:r>
      <w:r>
        <w:rPr/>
        <w:t>价格为基础计算。 </w:t>
      </w:r>
      <w:r>
        <w:rPr>
          <w:spacing w:val="-1"/>
        </w:rPr>
        <w:t>期末按照单个存货项目计提存货跌价准备；但对于数量繁多、单价较低的存货，按照存货类别计提存货跌</w:t>
      </w:r>
      <w:r>
        <w:rPr>
          <w:spacing w:val="-83"/>
        </w:rPr>
        <w:t> </w:t>
      </w:r>
      <w:r>
        <w:rPr>
          <w:spacing w:val="-83"/>
        </w:rPr>
      </w:r>
      <w:r>
        <w:rPr>
          <w:spacing w:val="-1"/>
        </w:rPr>
        <w:t>价准备；与在同一地区生产和销售的产品系列相关、具有相同或类似最终用途或目的，且难以与其他项目</w:t>
      </w:r>
      <w:r>
        <w:rPr>
          <w:spacing w:val="-83"/>
        </w:rPr>
        <w:t> </w:t>
      </w:r>
      <w:r>
        <w:rPr>
          <w:spacing w:val="-83"/>
        </w:rPr>
      </w:r>
      <w:r>
        <w:rPr/>
        <w:t>分开计量的存货，则合并计提存货跌价准备。</w:t>
      </w:r>
    </w:p>
    <w:p>
      <w:pPr>
        <w:pStyle w:val="BodyText"/>
        <w:spacing w:line="420" w:lineRule="auto" w:before="47"/>
        <w:ind w:right="1131"/>
        <w:jc w:val="left"/>
      </w:pPr>
      <w:r>
        <w:rPr/>
        <w:t>房地产项目期末按照单个存货项目计提存货跌价准备。 期刊类存货发行三个月以内的不计提存货跌价准备，发行三个月以上的期刊按照实洋的</w:t>
      </w:r>
      <w:r>
        <w:rPr>
          <w:rFonts w:ascii="宋体" w:hAnsi="宋体" w:cs="宋体" w:eastAsia="宋体" w:hint="default"/>
        </w:rPr>
        <w:t>10%</w:t>
      </w:r>
      <w:r>
        <w:rPr/>
        <w:t>作为可变现净 值，采用成本与可变现净值孰低法确定跌价准备。图书类存货出版</w:t>
      </w:r>
      <w:r>
        <w:rPr>
          <w:rFonts w:ascii="宋体" w:hAnsi="宋体" w:cs="宋体" w:eastAsia="宋体" w:hint="default"/>
        </w:rPr>
        <w:t>1</w:t>
      </w:r>
      <w:r>
        <w:rPr/>
        <w:t>年以内的不计提存货跌价准备，出版 </w:t>
      </w:r>
      <w:r>
        <w:rPr>
          <w:rFonts w:ascii="宋体" w:hAnsi="宋体" w:cs="宋体" w:eastAsia="宋体" w:hint="default"/>
        </w:rPr>
        <w:t>1-2</w:t>
      </w:r>
      <w:r>
        <w:rPr/>
        <w:t>年的按实际成本的</w:t>
      </w:r>
      <w:r>
        <w:rPr>
          <w:rFonts w:ascii="宋体" w:hAnsi="宋体" w:cs="宋体" w:eastAsia="宋体" w:hint="default"/>
        </w:rPr>
        <w:t>10%</w:t>
      </w:r>
      <w:r>
        <w:rPr/>
        <w:t>计提存货跌价准备，出版</w:t>
      </w:r>
      <w:r>
        <w:rPr>
          <w:rFonts w:ascii="宋体" w:hAnsi="宋体" w:cs="宋体" w:eastAsia="宋体" w:hint="default"/>
        </w:rPr>
        <w:t>2-3</w:t>
      </w:r>
      <w:r>
        <w:rPr/>
        <w:t>年的按实际成本的</w:t>
      </w:r>
      <w:r>
        <w:rPr>
          <w:rFonts w:ascii="宋体" w:hAnsi="宋体" w:cs="宋体" w:eastAsia="宋体" w:hint="default"/>
        </w:rPr>
        <w:t>20%</w:t>
      </w:r>
      <w:r>
        <w:rPr/>
        <w:t>计提存货跌价准备，出版</w:t>
      </w:r>
      <w:r>
        <w:rPr>
          <w:rFonts w:ascii="宋体" w:hAnsi="宋体" w:cs="宋体" w:eastAsia="宋体" w:hint="default"/>
        </w:rPr>
        <w:t>3</w:t>
      </w:r>
      <w:r>
        <w:rPr/>
        <w:t>年 以上的按实际成本的</w:t>
      </w:r>
      <w:r>
        <w:rPr>
          <w:rFonts w:ascii="宋体" w:hAnsi="宋体" w:cs="宋体" w:eastAsia="宋体" w:hint="default"/>
        </w:rPr>
        <w:t>30%</w:t>
      </w:r>
      <w:r>
        <w:rPr/>
        <w:t>计提存货跌价准备。 </w:t>
      </w:r>
      <w:r>
        <w:rPr>
          <w:spacing w:val="-1"/>
        </w:rPr>
        <w:t>以前减记存货价值的影响因素已经消失的，减记的金额予以恢复，并在原已计提的存货跌价准备金额内转</w:t>
      </w:r>
      <w:r>
        <w:rPr>
          <w:spacing w:val="-81"/>
        </w:rPr>
        <w:t> </w:t>
      </w:r>
      <w:r>
        <w:rPr>
          <w:spacing w:val="-81"/>
        </w:rPr>
      </w:r>
      <w:r>
        <w:rPr/>
        <w:t>回，转回的金额计入当期损益。</w:t>
      </w:r>
    </w:p>
    <w:p>
      <w:pPr>
        <w:pStyle w:val="BodyText"/>
        <w:spacing w:line="420" w:lineRule="auto" w:before="47"/>
        <w:ind w:right="8757"/>
        <w:jc w:val="left"/>
      </w:pPr>
      <w:r>
        <w:rPr/>
        <w:t>（</w:t>
      </w:r>
      <w:r>
        <w:rPr>
          <w:rFonts w:ascii="宋体" w:hAnsi="宋体" w:cs="宋体" w:eastAsia="宋体" w:hint="default"/>
        </w:rPr>
        <w:t>4</w:t>
      </w:r>
      <w:r>
        <w:rPr/>
        <w:t>）存货的盘存制度 采用永续盘存制。</w:t>
      </w:r>
    </w:p>
    <w:p>
      <w:pPr>
        <w:pStyle w:val="BodyText"/>
        <w:spacing w:line="240" w:lineRule="auto" w:before="48"/>
        <w:ind w:right="0"/>
        <w:jc w:val="left"/>
      </w:pPr>
      <w:r>
        <w:rPr/>
        <w:t>（</w:t>
      </w:r>
      <w:r>
        <w:rPr>
          <w:rFonts w:ascii="宋体" w:hAnsi="宋体" w:cs="宋体" w:eastAsia="宋体" w:hint="default"/>
        </w:rPr>
        <w:t>5</w:t>
      </w:r>
      <w:r>
        <w:rPr/>
        <w:t>）低值易耗品和包装物的摊销方法</w:t>
      </w:r>
    </w:p>
    <w:p>
      <w:pPr>
        <w:spacing w:line="240" w:lineRule="auto" w:before="9"/>
        <w:rPr>
          <w:rFonts w:ascii="宋体" w:hAnsi="宋体" w:cs="宋体" w:eastAsia="宋体" w:hint="default"/>
          <w:sz w:val="15"/>
          <w:szCs w:val="15"/>
        </w:rPr>
      </w:pPr>
    </w:p>
    <w:p>
      <w:pPr>
        <w:pStyle w:val="BodyText"/>
        <w:spacing w:line="240" w:lineRule="auto"/>
        <w:ind w:right="0"/>
        <w:jc w:val="left"/>
      </w:pPr>
      <w:r>
        <w:rPr/>
        <w:t>①低值易耗品采用一次转销法；</w:t>
      </w:r>
    </w:p>
    <w:p>
      <w:pPr>
        <w:spacing w:line="240" w:lineRule="auto" w:before="9"/>
        <w:rPr>
          <w:rFonts w:ascii="宋体" w:hAnsi="宋体" w:cs="宋体" w:eastAsia="宋体" w:hint="default"/>
          <w:sz w:val="15"/>
          <w:szCs w:val="15"/>
        </w:rPr>
      </w:pPr>
    </w:p>
    <w:p>
      <w:pPr>
        <w:pStyle w:val="BodyText"/>
        <w:spacing w:line="240" w:lineRule="auto"/>
        <w:ind w:right="0"/>
        <w:jc w:val="left"/>
      </w:pPr>
      <w:r>
        <w:rPr/>
        <w:t>②包装物采用一次转销法。</w:t>
      </w:r>
    </w:p>
    <w:p>
      <w:pPr>
        <w:spacing w:line="240" w:lineRule="auto" w:before="9"/>
        <w:rPr>
          <w:rFonts w:ascii="宋体" w:hAnsi="宋体" w:cs="宋体" w:eastAsia="宋体" w:hint="default"/>
          <w:sz w:val="15"/>
          <w:szCs w:val="15"/>
        </w:rPr>
      </w:pPr>
    </w:p>
    <w:p>
      <w:pPr>
        <w:pStyle w:val="BodyText"/>
        <w:spacing w:line="420" w:lineRule="auto"/>
        <w:ind w:right="2562"/>
        <w:jc w:val="left"/>
      </w:pPr>
      <w:r>
        <w:rPr/>
        <w:t>（</w:t>
      </w:r>
      <w:r>
        <w:rPr>
          <w:rFonts w:ascii="宋体" w:hAnsi="宋体" w:cs="宋体" w:eastAsia="宋体" w:hint="default"/>
        </w:rPr>
        <w:t>6</w:t>
      </w:r>
      <w:r>
        <w:rPr/>
        <w:t>）公共配套设施费用的核算方法 不能有偿转让的公共配套设施：按受益比例确定标准分配计入商品房成本； 能有偿转让的公共配套设施：以各配套设施项目作为成本核算对象，归集所发生的成本。</w:t>
      </w: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bookmarkStart w:name="13、持有待售资产" w:id="188"/>
      <w:bookmarkEnd w:id="188"/>
      <w:r>
        <w:rPr>
          <w:b w:val="0"/>
          <w:bCs w:val="0"/>
        </w:rPr>
      </w:r>
      <w:r>
        <w:rPr>
          <w:rFonts w:ascii="宋体" w:hAnsi="宋体" w:cs="宋体" w:eastAsia="宋体" w:hint="default"/>
        </w:rPr>
        <w:t>13</w:t>
      </w:r>
      <w:r>
        <w:rPr/>
        <w:t>、持有待售资产</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本公司将同时满足下列条件的非流动资产或处置组划分为持有待售类别：</w:t>
      </w:r>
    </w:p>
    <w:p>
      <w:pPr>
        <w:spacing w:line="240" w:lineRule="auto" w:before="9"/>
        <w:rPr>
          <w:rFonts w:ascii="宋体" w:hAnsi="宋体" w:cs="宋体" w:eastAsia="宋体" w:hint="default"/>
          <w:sz w:val="15"/>
          <w:szCs w:val="15"/>
        </w:rPr>
      </w:pPr>
    </w:p>
    <w:p>
      <w:pPr>
        <w:pStyle w:val="BodyText"/>
        <w:spacing w:line="240" w:lineRule="auto"/>
        <w:ind w:right="0"/>
        <w:jc w:val="left"/>
      </w:pPr>
      <w:r>
        <w:rPr/>
        <w:t>（</w:t>
      </w:r>
      <w:r>
        <w:rPr>
          <w:rFonts w:ascii="宋体" w:hAnsi="宋体" w:cs="宋体" w:eastAsia="宋体" w:hint="default"/>
        </w:rPr>
        <w:t>1</w:t>
      </w:r>
      <w:r>
        <w:rPr/>
        <w:t>）根据类似交易中出售此类资产或处置组的惯例，在当前状况下即可立即出售；</w:t>
      </w:r>
    </w:p>
    <w:p>
      <w:pPr>
        <w:spacing w:line="240" w:lineRule="auto" w:before="9"/>
        <w:rPr>
          <w:rFonts w:ascii="宋体" w:hAnsi="宋体" w:cs="宋体" w:eastAsia="宋体" w:hint="default"/>
          <w:sz w:val="15"/>
          <w:szCs w:val="15"/>
        </w:rPr>
      </w:pPr>
    </w:p>
    <w:p>
      <w:pPr>
        <w:pStyle w:val="BodyText"/>
        <w:spacing w:line="420" w:lineRule="auto"/>
        <w:ind w:right="1197"/>
        <w:jc w:val="left"/>
      </w:pPr>
      <w:r>
        <w:rPr/>
        <w:t>（</w:t>
      </w:r>
      <w:r>
        <w:rPr>
          <w:rFonts w:ascii="宋体" w:hAnsi="宋体" w:cs="宋体" w:eastAsia="宋体" w:hint="default"/>
        </w:rPr>
        <w:t>2</w:t>
      </w:r>
      <w:r>
        <w:rPr/>
        <w:t>）出售极可能发生，即本公司已经就一项出售计划作出决议且获得确定的购买承诺，预计出售将在一 年内完成。有关规定要求本公司相关权力机构或者监管部门批准后方可出售的，已经获得批准。</w:t>
      </w:r>
    </w:p>
    <w:p>
      <w:pPr>
        <w:spacing w:after="0" w:line="42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14、长期股权投资" w:id="189"/>
      <w:bookmarkEnd w:id="189"/>
      <w:r>
        <w:rPr>
          <w:b w:val="0"/>
          <w:bCs w:val="0"/>
        </w:rPr>
      </w:r>
      <w:r>
        <w:rPr>
          <w:rFonts w:ascii="宋体" w:hAnsi="宋体" w:cs="宋体" w:eastAsia="宋体" w:hint="default"/>
        </w:rPr>
        <w:t>14</w:t>
      </w:r>
      <w:r>
        <w:rPr/>
        <w:t>、长期股权投资</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0"/>
        <w:jc w:val="left"/>
      </w:pPr>
      <w:r>
        <w:rPr/>
        <w:t>（</w:t>
      </w:r>
      <w:r>
        <w:rPr>
          <w:rFonts w:ascii="宋体" w:hAnsi="宋体" w:cs="宋体" w:eastAsia="宋体" w:hint="default"/>
        </w:rPr>
        <w:t>1</w:t>
      </w:r>
      <w:r>
        <w:rPr/>
        <w:t>）共同控制、重大影响的判断标准 </w:t>
      </w:r>
      <w:r>
        <w:rPr>
          <w:spacing w:val="-1"/>
        </w:rPr>
        <w:t>共同控制，是指按照相关约定对某项安排所共有的控制，并且该安排的相关活动必须经过分享控制权的参</w:t>
      </w:r>
      <w:r>
        <w:rPr>
          <w:spacing w:val="-81"/>
        </w:rPr>
        <w:t> </w:t>
      </w:r>
      <w:r>
        <w:rPr>
          <w:spacing w:val="-81"/>
        </w:rPr>
      </w:r>
      <w:r>
        <w:rPr>
          <w:spacing w:val="-1"/>
        </w:rPr>
        <w:t>与方一致同意后才能决策。本公司与其他合营方一同对被投资单位实施共同控制且对被投资单位净资产享</w:t>
      </w:r>
      <w:r>
        <w:rPr>
          <w:spacing w:val="-81"/>
        </w:rPr>
        <w:t> </w:t>
      </w:r>
      <w:r>
        <w:rPr>
          <w:spacing w:val="-81"/>
        </w:rPr>
      </w:r>
      <w:r>
        <w:rPr/>
        <w:t>有权利的，被投资单位为本公司的合营企业。 </w:t>
      </w:r>
      <w:r>
        <w:rPr>
          <w:spacing w:val="-1"/>
        </w:rPr>
        <w:t>重大影响，是指对一个企业的财务和经营决策有参与决策的权力，但并不能够控制或者与其他方一起共同</w:t>
      </w:r>
      <w:r>
        <w:rPr>
          <w:spacing w:val="-81"/>
        </w:rPr>
        <w:t> </w:t>
      </w:r>
      <w:r>
        <w:rPr>
          <w:spacing w:val="-81"/>
        </w:rPr>
      </w:r>
      <w:r>
        <w:rPr/>
        <w:t>控制这些政策的制定。本公司能够对被投资单位施加重大影响的，被投资单位为本公司联营企业。</w:t>
      </w:r>
    </w:p>
    <w:p>
      <w:pPr>
        <w:pStyle w:val="BodyText"/>
        <w:spacing w:line="240" w:lineRule="auto" w:before="47"/>
        <w:ind w:right="0"/>
        <w:jc w:val="left"/>
      </w:pPr>
      <w:r>
        <w:rPr/>
        <w:t>（</w:t>
      </w:r>
      <w:r>
        <w:rPr>
          <w:rFonts w:ascii="宋体" w:hAnsi="宋体" w:cs="宋体" w:eastAsia="宋体" w:hint="default"/>
        </w:rPr>
        <w:t>2</w:t>
      </w:r>
      <w:r>
        <w:rPr/>
        <w:t>）初始投资成本的确定</w:t>
      </w:r>
    </w:p>
    <w:p>
      <w:pPr>
        <w:spacing w:line="240" w:lineRule="auto" w:before="9"/>
        <w:rPr>
          <w:rFonts w:ascii="宋体" w:hAnsi="宋体" w:cs="宋体" w:eastAsia="宋体" w:hint="default"/>
          <w:sz w:val="15"/>
          <w:szCs w:val="15"/>
        </w:rPr>
      </w:pPr>
    </w:p>
    <w:p>
      <w:pPr>
        <w:pStyle w:val="BodyText"/>
        <w:spacing w:line="420" w:lineRule="auto"/>
        <w:ind w:right="1092"/>
        <w:jc w:val="left"/>
      </w:pPr>
      <w:r>
        <w:rPr/>
        <w:t>①企业合并形成的长期股权投资 </w:t>
      </w:r>
      <w:r>
        <w:rPr>
          <w:spacing w:val="-1"/>
        </w:rPr>
        <w:t>同一控制下的企业合并：公司以支付现金、转让非现金资产或承担债务方式以及以发行权益性证券作为合</w:t>
      </w:r>
      <w:r>
        <w:rPr>
          <w:spacing w:val="-81"/>
        </w:rPr>
        <w:t> </w:t>
      </w:r>
      <w:r>
        <w:rPr>
          <w:spacing w:val="-81"/>
        </w:rPr>
      </w:r>
      <w:r>
        <w:rPr>
          <w:spacing w:val="-1"/>
        </w:rPr>
        <w:t>并对价的，在合并日按照取得被合并方所有者权益在最终控制方合并财务报表中的账面价值的份额作为长</w:t>
      </w:r>
      <w:r>
        <w:rPr>
          <w:spacing w:val="-81"/>
        </w:rPr>
        <w:t> </w:t>
      </w:r>
      <w:r>
        <w:rPr>
          <w:spacing w:val="-81"/>
        </w:rPr>
      </w:r>
      <w:r>
        <w:rPr>
          <w:spacing w:val="-1"/>
        </w:rPr>
        <w:t>期股权投资的初始投资成本。因追加投资等原因能够对同一控制下的被投资单位实施控制的，在合并日根</w:t>
      </w:r>
      <w:r>
        <w:rPr>
          <w:spacing w:val="-81"/>
        </w:rPr>
        <w:t> </w:t>
      </w:r>
      <w:r>
        <w:rPr>
          <w:spacing w:val="-81"/>
        </w:rPr>
      </w:r>
      <w:r>
        <w:rPr>
          <w:spacing w:val="-1"/>
        </w:rPr>
        <w:t>据合并后应享有被合并方净资产在最终控制方合并财务报表中的账面价值的份额，确定长期股权投资的初</w:t>
      </w:r>
      <w:r>
        <w:rPr>
          <w:spacing w:val="-81"/>
        </w:rPr>
        <w:t> </w:t>
      </w:r>
      <w:r>
        <w:rPr>
          <w:spacing w:val="-81"/>
        </w:rPr>
      </w:r>
      <w:r>
        <w:rPr>
          <w:spacing w:val="-1"/>
        </w:rPr>
        <w:t>始投资成本。合并日长期股权投资的初始投资成本，与达到合并前的长期股权投资账面价值加上合并日进</w:t>
      </w:r>
      <w:r>
        <w:rPr>
          <w:spacing w:val="-81"/>
        </w:rPr>
        <w:t> </w:t>
      </w:r>
      <w:r>
        <w:rPr>
          <w:spacing w:val="-81"/>
        </w:rPr>
      </w:r>
      <w:r>
        <w:rPr/>
        <w:t>一步取得股份新支付对价的账面价值之和的差额，调整股本溢价，股本溢价不足冲减的，冲减留存收益。 </w:t>
      </w:r>
      <w:r>
        <w:rPr>
          <w:spacing w:val="-1"/>
        </w:rPr>
        <w:t>非同一控制下的企业合并：公司按照购买日确定的合并成本作为长期股权投资的初始投资成本。因追加投</w:t>
      </w:r>
      <w:r>
        <w:rPr>
          <w:spacing w:val="-81"/>
        </w:rPr>
        <w:t> </w:t>
      </w:r>
      <w:r>
        <w:rPr>
          <w:spacing w:val="-81"/>
        </w:rPr>
      </w:r>
      <w:r>
        <w:rPr>
          <w:spacing w:val="-1"/>
        </w:rPr>
        <w:t>资等原因能够对非同一控制下的被投资单位实施控制的，按照原持有的股权投资账面价值加上新增投资成</w:t>
      </w:r>
      <w:r>
        <w:rPr>
          <w:spacing w:val="-81"/>
        </w:rPr>
        <w:t> </w:t>
      </w:r>
      <w:r>
        <w:rPr>
          <w:spacing w:val="-81"/>
        </w:rPr>
      </w:r>
      <w:r>
        <w:rPr/>
        <w:t>本之和，作为改按成本法核算的初始投资成本。</w:t>
      </w:r>
    </w:p>
    <w:p>
      <w:pPr>
        <w:pStyle w:val="BodyText"/>
        <w:spacing w:line="420" w:lineRule="auto" w:before="47"/>
        <w:ind w:right="1116"/>
        <w:jc w:val="left"/>
      </w:pPr>
      <w:r>
        <w:rPr/>
        <w:t>②其他方式取得的长期股权投资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在非货币性资产交换具备商业实质和换入资产或换出资产的公允价值能够可靠计量的前提下，非货币性资</w:t>
      </w:r>
      <w:r>
        <w:rPr>
          <w:spacing w:val="-81"/>
        </w:rPr>
        <w:t> </w:t>
      </w:r>
      <w:r>
        <w:rPr>
          <w:spacing w:val="-81"/>
        </w:rPr>
      </w:r>
      <w:r>
        <w:rPr>
          <w:spacing w:val="-1"/>
        </w:rPr>
        <w:t>产交换换入的长期股权投资以换出资产的公允价值和应支付的相关税费确定其初始投资成本，除非有确凿</w:t>
      </w:r>
      <w:r>
        <w:rPr>
          <w:spacing w:val="-81"/>
        </w:rPr>
        <w:t> </w:t>
      </w:r>
      <w:r>
        <w:rPr>
          <w:spacing w:val="-81"/>
        </w:rPr>
      </w:r>
      <w:r>
        <w:rPr>
          <w:spacing w:val="-1"/>
        </w:rPr>
        <w:t>证据表明换入资产的公允价值更加可靠；不满足上述前提的非货币性资产交换，以换出资产的账面价值和</w:t>
      </w:r>
      <w:r>
        <w:rPr>
          <w:spacing w:val="-81"/>
        </w:rPr>
        <w:t> </w:t>
      </w:r>
      <w:r>
        <w:rPr>
          <w:spacing w:val="-81"/>
        </w:rPr>
      </w:r>
      <w:r>
        <w:rPr/>
        <w:t>应支付的相关税费作为换入长期股权投资的初始投资成本。 通过债务重组取得的长期股权投资，其初始投资成本按照公允价值为基础确定。</w:t>
      </w:r>
    </w:p>
    <w:p>
      <w:pPr>
        <w:pStyle w:val="BodyText"/>
        <w:spacing w:line="240" w:lineRule="auto" w:before="48"/>
        <w:ind w:right="0"/>
        <w:jc w:val="left"/>
      </w:pPr>
      <w:r>
        <w:rPr/>
        <w:t>（</w:t>
      </w:r>
      <w:r>
        <w:rPr>
          <w:rFonts w:ascii="宋体" w:hAnsi="宋体" w:cs="宋体" w:eastAsia="宋体" w:hint="default"/>
        </w:rPr>
        <w:t>3</w:t>
      </w:r>
      <w:r>
        <w:rPr/>
        <w:t>）后续计量及损益确认方法</w:t>
      </w:r>
    </w:p>
    <w:p>
      <w:pPr>
        <w:spacing w:line="240" w:lineRule="auto" w:before="9"/>
        <w:rPr>
          <w:rFonts w:ascii="宋体" w:hAnsi="宋体" w:cs="宋体" w:eastAsia="宋体" w:hint="default"/>
          <w:sz w:val="15"/>
          <w:szCs w:val="15"/>
        </w:rPr>
      </w:pPr>
    </w:p>
    <w:p>
      <w:pPr>
        <w:pStyle w:val="BodyText"/>
        <w:spacing w:line="240" w:lineRule="auto"/>
        <w:ind w:right="0"/>
        <w:jc w:val="left"/>
      </w:pPr>
      <w:r>
        <w:rPr/>
        <w:t>①成本法核算的长期股权投资</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092"/>
        <w:jc w:val="left"/>
      </w:pPr>
      <w:r>
        <w:rPr>
          <w:spacing w:val="-1"/>
        </w:rPr>
        <w:t>公司对子公司的长期股权投资，采用成本法核算。除取得投资时实际支付的价款或对价中包含的已宣告但</w:t>
      </w:r>
      <w:r>
        <w:rPr>
          <w:spacing w:val="-81"/>
        </w:rPr>
        <w:t> </w:t>
      </w:r>
      <w:r>
        <w:rPr>
          <w:spacing w:val="-81"/>
        </w:rPr>
      </w:r>
      <w:r>
        <w:rPr/>
        <w:t>尚未发放的现金股利或利润外，公司按照享有被投资单位宣告发放的现金股利或利润确认当期投资收益。</w:t>
      </w:r>
    </w:p>
    <w:p>
      <w:pPr>
        <w:pStyle w:val="BodyText"/>
        <w:spacing w:line="420" w:lineRule="auto" w:before="47"/>
        <w:ind w:right="1008"/>
        <w:jc w:val="left"/>
      </w:pPr>
      <w:r>
        <w:rPr/>
        <w:t>②权益法核算的长期股权投资 对联营企业和合营企业的长期股权投资，采用权益法核算。初始投资成本大于投资时应享有被投资单位可 辨认净资产公允价值份额的差额，不调整长期股权投资的初始投资成本；初始投资成本小于投资时应享有 被投资单位可辨认净资产公允价值份额的差额，计入当期损益。 公司按照应享有或应分担的被投资单位实现的净损益和其他综合收益的份额，分别确认投资收益和其他综 合收益，同时调整长期股权投资的账面价值；按照被投资单位宣告分派的利润或现金股利计算应享有的部 分，相应减少长期股权投资的账面价值；对于被投资单位除净损益、其他综合收益和利润分配以外所有者 权益的其他变动，调整长期股权投资的账面价值并计入所有者权益。 在确认应享有被投资单位净损益的份额时，以取得投资时被投资单位可辨认净资产的公允价值为基础，并 按照公司的会计政策及会计期间，对被投资单位的净利润进行调整后确认。在持有投资期间，被投资单位 编制合并财务报表的，以合并财务报表中的净利润、其他综合收益和其他所有者权益变动中归属于被投资 单位的金额为基础进行核算。 公司与联营企业、合营企业之间发生的未实现内部交易损益按照应享有的比例计算归属于公司的部分，予 以抵销，在此基础上确认投资收益。与被投资单位发生的未实现内部交易损失，属于资产减值损失的，全 </w:t>
      </w:r>
      <w:r>
        <w:rPr>
          <w:spacing w:val="-7"/>
        </w:rPr>
        <w:t>额确认。公司与联营企业、合营企业之间发生投出或出售资产的交易，该资产构成业务的，按照本附注“五、</w:t>
      </w:r>
      <w:r>
        <w:rPr/>
        <w:t> </w:t>
      </w:r>
      <w:r>
        <w:rPr>
          <w:rFonts w:ascii="宋体" w:hAnsi="宋体" w:cs="宋体" w:eastAsia="宋体" w:hint="default"/>
        </w:rPr>
        <w:t>5</w:t>
      </w:r>
      <w:r>
        <w:rPr/>
        <w:t>、同一控制下和非同一控制下企业合并的会计处理方法”和“五、</w:t>
      </w:r>
      <w:r>
        <w:rPr>
          <w:rFonts w:ascii="宋体" w:hAnsi="宋体" w:cs="宋体" w:eastAsia="宋体" w:hint="default"/>
        </w:rPr>
        <w:t>6</w:t>
      </w:r>
      <w:r>
        <w:rPr/>
        <w:t>、合并财务报表的编制方法”中披露 的相关政策进行会计处理。 在公司确认应分担被投资单位发生的亏损时，按照以下顺序进行处理：首先，冲减长期股权投资的账面价 值。其次，长期股权投资的账面价值不足以冲减的，以其他实质上构成对被投资单位净投资的长期权益账 面价值为限继续确认投资损失，冲减长期应收项目等的账面价值。最后，经过上述处理，按照投资合同或 协议约定企业仍承担额外义务的，按预计承担的义务确认预计负债，计入当期投资损失。</w:t>
      </w:r>
    </w:p>
    <w:p>
      <w:pPr>
        <w:pStyle w:val="BodyText"/>
        <w:spacing w:line="420" w:lineRule="auto" w:before="47"/>
        <w:ind w:right="4032"/>
        <w:jc w:val="left"/>
      </w:pPr>
      <w:r>
        <w:rPr/>
        <w:t>③长期股权投资的处置 处置长期股权投资，其账面价值与实际取得价款的差额，计入当期损益。</w:t>
      </w:r>
    </w:p>
    <w:p>
      <w:pPr>
        <w:pStyle w:val="BodyText"/>
        <w:spacing w:line="420" w:lineRule="auto" w:before="47"/>
        <w:ind w:right="1131"/>
        <w:jc w:val="both"/>
      </w:pPr>
      <w:r>
        <w:rPr>
          <w:spacing w:val="-1"/>
        </w:rPr>
        <w:t>采用权益法核算的长期股权投资，在处置该项投资时，采用与被投资单位直接处置相关资产或负债相同的</w:t>
      </w:r>
      <w:r>
        <w:rPr>
          <w:spacing w:val="-81"/>
        </w:rPr>
        <w:t> </w:t>
      </w:r>
      <w:r>
        <w:rPr>
          <w:spacing w:val="-81"/>
        </w:rPr>
      </w:r>
      <w:r>
        <w:rPr>
          <w:spacing w:val="-1"/>
        </w:rPr>
        <w:t>基础，按相应比例对原计入其他综合收益的部分进行会计处理。因被投资单位除净损益、其他综合收益和</w:t>
      </w:r>
      <w:r>
        <w:rPr>
          <w:spacing w:val="-83"/>
        </w:rPr>
        <w:t> </w:t>
      </w:r>
      <w:r>
        <w:rPr>
          <w:spacing w:val="-83"/>
        </w:rPr>
      </w:r>
      <w:r>
        <w:rPr>
          <w:spacing w:val="-1"/>
        </w:rPr>
        <w:t>利润分配以外的其他所有者权益变动而确认的所有者权益，按比例结转入当期损益，由于被投资方重新计</w:t>
      </w:r>
      <w:r>
        <w:rPr>
          <w:spacing w:val="-81"/>
        </w:rPr>
        <w:t> </w:t>
      </w:r>
      <w:r>
        <w:rPr>
          <w:spacing w:val="-81"/>
        </w:rPr>
      </w:r>
      <w:r>
        <w:rPr/>
        <w:t>量设定受益计划净负债或净资产变动而产生的其他综合收益除外。</w:t>
      </w:r>
    </w:p>
    <w:p>
      <w:pPr>
        <w:spacing w:after="0" w:line="420"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0"/>
        <w:jc w:val="left"/>
      </w:pPr>
      <w:r>
        <w:rPr>
          <w:spacing w:val="-1"/>
        </w:rPr>
        <w:t>因处置部分股权投资等原因丧失了对被投资单位的共同控制或重大影响的，处置后的剩余股权改按金融工</w:t>
      </w:r>
      <w:r>
        <w:rPr>
          <w:spacing w:val="-81"/>
        </w:rPr>
        <w:t> </w:t>
      </w:r>
      <w:r>
        <w:rPr>
          <w:spacing w:val="-81"/>
        </w:rPr>
      </w:r>
      <w:r>
        <w:rPr>
          <w:spacing w:val="-1"/>
        </w:rPr>
        <w:t>具确认和计量准则核算，其在丧失共同控制或重大影响之日的公允价值与账面价值之间的差额计入当期损</w:t>
      </w:r>
      <w:r>
        <w:rPr>
          <w:spacing w:val="-81"/>
        </w:rPr>
        <w:t> </w:t>
      </w:r>
      <w:r>
        <w:rPr>
          <w:spacing w:val="-81"/>
        </w:rPr>
      </w:r>
      <w:r>
        <w:rPr>
          <w:spacing w:val="-1"/>
        </w:rPr>
        <w:t>益。原股权投资因采用权益法核算而确认的其他综合收益，在终止采用权益法核算时采用与被投资单位直</w:t>
      </w:r>
      <w:r>
        <w:rPr>
          <w:spacing w:val="-81"/>
        </w:rPr>
        <w:t> </w:t>
      </w:r>
      <w:r>
        <w:rPr>
          <w:spacing w:val="-81"/>
        </w:rPr>
      </w:r>
      <w:r>
        <w:rPr>
          <w:spacing w:val="-1"/>
        </w:rPr>
        <w:t>接处置相关资产或负债相同的基础进行会计处理。因被投资方除净损益、其他综合收益和利润分配以外的</w:t>
      </w:r>
      <w:r>
        <w:rPr>
          <w:spacing w:val="-81"/>
        </w:rPr>
        <w:t> </w:t>
      </w:r>
      <w:r>
        <w:rPr>
          <w:spacing w:val="-81"/>
        </w:rPr>
      </w:r>
      <w:r>
        <w:rPr/>
        <w:t>其他所有者权益变动而确认的所有者权益，在终止采用权益法核算时全部转入当期损益。 </w:t>
      </w:r>
      <w:r>
        <w:rPr>
          <w:spacing w:val="-1"/>
        </w:rPr>
        <w:t>因处置部分股权投资、因其他投资方对子公司增资而导致本公司持股比例下降等原因丧失了对被投资单位</w:t>
      </w:r>
      <w:r>
        <w:rPr>
          <w:spacing w:val="-81"/>
        </w:rPr>
        <w:t> </w:t>
      </w:r>
      <w:r>
        <w:rPr>
          <w:spacing w:val="-81"/>
        </w:rPr>
      </w:r>
      <w:r>
        <w:rPr>
          <w:spacing w:val="-1"/>
        </w:rPr>
        <w:t>控制权的，在编制个别财务报表时，剩余股权能够对被投资单位实施共同控制或重大影响的，改按权益法</w:t>
      </w:r>
      <w:r>
        <w:rPr>
          <w:spacing w:val="-83"/>
        </w:rPr>
        <w:t> </w:t>
      </w:r>
      <w:r>
        <w:rPr>
          <w:spacing w:val="-83"/>
        </w:rPr>
      </w:r>
      <w:r>
        <w:rPr>
          <w:spacing w:val="-1"/>
        </w:rPr>
        <w:t>核算，并对该剩余股权视同自取得时即采用权益法核算进行调整；剩余股权不能对被投资单位实施共同控</w:t>
      </w:r>
      <w:r>
        <w:rPr>
          <w:spacing w:val="-81"/>
        </w:rPr>
        <w:t> </w:t>
      </w:r>
      <w:r>
        <w:rPr>
          <w:spacing w:val="-81"/>
        </w:rPr>
      </w:r>
      <w:r>
        <w:rPr>
          <w:spacing w:val="-1"/>
        </w:rPr>
        <w:t>制或施加重大影响的，改按金融工具确认和计量准则的有关规定进行会计处理，其在丧失控制之日的公允</w:t>
      </w:r>
      <w:r>
        <w:rPr>
          <w:spacing w:val="-80"/>
        </w:rPr>
        <w:t> </w:t>
      </w:r>
      <w:r>
        <w:rPr>
          <w:spacing w:val="-80"/>
        </w:rPr>
      </w:r>
      <w:r>
        <w:rPr/>
        <w:t>价值与账面价值间的差额计入当期损益。 </w:t>
      </w:r>
      <w:r>
        <w:rPr>
          <w:spacing w:val="-1"/>
        </w:rPr>
        <w:t>处置的股权是因追加投资等原因通过企业合并取得的，在编制个别财务报表时，处置后的剩余股权采用成</w:t>
      </w:r>
      <w:r>
        <w:rPr>
          <w:spacing w:val="-81"/>
        </w:rPr>
        <w:t> </w:t>
      </w:r>
      <w:r>
        <w:rPr>
          <w:spacing w:val="-81"/>
        </w:rPr>
      </w:r>
      <w:r>
        <w:rPr>
          <w:spacing w:val="-1"/>
        </w:rPr>
        <w:t>本法或权益法核算的，购买日之前持有的股权投资因采用权益法核算而确认的其他综合收益和其他所有者</w:t>
      </w:r>
      <w:r>
        <w:rPr>
          <w:spacing w:val="-81"/>
        </w:rPr>
        <w:t> </w:t>
      </w:r>
      <w:r>
        <w:rPr>
          <w:spacing w:val="-81"/>
        </w:rPr>
      </w:r>
      <w:r>
        <w:rPr>
          <w:spacing w:val="-1"/>
        </w:rPr>
        <w:t>权益按比例结转；处置后的剩余股权改按金融工具确认和计量准则进行会计处理的，其他综合收益和其他</w:t>
      </w:r>
      <w:r>
        <w:rPr>
          <w:spacing w:val="-81"/>
        </w:rPr>
        <w:t> </w:t>
      </w:r>
      <w:r>
        <w:rPr>
          <w:spacing w:val="-81"/>
        </w:rPr>
      </w:r>
      <w:r>
        <w:rPr/>
        <w:t>所有者权益全部结转。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51"/>
        <w:ind w:right="0"/>
        <w:jc w:val="left"/>
        <w:rPr>
          <w:b w:val="0"/>
          <w:bCs w:val="0"/>
        </w:rPr>
      </w:pPr>
      <w:bookmarkStart w:name="15、投资性房地产" w:id="190"/>
      <w:bookmarkEnd w:id="190"/>
      <w:r>
        <w:rPr>
          <w:b w:val="0"/>
          <w:bCs w:val="0"/>
        </w:rPr>
      </w:r>
      <w:r>
        <w:rPr>
          <w:rFonts w:ascii="宋体" w:hAnsi="宋体" w:cs="宋体" w:eastAsia="宋体" w:hint="default"/>
        </w:rPr>
        <w:t>15</w:t>
      </w:r>
      <w:r>
        <w:rPr/>
        <w:t>、投资性房地产</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8652"/>
        <w:jc w:val="left"/>
      </w:pPr>
      <w:r>
        <w:rPr/>
        <w:t>投资性房地产计量模式 成本法计量 折旧或摊销方法</w:t>
      </w:r>
    </w:p>
    <w:p>
      <w:pPr>
        <w:pStyle w:val="BodyText"/>
        <w:spacing w:line="420" w:lineRule="auto" w:before="47"/>
        <w:ind w:right="1092"/>
        <w:jc w:val="left"/>
      </w:pPr>
      <w:r>
        <w:rPr>
          <w:spacing w:val="-1"/>
        </w:rPr>
        <w:t>投资性房地产是指为赚取租金或资本增值，或两者兼有而持有的房地产，包括已出租的土地使用权、持有</w:t>
      </w:r>
      <w:r>
        <w:rPr>
          <w:spacing w:val="-82"/>
        </w:rPr>
        <w:t> </w:t>
      </w:r>
      <w:r>
        <w:rPr>
          <w:spacing w:val="-82"/>
        </w:rPr>
      </w:r>
      <w:r>
        <w:rPr>
          <w:spacing w:val="-1"/>
        </w:rPr>
        <w:t>并准备增值后转让的土地使用权、已出租的建筑物（含自行建造或开发活动完成后用于出租的建筑物以及</w:t>
      </w:r>
      <w:r>
        <w:rPr>
          <w:spacing w:val="-81"/>
        </w:rPr>
        <w:t> </w:t>
      </w:r>
      <w:r>
        <w:rPr>
          <w:spacing w:val="-81"/>
        </w:rPr>
      </w:r>
      <w:r>
        <w:rPr/>
        <w:t>正在建造或开发过程中将来用于出租的建筑物）公司对现有投资性房地产采用成本模式计量。 投资性房地产按照成本进行初始计量，采用成本模式进行后续计量．如与投资性房地产有关的后续支出， </w:t>
      </w:r>
      <w:r>
        <w:rPr>
          <w:spacing w:val="-1"/>
        </w:rPr>
        <w:t>如果与该资产有关的经济利益很可能流入且其成本能可靠地计量，则计入投资性房地产成本。其他后续支</w:t>
      </w:r>
      <w:r>
        <w:rPr>
          <w:spacing w:val="-81"/>
        </w:rPr>
        <w:t> </w:t>
      </w:r>
      <w:r>
        <w:rPr>
          <w:spacing w:val="-81"/>
        </w:rPr>
      </w:r>
      <w:r>
        <w:rPr/>
        <w:t>出，在发生时计入当期损益。 对成本模式计量的投资性房地产，采用与固定资产和无形资产相同的方法计提折旧或进行摊销。 </w:t>
      </w:r>
      <w:r>
        <w:rPr>
          <w:spacing w:val="-1"/>
        </w:rPr>
        <w:t>投资性房地产的用途改变为自用时，自改变之日起，将该投资性房地产转换为固定资产或无形资产，按转</w:t>
      </w:r>
      <w:r>
        <w:rPr>
          <w:spacing w:val="-83"/>
        </w:rPr>
        <w:t> </w:t>
      </w:r>
      <w:r>
        <w:rPr>
          <w:spacing w:val="-83"/>
        </w:rPr>
      </w:r>
      <w:r>
        <w:rPr>
          <w:spacing w:val="-1"/>
        </w:rPr>
        <w:t>换前的账面价值作为转换后的入账价值。自用房地产的用途或者存货改变为赚取租金或资本增值时，自改</w:t>
      </w:r>
    </w:p>
    <w:p>
      <w:pPr>
        <w:spacing w:after="0" w:line="42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092"/>
        <w:jc w:val="left"/>
      </w:pPr>
      <w:r>
        <w:rPr>
          <w:spacing w:val="-1"/>
        </w:rPr>
        <w:t>变之日起，将固定资产或无形资产转换为投资性房地产，转换为采用成本模式计量的投资性房地产的，以</w:t>
      </w:r>
      <w:r>
        <w:rPr>
          <w:spacing w:val="-83"/>
        </w:rPr>
        <w:t> </w:t>
      </w:r>
      <w:r>
        <w:rPr>
          <w:spacing w:val="-83"/>
        </w:rPr>
      </w:r>
      <w:r>
        <w:rPr>
          <w:spacing w:val="-1"/>
        </w:rPr>
        <w:t>转换前的账面价值作为转换后的入账价值；转换为以公允价值模式计量的投资性房地产的，以转换日的公</w:t>
      </w:r>
      <w:r>
        <w:rPr>
          <w:spacing w:val="-81"/>
        </w:rPr>
        <w:t> </w:t>
      </w:r>
      <w:r>
        <w:rPr>
          <w:spacing w:val="-81"/>
        </w:rPr>
      </w:r>
      <w:r>
        <w:rPr/>
        <w:t>允价值作为转换后的入账价值。 </w:t>
      </w:r>
      <w:r>
        <w:rPr>
          <w:spacing w:val="-1"/>
        </w:rPr>
        <w:t>当投资性房地产被处置、或者永久退出使用且预计不能从其处置中取得经济利益时，终止确认该项投资性</w:t>
      </w:r>
      <w:r>
        <w:rPr>
          <w:spacing w:val="-81"/>
        </w:rPr>
        <w:t> </w:t>
      </w:r>
      <w:r>
        <w:rPr>
          <w:spacing w:val="-81"/>
        </w:rPr>
      </w:r>
      <w:r>
        <w:rPr/>
        <w:t>房地产。投资性房地产出售、转让、报废或毁损的处置收入扣除其账面价值和相关税费后计入当期损益。</w:t>
      </w: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bookmarkStart w:name="16、固定资产" w:id="191"/>
      <w:bookmarkEnd w:id="191"/>
      <w:r>
        <w:rPr>
          <w:b w:val="0"/>
          <w:bCs w:val="0"/>
        </w:rPr>
      </w:r>
      <w:r>
        <w:rPr>
          <w:rFonts w:ascii="宋体" w:hAnsi="宋体" w:cs="宋体" w:eastAsia="宋体" w:hint="default"/>
        </w:rPr>
        <w:t>16</w:t>
      </w:r>
      <w:r>
        <w:rPr/>
        <w:t>、固定资产</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4"/>
        <w:spacing w:line="240" w:lineRule="auto"/>
        <w:ind w:right="0"/>
        <w:jc w:val="left"/>
        <w:rPr>
          <w:b w:val="0"/>
          <w:bCs w:val="0"/>
        </w:rPr>
      </w:pPr>
      <w:bookmarkStart w:name="（1）确认条件" w:id="192"/>
      <w:bookmarkEnd w:id="192"/>
      <w:r>
        <w:rPr>
          <w:b w:val="0"/>
          <w:bCs w:val="0"/>
        </w:rPr>
      </w:r>
      <w:r>
        <w:rPr/>
        <w:t>（</w:t>
      </w:r>
      <w:r>
        <w:rPr>
          <w:rFonts w:ascii="宋体" w:hAnsi="宋体" w:cs="宋体" w:eastAsia="宋体" w:hint="default"/>
        </w:rPr>
        <w:t>1</w:t>
      </w:r>
      <w:r>
        <w:rPr/>
        <w:t>）确认条件</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420" w:lineRule="auto"/>
        <w:ind w:right="1131"/>
        <w:jc w:val="both"/>
      </w:pPr>
      <w:r>
        <w:rPr>
          <w:spacing w:val="-1"/>
        </w:rPr>
        <w:t>本公司固定资产是指为生产商品、提供劳务、出租或经营管理而持有的，使用寿命超过一个会计年度的有</w:t>
      </w:r>
      <w:r>
        <w:rPr>
          <w:spacing w:val="-83"/>
        </w:rPr>
        <w:t> </w:t>
      </w:r>
      <w:r>
        <w:rPr>
          <w:spacing w:val="-83"/>
        </w:rPr>
      </w:r>
      <w:r>
        <w:rPr>
          <w:spacing w:val="-1"/>
        </w:rPr>
        <w:t>形资产。与该固定资产有关的经济利益很可能流入企业，并且该固定资产的成本能够可靠地计量时，固定</w:t>
      </w:r>
      <w:r>
        <w:rPr>
          <w:spacing w:val="-83"/>
        </w:rPr>
        <w:t> </w:t>
      </w:r>
      <w:r>
        <w:rPr>
          <w:spacing w:val="-83"/>
        </w:rPr>
      </w:r>
      <w:r>
        <w:rPr/>
        <w:t>资产才能予以确认。固定资产按成本并考虑预计弃置费用因素的影响进行初始计量。</w:t>
      </w:r>
    </w:p>
    <w:p>
      <w:pPr>
        <w:spacing w:line="240" w:lineRule="auto" w:before="7"/>
        <w:rPr>
          <w:rFonts w:ascii="宋体" w:hAnsi="宋体" w:cs="宋体" w:eastAsia="宋体" w:hint="default"/>
          <w:sz w:val="26"/>
          <w:szCs w:val="26"/>
        </w:rPr>
      </w:pPr>
    </w:p>
    <w:p>
      <w:pPr>
        <w:pStyle w:val="Heading4"/>
        <w:spacing w:line="240" w:lineRule="auto"/>
        <w:ind w:right="0"/>
        <w:jc w:val="left"/>
        <w:rPr>
          <w:b w:val="0"/>
          <w:bCs w:val="0"/>
        </w:rPr>
      </w:pPr>
      <w:bookmarkStart w:name="（2）折旧方法" w:id="193"/>
      <w:bookmarkEnd w:id="193"/>
      <w:r>
        <w:rPr>
          <w:b w:val="0"/>
          <w:bCs w:val="0"/>
        </w:rPr>
      </w:r>
      <w:r>
        <w:rPr/>
        <w:t>（</w:t>
      </w:r>
      <w:r>
        <w:rPr>
          <w:rFonts w:ascii="宋体" w:hAnsi="宋体" w:cs="宋体" w:eastAsia="宋体" w:hint="default"/>
        </w:rPr>
        <w:t>2</w:t>
      </w:r>
      <w:r>
        <w:rPr/>
        <w:t>）折旧方法</w:t>
      </w:r>
      <w:r>
        <w:rPr>
          <w:b w:val="0"/>
          <w:bCs w:val="0"/>
        </w:rPr>
      </w:r>
    </w:p>
    <w:p>
      <w:pPr>
        <w:spacing w:line="240" w:lineRule="auto" w:before="0"/>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2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90"/>
              <w:jc w:val="righ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613"/>
              <w:jc w:val="right"/>
              <w:rPr>
                <w:rFonts w:ascii="宋体" w:hAnsi="宋体" w:cs="宋体" w:eastAsia="宋体" w:hint="default"/>
                <w:sz w:val="18"/>
                <w:szCs w:val="18"/>
              </w:rPr>
            </w:pPr>
            <w:r>
              <w:rPr>
                <w:rFonts w:ascii="宋体" w:hAnsi="宋体" w:cs="宋体" w:eastAsia="宋体" w:hint="default"/>
                <w:sz w:val="18"/>
                <w:szCs w:val="18"/>
              </w:rPr>
              <w:t>10-40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sz w:val="18"/>
              </w:rPr>
              <w:t>9.70%-2.43%</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3"/>
              <w:jc w:val="right"/>
              <w:rPr>
                <w:rFonts w:ascii="宋体" w:hAnsi="宋体" w:cs="宋体" w:eastAsia="宋体" w:hint="default"/>
                <w:sz w:val="18"/>
                <w:szCs w:val="18"/>
              </w:rPr>
            </w:pPr>
            <w:r>
              <w:rPr>
                <w:rFonts w:ascii="宋体" w:hAnsi="宋体" w:cs="宋体" w:eastAsia="宋体" w:hint="default"/>
                <w:sz w:val="18"/>
                <w:szCs w:val="18"/>
              </w:rPr>
              <w:t>10-18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9.70%-5.38%</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59"/>
              <w:jc w:val="right"/>
              <w:rPr>
                <w:rFonts w:ascii="宋体" w:hAnsi="宋体" w:cs="宋体" w:eastAsia="宋体" w:hint="default"/>
                <w:sz w:val="18"/>
                <w:szCs w:val="18"/>
              </w:rPr>
            </w:pPr>
            <w:r>
              <w:rPr>
                <w:rFonts w:ascii="宋体" w:hAnsi="宋体" w:cs="宋体" w:eastAsia="宋体" w:hint="default"/>
                <w:sz w:val="18"/>
                <w:szCs w:val="18"/>
              </w:rPr>
              <w:t>5-12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19.40%-8.08%</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59"/>
              <w:jc w:val="right"/>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19.40%-9.70%</w:t>
            </w:r>
          </w:p>
        </w:tc>
      </w:tr>
    </w:tbl>
    <w:p>
      <w:pPr>
        <w:spacing w:line="240" w:lineRule="auto" w:before="12"/>
        <w:rPr>
          <w:rFonts w:ascii="宋体" w:hAnsi="宋体" w:cs="宋体" w:eastAsia="宋体" w:hint="default"/>
          <w:b/>
          <w:bCs/>
          <w:sz w:val="7"/>
          <w:szCs w:val="7"/>
        </w:rPr>
      </w:pPr>
    </w:p>
    <w:p>
      <w:pPr>
        <w:pStyle w:val="BodyText"/>
        <w:spacing w:line="240" w:lineRule="auto" w:before="35"/>
        <w:ind w:right="0"/>
        <w:jc w:val="both"/>
      </w:pPr>
      <w:r>
        <w:rPr/>
        <w:t>其中，已计提减值准备的固定资产，还应扣除已计提的固定资产减值准备累计金额计算确定折旧率。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ind w:right="0"/>
        <w:jc w:val="both"/>
        <w:rPr>
          <w:rFonts w:ascii="宋体" w:hAnsi="宋体" w:cs="宋体" w:eastAsia="宋体" w:hint="default"/>
          <w:b w:val="0"/>
          <w:bCs w:val="0"/>
        </w:rPr>
      </w:pPr>
      <w:bookmarkStart w:name="（3） 固定资产的减值测试方法、减值准备计提方法见附注五、20" w:id="194"/>
      <w:bookmarkEnd w:id="194"/>
      <w:r>
        <w:rPr>
          <w:b w:val="0"/>
          <w:bCs w:val="0"/>
        </w:rPr>
      </w:r>
      <w:r>
        <w:rPr/>
        <w:t>（</w:t>
      </w:r>
      <w:r>
        <w:rPr>
          <w:rFonts w:ascii="宋体" w:hAnsi="宋体" w:cs="宋体" w:eastAsia="宋体" w:hint="default"/>
        </w:rPr>
        <w:t>3</w:t>
      </w:r>
      <w:r>
        <w:rPr/>
        <w:t>）</w:t>
      </w:r>
      <w:r>
        <w:rPr>
          <w:spacing w:val="-6"/>
        </w:rPr>
        <w:t> </w:t>
      </w:r>
      <w:r>
        <w:rPr/>
        <w:t>固定资产的减值测试方法、减值准备计提方法见附注五、</w:t>
      </w:r>
      <w:r>
        <w:rPr>
          <w:rFonts w:ascii="宋体" w:hAnsi="宋体" w:cs="宋体" w:eastAsia="宋体" w:hint="default"/>
        </w:rPr>
        <w:t>20</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Heading4"/>
        <w:spacing w:line="240" w:lineRule="auto"/>
        <w:ind w:right="0"/>
        <w:jc w:val="both"/>
        <w:rPr>
          <w:b w:val="0"/>
          <w:bCs w:val="0"/>
        </w:rPr>
      </w:pPr>
      <w:bookmarkStart w:name="（4）融资租入固定资产的认定依据、计价和折旧方法" w:id="195"/>
      <w:bookmarkEnd w:id="195"/>
      <w:r>
        <w:rPr>
          <w:b w:val="0"/>
          <w:bCs w:val="0"/>
        </w:rPr>
      </w:r>
      <w:r>
        <w:rPr/>
        <w:t>（</w:t>
      </w:r>
      <w:r>
        <w:rPr>
          <w:rFonts w:ascii="宋体" w:hAnsi="宋体" w:cs="宋体" w:eastAsia="宋体" w:hint="default"/>
        </w:rPr>
        <w:t>4</w:t>
      </w:r>
      <w:r>
        <w:rPr/>
        <w:t>）融资租入固定资产的认定依据、计价和折旧方法</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420" w:lineRule="auto"/>
        <w:ind w:right="1131"/>
        <w:jc w:val="both"/>
      </w:pPr>
      <w:r>
        <w:rPr>
          <w:spacing w:val="-1"/>
        </w:rPr>
        <w:t>当本公司租入的固定资产符合下列一项或数项标准时，确认为融资租入固定资产：①在租赁期届满时，租</w:t>
      </w:r>
      <w:r>
        <w:rPr>
          <w:spacing w:val="-83"/>
        </w:rPr>
        <w:t> </w:t>
      </w:r>
      <w:r>
        <w:rPr>
          <w:spacing w:val="-83"/>
        </w:rPr>
      </w:r>
      <w:r>
        <w:rPr>
          <w:spacing w:val="-1"/>
        </w:rPr>
        <w:t>赁资产的所有权转移给本公司。②本公司有购买租赁资产的选择权，所订立的购买价款预计将远低于行使</w:t>
      </w:r>
      <w:r>
        <w:rPr>
          <w:spacing w:val="-81"/>
        </w:rPr>
        <w:t> </w:t>
      </w:r>
      <w:r>
        <w:rPr>
          <w:spacing w:val="-81"/>
        </w:rPr>
      </w:r>
      <w:r>
        <w:rPr>
          <w:spacing w:val="-1"/>
        </w:rPr>
        <w:t>选择权时租赁资产的公允价值，因而在租赁开始日就可以合理确定本公司将会行使这种选择权。③即使资</w:t>
      </w:r>
      <w:r>
        <w:rPr>
          <w:spacing w:val="-81"/>
        </w:rPr>
        <w:t> </w:t>
      </w:r>
      <w:r>
        <w:rPr>
          <w:spacing w:val="-81"/>
        </w:rPr>
      </w:r>
      <w:r>
        <w:rPr>
          <w:spacing w:val="-1"/>
        </w:rPr>
        <w:t>产的所有权不转移，但租赁期占租赁资产使用寿命的大部分。④本公司在租赁开始日的最低租赁付款额现</w:t>
      </w:r>
      <w:r>
        <w:rPr>
          <w:spacing w:val="-81"/>
        </w:rPr>
        <w:t> </w:t>
      </w:r>
      <w:r>
        <w:rPr>
          <w:spacing w:val="-81"/>
        </w:rPr>
      </w:r>
      <w:r>
        <w:rPr>
          <w:spacing w:val="-1"/>
        </w:rPr>
        <w:t>值，几乎相当于租赁开始日租赁资产公允价值。公司在承租开始日，将租赁资产公允价值与最低租赁付款</w:t>
      </w:r>
    </w:p>
    <w:p>
      <w:pPr>
        <w:spacing w:after="0" w:line="420"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0"/>
        <w:jc w:val="left"/>
      </w:pPr>
      <w:r>
        <w:rPr>
          <w:spacing w:val="-1"/>
        </w:rPr>
        <w:t>额现值两者中较低者作为租入资产的入账价值，将最低租赁付款额作为长期应付款的入账价值，其差额作</w:t>
      </w:r>
      <w:r>
        <w:rPr>
          <w:spacing w:val="-81"/>
        </w:rPr>
        <w:t> </w:t>
      </w:r>
      <w:r>
        <w:rPr>
          <w:spacing w:val="-81"/>
        </w:rPr>
      </w:r>
      <w:r>
        <w:rPr/>
        <w:t>为未确认的融资费。</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5） 每年年度终了，本公司对固定资产的使用寿命、预计净残值和折旧方法进行复核。" w:id="196"/>
      <w:bookmarkEnd w:id="196"/>
      <w:r>
        <w:rPr>
          <w:b w:val="0"/>
          <w:bCs w:val="0"/>
        </w:rPr>
      </w:r>
      <w:r>
        <w:rPr/>
        <w:t>（</w:t>
      </w:r>
      <w:r>
        <w:rPr>
          <w:rFonts w:ascii="宋体" w:hAnsi="宋体" w:cs="宋体" w:eastAsia="宋体" w:hint="default"/>
        </w:rPr>
        <w:t>5</w:t>
      </w:r>
      <w:r>
        <w:rPr/>
        <w:t>）</w:t>
      </w:r>
      <w:r>
        <w:rPr>
          <w:spacing w:val="-9"/>
        </w:rPr>
        <w:t> </w:t>
      </w:r>
      <w:r>
        <w:rPr/>
        <w:t>每年年度终了，本公司对固定资产的使用寿命、预计净残值和折旧方法进行复核。</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420" w:lineRule="auto"/>
        <w:ind w:right="0"/>
        <w:jc w:val="left"/>
      </w:pPr>
      <w:r>
        <w:rPr>
          <w:spacing w:val="-1"/>
        </w:rPr>
        <w:t>使用寿命预计数与原先估计数有差异的，调整固定资产使用寿命；预计净残值预计数与原先估计数有差异</w:t>
      </w:r>
      <w:r>
        <w:rPr>
          <w:spacing w:val="-81"/>
        </w:rPr>
        <w:t> </w:t>
      </w:r>
      <w:r>
        <w:rPr>
          <w:spacing w:val="-81"/>
        </w:rPr>
      </w:r>
      <w:r>
        <w:rPr/>
        <w:t>的，调整预计净残值。</w:t>
      </w: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bookmarkStart w:name="17、在建工程" w:id="197"/>
      <w:bookmarkEnd w:id="197"/>
      <w:r>
        <w:rPr>
          <w:b w:val="0"/>
          <w:bCs w:val="0"/>
        </w:rPr>
      </w:r>
      <w:r>
        <w:rPr>
          <w:rFonts w:ascii="宋体" w:hAnsi="宋体" w:cs="宋体" w:eastAsia="宋体" w:hint="default"/>
        </w:rPr>
        <w:t>17</w:t>
      </w:r>
      <w:r>
        <w:rPr/>
        <w:t>、在建工程</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7182"/>
        <w:jc w:val="left"/>
      </w:pPr>
      <w:r>
        <w:rPr/>
        <w:t>公司是否需要遵守特殊行业的披露要求 否</w:t>
      </w:r>
    </w:p>
    <w:p>
      <w:pPr>
        <w:pStyle w:val="BodyText"/>
        <w:spacing w:line="420" w:lineRule="auto" w:before="47"/>
        <w:ind w:right="1109"/>
        <w:jc w:val="both"/>
      </w:pPr>
      <w:r>
        <w:rPr>
          <w:spacing w:val="-1"/>
        </w:rPr>
        <w:t>在建工程项目按建造该项资产达到预定可使用状态前所发生的必要支出，作为固定资产的入账价值。所建</w:t>
      </w:r>
      <w:r>
        <w:rPr>
          <w:spacing w:val="-81"/>
        </w:rPr>
        <w:t> </w:t>
      </w:r>
      <w:r>
        <w:rPr>
          <w:spacing w:val="-81"/>
        </w:rPr>
      </w:r>
      <w:r>
        <w:rPr>
          <w:spacing w:val="-1"/>
        </w:rPr>
        <w:t>造的固定资产在工程已达到预定可使用状态，但尚未办理竣工决算的，自达到预定可使用状态之日起，根</w:t>
      </w:r>
      <w:r>
        <w:rPr>
          <w:spacing w:val="-83"/>
        </w:rPr>
        <w:t> </w:t>
      </w:r>
      <w:r>
        <w:rPr>
          <w:spacing w:val="-83"/>
        </w:rPr>
      </w:r>
      <w:r>
        <w:rPr>
          <w:spacing w:val="-1"/>
        </w:rPr>
        <w:t>据工程预算、造价或者工程实际成本等，按估计的价值转入固定资产，并按本公司固定资产折旧政策计提</w:t>
      </w:r>
      <w:r>
        <w:rPr>
          <w:spacing w:val="-83"/>
        </w:rPr>
        <w:t> </w:t>
      </w:r>
      <w:r>
        <w:rPr>
          <w:spacing w:val="-83"/>
        </w:rPr>
      </w:r>
      <w:r>
        <w:rPr/>
        <w:t>固定资产的折旧，待办理竣工决算后，再按实际成本调整原来的暂估价值，但不调整原已计提的折旧额。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4"/>
        <w:spacing w:line="240" w:lineRule="auto"/>
        <w:ind w:right="0"/>
        <w:jc w:val="left"/>
        <w:rPr>
          <w:b w:val="0"/>
          <w:bCs w:val="0"/>
        </w:rPr>
      </w:pPr>
      <w:bookmarkStart w:name="18、借款费用" w:id="198"/>
      <w:bookmarkEnd w:id="198"/>
      <w:r>
        <w:rPr>
          <w:b w:val="0"/>
          <w:bCs w:val="0"/>
        </w:rPr>
      </w:r>
      <w:r>
        <w:rPr>
          <w:rFonts w:ascii="宋体" w:hAnsi="宋体" w:cs="宋体" w:eastAsia="宋体" w:hint="default"/>
        </w:rPr>
        <w:t>18</w:t>
      </w:r>
      <w:r>
        <w:rPr/>
        <w:t>、借款费用</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0"/>
        <w:jc w:val="left"/>
      </w:pPr>
      <w:r>
        <w:rPr/>
        <w:t>（</w:t>
      </w:r>
      <w:r>
        <w:rPr>
          <w:rFonts w:ascii="宋体" w:hAnsi="宋体" w:cs="宋体" w:eastAsia="宋体" w:hint="default"/>
        </w:rPr>
        <w:t>1</w:t>
      </w:r>
      <w:r>
        <w:rPr/>
        <w:t>）借款费用资本化的确认原则 借款费用，包括借款利息、折价或者溢价的摊销、辅助费用以及因外币借款而发生的汇兑差额等。 </w:t>
      </w:r>
      <w:r>
        <w:rPr>
          <w:spacing w:val="-1"/>
        </w:rPr>
        <w:t>公司发生的借款费用，可直接归属于符合资本化条件的资产的购建或者生产的，予以资本化，计入相关资</w:t>
      </w:r>
      <w:r>
        <w:rPr>
          <w:spacing w:val="-83"/>
        </w:rPr>
        <w:t> </w:t>
      </w:r>
      <w:r>
        <w:rPr>
          <w:spacing w:val="-83"/>
        </w:rPr>
      </w:r>
      <w:r>
        <w:rPr/>
        <w:t>产成本；其他借款费用，在发生时根据其发生额确认为费用，计入当期损益。 </w:t>
      </w:r>
      <w:r>
        <w:rPr>
          <w:spacing w:val="-1"/>
        </w:rPr>
        <w:t>符合资本化条件的资产，是指需要经过相当长时间的购建或者生产活动才能达到预定可使用或者可销售状</w:t>
      </w:r>
      <w:r>
        <w:rPr>
          <w:spacing w:val="-81"/>
        </w:rPr>
        <w:t> </w:t>
      </w:r>
      <w:r>
        <w:rPr>
          <w:spacing w:val="-81"/>
        </w:rPr>
      </w:r>
      <w:r>
        <w:rPr/>
        <w:t>态的固定资产、投资性房地产和存货等资产。</w:t>
      </w:r>
    </w:p>
    <w:p>
      <w:pPr>
        <w:pStyle w:val="BodyText"/>
        <w:spacing w:line="240" w:lineRule="auto" w:before="47"/>
        <w:ind w:right="0"/>
        <w:jc w:val="left"/>
      </w:pPr>
      <w:r>
        <w:rPr/>
        <w:t>借款费用同时满足下列条件时开始资本化：</w:t>
      </w:r>
    </w:p>
    <w:p>
      <w:pPr>
        <w:spacing w:line="240" w:lineRule="auto" w:before="9"/>
        <w:rPr>
          <w:rFonts w:ascii="宋体" w:hAnsi="宋体" w:cs="宋体" w:eastAsia="宋体" w:hint="default"/>
          <w:sz w:val="15"/>
          <w:szCs w:val="15"/>
        </w:rPr>
      </w:pPr>
    </w:p>
    <w:p>
      <w:pPr>
        <w:pStyle w:val="BodyText"/>
        <w:spacing w:line="420" w:lineRule="auto"/>
        <w:ind w:right="0"/>
        <w:jc w:val="left"/>
      </w:pPr>
      <w:r>
        <w:rPr>
          <w:spacing w:val="-1"/>
        </w:rPr>
        <w:t>①资产支出已经发生，资产支出包括为购建或者生产符合资本化条件的资产而以支付现金、转移非现金资</w:t>
      </w:r>
      <w:r>
        <w:rPr>
          <w:spacing w:val="-81"/>
        </w:rPr>
        <w:t> </w:t>
      </w:r>
      <w:r>
        <w:rPr>
          <w:spacing w:val="-81"/>
        </w:rPr>
      </w:r>
      <w:r>
        <w:rPr/>
        <w:t>产或者承担带息债务形式发生的支出；</w:t>
      </w:r>
    </w:p>
    <w:p>
      <w:pPr>
        <w:pStyle w:val="BodyText"/>
        <w:spacing w:line="240" w:lineRule="auto" w:before="48"/>
        <w:ind w:right="0"/>
        <w:jc w:val="left"/>
      </w:pPr>
      <w:r>
        <w:rPr/>
        <w:t>②借款费用已经发生；</w:t>
      </w:r>
    </w:p>
    <w:p>
      <w:pPr>
        <w:spacing w:line="240" w:lineRule="auto" w:before="9"/>
        <w:rPr>
          <w:rFonts w:ascii="宋体" w:hAnsi="宋体" w:cs="宋体" w:eastAsia="宋体" w:hint="default"/>
          <w:sz w:val="15"/>
          <w:szCs w:val="15"/>
        </w:rPr>
      </w:pPr>
    </w:p>
    <w:p>
      <w:pPr>
        <w:pStyle w:val="BodyText"/>
        <w:spacing w:line="240" w:lineRule="auto"/>
        <w:ind w:right="0"/>
        <w:jc w:val="left"/>
      </w:pPr>
      <w:r>
        <w:rPr/>
        <w:t>③为使资产达到预定可使用或者可销售状态所必要的购建或者生产活动已经开始。</w:t>
      </w:r>
    </w:p>
    <w:p>
      <w:pPr>
        <w:spacing w:line="240" w:lineRule="auto" w:before="9"/>
        <w:rPr>
          <w:rFonts w:ascii="宋体" w:hAnsi="宋体" w:cs="宋体" w:eastAsia="宋体" w:hint="default"/>
          <w:sz w:val="15"/>
          <w:szCs w:val="15"/>
        </w:rPr>
      </w:pPr>
    </w:p>
    <w:p>
      <w:pPr>
        <w:pStyle w:val="BodyText"/>
        <w:spacing w:line="240" w:lineRule="auto"/>
        <w:ind w:right="0"/>
        <w:jc w:val="left"/>
      </w:pPr>
      <w:r>
        <w:rPr/>
        <w:t>（</w:t>
      </w:r>
      <w:r>
        <w:rPr>
          <w:rFonts w:ascii="宋体" w:hAnsi="宋体" w:cs="宋体" w:eastAsia="宋体" w:hint="default"/>
        </w:rPr>
        <w:t>2</w:t>
      </w:r>
      <w:r>
        <w:rPr/>
        <w:t>）借款费用资本化期间</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130"/>
        <w:jc w:val="left"/>
      </w:pPr>
      <w:r>
        <w:rPr>
          <w:spacing w:val="-1"/>
        </w:rPr>
        <w:t>资本化期间，指从借款费用开始资本化时点到停止资本化时点的期间，借款费用暂停资本化的期间不包括</w:t>
      </w:r>
      <w:r>
        <w:rPr>
          <w:spacing w:val="-81"/>
        </w:rPr>
        <w:t> </w:t>
      </w:r>
      <w:r>
        <w:rPr>
          <w:spacing w:val="-81"/>
        </w:rPr>
      </w:r>
      <w:r>
        <w:rPr/>
        <w:t>在内。 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当购建或者生产符合资本化条件的资产中部分项目分别完工且可单独使用时，该部分资产借款费用停止资</w:t>
      </w:r>
      <w:r>
        <w:rPr>
          <w:spacing w:val="-80"/>
        </w:rPr>
        <w:t> </w:t>
      </w:r>
      <w:r>
        <w:rPr>
          <w:spacing w:val="-80"/>
        </w:rPr>
      </w:r>
      <w:r>
        <w:rPr/>
        <w:t>本化。 </w:t>
      </w:r>
      <w:r>
        <w:rPr>
          <w:spacing w:val="-1"/>
        </w:rPr>
        <w:t>购建或者生产的资产的各部分分别完工，但必须等到整体完工后才可使用或可对外销售的，在该资产整体</w:t>
      </w:r>
      <w:r>
        <w:rPr>
          <w:spacing w:val="-81"/>
        </w:rPr>
        <w:t> </w:t>
      </w:r>
      <w:r>
        <w:rPr>
          <w:spacing w:val="-81"/>
        </w:rPr>
      </w:r>
      <w:r>
        <w:rPr/>
        <w:t>完工时停止借款费用资本化。</w:t>
      </w:r>
    </w:p>
    <w:p>
      <w:pPr>
        <w:pStyle w:val="BodyText"/>
        <w:spacing w:line="420" w:lineRule="auto" w:before="47"/>
        <w:ind w:right="0"/>
        <w:jc w:val="left"/>
      </w:pPr>
      <w:r>
        <w:rPr/>
        <w:t>（</w:t>
      </w:r>
      <w:r>
        <w:rPr>
          <w:rFonts w:ascii="宋体" w:hAnsi="宋体" w:cs="宋体" w:eastAsia="宋体" w:hint="default"/>
        </w:rPr>
        <w:t>3</w:t>
      </w:r>
      <w:r>
        <w:rPr/>
        <w:t>）暂停资本化期间 符合资本化条件的资产在购建或生产过程中发生的非正常中断、且中断时间连续超过</w:t>
      </w:r>
      <w:r>
        <w:rPr>
          <w:rFonts w:ascii="宋体" w:hAnsi="宋体" w:cs="宋体" w:eastAsia="宋体" w:hint="default"/>
        </w:rPr>
        <w:t>3</w:t>
      </w:r>
      <w:r>
        <w:rPr/>
        <w:t>个月的，则借款费 </w:t>
      </w:r>
      <w:r>
        <w:rPr>
          <w:spacing w:val="-1"/>
        </w:rPr>
        <w:t>用暂停资本化；该项中断如是所购建或生产的符合资本化条件的资产达到预定可使用状态或者可销售状态</w:t>
      </w:r>
      <w:r>
        <w:rPr>
          <w:spacing w:val="-81"/>
        </w:rPr>
        <w:t> </w:t>
      </w:r>
      <w:r>
        <w:rPr>
          <w:spacing w:val="-81"/>
        </w:rPr>
      </w:r>
      <w:r>
        <w:rPr>
          <w:spacing w:val="-1"/>
        </w:rPr>
        <w:t>必要的程序，则借款费用继续资本化。在中断期间发生的借款费用确认为当期损益，直至资产的购建或者</w:t>
      </w:r>
      <w:r>
        <w:rPr>
          <w:spacing w:val="-83"/>
        </w:rPr>
        <w:t> </w:t>
      </w:r>
      <w:r>
        <w:rPr>
          <w:spacing w:val="-83"/>
        </w:rPr>
      </w:r>
      <w:r>
        <w:rPr/>
        <w:t>生产活动重新开始后借款费用继续资本化。</w:t>
      </w:r>
    </w:p>
    <w:p>
      <w:pPr>
        <w:pStyle w:val="BodyText"/>
        <w:spacing w:line="420" w:lineRule="auto" w:before="47"/>
        <w:ind w:right="0"/>
        <w:jc w:val="left"/>
      </w:pPr>
      <w:r>
        <w:rPr/>
        <w:t>（</w:t>
      </w:r>
      <w:r>
        <w:rPr>
          <w:rFonts w:ascii="宋体" w:hAnsi="宋体" w:cs="宋体" w:eastAsia="宋体" w:hint="default"/>
        </w:rPr>
        <w:t>4</w:t>
      </w:r>
      <w:r>
        <w:rPr/>
        <w:t>）借款费用资本化率、资本化金额的计算方法 </w:t>
      </w:r>
      <w:r>
        <w:rPr>
          <w:spacing w:val="-1"/>
        </w:rPr>
        <w:t>对于为购建或者生产符合资本化条件的资产而借入的专门借款，以专门借款当期实际发生的借款费用，减</w:t>
      </w:r>
      <w:r>
        <w:rPr>
          <w:spacing w:val="-81"/>
        </w:rPr>
        <w:t> </w:t>
      </w:r>
      <w:r>
        <w:rPr>
          <w:spacing w:val="-81"/>
        </w:rPr>
      </w:r>
      <w:r>
        <w:rPr>
          <w:spacing w:val="-1"/>
        </w:rPr>
        <w:t>去尚未动用的借款资金存入银行取得的利息收入或进行暂时性投资取得的投资收益后的金额，来确定借款</w:t>
      </w:r>
      <w:r>
        <w:rPr>
          <w:spacing w:val="-81"/>
        </w:rPr>
        <w:t> </w:t>
      </w:r>
      <w:r>
        <w:rPr>
          <w:spacing w:val="-81"/>
        </w:rPr>
      </w:r>
      <w:r>
        <w:rPr/>
        <w:t>费用的资本化金额。 </w:t>
      </w:r>
      <w:r>
        <w:rPr>
          <w:spacing w:val="-1"/>
        </w:rPr>
        <w:t>对于为购建或者生产符合资本化条件的资产而占用的一般借款，根据累计资产支出超过专门借款部分的资</w:t>
      </w:r>
      <w:r>
        <w:rPr>
          <w:spacing w:val="-81"/>
        </w:rPr>
        <w:t> </w:t>
      </w:r>
      <w:r>
        <w:rPr>
          <w:spacing w:val="-81"/>
        </w:rPr>
      </w:r>
      <w:r>
        <w:rPr>
          <w:spacing w:val="-1"/>
        </w:rPr>
        <w:t>产支出加权平均数乘以所占用一般借款的资本化率，计算确定一般借款应予资本化的借款费用金额。资本</w:t>
      </w:r>
      <w:r>
        <w:rPr>
          <w:spacing w:val="-81"/>
        </w:rPr>
        <w:t> </w:t>
      </w:r>
      <w:r>
        <w:rPr>
          <w:spacing w:val="-81"/>
        </w:rPr>
      </w:r>
      <w:r>
        <w:rPr/>
        <w:t>化率根据一般借款加权平均利率计算确定。</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4"/>
        <w:spacing w:line="240" w:lineRule="auto"/>
        <w:ind w:right="0"/>
        <w:jc w:val="left"/>
        <w:rPr>
          <w:b w:val="0"/>
          <w:bCs w:val="0"/>
        </w:rPr>
      </w:pPr>
      <w:bookmarkStart w:name="19、无形资产" w:id="199"/>
      <w:bookmarkEnd w:id="199"/>
      <w:r>
        <w:rPr>
          <w:b w:val="0"/>
          <w:bCs w:val="0"/>
        </w:rPr>
      </w:r>
      <w:r>
        <w:rPr>
          <w:rFonts w:ascii="宋体" w:hAnsi="宋体" w:cs="宋体" w:eastAsia="宋体" w:hint="default"/>
        </w:rPr>
        <w:t>19</w:t>
      </w:r>
      <w:r>
        <w:rPr/>
        <w:t>、无形资产</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4"/>
        <w:spacing w:line="240" w:lineRule="auto"/>
        <w:ind w:right="0"/>
        <w:jc w:val="left"/>
        <w:rPr>
          <w:b w:val="0"/>
          <w:bCs w:val="0"/>
        </w:rPr>
      </w:pPr>
      <w:bookmarkStart w:name="（1）计价方法、使用寿命、减值测试" w:id="200"/>
      <w:bookmarkEnd w:id="200"/>
      <w:r>
        <w:rPr>
          <w:b w:val="0"/>
          <w:bCs w:val="0"/>
        </w:rPr>
      </w:r>
      <w:r>
        <w:rPr/>
        <w:t>（</w:t>
      </w:r>
      <w:r>
        <w:rPr>
          <w:rFonts w:ascii="宋体" w:hAnsi="宋体" w:cs="宋体" w:eastAsia="宋体" w:hint="default"/>
        </w:rPr>
        <w:t>1</w:t>
      </w:r>
      <w:r>
        <w:rPr/>
        <w:t>）计价方法、使用寿命、减值测试</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420" w:lineRule="auto"/>
        <w:ind w:right="6762"/>
        <w:jc w:val="left"/>
      </w:pPr>
      <w:r>
        <w:rPr/>
        <w:t>①无形资产的计价方法 </w:t>
      </w:r>
      <w:r>
        <w:rPr>
          <w:rFonts w:ascii="宋体" w:hAnsi="宋体" w:cs="宋体" w:eastAsia="宋体" w:hint="default"/>
        </w:rPr>
        <w:t>A.</w:t>
      </w:r>
      <w:r>
        <w:rPr/>
        <w:t>公司取得无形资产时按成本进行初始计量</w:t>
      </w:r>
    </w:p>
    <w:p>
      <w:pPr>
        <w:pStyle w:val="BodyText"/>
        <w:spacing w:line="420" w:lineRule="auto" w:before="47"/>
        <w:ind w:right="1131"/>
        <w:jc w:val="both"/>
      </w:pPr>
      <w:r>
        <w:rPr>
          <w:spacing w:val="-1"/>
        </w:rPr>
        <w:t>外购无形资产的成本，包括购买价款、相关税费以及直接归属于使该项资产达到预定用途所发生的其他支</w:t>
      </w:r>
      <w:r>
        <w:rPr>
          <w:spacing w:val="-81"/>
        </w:rPr>
        <w:t> </w:t>
      </w:r>
      <w:r>
        <w:rPr>
          <w:spacing w:val="-81"/>
        </w:rPr>
      </w:r>
      <w:r>
        <w:rPr>
          <w:spacing w:val="-1"/>
        </w:rPr>
        <w:t>出。购买无形资产的价款超过正常信用条件延期支付，实质上具有融资性质的，无形资产的成本以购买价</w:t>
      </w:r>
      <w:r>
        <w:rPr>
          <w:spacing w:val="-83"/>
        </w:rPr>
        <w:t> </w:t>
      </w:r>
      <w:r>
        <w:rPr>
          <w:spacing w:val="-83"/>
        </w:rPr>
      </w:r>
      <w:r>
        <w:rPr/>
        <w:t>款的现值为基础确定。</w:t>
      </w:r>
    </w:p>
    <w:p>
      <w:pPr>
        <w:spacing w:after="0" w:line="420"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0"/>
        <w:jc w:val="left"/>
      </w:pPr>
      <w:r>
        <w:rPr>
          <w:spacing w:val="-1"/>
        </w:rPr>
        <w:t>债务重组取得债务人用以抵债的无形资产，以该无形资产的公允价值为基础确定其入账价值，并将重组债</w:t>
      </w:r>
      <w:r>
        <w:rPr>
          <w:spacing w:val="-81"/>
        </w:rPr>
        <w:t> </w:t>
      </w:r>
      <w:r>
        <w:rPr>
          <w:spacing w:val="-81"/>
        </w:rPr>
      </w:r>
      <w:r>
        <w:rPr/>
        <w:t>务的账面价值与该用以抵债的无形资产公允价值之间的差额，计入当期损益。 </w:t>
      </w:r>
      <w:r>
        <w:rPr>
          <w:spacing w:val="-1"/>
        </w:rPr>
        <w:t>在非货币性资产交换具备商业实质且换入资产或换出资产的公允价值能够可靠计量的前提下，非货币性资</w:t>
      </w:r>
      <w:r>
        <w:rPr>
          <w:spacing w:val="-81"/>
        </w:rPr>
        <w:t> </w:t>
      </w:r>
      <w:r>
        <w:rPr>
          <w:spacing w:val="-81"/>
        </w:rPr>
      </w:r>
      <w:r>
        <w:rPr>
          <w:spacing w:val="-1"/>
        </w:rPr>
        <w:t>产交换换入的无形资产以换出资产的公允价值为基础确定其入账价值，除非有确凿证据表明换入资产的公</w:t>
      </w:r>
      <w:r>
        <w:rPr>
          <w:spacing w:val="-81"/>
        </w:rPr>
        <w:t> </w:t>
      </w:r>
      <w:r>
        <w:rPr>
          <w:spacing w:val="-81"/>
        </w:rPr>
      </w:r>
      <w:r>
        <w:rPr>
          <w:spacing w:val="-1"/>
        </w:rPr>
        <w:t>允价值更加可靠；不满足上述前提的非货币性资产交换，以换出资产的账面价值和应支付的相关税费作为</w:t>
      </w:r>
      <w:r>
        <w:rPr>
          <w:spacing w:val="-81"/>
        </w:rPr>
        <w:t> </w:t>
      </w:r>
      <w:r>
        <w:rPr>
          <w:spacing w:val="-81"/>
        </w:rPr>
      </w:r>
      <w:r>
        <w:rPr/>
        <w:t>换入无形资产的成本，不确认损益。</w:t>
      </w:r>
    </w:p>
    <w:p>
      <w:pPr>
        <w:pStyle w:val="BodyText"/>
        <w:spacing w:line="420" w:lineRule="auto" w:before="47"/>
        <w:ind w:right="6972"/>
        <w:jc w:val="left"/>
      </w:pPr>
      <w:r>
        <w:rPr>
          <w:rFonts w:ascii="宋体" w:hAnsi="宋体" w:cs="宋体" w:eastAsia="宋体" w:hint="default"/>
        </w:rPr>
        <w:t>B.</w:t>
      </w:r>
      <w:r>
        <w:rPr/>
        <w:t>后续计量 在取得无形资产时分析判断其使用寿命。</w:t>
      </w:r>
    </w:p>
    <w:p>
      <w:pPr>
        <w:pStyle w:val="BodyText"/>
        <w:spacing w:line="420" w:lineRule="auto" w:before="47"/>
        <w:ind w:right="0"/>
        <w:jc w:val="left"/>
      </w:pPr>
      <w:r>
        <w:rPr>
          <w:spacing w:val="-1"/>
        </w:rPr>
        <w:t>对于使用寿命有限的无形资产，在为企业带来经济利益的期限内按直线法摊销；无法预见无形资产为企业</w:t>
      </w:r>
      <w:r>
        <w:rPr>
          <w:spacing w:val="-81"/>
        </w:rPr>
        <w:t> </w:t>
      </w:r>
      <w:r>
        <w:rPr>
          <w:spacing w:val="-81"/>
        </w:rPr>
      </w:r>
      <w:r>
        <w:rPr/>
        <w:t>带来经济利益期限的，视为使用寿命不确定的无形资产，不予摊销。</w:t>
      </w:r>
    </w:p>
    <w:p>
      <w:pPr>
        <w:pStyle w:val="BodyText"/>
        <w:spacing w:line="420" w:lineRule="auto" w:before="47"/>
        <w:ind w:right="1092"/>
        <w:jc w:val="left"/>
      </w:pPr>
      <w:r>
        <w:rPr/>
        <w:t>②使用寿命有限的无形资产的使用寿命估计情况 使用寿命有限的无形资产，以其成本扣除预计残值后的金额，在预计的使用年限内采用直线法进行摊销， 其摊销期限如下</w:t>
      </w:r>
    </w:p>
    <w:p>
      <w:pPr>
        <w:pStyle w:val="BodyText"/>
        <w:spacing w:line="420" w:lineRule="auto" w:before="47"/>
        <w:ind w:right="6342"/>
        <w:jc w:val="left"/>
      </w:pPr>
      <w:r>
        <w:rPr>
          <w:rFonts w:ascii="宋体" w:hAnsi="宋体" w:cs="宋体" w:eastAsia="宋体" w:hint="default"/>
        </w:rPr>
        <w:t>A.</w:t>
      </w:r>
      <w:r>
        <w:rPr/>
        <w:t>土地使用权按取得时尚可使用年限摊销； </w:t>
      </w:r>
      <w:r>
        <w:rPr>
          <w:rFonts w:ascii="宋体" w:hAnsi="宋体" w:cs="宋体" w:eastAsia="宋体" w:hint="default"/>
        </w:rPr>
        <w:t>B.</w:t>
      </w:r>
      <w:r>
        <w:rPr/>
        <w:t>其他无形资产按预计使用年限摊销。 对于无形资产的使用寿命按照下述程序进行判断</w:t>
      </w:r>
    </w:p>
    <w:p>
      <w:pPr>
        <w:pStyle w:val="BodyText"/>
        <w:spacing w:line="420" w:lineRule="auto" w:before="47"/>
        <w:ind w:right="1116"/>
        <w:jc w:val="left"/>
      </w:pPr>
      <w:r>
        <w:rPr>
          <w:rFonts w:ascii="宋体" w:hAnsi="宋体" w:cs="宋体" w:eastAsia="宋体" w:hint="default"/>
        </w:rPr>
        <w:t>A.</w:t>
      </w:r>
      <w:r>
        <w:rPr/>
        <w:t>来源于合同性权利或其他法定权利的无形资产，其使用寿命不应超过合同性权利或其他法定权利的期 限； </w:t>
      </w:r>
      <w:r>
        <w:rPr>
          <w:rFonts w:ascii="宋体" w:hAnsi="宋体" w:cs="宋体" w:eastAsia="宋体" w:hint="default"/>
          <w:spacing w:val="-1"/>
        </w:rPr>
        <w:t>B.</w:t>
      </w:r>
      <w:r>
        <w:rPr>
          <w:spacing w:val="-1"/>
        </w:rPr>
        <w:t>合同性权利或其他法定权利在到期时因续约等延续、且有证据表明企业续约不需要付出大额成本的，续</w:t>
      </w:r>
      <w:r>
        <w:rPr>
          <w:spacing w:val="-82"/>
        </w:rPr>
        <w:t> </w:t>
      </w:r>
      <w:r>
        <w:rPr>
          <w:spacing w:val="-82"/>
        </w:rPr>
      </w:r>
      <w:r>
        <w:rPr>
          <w:spacing w:val="-1"/>
        </w:rPr>
        <w:t>约期应当计入使用寿命。合同或法律没有规定使用寿命的，本公司综合各方面因素判断，以确定无形资产</w:t>
      </w:r>
      <w:r>
        <w:rPr>
          <w:spacing w:val="-83"/>
        </w:rPr>
        <w:t> </w:t>
      </w:r>
      <w:r>
        <w:rPr>
          <w:spacing w:val="-83"/>
        </w:rPr>
      </w:r>
      <w:r>
        <w:rPr/>
        <w:t>能为企业带来经济利益的期限。</w:t>
      </w:r>
    </w:p>
    <w:p>
      <w:pPr>
        <w:pStyle w:val="BodyText"/>
        <w:spacing w:line="420" w:lineRule="auto" w:before="47"/>
        <w:ind w:right="4032"/>
        <w:jc w:val="left"/>
      </w:pPr>
      <w:r>
        <w:rPr/>
        <w:t>每期末，对使用寿命有限的无形资产的使用寿命及摊销方法进行复核。 经复核，本期期末无形资产的使用寿命及摊销方法与以前估计未有不同。</w:t>
      </w:r>
    </w:p>
    <w:p>
      <w:pPr>
        <w:pStyle w:val="BodyText"/>
        <w:spacing w:line="420" w:lineRule="auto" w:before="47"/>
        <w:ind w:right="3822"/>
        <w:jc w:val="left"/>
      </w:pPr>
      <w:r>
        <w:rPr/>
        <w:t>③使用寿命不确定的无形资产的判断依据以及对其使用寿命进行复核的程序 每期末，对使用寿命不确定的无形资产的使用寿命进行复核。 经复核，该类无形资产的使用寿命仍为不确定。</w:t>
      </w:r>
    </w:p>
    <w:p>
      <w:pPr>
        <w:spacing w:after="0" w:line="42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240" w:lineRule="auto"/>
        <w:ind w:right="0"/>
        <w:jc w:val="left"/>
        <w:rPr>
          <w:b w:val="0"/>
          <w:bCs w:val="0"/>
        </w:rPr>
      </w:pPr>
      <w:bookmarkStart w:name="（2）内部研究开发支出会计政策" w:id="201"/>
      <w:bookmarkEnd w:id="201"/>
      <w:r>
        <w:rPr>
          <w:b w:val="0"/>
          <w:bCs w:val="0"/>
        </w:rPr>
      </w:r>
      <w:r>
        <w:rPr/>
        <w:t>（</w:t>
      </w:r>
      <w:r>
        <w:rPr>
          <w:rFonts w:ascii="宋体" w:hAnsi="宋体" w:cs="宋体" w:eastAsia="宋体" w:hint="default"/>
        </w:rPr>
        <w:t>2</w:t>
      </w:r>
      <w:r>
        <w:rPr/>
        <w:t>）内部研究开发支出会计政策</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420" w:lineRule="auto"/>
        <w:ind w:right="1131"/>
        <w:jc w:val="left"/>
      </w:pPr>
      <w:r>
        <w:rPr/>
        <w:t>①划分研究阶段和开发阶段的具体标准 公司内部研究开发项目的支出分为研究阶段支出和开发阶段支出。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开发阶段：在进行商业性生产或使用前，将研究成果或其他知识应用于某项计划或设计，以生产出新的或</w:t>
      </w:r>
      <w:r>
        <w:rPr>
          <w:spacing w:val="-83"/>
        </w:rPr>
        <w:t> </w:t>
      </w:r>
      <w:r>
        <w:rPr>
          <w:spacing w:val="-83"/>
        </w:rPr>
      </w:r>
      <w:r>
        <w:rPr/>
        <w:t>具有实质性改进的材料、装置、产品等活动的阶段。</w:t>
      </w:r>
    </w:p>
    <w:p>
      <w:pPr>
        <w:pStyle w:val="BodyText"/>
        <w:spacing w:line="420" w:lineRule="auto" w:before="47"/>
        <w:ind w:right="1017"/>
        <w:jc w:val="left"/>
      </w:pPr>
      <w:r>
        <w:rPr/>
        <w:t>②开发阶段支出资本化的具体条件 内部研究开发项目开发阶段的支出，同时满足下列条件时确认为无形资产 </w:t>
      </w:r>
      <w:r>
        <w:rPr>
          <w:rFonts w:ascii="宋体" w:hAnsi="宋体" w:cs="宋体" w:eastAsia="宋体" w:hint="default"/>
        </w:rPr>
        <w:t>A.</w:t>
      </w:r>
      <w:r>
        <w:rPr/>
        <w:t>完成该无形资产以使其能够使用或出售在技术上具有可行性； </w:t>
      </w:r>
      <w:r>
        <w:rPr>
          <w:rFonts w:ascii="宋体" w:hAnsi="宋体" w:cs="宋体" w:eastAsia="宋体" w:hint="default"/>
        </w:rPr>
        <w:t>B.</w:t>
      </w:r>
      <w:r>
        <w:rPr/>
        <w:t>具有完成该无形资产并使用或出售的意图； </w:t>
      </w:r>
      <w:r>
        <w:rPr>
          <w:rFonts w:ascii="宋体" w:hAnsi="宋体" w:cs="宋体" w:eastAsia="宋体" w:hint="default"/>
        </w:rPr>
        <w:t>C.</w:t>
      </w:r>
      <w:r>
        <w:rPr/>
        <w:t>无形资产产生经济利益的方式，包括能够证明运用该无形资产生产的产品存在市场或无形资产自身存在 市场，无形资产将在内部使用的，能够证明其有用性； </w:t>
      </w:r>
      <w:r>
        <w:rPr>
          <w:rFonts w:ascii="宋体" w:hAnsi="宋体" w:cs="宋体" w:eastAsia="宋体" w:hint="default"/>
          <w:spacing w:val="-3"/>
        </w:rPr>
        <w:t>D.</w:t>
      </w:r>
      <w:r>
        <w:rPr>
          <w:spacing w:val="-3"/>
        </w:rPr>
        <w:t>有足够的技术、财务资源和其他资源支持，以完成该无形资产的开发，并有能力使用或出售该无形资产；</w:t>
      </w:r>
      <w:r>
        <w:rPr>
          <w:spacing w:val="-89"/>
        </w:rPr>
        <w:t> </w:t>
      </w:r>
      <w:r>
        <w:rPr>
          <w:spacing w:val="-89"/>
        </w:rPr>
      </w:r>
      <w:r>
        <w:rPr>
          <w:rFonts w:ascii="宋体" w:hAnsi="宋体" w:cs="宋体" w:eastAsia="宋体" w:hint="default"/>
        </w:rPr>
        <w:t>E.</w:t>
      </w:r>
      <w:r>
        <w:rPr/>
        <w:t>归属于该无形资产开发阶段的支出能够可靠地计量。 开发阶段的支出，若不满足上列条件的，于发生时计入当期损益。研究阶段的支出，在发生时计入当期损 益。</w:t>
      </w: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bookmarkStart w:name="20、长期资产减值" w:id="202"/>
      <w:bookmarkEnd w:id="202"/>
      <w:r>
        <w:rPr>
          <w:b w:val="0"/>
          <w:bCs w:val="0"/>
        </w:rPr>
      </w:r>
      <w:r>
        <w:rPr>
          <w:rFonts w:ascii="宋体" w:hAnsi="宋体" w:cs="宋体" w:eastAsia="宋体" w:hint="default"/>
        </w:rPr>
        <w:t>20</w:t>
      </w:r>
      <w:r>
        <w:rPr/>
        <w:t>、长期资产减值</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1116"/>
        <w:jc w:val="left"/>
      </w:pPr>
      <w:r>
        <w:rPr>
          <w:spacing w:val="-1"/>
        </w:rPr>
        <w:t>长期股权投资、采用成本模式计量的投资性房地产、固定资产、在建工程、使用寿命有限的无形资产等长</w:t>
      </w:r>
      <w:r>
        <w:rPr>
          <w:spacing w:val="-86"/>
        </w:rPr>
        <w:t> </w:t>
      </w:r>
      <w:r>
        <w:rPr>
          <w:spacing w:val="-86"/>
        </w:rPr>
      </w:r>
      <w:r>
        <w:rPr>
          <w:spacing w:val="-1"/>
        </w:rPr>
        <w:t>期资产，于资产负债表日存在减值迹象的，进行减值测试。减值测试结果表明资产的可收回金额低于其账</w:t>
      </w:r>
      <w:r>
        <w:rPr>
          <w:spacing w:val="-83"/>
        </w:rPr>
        <w:t> </w:t>
      </w:r>
      <w:r>
        <w:rPr>
          <w:spacing w:val="-83"/>
        </w:rPr>
      </w:r>
      <w:r>
        <w:rPr>
          <w:spacing w:val="-1"/>
        </w:rPr>
        <w:t>面价值的，按其差额计提减值准备并计入减值损失。可收回金额为资产的公允价值减去处置费用后的净额</w:t>
      </w:r>
      <w:r>
        <w:rPr>
          <w:spacing w:val="-81"/>
        </w:rPr>
        <w:t> </w:t>
      </w:r>
      <w:r>
        <w:rPr>
          <w:spacing w:val="-81"/>
        </w:rPr>
      </w:r>
      <w:r>
        <w:rPr>
          <w:spacing w:val="-1"/>
        </w:rPr>
        <w:t>与资产预计未来现金流量的现值两者之间的较高者。资产减值准备按单项资产为基础计算并确认，如果难</w:t>
      </w:r>
      <w:r>
        <w:rPr>
          <w:spacing w:val="-81"/>
        </w:rPr>
        <w:t> </w:t>
      </w:r>
      <w:r>
        <w:rPr>
          <w:spacing w:val="-81"/>
        </w:rPr>
      </w:r>
      <w:r>
        <w:rPr>
          <w:spacing w:val="-1"/>
        </w:rPr>
        <w:t>以对单项资产的可收回金额进行估计的，以该资产所属的资产组确定资产组的可收回金额。资产组是能够</w:t>
      </w:r>
      <w:r>
        <w:rPr>
          <w:spacing w:val="-81"/>
        </w:rPr>
        <w:t> </w:t>
      </w:r>
      <w:r>
        <w:rPr>
          <w:spacing w:val="-81"/>
        </w:rPr>
      </w:r>
      <w:r>
        <w:rPr/>
        <w:t>独立产生现金流入的最小资产组合。 商誉和使用寿命不确定的无形资产至少在每年年度终了进行减值测试。 </w:t>
      </w:r>
      <w:r>
        <w:rPr>
          <w:spacing w:val="-1"/>
        </w:rPr>
        <w:t>本公司进行商誉减值测试，对于因企业合并形成的商誉的账面价值，自购买日起按照合理的方法分摊至相</w:t>
      </w:r>
      <w:r>
        <w:rPr>
          <w:spacing w:val="-81"/>
        </w:rPr>
        <w:t> </w:t>
      </w:r>
      <w:r>
        <w:rPr>
          <w:spacing w:val="-81"/>
        </w:rPr>
      </w:r>
      <w:r>
        <w:rPr>
          <w:spacing w:val="-1"/>
        </w:rPr>
        <w:t>关的资产组；难以分摊至相关的资产组的，将其分摊至相关的资产组组合。在将商誉的账面价值分摊至相</w:t>
      </w:r>
      <w:r>
        <w:rPr>
          <w:spacing w:val="-83"/>
        </w:rPr>
        <w:t> </w:t>
      </w:r>
      <w:r>
        <w:rPr>
          <w:spacing w:val="-83"/>
        </w:rPr>
      </w:r>
      <w:r>
        <w:rPr>
          <w:spacing w:val="-1"/>
        </w:rPr>
        <w:t>关的资产组或者资产组组合时，按照各资产组或者资产组组合的公允价值占相关资产组或者资产组组合公</w:t>
      </w:r>
    </w:p>
    <w:p>
      <w:pPr>
        <w:spacing w:after="0" w:line="42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0"/>
        <w:jc w:val="left"/>
      </w:pPr>
      <w:r>
        <w:rPr>
          <w:spacing w:val="-1"/>
        </w:rPr>
        <w:t>允价值总额的比例进行分摊。公允价值难以可靠计量的，按照各资产组或者资产组组合的账面价值占相关</w:t>
      </w:r>
      <w:r>
        <w:rPr>
          <w:spacing w:val="-81"/>
        </w:rPr>
        <w:t> </w:t>
      </w:r>
      <w:r>
        <w:rPr>
          <w:spacing w:val="-81"/>
        </w:rPr>
      </w:r>
      <w:r>
        <w:rPr/>
        <w:t>资产组或者资产组组合账面价值总额的比例进行分摊。 </w:t>
      </w:r>
      <w:r>
        <w:rPr>
          <w:spacing w:val="-1"/>
        </w:rPr>
        <w:t>在对包含商誉的相关资产组或者资产组组合进行减值测试时，如与商誉相关的资产组或者资产组组合存在</w:t>
      </w:r>
      <w:r>
        <w:rPr>
          <w:spacing w:val="-81"/>
        </w:rPr>
        <w:t> </w:t>
      </w:r>
      <w:r>
        <w:rPr>
          <w:spacing w:val="-81"/>
        </w:rPr>
      </w:r>
      <w:r>
        <w:rPr>
          <w:spacing w:val="-1"/>
        </w:rPr>
        <w:t>减值迹象的，先对不包含商誉的资产组或者资产组组合进行减值测试，计算可收回金额，并与相关账面价</w:t>
      </w:r>
      <w:r>
        <w:rPr>
          <w:spacing w:val="-83"/>
        </w:rPr>
        <w:t> </w:t>
      </w:r>
      <w:r>
        <w:rPr>
          <w:spacing w:val="-83"/>
        </w:rPr>
      </w:r>
      <w:r>
        <w:rPr>
          <w:spacing w:val="-1"/>
        </w:rPr>
        <w:t>值相比较，确认相应的减值损失。再对包含商誉的资产组或者资产组组合进行减值测试，比较这些相关资</w:t>
      </w:r>
      <w:r>
        <w:rPr>
          <w:spacing w:val="-83"/>
        </w:rPr>
        <w:t> </w:t>
      </w:r>
      <w:r>
        <w:rPr>
          <w:spacing w:val="-83"/>
        </w:rPr>
      </w:r>
      <w:r>
        <w:rPr>
          <w:spacing w:val="-1"/>
        </w:rPr>
        <w:t>产组或者资产组组合的账面价值（包括所分摊的商誉的账面价值部分）与其可收回金额，如相关资产组或</w:t>
      </w:r>
      <w:r>
        <w:rPr>
          <w:spacing w:val="-83"/>
        </w:rPr>
        <w:t> </w:t>
      </w:r>
      <w:r>
        <w:rPr>
          <w:spacing w:val="-83"/>
        </w:rPr>
      </w:r>
      <w:r>
        <w:rPr/>
        <w:t>者资产组组合的可收回金额低于其账面价值的，确认商誉的减值损失。 上述资产减值损失一经确认，在以后会计期间不予转回。</w:t>
      </w: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bookmarkStart w:name="21、长期待摊费用" w:id="203"/>
      <w:bookmarkEnd w:id="203"/>
      <w:r>
        <w:rPr>
          <w:b w:val="0"/>
          <w:bCs w:val="0"/>
        </w:rPr>
      </w:r>
      <w:r>
        <w:rPr>
          <w:rFonts w:ascii="宋体" w:hAnsi="宋体" w:cs="宋体" w:eastAsia="宋体" w:hint="default"/>
        </w:rPr>
        <w:t>21</w:t>
      </w:r>
      <w:r>
        <w:rPr/>
        <w:t>、长期待摊费用</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0"/>
        <w:jc w:val="left"/>
      </w:pPr>
      <w:r>
        <w:rPr>
          <w:spacing w:val="-1"/>
        </w:rPr>
        <w:t>长期待摊费用为已经发生但应由本期和以后各期负担的分摊期限在一年以上的各项费用。本公司长期待摊</w:t>
      </w:r>
      <w:r>
        <w:rPr>
          <w:spacing w:val="-81"/>
        </w:rPr>
        <w:t> </w:t>
      </w:r>
      <w:r>
        <w:rPr>
          <w:spacing w:val="-81"/>
        </w:rPr>
      </w:r>
      <w:r>
        <w:rPr/>
        <w:t>费用包括经营租入固定资产改良、客户技改工程、金鹿卡、环境修缮费用、广告牌经营权等。</w:t>
      </w:r>
    </w:p>
    <w:p>
      <w:pPr>
        <w:pStyle w:val="BodyText"/>
        <w:spacing w:line="420" w:lineRule="auto" w:before="47"/>
        <w:ind w:right="7392"/>
        <w:jc w:val="left"/>
      </w:pPr>
      <w:r>
        <w:rPr/>
        <w:t>（</w:t>
      </w:r>
      <w:r>
        <w:rPr>
          <w:rFonts w:ascii="宋体" w:hAnsi="宋体" w:cs="宋体" w:eastAsia="宋体" w:hint="default"/>
        </w:rPr>
        <w:t>1</w:t>
      </w:r>
      <w:r>
        <w:rPr/>
        <w:t>）摊销方法 长期待摊费用在受益期内平均摊销。</w:t>
      </w:r>
    </w:p>
    <w:p>
      <w:pPr>
        <w:pStyle w:val="BodyText"/>
        <w:spacing w:line="240" w:lineRule="auto" w:before="48"/>
        <w:ind w:right="0"/>
        <w:jc w:val="left"/>
      </w:pPr>
      <w:r>
        <w:rPr/>
        <w:t>（</w:t>
      </w:r>
      <w:r>
        <w:rPr>
          <w:rFonts w:ascii="宋体" w:hAnsi="宋体" w:cs="宋体" w:eastAsia="宋体" w:hint="default"/>
        </w:rPr>
        <w:t>2</w:t>
      </w:r>
      <w:r>
        <w:rPr/>
        <w:t>）摊销年限</w:t>
      </w:r>
    </w:p>
    <w:p>
      <w:pPr>
        <w:spacing w:line="240" w:lineRule="auto" w:before="9"/>
        <w:rPr>
          <w:rFonts w:ascii="宋体" w:hAnsi="宋体" w:cs="宋体" w:eastAsia="宋体" w:hint="default"/>
          <w:sz w:val="15"/>
          <w:szCs w:val="15"/>
        </w:rPr>
      </w:pPr>
    </w:p>
    <w:p>
      <w:pPr>
        <w:pStyle w:val="BodyText"/>
        <w:spacing w:line="240" w:lineRule="auto"/>
        <w:ind w:right="0"/>
        <w:jc w:val="left"/>
      </w:pPr>
      <w:r>
        <w:rPr/>
        <w:t>①对于筹建期间发生的开办费，从发生的当月直接扣除；</w:t>
      </w:r>
    </w:p>
    <w:p>
      <w:pPr>
        <w:spacing w:line="240" w:lineRule="auto" w:before="9"/>
        <w:rPr>
          <w:rFonts w:ascii="宋体" w:hAnsi="宋体" w:cs="宋体" w:eastAsia="宋体" w:hint="default"/>
          <w:sz w:val="15"/>
          <w:szCs w:val="15"/>
        </w:rPr>
      </w:pPr>
    </w:p>
    <w:p>
      <w:pPr>
        <w:spacing w:line="547" w:lineRule="auto" w:before="0"/>
        <w:ind w:left="154" w:right="5922" w:firstLine="0"/>
        <w:jc w:val="left"/>
        <w:rPr>
          <w:rFonts w:ascii="宋体" w:hAnsi="宋体" w:cs="宋体" w:eastAsia="宋体" w:hint="default"/>
          <w:sz w:val="21"/>
          <w:szCs w:val="21"/>
        </w:rPr>
      </w:pPr>
      <w:r>
        <w:rPr>
          <w:rFonts w:ascii="宋体" w:hAnsi="宋体" w:cs="宋体" w:eastAsia="宋体" w:hint="default"/>
          <w:sz w:val="21"/>
          <w:szCs w:val="21"/>
        </w:rPr>
        <w:t>②其余的长期待摊费用按照费用受益期限平均摊销。 </w:t>
      </w:r>
      <w:bookmarkStart w:name="22、职工薪酬" w:id="204"/>
      <w:bookmarkEnd w:id="204"/>
      <w:r>
        <w:rPr>
          <w:rFonts w:ascii="宋体" w:hAnsi="宋体" w:cs="宋体" w:eastAsia="宋体" w:hint="default"/>
          <w:sz w:val="21"/>
          <w:szCs w:val="21"/>
        </w:rPr>
      </w:r>
      <w:r>
        <w:rPr>
          <w:rFonts w:ascii="宋体" w:hAnsi="宋体" w:cs="宋体" w:eastAsia="宋体" w:hint="default"/>
          <w:b/>
          <w:bCs/>
          <w:sz w:val="21"/>
          <w:szCs w:val="21"/>
        </w:rPr>
        <w:t>22</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13"/>
        <w:rPr>
          <w:rFonts w:ascii="宋体" w:hAnsi="宋体" w:cs="宋体" w:eastAsia="宋体" w:hint="default"/>
          <w:b/>
          <w:bCs/>
          <w:sz w:val="16"/>
          <w:szCs w:val="16"/>
        </w:rPr>
      </w:pPr>
    </w:p>
    <w:p>
      <w:pPr>
        <w:pStyle w:val="Heading4"/>
        <w:spacing w:line="240" w:lineRule="auto"/>
        <w:ind w:right="0"/>
        <w:jc w:val="left"/>
        <w:rPr>
          <w:b w:val="0"/>
          <w:bCs w:val="0"/>
        </w:rPr>
      </w:pPr>
      <w:bookmarkStart w:name="（1）短期薪酬的会计处理方法" w:id="205"/>
      <w:bookmarkEnd w:id="205"/>
      <w:r>
        <w:rPr>
          <w:b w:val="0"/>
          <w:bCs w:val="0"/>
        </w:rPr>
      </w:r>
      <w:r>
        <w:rPr/>
        <w:t>（</w:t>
      </w:r>
      <w:r>
        <w:rPr>
          <w:rFonts w:ascii="宋体" w:hAnsi="宋体" w:cs="宋体" w:eastAsia="宋体" w:hint="default"/>
        </w:rPr>
        <w:t>1</w:t>
      </w:r>
      <w:r>
        <w:rPr/>
        <w:t>）短期薪酬的会计处理方法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420" w:lineRule="auto"/>
        <w:ind w:right="1116"/>
        <w:jc w:val="left"/>
      </w:pPr>
      <w:r>
        <w:rPr>
          <w:spacing w:val="-1"/>
        </w:rPr>
        <w:t>本公司在职工为本公司提供服务的会计期间，将实际发生的短期薪酬确认为负债，并计入当期损益或相关</w:t>
      </w:r>
      <w:r>
        <w:rPr>
          <w:spacing w:val="-81"/>
        </w:rPr>
        <w:t> </w:t>
      </w:r>
      <w:r>
        <w:rPr>
          <w:spacing w:val="-81"/>
        </w:rPr>
      </w:r>
      <w:r>
        <w:rPr/>
        <w:t>资产成本。 </w:t>
      </w:r>
      <w:r>
        <w:rPr>
          <w:spacing w:val="-1"/>
        </w:rPr>
        <w:t>本公司为职工缴纳的社会保险费和住房公积金，以及按规定提取的工会经费和职工教育经费，在职工为本</w:t>
      </w:r>
      <w:r>
        <w:rPr>
          <w:spacing w:val="-81"/>
        </w:rPr>
        <w:t> </w:t>
      </w:r>
      <w:r>
        <w:rPr>
          <w:spacing w:val="-81"/>
        </w:rPr>
      </w:r>
      <w:r>
        <w:rPr/>
        <w:t>公司提供服务的会计期间，根据规定的计提基础和计提比例计算确定相应的职工薪酬金额。 职工福利费为非货币性福利的，如能够可靠计量的，按照公允价值计量。</w:t>
      </w:r>
    </w:p>
    <w:p>
      <w:pPr>
        <w:spacing w:after="0" w:line="42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240" w:lineRule="auto"/>
        <w:ind w:right="0"/>
        <w:jc w:val="left"/>
        <w:rPr>
          <w:b w:val="0"/>
          <w:bCs w:val="0"/>
        </w:rPr>
      </w:pPr>
      <w:bookmarkStart w:name="（2）离职后福利的会计处理方法" w:id="206"/>
      <w:bookmarkEnd w:id="206"/>
      <w:r>
        <w:rPr>
          <w:b w:val="0"/>
          <w:bCs w:val="0"/>
        </w:rPr>
      </w:r>
      <w:r>
        <w:rPr/>
        <w:t>（</w:t>
      </w:r>
      <w:r>
        <w:rPr>
          <w:rFonts w:ascii="宋体" w:hAnsi="宋体" w:cs="宋体" w:eastAsia="宋体" w:hint="default"/>
        </w:rPr>
        <w:t>2</w:t>
      </w:r>
      <w:r>
        <w:rPr/>
        <w:t>）离职后福利的会计处理方法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420" w:lineRule="auto"/>
        <w:ind w:right="0"/>
        <w:jc w:val="left"/>
      </w:pPr>
      <w:r>
        <w:rPr>
          <w:spacing w:val="-1"/>
        </w:rPr>
        <w:t>离职后福利，是指本公司为获得职工提供的服务而在职工退休或与企业解除劳动关系后，提供的各种形式</w:t>
      </w:r>
      <w:r>
        <w:rPr>
          <w:spacing w:val="-81"/>
        </w:rPr>
        <w:t> </w:t>
      </w:r>
      <w:r>
        <w:rPr>
          <w:spacing w:val="-81"/>
        </w:rPr>
      </w:r>
      <w:r>
        <w:rPr/>
        <w:t>的报酬和福利，短期薪酬和辞退福利除外。离职后福利计划分类为设定提存计划与设定受益计划。</w:t>
      </w:r>
    </w:p>
    <w:p>
      <w:pPr>
        <w:pStyle w:val="BodyText"/>
        <w:spacing w:line="420" w:lineRule="auto" w:before="47"/>
        <w:ind w:right="0"/>
        <w:jc w:val="left"/>
      </w:pPr>
      <w:r>
        <w:rPr/>
        <w:t>①设定提存计划 </w:t>
      </w:r>
      <w:r>
        <w:rPr>
          <w:spacing w:val="-1"/>
        </w:rPr>
        <w:t>本公司按当地政府的相关规定为职工缴纳社会基本养老保险、失业保险等；在职工为本公司提供服务的会</w:t>
      </w:r>
      <w:r>
        <w:rPr>
          <w:spacing w:val="-81"/>
        </w:rPr>
        <w:t> </w:t>
      </w:r>
      <w:r>
        <w:rPr>
          <w:spacing w:val="-81"/>
        </w:rPr>
      </w:r>
      <w:r>
        <w:rPr/>
        <w:t>计期间，将根据设定提存计划计算的应缴存金额确认为负债，并计入当期损益或相关资产成本。</w:t>
      </w:r>
    </w:p>
    <w:p>
      <w:pPr>
        <w:pStyle w:val="BodyText"/>
        <w:spacing w:line="420" w:lineRule="auto" w:before="47"/>
        <w:ind w:right="9282"/>
        <w:jc w:val="left"/>
      </w:pPr>
      <w:r>
        <w:rPr/>
        <w:t>②设定受益计划 本公司无。</w:t>
      </w:r>
    </w:p>
    <w:p>
      <w:pPr>
        <w:spacing w:line="240" w:lineRule="auto" w:before="7"/>
        <w:rPr>
          <w:rFonts w:ascii="宋体" w:hAnsi="宋体" w:cs="宋体" w:eastAsia="宋体" w:hint="default"/>
          <w:sz w:val="26"/>
          <w:szCs w:val="26"/>
        </w:rPr>
      </w:pPr>
    </w:p>
    <w:p>
      <w:pPr>
        <w:pStyle w:val="Heading4"/>
        <w:spacing w:line="240" w:lineRule="auto"/>
        <w:ind w:right="0"/>
        <w:jc w:val="left"/>
        <w:rPr>
          <w:b w:val="0"/>
          <w:bCs w:val="0"/>
        </w:rPr>
      </w:pPr>
      <w:bookmarkStart w:name="（3）辞退福利的会计处理方法" w:id="207"/>
      <w:bookmarkEnd w:id="207"/>
      <w:r>
        <w:rPr>
          <w:b w:val="0"/>
          <w:bCs w:val="0"/>
        </w:rPr>
      </w:r>
      <w:r>
        <w:rPr/>
        <w:t>（</w:t>
      </w:r>
      <w:r>
        <w:rPr>
          <w:rFonts w:ascii="宋体" w:hAnsi="宋体" w:cs="宋体" w:eastAsia="宋体" w:hint="default"/>
        </w:rPr>
        <w:t>3</w:t>
      </w:r>
      <w:r>
        <w:rPr/>
        <w:t>）辞退福利的会计处理方法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420" w:lineRule="auto"/>
        <w:ind w:right="1130"/>
        <w:jc w:val="both"/>
      </w:pPr>
      <w:r>
        <w:rPr>
          <w:spacing w:val="-1"/>
        </w:rPr>
        <w:t>辞退福利，是指本公司在职工劳动合同到期之前解除与职工的劳动关系，或者为鼓励职工自愿接受裁减而</w:t>
      </w:r>
      <w:r>
        <w:rPr>
          <w:spacing w:val="-81"/>
        </w:rPr>
        <w:t> </w:t>
      </w:r>
      <w:r>
        <w:rPr>
          <w:spacing w:val="-81"/>
        </w:rPr>
      </w:r>
      <w:r>
        <w:rPr>
          <w:spacing w:val="-1"/>
        </w:rPr>
        <w:t>给予职工的补偿，在发生当期计入当期损益。本公司在不能单方面撤回因解除劳动关系计划或裁减建议所</w:t>
      </w:r>
      <w:r>
        <w:rPr>
          <w:spacing w:val="-80"/>
        </w:rPr>
        <w:t> </w:t>
      </w:r>
      <w:r>
        <w:rPr>
          <w:spacing w:val="-80"/>
        </w:rPr>
      </w:r>
      <w:r>
        <w:rPr>
          <w:spacing w:val="-1"/>
        </w:rPr>
        <w:t>提供的辞退福利时，或确认与涉及支付辞退福利的重组相关的成本或费用时（两者孰早），确认辞退福利</w:t>
      </w:r>
      <w:r>
        <w:rPr>
          <w:spacing w:val="-85"/>
        </w:rPr>
        <w:t> </w:t>
      </w:r>
      <w:r>
        <w:rPr>
          <w:spacing w:val="-85"/>
        </w:rPr>
      </w:r>
      <w:r>
        <w:rPr/>
        <w:t>产生的职工薪酬负债，并计入当期损益。</w:t>
      </w: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bookmarkStart w:name="23、预计负债" w:id="208"/>
      <w:bookmarkEnd w:id="208"/>
      <w:r>
        <w:rPr>
          <w:b w:val="0"/>
          <w:bCs w:val="0"/>
        </w:rPr>
      </w:r>
      <w:r>
        <w:rPr>
          <w:rFonts w:ascii="宋体" w:hAnsi="宋体" w:cs="宋体" w:eastAsia="宋体" w:hint="default"/>
        </w:rPr>
        <w:t>23</w:t>
      </w:r>
      <w:r>
        <w:rPr/>
        <w:t>、预计负债</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1116"/>
        <w:jc w:val="left"/>
      </w:pPr>
      <w:r>
        <w:rPr/>
        <w:t>（</w:t>
      </w:r>
      <w:r>
        <w:rPr>
          <w:rFonts w:ascii="宋体" w:hAnsi="宋体" w:cs="宋体" w:eastAsia="宋体" w:hint="default"/>
        </w:rPr>
        <w:t>1</w:t>
      </w:r>
      <w:r>
        <w:rPr/>
        <w:t>）预计负债的确认标准 </w:t>
      </w:r>
      <w:r>
        <w:rPr>
          <w:spacing w:val="-1"/>
        </w:rPr>
        <w:t>与诉讼、债务担保、亏损合同、重组事项等或有事项相关的义务同时满足下列条件时，本公司确认为预计</w:t>
      </w:r>
      <w:r>
        <w:rPr>
          <w:spacing w:val="-86"/>
        </w:rPr>
        <w:t> </w:t>
      </w:r>
      <w:r>
        <w:rPr>
          <w:spacing w:val="-86"/>
        </w:rPr>
      </w:r>
      <w:r>
        <w:rPr/>
        <w:t>负债：</w:t>
      </w:r>
    </w:p>
    <w:p>
      <w:pPr>
        <w:pStyle w:val="BodyText"/>
        <w:spacing w:line="240" w:lineRule="auto" w:before="47"/>
        <w:ind w:right="0"/>
        <w:jc w:val="left"/>
      </w:pPr>
      <w:r>
        <w:rPr/>
        <w:t>①该义务是本公司承担的现时义务；</w:t>
      </w:r>
    </w:p>
    <w:p>
      <w:pPr>
        <w:spacing w:line="240" w:lineRule="auto" w:before="9"/>
        <w:rPr>
          <w:rFonts w:ascii="宋体" w:hAnsi="宋体" w:cs="宋体" w:eastAsia="宋体" w:hint="default"/>
          <w:sz w:val="15"/>
          <w:szCs w:val="15"/>
        </w:rPr>
      </w:pPr>
    </w:p>
    <w:p>
      <w:pPr>
        <w:pStyle w:val="BodyText"/>
        <w:spacing w:line="240" w:lineRule="auto"/>
        <w:ind w:right="0"/>
        <w:jc w:val="left"/>
      </w:pPr>
      <w:r>
        <w:rPr/>
        <w:t>②履行该义务很可能导致经济利益流出本公司；</w:t>
      </w:r>
    </w:p>
    <w:p>
      <w:pPr>
        <w:spacing w:line="240" w:lineRule="auto" w:before="9"/>
        <w:rPr>
          <w:rFonts w:ascii="宋体" w:hAnsi="宋体" w:cs="宋体" w:eastAsia="宋体" w:hint="default"/>
          <w:sz w:val="15"/>
          <w:szCs w:val="15"/>
        </w:rPr>
      </w:pPr>
    </w:p>
    <w:p>
      <w:pPr>
        <w:pStyle w:val="BodyText"/>
        <w:spacing w:line="240" w:lineRule="auto"/>
        <w:ind w:right="0"/>
        <w:jc w:val="left"/>
      </w:pPr>
      <w:r>
        <w:rPr/>
        <w:t>③该义务的金额能够可靠地计量。</w:t>
      </w:r>
    </w:p>
    <w:p>
      <w:pPr>
        <w:spacing w:line="240" w:lineRule="auto" w:before="9"/>
        <w:rPr>
          <w:rFonts w:ascii="宋体" w:hAnsi="宋体" w:cs="宋体" w:eastAsia="宋体" w:hint="default"/>
          <w:sz w:val="15"/>
          <w:szCs w:val="15"/>
        </w:rPr>
      </w:pPr>
    </w:p>
    <w:p>
      <w:pPr>
        <w:pStyle w:val="BodyText"/>
        <w:spacing w:line="420" w:lineRule="auto"/>
        <w:ind w:right="1116"/>
        <w:jc w:val="left"/>
      </w:pPr>
      <w:r>
        <w:rPr/>
        <w:t>（</w:t>
      </w:r>
      <w:r>
        <w:rPr>
          <w:rFonts w:ascii="宋体" w:hAnsi="宋体" w:cs="宋体" w:eastAsia="宋体" w:hint="default"/>
        </w:rPr>
        <w:t>2</w:t>
      </w:r>
      <w:r>
        <w:rPr/>
        <w:t>）各类预计负债的计量方法 本公司预计负债按履行相关现时义务所需的支出的最佳估计数进行初始计量。 </w:t>
      </w:r>
      <w:r>
        <w:rPr>
          <w:spacing w:val="-1"/>
        </w:rPr>
        <w:t>本公司在确定最佳估计数时，综合考虑与或有事项有关的风险、不确定性和货币时间价值等因素。对于货</w:t>
      </w:r>
      <w:r>
        <w:rPr>
          <w:spacing w:val="-83"/>
        </w:rPr>
        <w:t> </w:t>
      </w:r>
      <w:r>
        <w:rPr>
          <w:spacing w:val="-83"/>
        </w:rPr>
      </w:r>
      <w:r>
        <w:rPr/>
        <w:t>币时间价值影响重大的，通过对相关未来现金流出进行折现后确定最佳估计数。 最佳估计数分别以下情况处理：</w:t>
      </w:r>
    </w:p>
    <w:p>
      <w:pPr>
        <w:spacing w:after="0" w:line="42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0"/>
        <w:jc w:val="left"/>
      </w:pPr>
      <w:r>
        <w:rPr>
          <w:spacing w:val="-1"/>
        </w:rPr>
        <w:t>所需支出存在一个连续范围（或区间），且该范围内各种结果发生的可能性相同的，则最佳估计数按照该</w:t>
      </w:r>
      <w:r>
        <w:rPr>
          <w:spacing w:val="-86"/>
        </w:rPr>
        <w:t> </w:t>
      </w:r>
      <w:r>
        <w:rPr>
          <w:spacing w:val="-86"/>
        </w:rPr>
      </w:r>
      <w:r>
        <w:rPr/>
        <w:t>范围的中间值即上下限金额的平均数确定。 </w:t>
      </w:r>
      <w:r>
        <w:rPr>
          <w:spacing w:val="-1"/>
        </w:rPr>
        <w:t>所需支出不存在一个连续范围（或区间），或虽然存在一个连续范围但该范围内各种结果发生的可能性不</w:t>
      </w:r>
      <w:r>
        <w:rPr>
          <w:spacing w:val="-83"/>
        </w:rPr>
        <w:t> </w:t>
      </w:r>
      <w:r>
        <w:rPr>
          <w:spacing w:val="-83"/>
        </w:rPr>
      </w:r>
      <w:r>
        <w:rPr>
          <w:spacing w:val="-1"/>
        </w:rPr>
        <w:t>相同的，如或有事项涉及单个项目的，则最佳估计数按照最可能发生金额确定；如或有事项涉及多个项目</w:t>
      </w:r>
      <w:r>
        <w:rPr>
          <w:spacing w:val="-83"/>
        </w:rPr>
        <w:t> </w:t>
      </w:r>
      <w:r>
        <w:rPr>
          <w:spacing w:val="-83"/>
        </w:rPr>
      </w:r>
      <w:r>
        <w:rPr/>
        <w:t>的，则最佳估计数按各种可能结果及相关概率计算确定。 </w:t>
      </w:r>
      <w:r>
        <w:rPr>
          <w:spacing w:val="-1"/>
        </w:rPr>
        <w:t>本公司清偿预计负债所需支出全部或部分预期由第三方补偿的，补偿金额在基本确定能够收到时，作为资</w:t>
      </w:r>
      <w:r>
        <w:rPr>
          <w:spacing w:val="-81"/>
        </w:rPr>
        <w:t> </w:t>
      </w:r>
      <w:r>
        <w:rPr>
          <w:spacing w:val="-81"/>
        </w:rPr>
      </w:r>
      <w:r>
        <w:rPr/>
        <w:t>产单独确认，确认的补偿金额不超过预计负债的账面价值。 本公司预计负债主要为子公司澄怀科技出国留学咨询服务收入销售退回，执行情况如下：</w:t>
      </w:r>
    </w:p>
    <w:p>
      <w:pPr>
        <w:pStyle w:val="BodyText"/>
        <w:spacing w:line="420" w:lineRule="auto" w:before="47"/>
        <w:ind w:right="5292"/>
        <w:jc w:val="left"/>
      </w:pPr>
      <w:r>
        <w:rPr/>
        <w:t>①预计负债 预计负债</w:t>
      </w:r>
      <w:r>
        <w:rPr>
          <w:rFonts w:ascii="宋体" w:hAnsi="宋体" w:cs="宋体" w:eastAsia="宋体" w:hint="default"/>
        </w:rPr>
        <w:t>=</w:t>
      </w:r>
      <w:r>
        <w:rPr/>
        <w:t>截止期末未执行完毕的合同累计确认收入</w:t>
      </w:r>
      <w:r>
        <w:rPr>
          <w:rFonts w:ascii="宋体" w:hAnsi="宋体" w:cs="宋体" w:eastAsia="宋体" w:hint="default"/>
        </w:rPr>
        <w:t>*</w:t>
      </w:r>
      <w:r>
        <w:rPr/>
        <w:t>退款率</w:t>
      </w:r>
    </w:p>
    <w:p>
      <w:pPr>
        <w:pStyle w:val="BodyText"/>
        <w:spacing w:line="420" w:lineRule="auto" w:before="47"/>
        <w:ind w:right="0"/>
        <w:jc w:val="left"/>
      </w:pPr>
      <w:r>
        <w:rPr/>
        <w:t>②退款率的计算方法 </w:t>
      </w:r>
      <w:r>
        <w:rPr>
          <w:rFonts w:ascii="宋体" w:hAnsi="宋体" w:cs="宋体" w:eastAsia="宋体" w:hint="default"/>
          <w:spacing w:val="-1"/>
        </w:rPr>
        <w:t>201X</w:t>
      </w:r>
      <w:r>
        <w:rPr>
          <w:spacing w:val="-1"/>
        </w:rPr>
        <w:t>年退款率</w:t>
      </w:r>
      <w:r>
        <w:rPr>
          <w:rFonts w:ascii="宋体" w:hAnsi="宋体" w:cs="宋体" w:eastAsia="宋体" w:hint="default"/>
          <w:spacing w:val="-1"/>
        </w:rPr>
        <w:t>=</w:t>
      </w:r>
      <w:r>
        <w:rPr>
          <w:spacing w:val="-1"/>
        </w:rPr>
        <w:t>入学年份为</w:t>
      </w:r>
      <w:r>
        <w:rPr>
          <w:rFonts w:ascii="宋体" w:hAnsi="宋体" w:cs="宋体" w:eastAsia="宋体" w:hint="default"/>
          <w:spacing w:val="-1"/>
        </w:rPr>
        <w:t>201X</w:t>
      </w:r>
      <w:r>
        <w:rPr>
          <w:spacing w:val="-1"/>
        </w:rPr>
        <w:t>年的所有合同累计退款金额（不含评估期全额退款）</w:t>
      </w:r>
      <w:r>
        <w:rPr>
          <w:rFonts w:ascii="宋体" w:hAnsi="宋体" w:cs="宋体" w:eastAsia="宋体" w:hint="default"/>
          <w:spacing w:val="-1"/>
        </w:rPr>
        <w:t>/</w:t>
      </w:r>
      <w:r>
        <w:rPr>
          <w:spacing w:val="-1"/>
        </w:rPr>
        <w:t>入学年份为</w:t>
      </w:r>
      <w:r>
        <w:rPr>
          <w:rFonts w:ascii="宋体" w:hAnsi="宋体" w:cs="宋体" w:eastAsia="宋体" w:hint="default"/>
          <w:spacing w:val="-1"/>
        </w:rPr>
        <w:t>201X</w:t>
      </w:r>
      <w:r>
        <w:rPr>
          <w:spacing w:val="-1"/>
        </w:rPr>
        <w:t>年的</w:t>
      </w:r>
      <w:r>
        <w:rPr>
          <w:spacing w:val="-79"/>
        </w:rPr>
        <w:t> </w:t>
      </w:r>
      <w:r>
        <w:rPr/>
        <w:t>所有合同累积收款金额（不含评估期全额退款的对应收款金额）</w:t>
      </w:r>
    </w:p>
    <w:p>
      <w:pPr>
        <w:pStyle w:val="BodyText"/>
        <w:spacing w:line="420" w:lineRule="auto" w:before="47"/>
        <w:ind w:right="0"/>
        <w:jc w:val="left"/>
      </w:pPr>
      <w:r>
        <w:rPr/>
        <w:t>③退款率的选择 </w:t>
      </w:r>
      <w:r>
        <w:rPr>
          <w:spacing w:val="-1"/>
        </w:rPr>
        <w:t>由于澄怀科技提供出国留学咨询服务的季节性特点，每年的退款主要集中于第四季度，故在年末之前，按</w:t>
      </w:r>
      <w:r>
        <w:rPr>
          <w:spacing w:val="-83"/>
        </w:rPr>
        <w:t> </w:t>
      </w:r>
      <w:r>
        <w:rPr>
          <w:spacing w:val="-83"/>
        </w:rPr>
      </w:r>
      <w:r>
        <w:rPr/>
        <w:t>上年度的退款率计算预计负债，待年末根据当年的实际退款率进行调整。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4"/>
        <w:spacing w:line="240" w:lineRule="auto"/>
        <w:ind w:right="0"/>
        <w:jc w:val="left"/>
        <w:rPr>
          <w:b w:val="0"/>
          <w:bCs w:val="0"/>
        </w:rPr>
      </w:pPr>
      <w:bookmarkStart w:name="24、收入" w:id="209"/>
      <w:bookmarkEnd w:id="209"/>
      <w:r>
        <w:rPr>
          <w:b w:val="0"/>
          <w:bCs w:val="0"/>
        </w:rPr>
      </w:r>
      <w:r>
        <w:rPr>
          <w:rFonts w:ascii="宋体" w:hAnsi="宋体" w:cs="宋体" w:eastAsia="宋体" w:hint="default"/>
        </w:rPr>
        <w:t>24</w:t>
      </w:r>
      <w:r>
        <w:rPr/>
        <w:t>、收入</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7182"/>
        <w:jc w:val="left"/>
      </w:pPr>
      <w:r>
        <w:rPr/>
        <w:t>公司是否需要遵守特殊行业的披露要求 否</w:t>
      </w:r>
    </w:p>
    <w:p>
      <w:pPr>
        <w:pStyle w:val="BodyText"/>
        <w:spacing w:line="420" w:lineRule="auto" w:before="47"/>
        <w:ind w:right="1092"/>
        <w:jc w:val="left"/>
      </w:pPr>
      <w:r>
        <w:rPr/>
        <w:t>（</w:t>
      </w:r>
      <w:r>
        <w:rPr>
          <w:rFonts w:ascii="宋体" w:hAnsi="宋体" w:cs="宋体" w:eastAsia="宋体" w:hint="default"/>
        </w:rPr>
        <w:t>1</w:t>
      </w:r>
      <w:r>
        <w:rPr/>
        <w:t>）销售商品收入确认时间的具体判断标准 公司已将商品所有权上的主要风险和报酬转移给购买方；公司既没有保留与所有权相联系的继续管理权， </w:t>
      </w:r>
      <w:r>
        <w:rPr>
          <w:spacing w:val="-1"/>
        </w:rPr>
        <w:t>也没有对已售出的商品实施有效控制；收入的金额能够可靠地计量；相关的经济利益很可能流入企业；相</w:t>
      </w:r>
      <w:r>
        <w:rPr>
          <w:spacing w:val="-83"/>
        </w:rPr>
        <w:t> </w:t>
      </w:r>
      <w:r>
        <w:rPr>
          <w:spacing w:val="-83"/>
        </w:rPr>
      </w:r>
      <w:r>
        <w:rPr/>
        <w:t>关的已发生或将发生的成本能够可靠地计量时，确认商品销售收入实现。</w:t>
      </w:r>
    </w:p>
    <w:p>
      <w:pPr>
        <w:pStyle w:val="BodyText"/>
        <w:spacing w:line="240" w:lineRule="auto" w:before="47"/>
        <w:ind w:right="0"/>
        <w:jc w:val="left"/>
        <w:rPr>
          <w:rFonts w:ascii="宋体" w:hAnsi="宋体" w:cs="宋体" w:eastAsia="宋体" w:hint="default"/>
        </w:rPr>
      </w:pPr>
      <w:r>
        <w:rPr/>
        <w:t>本公司主要收入确认判断标准</w:t>
      </w:r>
      <w:r>
        <w:rPr>
          <w:rFonts w:ascii="宋体" w:hAnsi="宋体" w:cs="宋体" w:eastAsia="宋体" w:hint="default"/>
        </w:rPr>
        <w:t>:</w:t>
      </w:r>
    </w:p>
    <w:p>
      <w:pPr>
        <w:spacing w:line="240" w:lineRule="auto" w:before="9"/>
        <w:rPr>
          <w:rFonts w:ascii="宋体" w:hAnsi="宋体" w:cs="宋体" w:eastAsia="宋体" w:hint="default"/>
          <w:sz w:val="15"/>
          <w:szCs w:val="15"/>
        </w:rPr>
      </w:pPr>
    </w:p>
    <w:p>
      <w:pPr>
        <w:pStyle w:val="BodyText"/>
        <w:spacing w:line="240" w:lineRule="auto"/>
        <w:ind w:right="0"/>
        <w:jc w:val="left"/>
      </w:pPr>
      <w:r>
        <w:rPr/>
        <w:t>①提供媒体信息刊登及广告服务的收入，以信息或广告刊登于媒体时确认收入。</w:t>
      </w:r>
    </w:p>
    <w:p>
      <w:pPr>
        <w:spacing w:line="240" w:lineRule="auto" w:before="9"/>
        <w:rPr>
          <w:rFonts w:ascii="宋体" w:hAnsi="宋体" w:cs="宋体" w:eastAsia="宋体" w:hint="default"/>
          <w:sz w:val="15"/>
          <w:szCs w:val="15"/>
        </w:rPr>
      </w:pPr>
    </w:p>
    <w:p>
      <w:pPr>
        <w:pStyle w:val="BodyText"/>
        <w:spacing w:line="420" w:lineRule="auto"/>
        <w:ind w:right="0"/>
        <w:jc w:val="left"/>
      </w:pPr>
      <w:r>
        <w:rPr>
          <w:spacing w:val="-1"/>
        </w:rPr>
        <w:t>②提供网络游戏的收入，对从玩家取得的充值金额全部确认为递延收益，在游戏虚拟钻石、虚拟金币被实</w:t>
      </w:r>
      <w:r>
        <w:rPr>
          <w:spacing w:val="-83"/>
        </w:rPr>
        <w:t> </w:t>
      </w:r>
      <w:r>
        <w:rPr>
          <w:spacing w:val="-83"/>
        </w:rPr>
      </w:r>
      <w:r>
        <w:rPr/>
        <w:t>际消费使用时确认收入。</w:t>
      </w:r>
    </w:p>
    <w:p>
      <w:pPr>
        <w:spacing w:after="0" w:line="42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116"/>
        <w:jc w:val="left"/>
      </w:pPr>
      <w:r>
        <w:rPr/>
        <w:t>（</w:t>
      </w:r>
      <w:r>
        <w:rPr>
          <w:rFonts w:ascii="宋体" w:hAnsi="宋体" w:cs="宋体" w:eastAsia="宋体" w:hint="default"/>
        </w:rPr>
        <w:t>2</w:t>
      </w:r>
      <w:r>
        <w:rPr/>
        <w:t>）确认让渡资产使用权收入的依据 </w:t>
      </w:r>
      <w:r>
        <w:rPr>
          <w:spacing w:val="-1"/>
        </w:rPr>
        <w:t>与交易相关的经济利益很可能流入企业，收入的金额能够可靠地计量时。分别下列情况确定让渡资产使用</w:t>
      </w:r>
      <w:r>
        <w:rPr>
          <w:spacing w:val="-81"/>
        </w:rPr>
        <w:t> </w:t>
      </w:r>
      <w:r>
        <w:rPr>
          <w:spacing w:val="-81"/>
        </w:rPr>
      </w:r>
      <w:r>
        <w:rPr/>
        <w:t>权收入金额</w:t>
      </w:r>
    </w:p>
    <w:p>
      <w:pPr>
        <w:pStyle w:val="BodyText"/>
        <w:spacing w:line="240" w:lineRule="auto" w:before="48"/>
        <w:ind w:right="0"/>
        <w:jc w:val="left"/>
      </w:pPr>
      <w:r>
        <w:rPr/>
        <w:t>①利息收入金额，按照他人使用本企业货币资金的时间和实际利率计算确定。</w:t>
      </w:r>
    </w:p>
    <w:p>
      <w:pPr>
        <w:spacing w:line="240" w:lineRule="auto" w:before="9"/>
        <w:rPr>
          <w:rFonts w:ascii="宋体" w:hAnsi="宋体" w:cs="宋体" w:eastAsia="宋体" w:hint="default"/>
          <w:sz w:val="15"/>
          <w:szCs w:val="15"/>
        </w:rPr>
      </w:pPr>
    </w:p>
    <w:p>
      <w:pPr>
        <w:pStyle w:val="BodyText"/>
        <w:spacing w:line="240" w:lineRule="auto"/>
        <w:ind w:right="0"/>
        <w:jc w:val="left"/>
      </w:pPr>
      <w:r>
        <w:rPr/>
        <w:t>②使用费收入金额，按照有关合同或协议约定的收费时间和方法计算确定。</w:t>
      </w:r>
    </w:p>
    <w:p>
      <w:pPr>
        <w:spacing w:line="240" w:lineRule="auto" w:before="9"/>
        <w:rPr>
          <w:rFonts w:ascii="宋体" w:hAnsi="宋体" w:cs="宋体" w:eastAsia="宋体" w:hint="default"/>
          <w:sz w:val="15"/>
          <w:szCs w:val="15"/>
        </w:rPr>
      </w:pPr>
    </w:p>
    <w:p>
      <w:pPr>
        <w:pStyle w:val="BodyText"/>
        <w:spacing w:line="420" w:lineRule="auto"/>
        <w:ind w:right="1116"/>
        <w:jc w:val="left"/>
      </w:pPr>
      <w:r>
        <w:rPr/>
        <w:t>（</w:t>
      </w:r>
      <w:r>
        <w:rPr>
          <w:rFonts w:ascii="宋体" w:hAnsi="宋体" w:cs="宋体" w:eastAsia="宋体" w:hint="default"/>
        </w:rPr>
        <w:t>3</w:t>
      </w:r>
      <w:r>
        <w:rPr/>
        <w:t>）按完工百分比法确认提供劳务的收入和建造合同收入时，确定合同完工进度的依据和方法 </w:t>
      </w:r>
      <w:r>
        <w:rPr>
          <w:spacing w:val="-1"/>
        </w:rPr>
        <w:t>在资产负债表日提供劳务交易的结果能够可靠估计的，采用完工百分比法确认提供劳务收入。提供劳务交</w:t>
      </w:r>
      <w:r>
        <w:rPr>
          <w:spacing w:val="-81"/>
        </w:rPr>
        <w:t> </w:t>
      </w:r>
      <w:r>
        <w:rPr>
          <w:spacing w:val="-81"/>
        </w:rPr>
      </w:r>
      <w:r>
        <w:rPr/>
        <w:t>易的完工进度，依据已完工作的测量确定。 按照已收或应收的合同或协议价款确定提供劳务收入总额，但已收或应收的合同或协议价款不公允的除 </w:t>
      </w:r>
      <w:r>
        <w:rPr>
          <w:spacing w:val="-1"/>
        </w:rPr>
        <w:t>外。资产负债表日按照提供劳务收入总额乘以完工进度扣除以前会计期间累计已确认提供劳务收入后的金</w:t>
      </w:r>
      <w:r>
        <w:rPr>
          <w:spacing w:val="-81"/>
        </w:rPr>
        <w:t> </w:t>
      </w:r>
      <w:r>
        <w:rPr>
          <w:spacing w:val="-81"/>
        </w:rPr>
      </w:r>
      <w:r>
        <w:rPr>
          <w:spacing w:val="-1"/>
        </w:rPr>
        <w:t>额，确认当期提供劳务收入；同时，按照提供劳务估计总成本乘以完工进度扣除以前会计期间累计已确认</w:t>
      </w:r>
      <w:r>
        <w:rPr>
          <w:spacing w:val="-83"/>
        </w:rPr>
        <w:t> </w:t>
      </w:r>
      <w:r>
        <w:rPr>
          <w:spacing w:val="-83"/>
        </w:rPr>
      </w:r>
      <w:r>
        <w:rPr/>
        <w:t>劳务成本后的金额，结转当期劳务成本。 在资产负债表日提供劳务交易结果不能够可靠估计的，分别下列情况处理：</w:t>
      </w:r>
    </w:p>
    <w:p>
      <w:pPr>
        <w:pStyle w:val="BodyText"/>
        <w:spacing w:line="420" w:lineRule="auto" w:before="47"/>
        <w:ind w:right="0"/>
        <w:jc w:val="left"/>
      </w:pPr>
      <w:r>
        <w:rPr>
          <w:spacing w:val="-1"/>
        </w:rPr>
        <w:t>①已经发生的劳务成本预计能够得到补偿的，按照已经发生的劳务成本金额确认提供劳务收入，并按相同</w:t>
      </w:r>
      <w:r>
        <w:rPr>
          <w:spacing w:val="-81"/>
        </w:rPr>
        <w:t> </w:t>
      </w:r>
      <w:r>
        <w:rPr>
          <w:spacing w:val="-81"/>
        </w:rPr>
      </w:r>
      <w:r>
        <w:rPr/>
        <w:t>金额结转劳务成本；</w:t>
      </w:r>
    </w:p>
    <w:p>
      <w:pPr>
        <w:pStyle w:val="BodyText"/>
        <w:spacing w:line="420" w:lineRule="auto" w:before="47"/>
        <w:ind w:right="1116"/>
        <w:jc w:val="left"/>
      </w:pPr>
      <w:r>
        <w:rPr>
          <w:spacing w:val="-1"/>
        </w:rPr>
        <w:t>②已经发生的劳务成本预计不能够得到补偿的，将已经发生的劳务成本计入当期损益，不确认提供劳务收</w:t>
      </w:r>
      <w:r>
        <w:rPr>
          <w:spacing w:val="-81"/>
        </w:rPr>
        <w:t> </w:t>
      </w:r>
      <w:r>
        <w:rPr>
          <w:spacing w:val="-81"/>
        </w:rPr>
      </w:r>
      <w:r>
        <w:rPr/>
        <w:t>入。</w:t>
      </w:r>
    </w:p>
    <w:p>
      <w:pPr>
        <w:pStyle w:val="BodyText"/>
        <w:spacing w:line="420" w:lineRule="auto" w:before="47"/>
        <w:ind w:right="1197"/>
        <w:jc w:val="left"/>
      </w:pPr>
      <w:r>
        <w:rPr/>
        <w:t>（</w:t>
      </w:r>
      <w:r>
        <w:rPr>
          <w:rFonts w:ascii="宋体" w:hAnsi="宋体" w:cs="宋体" w:eastAsia="宋体" w:hint="default"/>
        </w:rPr>
        <w:t>4</w:t>
      </w:r>
      <w:r>
        <w:rPr/>
        <w:t>）房地产销售是以本公司房产竣工验收合格，签订了销售合同或其他结算通知书，取得了买方付款证 明时确认收入的实现。</w:t>
      </w:r>
    </w:p>
    <w:p>
      <w:pPr>
        <w:pStyle w:val="BodyText"/>
        <w:spacing w:line="420" w:lineRule="auto" w:before="47"/>
        <w:ind w:right="1023"/>
        <w:jc w:val="left"/>
      </w:pPr>
      <w:r>
        <w:rPr/>
        <w:t>（</w:t>
      </w:r>
      <w:r>
        <w:rPr>
          <w:rFonts w:ascii="宋体" w:hAnsi="宋体" w:cs="宋体" w:eastAsia="宋体" w:hint="default"/>
        </w:rPr>
        <w:t>5</w:t>
      </w:r>
      <w:r>
        <w:rPr/>
        <w:t>）电影、电视剧收入 </w:t>
      </w:r>
      <w:r>
        <w:rPr>
          <w:spacing w:val="-4"/>
        </w:rPr>
        <w:t>电影片票房分账收入：在电影片完成摄制并经电影电视行政主管部门审查通过取得《电影片公映许可证》，</w:t>
      </w:r>
      <w:r>
        <w:rPr>
          <w:spacing w:val="-84"/>
        </w:rPr>
        <w:t> </w:t>
      </w:r>
      <w:r>
        <w:rPr>
          <w:spacing w:val="-84"/>
        </w:rPr>
      </w:r>
      <w:r>
        <w:rPr/>
        <w:t>电影片于院线、影院上映后按双方确认的实际票房统计及相应的分账方法所计算的金额确认。</w:t>
      </w:r>
      <w:r>
        <w:rPr/>
        <w:t> 电影版权收入：在影片取得《电影片公映许可证》、母带已经交付，且交易相关的经济利益很可能流入本 公司时确认。 电视剧销售收入在电视剧完成摄制并经电影电视行政主管部门审查通过取得国产《电视剧发行许可证》， 电视剧拷贝、播映带和其他载体转移给购货方，相关经济利益很可能流入本公司时确认。 </w:t>
      </w:r>
      <w:r>
        <w:rPr>
          <w:spacing w:val="-3"/>
        </w:rPr>
        <w:t>电影、电视剧完成摄制前采取全部或部分卖断，或者承诺给予影片首（播）映权等方式，预售影片发行权、</w:t>
      </w:r>
      <w:r>
        <w:rPr>
          <w:spacing w:val="-94"/>
        </w:rPr>
        <w:t> </w:t>
      </w:r>
      <w:r>
        <w:rPr>
          <w:spacing w:val="-94"/>
        </w:rPr>
      </w:r>
      <w:r>
        <w:rPr/>
        <w:t>放（播）映权或其他权利所取得的款项，待电影、电视剧完成摄制并按合同约定提供给预付款人使用时， 确认销售收入的实现。</w:t>
      </w:r>
    </w:p>
    <w:p>
      <w:pPr>
        <w:spacing w:after="0" w:line="42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25、政府补助" w:id="210"/>
      <w:bookmarkEnd w:id="210"/>
      <w:r>
        <w:rPr>
          <w:b w:val="0"/>
          <w:bCs w:val="0"/>
        </w:rPr>
      </w:r>
      <w:r>
        <w:rPr>
          <w:rFonts w:ascii="宋体" w:hAnsi="宋体" w:cs="宋体" w:eastAsia="宋体" w:hint="default"/>
        </w:rPr>
        <w:t>25</w:t>
      </w:r>
      <w:r>
        <w:rPr/>
        <w:t>、政府补助</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0"/>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）与资产相关的政府补助判断依据及会计处理方法</w:t>
      </w:r>
      <w:r>
        <w:rPr>
          <w:rFonts w:ascii="宋体" w:hAnsi="宋体" w:cs="宋体" w:eastAsia="宋体" w:hint="default"/>
          <w:b/>
          <w:bCs/>
          <w:w w:val="99"/>
        </w:rPr>
        <w:t> </w:t>
      </w:r>
      <w:r>
        <w:rPr>
          <w:spacing w:val="-1"/>
        </w:rPr>
        <w:t>与资产相关的政府补助，是指本公司取得的、用于购建或以其他方式形成长期资产的政府补助。与资产相</w:t>
      </w:r>
      <w:r>
        <w:rPr>
          <w:spacing w:val="-83"/>
        </w:rPr>
        <w:t> </w:t>
      </w:r>
      <w:r>
        <w:rPr>
          <w:spacing w:val="-83"/>
        </w:rPr>
      </w:r>
      <w:r>
        <w:rPr>
          <w:spacing w:val="-1"/>
        </w:rPr>
        <w:t>关的政府补助，冲减相关资产账面价值或确认为递延收益。确认为递延收益的，在相关资产使用寿命内按</w:t>
      </w:r>
      <w:r>
        <w:rPr>
          <w:spacing w:val="-83"/>
        </w:rPr>
        <w:t> </w:t>
      </w:r>
      <w:r>
        <w:rPr>
          <w:spacing w:val="-83"/>
        </w:rPr>
      </w:r>
      <w:r>
        <w:rPr>
          <w:spacing w:val="-1"/>
        </w:rPr>
        <w:t>照合理、系统的方法分期计入当期损益（与本公司日常活动相关的，计入其他收益；与本公司日常活动无</w:t>
      </w:r>
      <w:r>
        <w:rPr>
          <w:spacing w:val="-86"/>
        </w:rPr>
        <w:t> </w:t>
      </w:r>
      <w:r>
        <w:rPr>
          <w:spacing w:val="-86"/>
        </w:rPr>
      </w:r>
      <w:r>
        <w:rPr/>
        <w:t>关的，计入营业外收入）。</w:t>
      </w:r>
    </w:p>
    <w:p>
      <w:pPr>
        <w:pStyle w:val="BodyText"/>
        <w:spacing w:line="420" w:lineRule="auto" w:before="47"/>
        <w:ind w:right="1116"/>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）与收益相关的政府补助判断依据及会计处理方法</w:t>
      </w:r>
      <w:r>
        <w:rPr>
          <w:rFonts w:ascii="宋体" w:hAnsi="宋体" w:cs="宋体" w:eastAsia="宋体" w:hint="default"/>
          <w:b/>
          <w:bCs/>
          <w:w w:val="99"/>
        </w:rPr>
        <w:t> </w:t>
      </w:r>
      <w:r>
        <w:rPr/>
        <w:t>与收益相关的政府补助，是指除与资产相关的政府补助之外的政府补助。 </w:t>
      </w:r>
      <w:r>
        <w:rPr>
          <w:spacing w:val="-1"/>
        </w:rPr>
        <w:t>与收益相关的政府补助，用于补偿本公司以后期间的相关成本费用或损失的，确认为递延收益，并在确认</w:t>
      </w:r>
      <w:r>
        <w:rPr>
          <w:spacing w:val="-83"/>
        </w:rPr>
        <w:t> </w:t>
      </w:r>
      <w:r>
        <w:rPr>
          <w:spacing w:val="-83"/>
        </w:rPr>
      </w:r>
      <w:r>
        <w:rPr>
          <w:spacing w:val="-1"/>
        </w:rPr>
        <w:t>相关成本费用或损失的期间，计入当期损益（与本公司日常活动相关的，计入其他收益；与本公司日常活</w:t>
      </w:r>
      <w:r>
        <w:rPr>
          <w:spacing w:val="-86"/>
        </w:rPr>
        <w:t> </w:t>
      </w:r>
      <w:r>
        <w:rPr>
          <w:spacing w:val="-86"/>
        </w:rPr>
      </w:r>
      <w:r>
        <w:rPr>
          <w:spacing w:val="-1"/>
        </w:rPr>
        <w:t>动无关的，计入营业外收入）或冲减相关成本费用或损失；用于补偿本公司已发生的相关成本费用或损失</w:t>
      </w:r>
      <w:r>
        <w:rPr>
          <w:spacing w:val="-83"/>
        </w:rPr>
        <w:t> </w:t>
      </w:r>
      <w:r>
        <w:rPr>
          <w:spacing w:val="-83"/>
        </w:rPr>
      </w:r>
      <w:r>
        <w:rPr>
          <w:spacing w:val="-1"/>
        </w:rPr>
        <w:t>的，直接计入当期损益（与本公司日常活动相关的，计入其他收益；与本公司日常活动无关的，计入营业</w:t>
      </w:r>
      <w:r>
        <w:rPr>
          <w:spacing w:val="-83"/>
        </w:rPr>
        <w:t> </w:t>
      </w:r>
      <w:r>
        <w:rPr>
          <w:spacing w:val="-83"/>
        </w:rPr>
      </w:r>
      <w:r>
        <w:rPr/>
        <w:t>外收入）或冲减相关成本费用或损失。 本公司取得的政策性优惠贷款贴息，区分以下两种情况，分别进行会计处理：</w:t>
      </w:r>
    </w:p>
    <w:p>
      <w:pPr>
        <w:pStyle w:val="BodyText"/>
        <w:spacing w:line="420" w:lineRule="auto" w:before="48"/>
        <w:ind w:right="0"/>
        <w:jc w:val="left"/>
      </w:pPr>
      <w:r>
        <w:rPr>
          <w:spacing w:val="-1"/>
        </w:rPr>
        <w:t>①财政将贴息资金拨付给贷款银行，由贷款银行以政策性优惠利率向本公司提供贷款的，本公司以实际收</w:t>
      </w:r>
      <w:r>
        <w:rPr>
          <w:spacing w:val="-81"/>
        </w:rPr>
        <w:t> </w:t>
      </w:r>
      <w:r>
        <w:rPr>
          <w:spacing w:val="-81"/>
        </w:rPr>
      </w:r>
      <w:r>
        <w:rPr/>
        <w:t>到的借款金额作为借款的入账价值，按照借款本金和该政策性优惠利率计算相关借款费用。</w:t>
      </w:r>
    </w:p>
    <w:p>
      <w:pPr>
        <w:spacing w:line="547" w:lineRule="auto" w:before="47"/>
        <w:ind w:left="154" w:right="0" w:firstLine="0"/>
        <w:jc w:val="left"/>
        <w:rPr>
          <w:rFonts w:ascii="宋体" w:hAnsi="宋体" w:cs="宋体" w:eastAsia="宋体" w:hint="default"/>
          <w:sz w:val="21"/>
          <w:szCs w:val="21"/>
        </w:rPr>
      </w:pPr>
      <w:r>
        <w:rPr>
          <w:rFonts w:ascii="宋体" w:hAnsi="宋体" w:cs="宋体" w:eastAsia="宋体" w:hint="default"/>
          <w:sz w:val="21"/>
          <w:szCs w:val="21"/>
        </w:rPr>
        <w:t>②财政将贴息资金直接拨付给本公司的，本公司将对应的贴息冲减相关借款费用。 </w:t>
      </w:r>
      <w:bookmarkStart w:name="26、递延所得税资产/递延所得税负债" w:id="211"/>
      <w:bookmarkEnd w:id="211"/>
      <w:r>
        <w:rPr>
          <w:rFonts w:ascii="宋体" w:hAnsi="宋体" w:cs="宋体" w:eastAsia="宋体" w:hint="default"/>
          <w:sz w:val="21"/>
          <w:szCs w:val="21"/>
        </w:rPr>
      </w:r>
      <w:r>
        <w:rPr>
          <w:rFonts w:ascii="宋体" w:hAnsi="宋体" w:cs="宋体" w:eastAsia="宋体" w:hint="default"/>
          <w:b/>
          <w:bCs/>
          <w:sz w:val="21"/>
          <w:szCs w:val="21"/>
        </w:rPr>
        <w:t>26</w:t>
      </w:r>
      <w:r>
        <w:rPr>
          <w:rFonts w:ascii="宋体" w:hAnsi="宋体" w:cs="宋体" w:eastAsia="宋体" w:hint="default"/>
          <w:b/>
          <w:bCs/>
          <w:sz w:val="21"/>
          <w:szCs w:val="21"/>
        </w:rPr>
        <w:t>、递延所得税资产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3"/>
        <w:rPr>
          <w:rFonts w:ascii="宋体" w:hAnsi="宋体" w:cs="宋体" w:eastAsia="宋体" w:hint="default"/>
          <w:b/>
          <w:bCs/>
          <w:sz w:val="16"/>
          <w:szCs w:val="16"/>
        </w:rPr>
      </w:pPr>
    </w:p>
    <w:p>
      <w:pPr>
        <w:pStyle w:val="BodyText"/>
        <w:spacing w:line="420" w:lineRule="auto"/>
        <w:ind w:right="0"/>
        <w:jc w:val="left"/>
      </w:pPr>
      <w:r>
        <w:rPr>
          <w:spacing w:val="-1"/>
        </w:rPr>
        <w:t>对于可抵扣暂时性差异确认递延所得税资产，以未来期间很可能取得的用来抵扣可抵扣暂时性差异的应纳</w:t>
      </w:r>
      <w:r>
        <w:rPr>
          <w:spacing w:val="-81"/>
        </w:rPr>
        <w:t> </w:t>
      </w:r>
      <w:r>
        <w:rPr>
          <w:spacing w:val="-81"/>
        </w:rPr>
      </w:r>
      <w:r>
        <w:rPr>
          <w:spacing w:val="-1"/>
        </w:rPr>
        <w:t>税所得额为限。对于能够结转以后年度的可抵扣亏损和税款抵减，以很可能获得用来抵扣可抵扣亏损和税</w:t>
      </w:r>
      <w:r>
        <w:rPr>
          <w:spacing w:val="-81"/>
        </w:rPr>
        <w:t> </w:t>
      </w:r>
      <w:r>
        <w:rPr>
          <w:spacing w:val="-81"/>
        </w:rPr>
      </w:r>
      <w:r>
        <w:rPr/>
        <w:t>款抵减的未来应纳税所得额为限，确认相应的递延所得税资产。 对于应纳税暂时性差异，除特殊情况外，确认递延所得税负债。 </w:t>
      </w:r>
      <w:r>
        <w:rPr>
          <w:spacing w:val="-1"/>
        </w:rPr>
        <w:t>不确认递延所得税资产或递延所得税负债的特殊情况包括：商誉的初始确认；除企业合并以外的发生时既</w:t>
      </w:r>
      <w:r>
        <w:rPr>
          <w:spacing w:val="-81"/>
        </w:rPr>
        <w:t> </w:t>
      </w:r>
      <w:r>
        <w:rPr>
          <w:spacing w:val="-81"/>
        </w:rPr>
      </w:r>
      <w:r>
        <w:rPr/>
        <w:t>不影响会计利润也不影响应纳税所得额（或可抵扣亏损）的其他交易或事项。 </w:t>
      </w:r>
      <w:r>
        <w:rPr>
          <w:spacing w:val="-1"/>
        </w:rPr>
        <w:t>当拥有以净额结算的法定权利，且意图以净额结算或取得资产、清偿负债同时进行时，当期所得税资产及</w:t>
      </w:r>
      <w:r>
        <w:rPr>
          <w:spacing w:val="-83"/>
        </w:rPr>
        <w:t> </w:t>
      </w:r>
      <w:r>
        <w:rPr>
          <w:spacing w:val="-83"/>
        </w:rPr>
      </w:r>
      <w:r>
        <w:rPr/>
        <w:t>当期所得税负债以抵销后的净额列报。</w:t>
      </w:r>
    </w:p>
    <w:p>
      <w:pPr>
        <w:spacing w:after="0" w:line="42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131"/>
        <w:jc w:val="both"/>
      </w:pPr>
      <w:r>
        <w:rPr>
          <w:spacing w:val="-1"/>
        </w:rPr>
        <w:t>当拥有以净额结算当期所得税资产及当期所得税负债的法定权利，且递延所得税资产及递延所得税负债是</w:t>
      </w:r>
      <w:r>
        <w:rPr>
          <w:spacing w:val="-81"/>
        </w:rPr>
        <w:t> </w:t>
      </w:r>
      <w:r>
        <w:rPr>
          <w:spacing w:val="-81"/>
        </w:rPr>
      </w:r>
      <w:r>
        <w:rPr>
          <w:spacing w:val="-1"/>
        </w:rPr>
        <w:t>与同一税收征管部门对同一纳税主体征收的所得税相关或者是对不同的纳税主体相关，但在未来每一具有</w:t>
      </w:r>
      <w:r>
        <w:rPr>
          <w:spacing w:val="-81"/>
        </w:rPr>
        <w:t> </w:t>
      </w:r>
      <w:r>
        <w:rPr>
          <w:spacing w:val="-81"/>
        </w:rPr>
      </w:r>
      <w:r>
        <w:rPr>
          <w:spacing w:val="-1"/>
        </w:rPr>
        <w:t>重要性的递延所得税资产及负债转回的期间内，涉及的纳税主体意图以净额结算当期所得税资产和负债或</w:t>
      </w:r>
      <w:r>
        <w:rPr>
          <w:spacing w:val="-81"/>
        </w:rPr>
        <w:t> </w:t>
      </w:r>
      <w:r>
        <w:rPr>
          <w:spacing w:val="-81"/>
        </w:rPr>
      </w:r>
      <w:r>
        <w:rPr/>
        <w:t>是同时取得资产、清偿负债时，递延所得税资产及递延所得税负债以抵销后的净额列报。</w:t>
      </w: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bookmarkStart w:name="27、租赁" w:id="212"/>
      <w:bookmarkEnd w:id="212"/>
      <w:r>
        <w:rPr>
          <w:b w:val="0"/>
          <w:bCs w:val="0"/>
        </w:rPr>
      </w:r>
      <w:r>
        <w:rPr>
          <w:rFonts w:ascii="宋体" w:hAnsi="宋体" w:cs="宋体" w:eastAsia="宋体" w:hint="default"/>
        </w:rPr>
        <w:t>27</w:t>
      </w:r>
      <w:r>
        <w:rPr/>
        <w:t>、租赁</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left"/>
        <w:rPr>
          <w:b w:val="0"/>
          <w:bCs w:val="0"/>
        </w:rPr>
      </w:pPr>
      <w:bookmarkStart w:name="（1）经营租赁的会计处理方法" w:id="213"/>
      <w:bookmarkEnd w:id="213"/>
      <w:r>
        <w:rPr>
          <w:b w:val="0"/>
          <w:bCs w:val="0"/>
        </w:rPr>
      </w:r>
      <w:r>
        <w:rPr/>
        <w:t>（</w:t>
      </w:r>
      <w:r>
        <w:rPr>
          <w:rFonts w:ascii="宋体" w:hAnsi="宋体" w:cs="宋体" w:eastAsia="宋体" w:hint="default"/>
        </w:rPr>
        <w:t>1</w:t>
      </w:r>
      <w:r>
        <w:rPr/>
        <w:t>）经营租赁的会计处理方法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1092"/>
        <w:jc w:val="left"/>
      </w:pPr>
      <w:r>
        <w:rPr/>
        <w:t>①公司租入资产所支付的租赁费，在不扣除免租期的整个租赁期内，按直线法进行分摊，计入当期费用。 公司支付的与租赁交易相关的初始直接费用，计入当期费用。 </w:t>
      </w:r>
      <w:r>
        <w:rPr>
          <w:spacing w:val="-1"/>
        </w:rPr>
        <w:t>资产出租方承担了应由公司承担的与租赁相关的费用时，公司将该部分费用从租金总额中扣除，按扣除后</w:t>
      </w:r>
      <w:r>
        <w:rPr>
          <w:spacing w:val="-81"/>
        </w:rPr>
        <w:t> </w:t>
      </w:r>
      <w:r>
        <w:rPr>
          <w:spacing w:val="-81"/>
        </w:rPr>
      </w:r>
      <w:r>
        <w:rPr/>
        <w:t>的租金费用在租赁期内分摊，计入当期费用。</w:t>
      </w:r>
    </w:p>
    <w:p>
      <w:pPr>
        <w:pStyle w:val="BodyText"/>
        <w:spacing w:line="420" w:lineRule="auto" w:before="47"/>
        <w:ind w:right="0"/>
        <w:jc w:val="left"/>
      </w:pPr>
      <w:r>
        <w:rPr>
          <w:spacing w:val="-1"/>
        </w:rPr>
        <w:t>②公司出租资产所收取的租赁费，在不扣除免租期的整个租赁期内，按直线法进行分摊，确认为租赁相关</w:t>
      </w:r>
      <w:r>
        <w:rPr>
          <w:spacing w:val="-83"/>
        </w:rPr>
        <w:t> </w:t>
      </w:r>
      <w:r>
        <w:rPr>
          <w:spacing w:val="-83"/>
        </w:rPr>
      </w:r>
      <w:r>
        <w:rPr>
          <w:spacing w:val="-1"/>
        </w:rPr>
        <w:t>收入。公司支付的与租赁交易相关的初始直接费用，计入当期费用；如金额较大的，则予以资本化，在整</w:t>
      </w:r>
      <w:r>
        <w:rPr>
          <w:spacing w:val="-83"/>
        </w:rPr>
        <w:t> </w:t>
      </w:r>
      <w:r>
        <w:rPr>
          <w:spacing w:val="-83"/>
        </w:rPr>
      </w:r>
      <w:r>
        <w:rPr/>
        <w:t>个租赁期间内按照与租赁相关收入确认相同的基础分期计入当期收益。 </w:t>
      </w:r>
      <w:r>
        <w:rPr>
          <w:spacing w:val="-1"/>
        </w:rPr>
        <w:t>公司承担了应由承租方承担的与租赁相关的费用时，公司将该部分费用从租金收入总额中扣除，按扣除后</w:t>
      </w:r>
      <w:r>
        <w:rPr>
          <w:spacing w:val="-81"/>
        </w:rPr>
        <w:t> </w:t>
      </w:r>
      <w:r>
        <w:rPr>
          <w:spacing w:val="-81"/>
        </w:rPr>
      </w:r>
      <w:r>
        <w:rPr/>
        <w:t>的租金费用在租赁期内分配。</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4"/>
        <w:spacing w:line="240" w:lineRule="auto"/>
        <w:ind w:right="0"/>
        <w:jc w:val="left"/>
        <w:rPr>
          <w:b w:val="0"/>
          <w:bCs w:val="0"/>
        </w:rPr>
      </w:pPr>
      <w:bookmarkStart w:name="（2）融资租赁的会计处理方法" w:id="214"/>
      <w:bookmarkEnd w:id="214"/>
      <w:r>
        <w:rPr>
          <w:b w:val="0"/>
          <w:bCs w:val="0"/>
        </w:rPr>
      </w:r>
      <w:r>
        <w:rPr/>
        <w:t>（</w:t>
      </w:r>
      <w:r>
        <w:rPr>
          <w:rFonts w:ascii="宋体" w:hAnsi="宋体" w:cs="宋体" w:eastAsia="宋体" w:hint="default"/>
        </w:rPr>
        <w:t>2</w:t>
      </w:r>
      <w:r>
        <w:rPr/>
        <w:t>）融资租赁的会计处理方法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1023"/>
        <w:jc w:val="left"/>
      </w:pPr>
      <w:r>
        <w:rPr/>
        <w:t>①融资租入资产：公司在承租开始日，将租赁资产公允价值与最低租赁付款额现值两者中较低者</w:t>
      </w:r>
      <w:r>
        <w:rPr>
          <w:spacing w:val="1"/>
        </w:rPr>
        <w:t> </w:t>
      </w:r>
      <w:r>
        <w:rPr/>
        <w:t>作为租</w:t>
      </w:r>
      <w:r>
        <w:rPr/>
        <w:t> 入资产的入账价值，将最低租赁付款额作为长期应付款的入账价值，其差额作为未确认的融资费用。公司 </w:t>
      </w:r>
      <w:r>
        <w:rPr>
          <w:spacing w:val="-3"/>
        </w:rPr>
        <w:t>采用实际利率法对未确认的融资费用，在资产租赁期间内摊销，计入财务费用。公司发生的初始直接费用，</w:t>
      </w:r>
      <w:r>
        <w:rPr>
          <w:spacing w:val="-90"/>
        </w:rPr>
        <w:t> </w:t>
      </w:r>
      <w:r>
        <w:rPr>
          <w:spacing w:val="-90"/>
        </w:rPr>
      </w:r>
      <w:r>
        <w:rPr/>
        <w:t>计入租入资产价值。</w:t>
      </w:r>
    </w:p>
    <w:p>
      <w:pPr>
        <w:pStyle w:val="BodyText"/>
        <w:spacing w:line="420" w:lineRule="auto" w:before="47"/>
        <w:ind w:right="1131"/>
        <w:jc w:val="both"/>
      </w:pPr>
      <w:r>
        <w:rPr>
          <w:spacing w:val="-1"/>
        </w:rPr>
        <w:t>②融资租出资产：公司在租赁开始日，将应收融资租赁款，未担保余值之和与其现值的差额确认为未实现</w:t>
      </w:r>
      <w:r>
        <w:rPr>
          <w:spacing w:val="-83"/>
        </w:rPr>
        <w:t> </w:t>
      </w:r>
      <w:r>
        <w:rPr>
          <w:spacing w:val="-83"/>
        </w:rPr>
      </w:r>
      <w:r>
        <w:rPr>
          <w:spacing w:val="-1"/>
        </w:rPr>
        <w:t>融资收益，在将来收到租金的各期间内确认为租赁收入。公司发生的与出租交易相关的初始直接费用，计</w:t>
      </w:r>
      <w:r>
        <w:rPr>
          <w:spacing w:val="-83"/>
        </w:rPr>
        <w:t> </w:t>
      </w:r>
      <w:r>
        <w:rPr>
          <w:spacing w:val="-83"/>
        </w:rPr>
      </w:r>
      <w:r>
        <w:rPr/>
        <w:t>入应收融资租赁款的初始计量中，并减少租赁期内确认的收益金额。</w:t>
      </w:r>
    </w:p>
    <w:p>
      <w:pPr>
        <w:spacing w:after="0" w:line="420" w:lineRule="auto"/>
        <w:jc w:val="both"/>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left="214" w:right="0"/>
        <w:jc w:val="left"/>
        <w:rPr>
          <w:b w:val="0"/>
          <w:bCs w:val="0"/>
        </w:rPr>
      </w:pPr>
      <w:bookmarkStart w:name="28、重要会计政策和会计估计变更" w:id="215"/>
      <w:bookmarkEnd w:id="215"/>
      <w:r>
        <w:rPr>
          <w:b w:val="0"/>
          <w:bCs w:val="0"/>
        </w:rPr>
      </w:r>
      <w:r>
        <w:rPr>
          <w:rFonts w:ascii="宋体" w:hAnsi="宋体" w:cs="宋体" w:eastAsia="宋体" w:hint="default"/>
        </w:rPr>
        <w:t>28</w:t>
      </w:r>
      <w:r>
        <w:rPr/>
        <w:t>、重要会计政策和会计估计变更</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left="214" w:right="0"/>
        <w:jc w:val="left"/>
        <w:rPr>
          <w:b w:val="0"/>
          <w:bCs w:val="0"/>
        </w:rPr>
      </w:pPr>
      <w:bookmarkStart w:name="（1）重要会计政策变更" w:id="216"/>
      <w:bookmarkEnd w:id="216"/>
      <w:r>
        <w:rPr>
          <w:b w:val="0"/>
          <w:bCs w:val="0"/>
        </w:rPr>
      </w:r>
      <w:r>
        <w:rPr/>
        <w:t>（</w:t>
      </w:r>
      <w:r>
        <w:rPr>
          <w:rFonts w:ascii="宋体" w:hAnsi="宋体" w:cs="宋体" w:eastAsia="宋体" w:hint="default"/>
        </w:rPr>
        <w:t>1</w:t>
      </w:r>
      <w:r>
        <w:rPr/>
        <w:t>）重要会计政策变更</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left="214" w:right="0"/>
        <w:jc w:val="left"/>
      </w:pPr>
      <w:r>
        <w:rPr/>
        <w:t>√ 适用 □</w:t>
      </w:r>
      <w:r>
        <w:rPr>
          <w:spacing w:val="-2"/>
        </w:rPr>
        <w:t> </w:t>
      </w:r>
      <w:r>
        <w:rPr/>
        <w:t>不适用</w:t>
      </w:r>
    </w:p>
    <w:p>
      <w:pPr>
        <w:spacing w:line="240" w:lineRule="auto" w:before="1"/>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6664"/>
        <w:gridCol w:w="1416"/>
        <w:gridCol w:w="1489"/>
      </w:tblGrid>
      <w:tr>
        <w:trPr>
          <w:trHeight w:val="322" w:hRule="exact"/>
        </w:trPr>
        <w:tc>
          <w:tcPr>
            <w:tcW w:w="6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883" w:hRule="exact"/>
        </w:trPr>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59"/>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日发布了《关于修订印发</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年度一般企业财务报表格式 </w:t>
            </w:r>
            <w:r>
              <w:rPr>
                <w:rFonts w:ascii="宋体" w:hAnsi="宋体" w:cs="宋体" w:eastAsia="宋体" w:hint="default"/>
                <w:spacing w:val="-6"/>
                <w:sz w:val="18"/>
                <w:szCs w:val="18"/>
              </w:rPr>
              <w:t>的通知》（财会〔</w:t>
            </w:r>
            <w:r>
              <w:rPr>
                <w:rFonts w:ascii="宋体" w:hAnsi="宋体" w:cs="宋体" w:eastAsia="宋体" w:hint="default"/>
                <w:spacing w:val="-6"/>
                <w:sz w:val="18"/>
                <w:szCs w:val="18"/>
              </w:rPr>
              <w:t>2018</w:t>
            </w:r>
            <w:r>
              <w:rPr>
                <w:rFonts w:ascii="宋体" w:hAnsi="宋体" w:cs="宋体" w:eastAsia="宋体" w:hint="default"/>
                <w:spacing w:val="-6"/>
                <w:sz w:val="18"/>
                <w:szCs w:val="18"/>
              </w:rPr>
              <w:t>〕</w:t>
            </w:r>
            <w:r>
              <w:rPr>
                <w:rFonts w:ascii="宋体" w:hAnsi="宋体" w:cs="宋体" w:eastAsia="宋体" w:hint="default"/>
                <w:spacing w:val="-6"/>
                <w:sz w:val="18"/>
                <w:szCs w:val="18"/>
              </w:rPr>
              <w:t>15</w:t>
            </w:r>
            <w:r>
              <w:rPr>
                <w:rFonts w:ascii="宋体" w:hAnsi="宋体" w:cs="宋体" w:eastAsia="宋体" w:hint="default"/>
                <w:spacing w:val="-42"/>
                <w:sz w:val="18"/>
                <w:szCs w:val="18"/>
              </w:rPr>
              <w:t> </w:t>
            </w:r>
            <w:r>
              <w:rPr>
                <w:rFonts w:ascii="宋体" w:hAnsi="宋体" w:cs="宋体" w:eastAsia="宋体" w:hint="default"/>
                <w:spacing w:val="-4"/>
                <w:sz w:val="18"/>
                <w:szCs w:val="18"/>
              </w:rPr>
              <w:t>号），执行企业会计准则的非金融企业中，尚未执行新金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融准则和新收入准则的企业应当按照企业会计准则和本通知附件</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的要求编制财务</w:t>
            </w:r>
          </w:p>
          <w:p>
            <w:pPr>
              <w:pStyle w:val="TableParagraph"/>
              <w:spacing w:line="316" w:lineRule="auto" w:before="19"/>
              <w:ind w:left="22" w:right="22"/>
              <w:jc w:val="both"/>
              <w:rPr>
                <w:rFonts w:ascii="宋体" w:hAnsi="宋体" w:cs="宋体" w:eastAsia="宋体" w:hint="default"/>
                <w:sz w:val="18"/>
                <w:szCs w:val="18"/>
              </w:rPr>
            </w:pPr>
            <w:r>
              <w:rPr>
                <w:rFonts w:ascii="宋体" w:hAnsi="宋体" w:cs="宋体" w:eastAsia="宋体" w:hint="default"/>
                <w:sz w:val="18"/>
                <w:szCs w:val="18"/>
              </w:rPr>
              <w:t>报表，已执行新金融准则或新收入准则的企业应当按照企业会计准则和本通知附件</w:t>
            </w:r>
            <w:r>
              <w:rPr>
                <w:rFonts w:ascii="宋体" w:hAnsi="宋体" w:cs="宋体" w:eastAsia="宋体" w:hint="default"/>
                <w:spacing w:val="-52"/>
                <w:sz w:val="18"/>
                <w:szCs w:val="18"/>
              </w:rPr>
              <w:t> </w:t>
            </w:r>
            <w:r>
              <w:rPr>
                <w:rFonts w:ascii="宋体" w:hAnsi="宋体" w:cs="宋体" w:eastAsia="宋体" w:hint="default"/>
                <w:sz w:val="18"/>
                <w:szCs w:val="18"/>
              </w:rPr>
              <w:t>2 </w:t>
            </w:r>
            <w:r>
              <w:rPr>
                <w:rFonts w:ascii="宋体" w:hAnsi="宋体" w:cs="宋体" w:eastAsia="宋体" w:hint="default"/>
                <w:spacing w:val="-2"/>
                <w:sz w:val="18"/>
                <w:szCs w:val="18"/>
              </w:rPr>
              <w:t>的要求编制财务报表。公司尚未执行新金融准则和新收入准则，本期的报表格式按企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业会计准则和本通知附件</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的要求编制财务报表，此项政策变更采用追溯调整法。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31"/>
              <w:jc w:val="left"/>
              <w:rPr>
                <w:rFonts w:ascii="宋体" w:hAnsi="宋体" w:cs="宋体" w:eastAsia="宋体" w:hint="default"/>
                <w:sz w:val="18"/>
                <w:szCs w:val="18"/>
              </w:rPr>
            </w:pPr>
            <w:r>
              <w:rPr>
                <w:rFonts w:ascii="宋体" w:hAnsi="宋体" w:cs="宋体" w:eastAsia="宋体" w:hint="default"/>
                <w:sz w:val="18"/>
                <w:szCs w:val="18"/>
              </w:rPr>
              <w:t>经公司第七届董 事会</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年第五 次临时会议和第 七届监事会</w:t>
            </w:r>
            <w:r>
              <w:rPr>
                <w:rFonts w:ascii="宋体" w:hAnsi="宋体" w:cs="宋体" w:eastAsia="宋体" w:hint="default"/>
                <w:spacing w:val="-46"/>
                <w:sz w:val="18"/>
                <w:szCs w:val="18"/>
              </w:rPr>
              <w:t> </w:t>
            </w:r>
            <w:r>
              <w:rPr>
                <w:rFonts w:ascii="宋体" w:hAnsi="宋体" w:cs="宋体" w:eastAsia="宋体" w:hint="default"/>
                <w:sz w:val="18"/>
                <w:szCs w:val="18"/>
              </w:rPr>
              <w:t>2019 </w:t>
            </w:r>
            <w:r>
              <w:rPr>
                <w:rFonts w:ascii="宋体" w:hAnsi="宋体" w:cs="宋体" w:eastAsia="宋体" w:hint="default"/>
                <w:sz w:val="18"/>
                <w:szCs w:val="18"/>
              </w:rPr>
              <w:t>年第一次临时会 议审议通过。</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24" w:right="29"/>
              <w:jc w:val="left"/>
              <w:rPr>
                <w:rFonts w:ascii="宋体" w:hAnsi="宋体" w:cs="宋体" w:eastAsia="宋体" w:hint="default"/>
                <w:sz w:val="18"/>
                <w:szCs w:val="18"/>
              </w:rPr>
            </w:pPr>
            <w:r>
              <w:rPr>
                <w:rFonts w:ascii="宋体" w:hAnsi="宋体" w:cs="宋体" w:eastAsia="宋体" w:hint="default"/>
                <w:sz w:val="18"/>
                <w:szCs w:val="18"/>
              </w:rPr>
              <w:t>主要影响项目及 </w:t>
            </w:r>
            <w:r>
              <w:rPr>
                <w:rFonts w:ascii="宋体" w:hAnsi="宋体" w:cs="宋体" w:eastAsia="宋体" w:hint="default"/>
                <w:spacing w:val="-2"/>
                <w:sz w:val="18"/>
                <w:szCs w:val="18"/>
              </w:rPr>
              <w:t>金额详见注①、注</w:t>
            </w:r>
            <w:r>
              <w:rPr>
                <w:rFonts w:ascii="宋体" w:hAnsi="宋体" w:cs="宋体" w:eastAsia="宋体" w:hint="default"/>
                <w:sz w:val="18"/>
                <w:szCs w:val="18"/>
              </w:rPr>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②</w:t>
            </w:r>
          </w:p>
        </w:tc>
      </w:tr>
      <w:tr>
        <w:trPr>
          <w:trHeight w:val="1570" w:hRule="exact"/>
        </w:trPr>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2"/>
                <w:sz w:val="18"/>
                <w:szCs w:val="18"/>
              </w:rPr>
              <w:t>关于代扣个人所得税手续费返还的填列企业作为个人所得税的扣缴义务人，根据《中</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华人民共和国个人所得税法》收到的扣缴税款手续费，应作为其他与日常活动相关的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项目在利润表的“其他收益”项目中填列。企业财务报表的列报项目因此发生变更 的，应当按照《企业会计准则第</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号——财务报表列报》等的相关规定，对可比期 间的比较数据进行调整。</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4" w:right="193"/>
              <w:jc w:val="left"/>
              <w:rPr>
                <w:rFonts w:ascii="宋体" w:hAnsi="宋体" w:cs="宋体" w:eastAsia="宋体" w:hint="default"/>
                <w:sz w:val="18"/>
                <w:szCs w:val="18"/>
              </w:rPr>
            </w:pPr>
            <w:r>
              <w:rPr>
                <w:rFonts w:ascii="宋体" w:hAnsi="宋体" w:cs="宋体" w:eastAsia="宋体" w:hint="default"/>
                <w:sz w:val="18"/>
                <w:szCs w:val="18"/>
              </w:rPr>
              <w:t>主要影响项目及 金额详见注③</w:t>
            </w:r>
          </w:p>
        </w:tc>
      </w:tr>
    </w:tbl>
    <w:p>
      <w:pPr>
        <w:pStyle w:val="BodyText"/>
        <w:spacing w:line="260" w:lineRule="exact"/>
        <w:ind w:left="214" w:right="0"/>
        <w:jc w:val="left"/>
      </w:pPr>
      <w:r>
        <w:rPr/>
        <w:t>注①合并期初金额及上期发生数受上述政策变更的主要影响项目及金额如下：</w:t>
      </w:r>
    </w:p>
    <w:p>
      <w:pPr>
        <w:spacing w:line="240" w:lineRule="auto" w:before="0"/>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2445"/>
        <w:gridCol w:w="1276"/>
        <w:gridCol w:w="1702"/>
        <w:gridCol w:w="1842"/>
        <w:gridCol w:w="1628"/>
      </w:tblGrid>
      <w:tr>
        <w:trPr>
          <w:trHeight w:val="322" w:hRule="exact"/>
        </w:trPr>
        <w:tc>
          <w:tcPr>
            <w:tcW w:w="244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left="226" w:right="0"/>
              <w:jc w:val="left"/>
              <w:rPr>
                <w:rFonts w:ascii="宋体" w:hAnsi="宋体" w:cs="宋体" w:eastAsia="宋体" w:hint="default"/>
                <w:sz w:val="18"/>
                <w:szCs w:val="18"/>
              </w:rPr>
            </w:pPr>
            <w:r>
              <w:rPr>
                <w:rFonts w:ascii="宋体" w:hAnsi="宋体" w:cs="宋体" w:eastAsia="宋体" w:hint="default"/>
                <w:sz w:val="18"/>
                <w:szCs w:val="18"/>
              </w:rPr>
              <w:t>会计政策变更的主要内容</w:t>
            </w:r>
          </w:p>
        </w:tc>
        <w:tc>
          <w:tcPr>
            <w:tcW w:w="297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763" w:right="0"/>
              <w:jc w:val="left"/>
              <w:rPr>
                <w:rFonts w:ascii="宋体" w:hAnsi="宋体" w:cs="宋体" w:eastAsia="宋体" w:hint="default"/>
                <w:sz w:val="18"/>
                <w:szCs w:val="18"/>
              </w:rPr>
            </w:pPr>
            <w:r>
              <w:rPr>
                <w:rFonts w:ascii="宋体" w:hAnsi="宋体" w:cs="宋体" w:eastAsia="宋体" w:hint="default"/>
                <w:sz w:val="18"/>
                <w:szCs w:val="18"/>
              </w:rPr>
              <w:t>原报表项目及金额</w:t>
            </w:r>
          </w:p>
        </w:tc>
        <w:tc>
          <w:tcPr>
            <w:tcW w:w="347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09" w:right="0"/>
              <w:jc w:val="left"/>
              <w:rPr>
                <w:rFonts w:ascii="宋体" w:hAnsi="宋体" w:cs="宋体" w:eastAsia="宋体" w:hint="default"/>
                <w:sz w:val="18"/>
                <w:szCs w:val="18"/>
              </w:rPr>
            </w:pPr>
            <w:r>
              <w:rPr>
                <w:rFonts w:ascii="宋体" w:hAnsi="宋体" w:cs="宋体" w:eastAsia="宋体" w:hint="default"/>
                <w:sz w:val="18"/>
                <w:szCs w:val="18"/>
              </w:rPr>
              <w:t>新报表项目及金额</w:t>
            </w:r>
          </w:p>
        </w:tc>
      </w:tr>
      <w:tr>
        <w:trPr>
          <w:trHeight w:val="317" w:hRule="exact"/>
        </w:trPr>
        <w:tc>
          <w:tcPr>
            <w:tcW w:w="2445" w:type="dxa"/>
            <w:vMerge/>
            <w:tcBorders>
              <w:left w:val="single" w:sz="4" w:space="0" w:color="000000"/>
              <w:bottom w:val="single" w:sz="4" w:space="0" w:color="000000"/>
              <w:right w:val="single" w:sz="4" w:space="0" w:color="000000"/>
            </w:tcBorders>
            <w:shd w:val="clear" w:color="auto" w:fill="D9D9D9"/>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6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7" w:hRule="exact"/>
        </w:trPr>
        <w:tc>
          <w:tcPr>
            <w:tcW w:w="2445"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15"/>
              <w:ind w:left="103" w:right="349"/>
              <w:jc w:val="left"/>
              <w:rPr>
                <w:rFonts w:ascii="宋体" w:hAnsi="宋体" w:cs="宋体" w:eastAsia="宋体" w:hint="default"/>
                <w:sz w:val="18"/>
                <w:szCs w:val="18"/>
              </w:rPr>
            </w:pPr>
            <w:r>
              <w:rPr>
                <w:rFonts w:ascii="宋体" w:hAnsi="宋体" w:cs="宋体" w:eastAsia="宋体" w:hint="default"/>
                <w:sz w:val="18"/>
                <w:szCs w:val="18"/>
              </w:rPr>
              <w:t>“应收票据”及“应收账 款”项目归并至新增的 “应收票据及应收账款” 项目</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3,020,867.00</w:t>
            </w:r>
          </w:p>
        </w:tc>
        <w:tc>
          <w:tcPr>
            <w:tcW w:w="184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4" w:right="0"/>
              <w:jc w:val="left"/>
              <w:rPr>
                <w:rFonts w:ascii="宋体" w:hAnsi="宋体" w:cs="宋体" w:eastAsia="宋体" w:hint="default"/>
                <w:sz w:val="18"/>
                <w:szCs w:val="18"/>
              </w:rPr>
            </w:pPr>
            <w:r>
              <w:rPr>
                <w:rFonts w:ascii="宋体"/>
                <w:sz w:val="18"/>
              </w:rPr>
              <w:t>673,900,095.28</w:t>
            </w:r>
          </w:p>
        </w:tc>
      </w:tr>
      <w:tr>
        <w:trPr>
          <w:trHeight w:val="936" w:hRule="exact"/>
        </w:trPr>
        <w:tc>
          <w:tcPr>
            <w:tcW w:w="2445" w:type="dxa"/>
            <w:vMerge/>
            <w:tcBorders>
              <w:left w:val="single" w:sz="4" w:space="0" w:color="000000"/>
              <w:bottom w:val="single" w:sz="4" w:space="0" w:color="000000"/>
              <w:right w:val="single" w:sz="4" w:space="0" w:color="000000"/>
            </w:tcBorders>
            <w:shd w:val="clear" w:color="auto" w:fill="D9D9D9"/>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670,879,228.28</w:t>
            </w:r>
          </w:p>
        </w:tc>
        <w:tc>
          <w:tcPr>
            <w:tcW w:w="1842" w:type="dxa"/>
            <w:vMerge/>
            <w:tcBorders>
              <w:left w:val="single" w:sz="4" w:space="0" w:color="000000"/>
              <w:bottom w:val="single" w:sz="4" w:space="0" w:color="000000"/>
              <w:right w:val="single" w:sz="4" w:space="0" w:color="000000"/>
            </w:tcBorders>
            <w:shd w:val="clear" w:color="auto" w:fill="D9D9D9"/>
          </w:tcPr>
          <w:p>
            <w:pPr/>
          </w:p>
        </w:tc>
        <w:tc>
          <w:tcPr>
            <w:tcW w:w="1628" w:type="dxa"/>
            <w:vMerge/>
            <w:tcBorders>
              <w:left w:val="single" w:sz="4" w:space="0" w:color="000000"/>
              <w:bottom w:val="single" w:sz="4" w:space="0" w:color="000000"/>
              <w:right w:val="single" w:sz="4" w:space="0" w:color="000000"/>
            </w:tcBorders>
          </w:tcPr>
          <w:p>
            <w:pPr/>
          </w:p>
        </w:tc>
      </w:tr>
      <w:tr>
        <w:trPr>
          <w:trHeight w:val="322" w:hRule="exact"/>
        </w:trPr>
        <w:tc>
          <w:tcPr>
            <w:tcW w:w="2445"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11"/>
              <w:ind w:left="103" w:right="349"/>
              <w:jc w:val="both"/>
              <w:rPr>
                <w:rFonts w:ascii="宋体" w:hAnsi="宋体" w:cs="宋体" w:eastAsia="宋体" w:hint="default"/>
                <w:sz w:val="18"/>
                <w:szCs w:val="18"/>
              </w:rPr>
            </w:pPr>
            <w:r>
              <w:rPr>
                <w:rFonts w:ascii="宋体" w:hAnsi="宋体" w:cs="宋体" w:eastAsia="宋体" w:hint="default"/>
                <w:sz w:val="18"/>
                <w:szCs w:val="18"/>
              </w:rPr>
              <w:t>“应收利息”及“应收股 利”项目归并至“其他应 收款”项目</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749,589.04</w:t>
            </w:r>
          </w:p>
        </w:tc>
        <w:tc>
          <w:tcPr>
            <w:tcW w:w="184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54" w:right="0"/>
              <w:jc w:val="left"/>
              <w:rPr>
                <w:rFonts w:ascii="宋体" w:hAnsi="宋体" w:cs="宋体" w:eastAsia="宋体" w:hint="default"/>
                <w:sz w:val="18"/>
                <w:szCs w:val="18"/>
              </w:rPr>
            </w:pPr>
            <w:r>
              <w:rPr>
                <w:rFonts w:ascii="宋体"/>
                <w:sz w:val="18"/>
              </w:rPr>
              <w:t>360,517,663.81</w:t>
            </w:r>
          </w:p>
        </w:tc>
      </w:tr>
      <w:tr>
        <w:trPr>
          <w:trHeight w:val="322" w:hRule="exact"/>
        </w:trPr>
        <w:tc>
          <w:tcPr>
            <w:tcW w:w="2445" w:type="dxa"/>
            <w:vMerge/>
            <w:tcBorders>
              <w:left w:val="single" w:sz="4" w:space="0" w:color="000000"/>
              <w:right w:val="single" w:sz="4" w:space="0" w:color="000000"/>
            </w:tcBorders>
            <w:shd w:val="clear" w:color="auto" w:fill="D9D9D9"/>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79,995,000.00</w:t>
            </w:r>
          </w:p>
        </w:tc>
        <w:tc>
          <w:tcPr>
            <w:tcW w:w="1842" w:type="dxa"/>
            <w:vMerge/>
            <w:tcBorders>
              <w:left w:val="single" w:sz="4" w:space="0" w:color="000000"/>
              <w:right w:val="single" w:sz="4" w:space="0" w:color="000000"/>
            </w:tcBorders>
            <w:shd w:val="clear" w:color="auto" w:fill="D9D9D9"/>
          </w:tcPr>
          <w:p>
            <w:pPr/>
          </w:p>
        </w:tc>
        <w:tc>
          <w:tcPr>
            <w:tcW w:w="1628" w:type="dxa"/>
            <w:vMerge/>
            <w:tcBorders>
              <w:left w:val="single" w:sz="4" w:space="0" w:color="000000"/>
              <w:right w:val="single" w:sz="4" w:space="0" w:color="000000"/>
            </w:tcBorders>
          </w:tcPr>
          <w:p>
            <w:pPr/>
          </w:p>
        </w:tc>
      </w:tr>
      <w:tr>
        <w:trPr>
          <w:trHeight w:val="313" w:hRule="exact"/>
        </w:trPr>
        <w:tc>
          <w:tcPr>
            <w:tcW w:w="2445" w:type="dxa"/>
            <w:vMerge/>
            <w:tcBorders>
              <w:left w:val="single" w:sz="4" w:space="0" w:color="000000"/>
              <w:bottom w:val="single" w:sz="4" w:space="0" w:color="000000"/>
              <w:right w:val="single" w:sz="4" w:space="0" w:color="000000"/>
            </w:tcBorders>
            <w:shd w:val="clear" w:color="auto" w:fill="D9D9D9"/>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279,773,074.77</w:t>
            </w:r>
          </w:p>
        </w:tc>
        <w:tc>
          <w:tcPr>
            <w:tcW w:w="1842" w:type="dxa"/>
            <w:vMerge/>
            <w:tcBorders>
              <w:left w:val="single" w:sz="4" w:space="0" w:color="000000"/>
              <w:bottom w:val="single" w:sz="4" w:space="0" w:color="000000"/>
              <w:right w:val="single" w:sz="4" w:space="0" w:color="000000"/>
            </w:tcBorders>
            <w:shd w:val="clear" w:color="auto" w:fill="D9D9D9"/>
          </w:tcPr>
          <w:p>
            <w:pPr/>
          </w:p>
        </w:tc>
        <w:tc>
          <w:tcPr>
            <w:tcW w:w="1628" w:type="dxa"/>
            <w:vMerge/>
            <w:tcBorders>
              <w:left w:val="single" w:sz="4" w:space="0" w:color="000000"/>
              <w:bottom w:val="single" w:sz="4" w:space="0" w:color="000000"/>
              <w:right w:val="single" w:sz="4" w:space="0" w:color="000000"/>
            </w:tcBorders>
          </w:tcPr>
          <w:p>
            <w:pPr/>
          </w:p>
        </w:tc>
      </w:tr>
      <w:tr>
        <w:trPr>
          <w:trHeight w:val="332" w:hRule="exact"/>
        </w:trPr>
        <w:tc>
          <w:tcPr>
            <w:tcW w:w="2445"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20"/>
              <w:ind w:left="103" w:right="349"/>
              <w:jc w:val="left"/>
              <w:rPr>
                <w:rFonts w:ascii="宋体" w:hAnsi="宋体" w:cs="宋体" w:eastAsia="宋体" w:hint="default"/>
                <w:sz w:val="18"/>
                <w:szCs w:val="18"/>
              </w:rPr>
            </w:pPr>
            <w:r>
              <w:rPr>
                <w:rFonts w:ascii="宋体" w:hAnsi="宋体" w:cs="宋体" w:eastAsia="宋体" w:hint="default"/>
                <w:sz w:val="18"/>
                <w:szCs w:val="18"/>
              </w:rPr>
              <w:t>“应付票据”及“应付账 款”项目归并至新增的 “应付票据及应付账款” 项目</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8,261,438.29</w:t>
            </w:r>
          </w:p>
        </w:tc>
        <w:tc>
          <w:tcPr>
            <w:tcW w:w="184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54" w:right="0"/>
              <w:jc w:val="left"/>
              <w:rPr>
                <w:rFonts w:ascii="宋体" w:hAnsi="宋体" w:cs="宋体" w:eastAsia="宋体" w:hint="default"/>
                <w:sz w:val="18"/>
                <w:szCs w:val="18"/>
              </w:rPr>
            </w:pPr>
            <w:r>
              <w:rPr>
                <w:rFonts w:ascii="宋体"/>
                <w:sz w:val="18"/>
              </w:rPr>
              <w:t>309,569,468.78</w:t>
            </w:r>
          </w:p>
        </w:tc>
      </w:tr>
      <w:tr>
        <w:trPr>
          <w:trHeight w:val="936" w:hRule="exact"/>
        </w:trPr>
        <w:tc>
          <w:tcPr>
            <w:tcW w:w="2445" w:type="dxa"/>
            <w:vMerge/>
            <w:tcBorders>
              <w:left w:val="single" w:sz="4" w:space="0" w:color="000000"/>
              <w:bottom w:val="single" w:sz="4" w:space="0" w:color="000000"/>
              <w:right w:val="single" w:sz="4" w:space="0" w:color="000000"/>
            </w:tcBorders>
            <w:shd w:val="clear" w:color="auto" w:fill="D9D9D9"/>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301,308,030.49</w:t>
            </w:r>
          </w:p>
        </w:tc>
        <w:tc>
          <w:tcPr>
            <w:tcW w:w="1842" w:type="dxa"/>
            <w:vMerge/>
            <w:tcBorders>
              <w:left w:val="single" w:sz="4" w:space="0" w:color="000000"/>
              <w:bottom w:val="single" w:sz="4" w:space="0" w:color="000000"/>
              <w:right w:val="single" w:sz="4" w:space="0" w:color="000000"/>
            </w:tcBorders>
            <w:shd w:val="clear" w:color="auto" w:fill="D9D9D9"/>
          </w:tcPr>
          <w:p>
            <w:pPr/>
          </w:p>
        </w:tc>
        <w:tc>
          <w:tcPr>
            <w:tcW w:w="1628" w:type="dxa"/>
            <w:vMerge/>
            <w:tcBorders>
              <w:left w:val="single" w:sz="4" w:space="0" w:color="000000"/>
              <w:bottom w:val="single" w:sz="4" w:space="0" w:color="000000"/>
              <w:right w:val="single" w:sz="4" w:space="0" w:color="000000"/>
            </w:tcBorders>
          </w:tcPr>
          <w:p>
            <w:pPr/>
          </w:p>
        </w:tc>
      </w:tr>
      <w:tr>
        <w:trPr>
          <w:trHeight w:val="322" w:hRule="exact"/>
        </w:trPr>
        <w:tc>
          <w:tcPr>
            <w:tcW w:w="2445"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10"/>
              <w:ind w:left="103" w:right="349"/>
              <w:jc w:val="both"/>
              <w:rPr>
                <w:rFonts w:ascii="宋体" w:hAnsi="宋体" w:cs="宋体" w:eastAsia="宋体" w:hint="default"/>
                <w:sz w:val="18"/>
                <w:szCs w:val="18"/>
              </w:rPr>
            </w:pPr>
            <w:r>
              <w:rPr>
                <w:rFonts w:ascii="宋体" w:hAnsi="宋体" w:cs="宋体" w:eastAsia="宋体" w:hint="default"/>
                <w:sz w:val="18"/>
                <w:szCs w:val="18"/>
              </w:rPr>
              <w:t>“应付利息”及“应付股 利”项目归并至“其他应 付款”项目</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54,656,348.43</w:t>
            </w:r>
          </w:p>
        </w:tc>
        <w:tc>
          <w:tcPr>
            <w:tcW w:w="184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54" w:right="0"/>
              <w:jc w:val="left"/>
              <w:rPr>
                <w:rFonts w:ascii="宋体" w:hAnsi="宋体" w:cs="宋体" w:eastAsia="宋体" w:hint="default"/>
                <w:sz w:val="18"/>
                <w:szCs w:val="18"/>
              </w:rPr>
            </w:pPr>
            <w:r>
              <w:rPr>
                <w:rFonts w:ascii="宋体"/>
                <w:sz w:val="18"/>
              </w:rPr>
              <w:t>243,377,898.59</w:t>
            </w:r>
          </w:p>
        </w:tc>
      </w:tr>
      <w:tr>
        <w:trPr>
          <w:trHeight w:val="322" w:hRule="exact"/>
        </w:trPr>
        <w:tc>
          <w:tcPr>
            <w:tcW w:w="2445" w:type="dxa"/>
            <w:vMerge/>
            <w:tcBorders>
              <w:left w:val="single" w:sz="4" w:space="0" w:color="000000"/>
              <w:right w:val="single" w:sz="4" w:space="0" w:color="000000"/>
            </w:tcBorders>
            <w:shd w:val="clear" w:color="auto" w:fill="D9D9D9"/>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22,414,602.62</w:t>
            </w:r>
          </w:p>
        </w:tc>
        <w:tc>
          <w:tcPr>
            <w:tcW w:w="1842" w:type="dxa"/>
            <w:vMerge/>
            <w:tcBorders>
              <w:left w:val="single" w:sz="4" w:space="0" w:color="000000"/>
              <w:right w:val="single" w:sz="4" w:space="0" w:color="000000"/>
            </w:tcBorders>
            <w:shd w:val="clear" w:color="auto" w:fill="D9D9D9"/>
          </w:tcPr>
          <w:p>
            <w:pPr/>
          </w:p>
        </w:tc>
        <w:tc>
          <w:tcPr>
            <w:tcW w:w="1628" w:type="dxa"/>
            <w:vMerge/>
            <w:tcBorders>
              <w:left w:val="single" w:sz="4" w:space="0" w:color="000000"/>
              <w:right w:val="single" w:sz="4" w:space="0" w:color="000000"/>
            </w:tcBorders>
          </w:tcPr>
          <w:p>
            <w:pPr/>
          </w:p>
        </w:tc>
      </w:tr>
      <w:tr>
        <w:trPr>
          <w:trHeight w:val="312" w:hRule="exact"/>
        </w:trPr>
        <w:tc>
          <w:tcPr>
            <w:tcW w:w="2445" w:type="dxa"/>
            <w:vMerge/>
            <w:tcBorders>
              <w:left w:val="single" w:sz="4" w:space="0" w:color="000000"/>
              <w:bottom w:val="single" w:sz="4" w:space="0" w:color="000000"/>
              <w:right w:val="single" w:sz="4" w:space="0" w:color="000000"/>
            </w:tcBorders>
            <w:shd w:val="clear" w:color="auto" w:fill="D9D9D9"/>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166,306,947.54</w:t>
            </w:r>
          </w:p>
        </w:tc>
        <w:tc>
          <w:tcPr>
            <w:tcW w:w="1842" w:type="dxa"/>
            <w:vMerge/>
            <w:tcBorders>
              <w:left w:val="single" w:sz="4" w:space="0" w:color="000000"/>
              <w:bottom w:val="single" w:sz="4" w:space="0" w:color="000000"/>
              <w:right w:val="single" w:sz="4" w:space="0" w:color="000000"/>
            </w:tcBorders>
            <w:shd w:val="clear" w:color="auto" w:fill="D9D9D9"/>
          </w:tcPr>
          <w:p>
            <w:pPr/>
          </w:p>
        </w:tc>
        <w:tc>
          <w:tcPr>
            <w:tcW w:w="1628" w:type="dxa"/>
            <w:vMerge/>
            <w:tcBorders>
              <w:left w:val="single" w:sz="4" w:space="0" w:color="000000"/>
              <w:bottom w:val="single" w:sz="4" w:space="0" w:color="000000"/>
              <w:right w:val="single" w:sz="4" w:space="0" w:color="000000"/>
            </w:tcBorders>
          </w:tcPr>
          <w:p>
            <w:pPr/>
          </w:p>
        </w:tc>
      </w:tr>
      <w:tr>
        <w:trPr>
          <w:trHeight w:val="332" w:hRule="exact"/>
        </w:trPr>
        <w:tc>
          <w:tcPr>
            <w:tcW w:w="2445"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20"/>
              <w:ind w:left="103" w:right="198"/>
              <w:jc w:val="left"/>
              <w:rPr>
                <w:rFonts w:ascii="宋体" w:hAnsi="宋体" w:cs="宋体" w:eastAsia="宋体" w:hint="default"/>
                <w:sz w:val="18"/>
                <w:szCs w:val="18"/>
              </w:rPr>
            </w:pPr>
            <w:r>
              <w:rPr>
                <w:rFonts w:ascii="宋体" w:hAnsi="宋体" w:cs="宋体" w:eastAsia="宋体" w:hint="default"/>
                <w:spacing w:val="-3"/>
                <w:sz w:val="18"/>
                <w:szCs w:val="18"/>
              </w:rPr>
              <w:t>新增“研发费用”项目，从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“管理费用”项目中分拆 “研发费用”项目</w:t>
            </w:r>
          </w:p>
        </w:tc>
        <w:tc>
          <w:tcPr>
            <w:tcW w:w="127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29" w:right="0"/>
              <w:jc w:val="left"/>
              <w:rPr>
                <w:rFonts w:ascii="宋体" w:hAnsi="宋体" w:cs="宋体" w:eastAsia="宋体" w:hint="default"/>
                <w:sz w:val="18"/>
                <w:szCs w:val="18"/>
              </w:rPr>
            </w:pPr>
            <w:r>
              <w:rPr>
                <w:rFonts w:ascii="宋体"/>
                <w:sz w:val="18"/>
              </w:rPr>
              <w:t>377,563,547.06</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54" w:right="0"/>
              <w:jc w:val="left"/>
              <w:rPr>
                <w:rFonts w:ascii="宋体" w:hAnsi="宋体" w:cs="宋体" w:eastAsia="宋体" w:hint="default"/>
                <w:sz w:val="18"/>
                <w:szCs w:val="18"/>
              </w:rPr>
            </w:pPr>
            <w:r>
              <w:rPr>
                <w:rFonts w:ascii="宋体"/>
                <w:sz w:val="18"/>
              </w:rPr>
              <w:t>361,991,369.76</w:t>
            </w:r>
          </w:p>
        </w:tc>
      </w:tr>
      <w:tr>
        <w:trPr>
          <w:trHeight w:val="633" w:hRule="exact"/>
        </w:trPr>
        <w:tc>
          <w:tcPr>
            <w:tcW w:w="2445" w:type="dxa"/>
            <w:vMerge/>
            <w:tcBorders>
              <w:left w:val="single" w:sz="4" w:space="0" w:color="000000"/>
              <w:bottom w:val="single" w:sz="4" w:space="0" w:color="000000"/>
              <w:right w:val="single" w:sz="4" w:space="0" w:color="000000"/>
            </w:tcBorders>
            <w:shd w:val="clear" w:color="auto" w:fill="D9D9D9"/>
          </w:tcPr>
          <w:p>
            <w:pPr/>
          </w:p>
        </w:tc>
        <w:tc>
          <w:tcPr>
            <w:tcW w:w="1276" w:type="dxa"/>
            <w:vMerge/>
            <w:tcBorders>
              <w:left w:val="single" w:sz="4" w:space="0" w:color="000000"/>
              <w:bottom w:val="single" w:sz="4" w:space="0" w:color="000000"/>
              <w:right w:val="single" w:sz="4" w:space="0" w:color="000000"/>
            </w:tcBorders>
            <w:shd w:val="clear" w:color="auto" w:fill="D9D9D9"/>
          </w:tcPr>
          <w:p>
            <w:pPr/>
          </w:p>
        </w:tc>
        <w:tc>
          <w:tcPr>
            <w:tcW w:w="1702" w:type="dxa"/>
            <w:vMerge/>
            <w:tcBorders>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2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0" w:right="0"/>
              <w:jc w:val="left"/>
              <w:rPr>
                <w:rFonts w:ascii="宋体" w:hAnsi="宋体" w:cs="宋体" w:eastAsia="宋体" w:hint="default"/>
                <w:sz w:val="18"/>
                <w:szCs w:val="18"/>
              </w:rPr>
            </w:pPr>
            <w:r>
              <w:rPr>
                <w:rFonts w:ascii="宋体"/>
                <w:sz w:val="18"/>
              </w:rPr>
              <w:t>15,572,177.30</w:t>
            </w:r>
          </w:p>
        </w:tc>
      </w:tr>
      <w:tr>
        <w:trPr>
          <w:trHeight w:val="323" w:hRule="exact"/>
        </w:trPr>
        <w:tc>
          <w:tcPr>
            <w:tcW w:w="2445"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11"/>
              <w:ind w:left="103" w:right="198"/>
              <w:jc w:val="left"/>
              <w:rPr>
                <w:rFonts w:ascii="宋体" w:hAnsi="宋体" w:cs="宋体" w:eastAsia="宋体" w:hint="default"/>
                <w:sz w:val="18"/>
                <w:szCs w:val="18"/>
              </w:rPr>
            </w:pPr>
            <w:r>
              <w:rPr>
                <w:rFonts w:ascii="宋体" w:hAnsi="宋体" w:cs="宋体" w:eastAsia="宋体" w:hint="default"/>
                <w:spacing w:val="-3"/>
                <w:sz w:val="18"/>
                <w:szCs w:val="18"/>
              </w:rPr>
              <w:t>新增“其中：利息费用”和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“利息收入”项目，在“财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务费用”项目下增加“利 息费用”和“利息收入” 明细项目</w:t>
            </w:r>
          </w:p>
        </w:tc>
        <w:tc>
          <w:tcPr>
            <w:tcW w:w="2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4" w:right="0"/>
              <w:jc w:val="left"/>
              <w:rPr>
                <w:rFonts w:ascii="宋体" w:hAnsi="宋体" w:cs="宋体" w:eastAsia="宋体" w:hint="default"/>
                <w:sz w:val="18"/>
                <w:szCs w:val="18"/>
              </w:rPr>
            </w:pPr>
            <w:r>
              <w:rPr>
                <w:rFonts w:ascii="宋体"/>
                <w:sz w:val="18"/>
              </w:rPr>
              <w:t>161,964,477.77</w:t>
            </w:r>
          </w:p>
        </w:tc>
      </w:tr>
      <w:tr>
        <w:trPr>
          <w:trHeight w:val="1248" w:hRule="exact"/>
        </w:trPr>
        <w:tc>
          <w:tcPr>
            <w:tcW w:w="2445" w:type="dxa"/>
            <w:vMerge/>
            <w:tcBorders>
              <w:left w:val="single" w:sz="4" w:space="0" w:color="000000"/>
              <w:bottom w:val="single" w:sz="4" w:space="0" w:color="000000"/>
              <w:right w:val="single" w:sz="4" w:space="0" w:color="000000"/>
            </w:tcBorders>
            <w:shd w:val="clear" w:color="auto" w:fill="D9D9D9"/>
          </w:tcPr>
          <w:p>
            <w:pPr/>
          </w:p>
        </w:tc>
        <w:tc>
          <w:tcPr>
            <w:tcW w:w="2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4" w:right="0"/>
              <w:jc w:val="left"/>
              <w:rPr>
                <w:rFonts w:ascii="宋体" w:hAnsi="宋体" w:cs="宋体" w:eastAsia="宋体" w:hint="default"/>
                <w:sz w:val="18"/>
                <w:szCs w:val="18"/>
              </w:rPr>
            </w:pPr>
            <w:r>
              <w:rPr>
                <w:rFonts w:ascii="宋体"/>
                <w:sz w:val="18"/>
              </w:rPr>
              <w:t>64,426,572.47</w:t>
            </w:r>
          </w:p>
        </w:tc>
      </w:tr>
    </w:tbl>
    <w:p>
      <w:pPr>
        <w:spacing w:line="240" w:lineRule="auto" w:before="12"/>
        <w:rPr>
          <w:rFonts w:ascii="宋体" w:hAnsi="宋体" w:cs="宋体" w:eastAsia="宋体" w:hint="default"/>
          <w:sz w:val="7"/>
          <w:szCs w:val="7"/>
        </w:rPr>
      </w:pPr>
    </w:p>
    <w:p>
      <w:pPr>
        <w:pStyle w:val="BodyText"/>
        <w:spacing w:line="240" w:lineRule="auto" w:before="35"/>
        <w:ind w:left="214" w:right="0"/>
        <w:jc w:val="left"/>
      </w:pPr>
      <w:r>
        <w:rPr/>
        <w:t>注②母公司期初金额及上期发生数受上述政策变更的主要影响项目及金额如下：</w:t>
      </w:r>
    </w:p>
    <w:p>
      <w:pPr>
        <w:spacing w:after="0" w:line="240" w:lineRule="auto"/>
        <w:jc w:val="left"/>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445"/>
        <w:gridCol w:w="1384"/>
        <w:gridCol w:w="1702"/>
        <w:gridCol w:w="1593"/>
        <w:gridCol w:w="1770"/>
      </w:tblGrid>
      <w:tr>
        <w:trPr>
          <w:trHeight w:val="322" w:hRule="exact"/>
        </w:trPr>
        <w:tc>
          <w:tcPr>
            <w:tcW w:w="244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会计政策变更的主要内容</w:t>
            </w:r>
          </w:p>
        </w:tc>
        <w:tc>
          <w:tcPr>
            <w:tcW w:w="308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817" w:right="0"/>
              <w:jc w:val="left"/>
              <w:rPr>
                <w:rFonts w:ascii="宋体" w:hAnsi="宋体" w:cs="宋体" w:eastAsia="宋体" w:hint="default"/>
                <w:sz w:val="18"/>
                <w:szCs w:val="18"/>
              </w:rPr>
            </w:pPr>
            <w:r>
              <w:rPr>
                <w:rFonts w:ascii="宋体" w:hAnsi="宋体" w:cs="宋体" w:eastAsia="宋体" w:hint="default"/>
                <w:sz w:val="18"/>
                <w:szCs w:val="18"/>
              </w:rPr>
              <w:t>原报表项目及金额</w:t>
            </w:r>
          </w:p>
        </w:tc>
        <w:tc>
          <w:tcPr>
            <w:tcW w:w="336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955" w:right="0"/>
              <w:jc w:val="left"/>
              <w:rPr>
                <w:rFonts w:ascii="宋体" w:hAnsi="宋体" w:cs="宋体" w:eastAsia="宋体" w:hint="default"/>
                <w:sz w:val="18"/>
                <w:szCs w:val="18"/>
              </w:rPr>
            </w:pPr>
            <w:r>
              <w:rPr>
                <w:rFonts w:ascii="宋体" w:hAnsi="宋体" w:cs="宋体" w:eastAsia="宋体" w:hint="default"/>
                <w:sz w:val="18"/>
                <w:szCs w:val="18"/>
              </w:rPr>
              <w:t>新报表项目及金额</w:t>
            </w:r>
          </w:p>
        </w:tc>
      </w:tr>
      <w:tr>
        <w:trPr>
          <w:trHeight w:val="318" w:hRule="exact"/>
        </w:trPr>
        <w:tc>
          <w:tcPr>
            <w:tcW w:w="2445" w:type="dxa"/>
            <w:vMerge/>
            <w:tcBorders>
              <w:left w:val="single" w:sz="4" w:space="0" w:color="000000"/>
              <w:bottom w:val="single" w:sz="4" w:space="0" w:color="000000"/>
              <w:right w:val="single" w:sz="4" w:space="0" w:color="000000"/>
            </w:tcBorders>
            <w:shd w:val="clear" w:color="auto" w:fill="D9D9D9"/>
          </w:tcPr>
          <w:p>
            <w:pPr/>
          </w:p>
        </w:tc>
        <w:tc>
          <w:tcPr>
            <w:tcW w:w="1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26"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30"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6" w:hRule="exact"/>
        </w:trPr>
        <w:tc>
          <w:tcPr>
            <w:tcW w:w="2445"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15"/>
              <w:ind w:left="103" w:right="221"/>
              <w:jc w:val="both"/>
              <w:rPr>
                <w:rFonts w:ascii="宋体" w:hAnsi="宋体" w:cs="宋体" w:eastAsia="宋体" w:hint="default"/>
                <w:sz w:val="18"/>
                <w:szCs w:val="18"/>
              </w:rPr>
            </w:pPr>
            <w:r>
              <w:rPr>
                <w:rFonts w:ascii="宋体" w:hAnsi="宋体" w:cs="宋体" w:eastAsia="宋体" w:hint="default"/>
                <w:spacing w:val="11"/>
                <w:sz w:val="18"/>
                <w:szCs w:val="18"/>
              </w:rPr>
              <w:t>“应收利息”及“应收股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利”项目归并至“其他应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收款”项目</w:t>
            </w:r>
          </w:p>
        </w:tc>
        <w:tc>
          <w:tcPr>
            <w:tcW w:w="1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11,556,954.92</w:t>
            </w:r>
          </w:p>
        </w:tc>
        <w:tc>
          <w:tcPr>
            <w:tcW w:w="159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97" w:right="0"/>
              <w:jc w:val="left"/>
              <w:rPr>
                <w:rFonts w:ascii="宋体" w:hAnsi="宋体" w:cs="宋体" w:eastAsia="宋体" w:hint="default"/>
                <w:sz w:val="18"/>
                <w:szCs w:val="18"/>
              </w:rPr>
            </w:pPr>
            <w:r>
              <w:rPr>
                <w:rFonts w:ascii="宋体"/>
                <w:sz w:val="18"/>
              </w:rPr>
              <w:t>864,633,391.90</w:t>
            </w:r>
          </w:p>
        </w:tc>
      </w:tr>
      <w:tr>
        <w:trPr>
          <w:trHeight w:val="322" w:hRule="exact"/>
        </w:trPr>
        <w:tc>
          <w:tcPr>
            <w:tcW w:w="2445" w:type="dxa"/>
            <w:vMerge/>
            <w:tcBorders>
              <w:left w:val="single" w:sz="4" w:space="0" w:color="000000"/>
              <w:right w:val="single" w:sz="4" w:space="0" w:color="000000"/>
            </w:tcBorders>
            <w:shd w:val="clear" w:color="auto" w:fill="D9D9D9"/>
          </w:tcPr>
          <w:p>
            <w:pPr/>
          </w:p>
        </w:tc>
        <w:tc>
          <w:tcPr>
            <w:tcW w:w="1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68,461,141.01</w:t>
            </w:r>
          </w:p>
        </w:tc>
        <w:tc>
          <w:tcPr>
            <w:tcW w:w="1593" w:type="dxa"/>
            <w:vMerge/>
            <w:tcBorders>
              <w:left w:val="single" w:sz="4" w:space="0" w:color="000000"/>
              <w:right w:val="single" w:sz="4" w:space="0" w:color="000000"/>
            </w:tcBorders>
            <w:shd w:val="clear" w:color="auto" w:fill="D9D9D9"/>
          </w:tcPr>
          <w:p>
            <w:pPr/>
          </w:p>
        </w:tc>
        <w:tc>
          <w:tcPr>
            <w:tcW w:w="1770" w:type="dxa"/>
            <w:vMerge/>
            <w:tcBorders>
              <w:left w:val="single" w:sz="4" w:space="0" w:color="000000"/>
              <w:right w:val="single" w:sz="4" w:space="0" w:color="000000"/>
            </w:tcBorders>
          </w:tcPr>
          <w:p>
            <w:pPr/>
          </w:p>
        </w:tc>
      </w:tr>
      <w:tr>
        <w:trPr>
          <w:trHeight w:val="312" w:hRule="exact"/>
        </w:trPr>
        <w:tc>
          <w:tcPr>
            <w:tcW w:w="2445" w:type="dxa"/>
            <w:vMerge/>
            <w:tcBorders>
              <w:left w:val="single" w:sz="4" w:space="0" w:color="000000"/>
              <w:bottom w:val="single" w:sz="4" w:space="0" w:color="000000"/>
              <w:right w:val="single" w:sz="4" w:space="0" w:color="000000"/>
            </w:tcBorders>
            <w:shd w:val="clear" w:color="auto" w:fill="D9D9D9"/>
          </w:tcPr>
          <w:p>
            <w:pPr/>
          </w:p>
        </w:tc>
        <w:tc>
          <w:tcPr>
            <w:tcW w:w="1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784,615,295.97</w:t>
            </w:r>
          </w:p>
        </w:tc>
        <w:tc>
          <w:tcPr>
            <w:tcW w:w="1593" w:type="dxa"/>
            <w:vMerge/>
            <w:tcBorders>
              <w:left w:val="single" w:sz="4" w:space="0" w:color="000000"/>
              <w:bottom w:val="single" w:sz="4" w:space="0" w:color="000000"/>
              <w:right w:val="single" w:sz="4" w:space="0" w:color="000000"/>
            </w:tcBorders>
            <w:shd w:val="clear" w:color="auto" w:fill="D9D9D9"/>
          </w:tcPr>
          <w:p>
            <w:pPr/>
          </w:p>
        </w:tc>
        <w:tc>
          <w:tcPr>
            <w:tcW w:w="1770" w:type="dxa"/>
            <w:vMerge/>
            <w:tcBorders>
              <w:left w:val="single" w:sz="4" w:space="0" w:color="000000"/>
              <w:bottom w:val="single" w:sz="4" w:space="0" w:color="000000"/>
              <w:right w:val="single" w:sz="4" w:space="0" w:color="000000"/>
            </w:tcBorders>
          </w:tcPr>
          <w:p>
            <w:pPr/>
          </w:p>
        </w:tc>
      </w:tr>
      <w:tr>
        <w:trPr>
          <w:trHeight w:val="332" w:hRule="exact"/>
        </w:trPr>
        <w:tc>
          <w:tcPr>
            <w:tcW w:w="2445"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20"/>
              <w:ind w:left="103" w:right="221"/>
              <w:jc w:val="both"/>
              <w:rPr>
                <w:rFonts w:ascii="宋体" w:hAnsi="宋体" w:cs="宋体" w:eastAsia="宋体" w:hint="default"/>
                <w:sz w:val="18"/>
                <w:szCs w:val="18"/>
              </w:rPr>
            </w:pPr>
            <w:r>
              <w:rPr>
                <w:rFonts w:ascii="宋体" w:hAnsi="宋体" w:cs="宋体" w:eastAsia="宋体" w:hint="default"/>
                <w:spacing w:val="11"/>
                <w:sz w:val="18"/>
                <w:szCs w:val="18"/>
              </w:rPr>
              <w:t>“应付利息”及“应付股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利”项目归并至“其他应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付款”项目</w:t>
            </w:r>
          </w:p>
        </w:tc>
        <w:tc>
          <w:tcPr>
            <w:tcW w:w="1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51,879,681.76</w:t>
            </w:r>
          </w:p>
        </w:tc>
        <w:tc>
          <w:tcPr>
            <w:tcW w:w="159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97" w:right="0"/>
              <w:jc w:val="left"/>
              <w:rPr>
                <w:rFonts w:ascii="宋体" w:hAnsi="宋体" w:cs="宋体" w:eastAsia="宋体" w:hint="default"/>
                <w:sz w:val="18"/>
                <w:szCs w:val="18"/>
              </w:rPr>
            </w:pPr>
            <w:r>
              <w:rPr>
                <w:rFonts w:ascii="宋体"/>
                <w:sz w:val="18"/>
              </w:rPr>
              <w:t>867,266,683.62</w:t>
            </w:r>
          </w:p>
        </w:tc>
      </w:tr>
      <w:tr>
        <w:trPr>
          <w:trHeight w:val="322" w:hRule="exact"/>
        </w:trPr>
        <w:tc>
          <w:tcPr>
            <w:tcW w:w="2445" w:type="dxa"/>
            <w:vMerge/>
            <w:tcBorders>
              <w:left w:val="single" w:sz="4" w:space="0" w:color="000000"/>
              <w:right w:val="single" w:sz="4" w:space="0" w:color="000000"/>
            </w:tcBorders>
            <w:shd w:val="clear" w:color="auto" w:fill="D9D9D9"/>
          </w:tcPr>
          <w:p>
            <w:pPr/>
          </w:p>
        </w:tc>
        <w:tc>
          <w:tcPr>
            <w:tcW w:w="1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8,308,841.47</w:t>
            </w:r>
          </w:p>
        </w:tc>
        <w:tc>
          <w:tcPr>
            <w:tcW w:w="1593" w:type="dxa"/>
            <w:vMerge/>
            <w:tcBorders>
              <w:left w:val="single" w:sz="4" w:space="0" w:color="000000"/>
              <w:right w:val="single" w:sz="4" w:space="0" w:color="000000"/>
            </w:tcBorders>
            <w:shd w:val="clear" w:color="auto" w:fill="D9D9D9"/>
          </w:tcPr>
          <w:p>
            <w:pPr/>
          </w:p>
        </w:tc>
        <w:tc>
          <w:tcPr>
            <w:tcW w:w="1770" w:type="dxa"/>
            <w:vMerge/>
            <w:tcBorders>
              <w:left w:val="single" w:sz="4" w:space="0" w:color="000000"/>
              <w:right w:val="single" w:sz="4" w:space="0" w:color="000000"/>
            </w:tcBorders>
          </w:tcPr>
          <w:p>
            <w:pPr/>
          </w:p>
        </w:tc>
      </w:tr>
      <w:tr>
        <w:trPr>
          <w:trHeight w:val="322" w:hRule="exact"/>
        </w:trPr>
        <w:tc>
          <w:tcPr>
            <w:tcW w:w="2445" w:type="dxa"/>
            <w:vMerge/>
            <w:tcBorders>
              <w:left w:val="single" w:sz="4" w:space="0" w:color="000000"/>
              <w:bottom w:val="single" w:sz="4" w:space="0" w:color="000000"/>
              <w:right w:val="single" w:sz="4" w:space="0" w:color="000000"/>
            </w:tcBorders>
            <w:shd w:val="clear" w:color="auto" w:fill="D9D9D9"/>
          </w:tcPr>
          <w:p>
            <w:pPr/>
          </w:p>
        </w:tc>
        <w:tc>
          <w:tcPr>
            <w:tcW w:w="1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807,078,160.39</w:t>
            </w:r>
          </w:p>
        </w:tc>
        <w:tc>
          <w:tcPr>
            <w:tcW w:w="1593" w:type="dxa"/>
            <w:vMerge/>
            <w:tcBorders>
              <w:left w:val="single" w:sz="4" w:space="0" w:color="000000"/>
              <w:bottom w:val="single" w:sz="4" w:space="0" w:color="000000"/>
              <w:right w:val="single" w:sz="4" w:space="0" w:color="000000"/>
            </w:tcBorders>
            <w:shd w:val="clear" w:color="auto" w:fill="D9D9D9"/>
          </w:tcPr>
          <w:p>
            <w:pPr/>
          </w:p>
        </w:tc>
        <w:tc>
          <w:tcPr>
            <w:tcW w:w="1770" w:type="dxa"/>
            <w:vMerge/>
            <w:tcBorders>
              <w:left w:val="single" w:sz="4" w:space="0" w:color="000000"/>
              <w:bottom w:val="single" w:sz="4" w:space="0" w:color="000000"/>
              <w:right w:val="single" w:sz="4" w:space="0" w:color="000000"/>
            </w:tcBorders>
          </w:tcPr>
          <w:p>
            <w:pPr/>
          </w:p>
        </w:tc>
      </w:tr>
      <w:tr>
        <w:trPr>
          <w:trHeight w:val="322" w:hRule="exact"/>
        </w:trPr>
        <w:tc>
          <w:tcPr>
            <w:tcW w:w="2445"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10"/>
              <w:ind w:left="103" w:right="233"/>
              <w:jc w:val="both"/>
              <w:rPr>
                <w:rFonts w:ascii="宋体" w:hAnsi="宋体" w:cs="宋体" w:eastAsia="宋体" w:hint="default"/>
                <w:sz w:val="18"/>
                <w:szCs w:val="18"/>
              </w:rPr>
            </w:pPr>
            <w:r>
              <w:rPr>
                <w:rFonts w:ascii="宋体" w:hAnsi="宋体" w:cs="宋体" w:eastAsia="宋体" w:hint="default"/>
                <w:spacing w:val="-6"/>
                <w:sz w:val="18"/>
                <w:szCs w:val="18"/>
              </w:rPr>
              <w:t>新增“其中：利息费用”和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“利息收入”项目，在“财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务费用”项目下增加“利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息费用”和“利息收入”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明细项目</w:t>
            </w:r>
          </w:p>
        </w:tc>
        <w:tc>
          <w:tcPr>
            <w:tcW w:w="30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89,318,132.07</w:t>
            </w:r>
          </w:p>
        </w:tc>
      </w:tr>
      <w:tr>
        <w:trPr>
          <w:trHeight w:val="1248" w:hRule="exact"/>
        </w:trPr>
        <w:tc>
          <w:tcPr>
            <w:tcW w:w="2445" w:type="dxa"/>
            <w:vMerge/>
            <w:tcBorders>
              <w:left w:val="single" w:sz="4" w:space="0" w:color="000000"/>
              <w:bottom w:val="single" w:sz="4" w:space="0" w:color="000000"/>
              <w:right w:val="single" w:sz="4" w:space="0" w:color="000000"/>
            </w:tcBorders>
            <w:shd w:val="clear" w:color="auto" w:fill="D9D9D9"/>
          </w:tcPr>
          <w:p>
            <w:pPr/>
          </w:p>
        </w:tc>
        <w:tc>
          <w:tcPr>
            <w:tcW w:w="30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48,401,868.96</w:t>
            </w:r>
          </w:p>
        </w:tc>
      </w:tr>
    </w:tbl>
    <w:p>
      <w:pPr>
        <w:spacing w:line="240" w:lineRule="auto" w:before="12"/>
        <w:rPr>
          <w:rFonts w:ascii="宋体" w:hAnsi="宋体" w:cs="宋体" w:eastAsia="宋体" w:hint="default"/>
          <w:sz w:val="7"/>
          <w:szCs w:val="7"/>
        </w:rPr>
      </w:pPr>
    </w:p>
    <w:p>
      <w:pPr>
        <w:pStyle w:val="BodyText"/>
        <w:spacing w:line="240" w:lineRule="auto" w:before="35"/>
        <w:ind w:left="214" w:right="0"/>
        <w:jc w:val="left"/>
      </w:pPr>
      <w:r>
        <w:rPr/>
        <w:t>注③合并期初金额及上期发生数受上述政策变更的主要影响项目及金额如下：</w:t>
      </w:r>
    </w:p>
    <w:p>
      <w:pPr>
        <w:spacing w:line="240" w:lineRule="auto" w:before="6"/>
        <w:rPr>
          <w:rFonts w:ascii="宋体" w:hAnsi="宋体" w:cs="宋体" w:eastAsia="宋体" w:hint="default"/>
          <w:sz w:val="5"/>
          <w:szCs w:val="5"/>
        </w:rPr>
      </w:pPr>
    </w:p>
    <w:tbl>
      <w:tblPr>
        <w:tblW w:w="0" w:type="auto"/>
        <w:jc w:val="left"/>
        <w:tblInd w:w="314" w:type="dxa"/>
        <w:tblLayout w:type="fixed"/>
        <w:tblCellMar>
          <w:top w:w="0" w:type="dxa"/>
          <w:left w:w="0" w:type="dxa"/>
          <w:bottom w:w="0" w:type="dxa"/>
          <w:right w:w="0" w:type="dxa"/>
        </w:tblCellMar>
        <w:tblLook w:val="01E0"/>
      </w:tblPr>
      <w:tblGrid>
        <w:gridCol w:w="1452"/>
        <w:gridCol w:w="1559"/>
        <w:gridCol w:w="2270"/>
        <w:gridCol w:w="1776"/>
        <w:gridCol w:w="1358"/>
      </w:tblGrid>
      <w:tr>
        <w:trPr>
          <w:trHeight w:val="343" w:hRule="exact"/>
        </w:trPr>
        <w:tc>
          <w:tcPr>
            <w:tcW w:w="301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778" w:right="0"/>
              <w:jc w:val="left"/>
              <w:rPr>
                <w:rFonts w:ascii="宋体" w:hAnsi="宋体" w:cs="宋体" w:eastAsia="宋体" w:hint="default"/>
                <w:sz w:val="18"/>
                <w:szCs w:val="18"/>
              </w:rPr>
            </w:pPr>
            <w:r>
              <w:rPr>
                <w:rFonts w:ascii="宋体" w:hAnsi="宋体" w:cs="宋体" w:eastAsia="宋体" w:hint="default"/>
                <w:sz w:val="18"/>
                <w:szCs w:val="18"/>
              </w:rPr>
              <w:t>调整前项目及金额</w:t>
            </w:r>
          </w:p>
        </w:tc>
        <w:tc>
          <w:tcPr>
            <w:tcW w:w="227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调整金额</w:t>
            </w:r>
          </w:p>
        </w:tc>
        <w:tc>
          <w:tcPr>
            <w:tcW w:w="313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839" w:right="0"/>
              <w:jc w:val="left"/>
              <w:rPr>
                <w:rFonts w:ascii="宋体" w:hAnsi="宋体" w:cs="宋体" w:eastAsia="宋体" w:hint="default"/>
                <w:sz w:val="18"/>
                <w:szCs w:val="18"/>
              </w:rPr>
            </w:pPr>
            <w:r>
              <w:rPr>
                <w:rFonts w:ascii="宋体" w:hAnsi="宋体" w:cs="宋体" w:eastAsia="宋体" w:hint="default"/>
                <w:sz w:val="18"/>
                <w:szCs w:val="18"/>
              </w:rPr>
              <w:t>调整后项目及金额</w:t>
            </w:r>
          </w:p>
        </w:tc>
      </w:tr>
      <w:tr>
        <w:trPr>
          <w:trHeight w:val="347" w:hRule="exact"/>
        </w:trPr>
        <w:tc>
          <w:tcPr>
            <w:tcW w:w="14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57"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270" w:type="dxa"/>
            <w:vMerge/>
            <w:tcBorders>
              <w:left w:val="single" w:sz="6" w:space="0" w:color="000000"/>
              <w:bottom w:val="single" w:sz="6" w:space="0" w:color="000000"/>
              <w:right w:val="single" w:sz="6" w:space="0" w:color="000000"/>
            </w:tcBorders>
            <w:shd w:val="clear" w:color="auto" w:fill="D9D9D9"/>
          </w:tcPr>
          <w:p>
            <w:pPr/>
          </w:p>
        </w:tc>
        <w:tc>
          <w:tcPr>
            <w:tcW w:w="17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20"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3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7" w:hRule="exact"/>
        </w:trPr>
        <w:tc>
          <w:tcPr>
            <w:tcW w:w="14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3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3,377,887.18</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1,275,601.81</w:t>
            </w:r>
          </w:p>
        </w:tc>
        <w:tc>
          <w:tcPr>
            <w:tcW w:w="17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58"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4,653,488.99</w:t>
            </w:r>
          </w:p>
        </w:tc>
      </w:tr>
      <w:tr>
        <w:trPr>
          <w:trHeight w:val="348" w:hRule="exact"/>
        </w:trPr>
        <w:tc>
          <w:tcPr>
            <w:tcW w:w="14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3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18,844,728.89</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-1,275,601.81</w:t>
            </w:r>
          </w:p>
        </w:tc>
        <w:tc>
          <w:tcPr>
            <w:tcW w:w="17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3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5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17,569,127.08</w:t>
            </w:r>
          </w:p>
        </w:tc>
      </w:tr>
    </w:tbl>
    <w:p>
      <w:pPr>
        <w:spacing w:line="240" w:lineRule="auto" w:before="1"/>
        <w:rPr>
          <w:rFonts w:ascii="宋体" w:hAnsi="宋体" w:cs="宋体" w:eastAsia="宋体" w:hint="default"/>
          <w:sz w:val="19"/>
          <w:szCs w:val="19"/>
        </w:rPr>
      </w:pPr>
    </w:p>
    <w:p>
      <w:pPr>
        <w:pStyle w:val="Heading4"/>
        <w:spacing w:line="240" w:lineRule="auto" w:before="35"/>
        <w:ind w:left="214" w:right="0"/>
        <w:jc w:val="left"/>
        <w:rPr>
          <w:b w:val="0"/>
          <w:bCs w:val="0"/>
        </w:rPr>
      </w:pPr>
      <w:bookmarkStart w:name="（2）重要会计估计变更" w:id="217"/>
      <w:bookmarkEnd w:id="217"/>
      <w:r>
        <w:rPr>
          <w:b w:val="0"/>
          <w:bCs w:val="0"/>
        </w:rPr>
      </w:r>
      <w:r>
        <w:rPr/>
        <w:t>（</w:t>
      </w:r>
      <w:r>
        <w:rPr>
          <w:rFonts w:ascii="宋体" w:hAnsi="宋体" w:cs="宋体" w:eastAsia="宋体" w:hint="default"/>
        </w:rPr>
        <w:t>2</w:t>
      </w:r>
      <w:r>
        <w:rPr/>
        <w:t>）重要会计估计变更</w:t>
      </w:r>
      <w:r>
        <w:rPr>
          <w:b w:val="0"/>
          <w:bCs w:val="0"/>
        </w:rPr>
      </w:r>
    </w:p>
    <w:p>
      <w:pPr>
        <w:spacing w:line="240" w:lineRule="auto" w:before="10"/>
        <w:rPr>
          <w:rFonts w:ascii="宋体" w:hAnsi="宋体" w:cs="宋体" w:eastAsia="宋体" w:hint="default"/>
          <w:b/>
          <w:bCs/>
          <w:sz w:val="25"/>
          <w:szCs w:val="25"/>
        </w:rPr>
      </w:pPr>
    </w:p>
    <w:p>
      <w:pPr>
        <w:spacing w:line="535" w:lineRule="auto" w:before="0"/>
        <w:ind w:left="214" w:right="896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9、 终止经营" w:id="218"/>
      <w:bookmarkEnd w:id="218"/>
      <w:r>
        <w:rPr>
          <w:rFonts w:ascii="宋体" w:hAnsi="宋体" w:cs="宋体" w:eastAsia="宋体" w:hint="default"/>
          <w:sz w:val="21"/>
          <w:szCs w:val="21"/>
        </w:rPr>
      </w:r>
      <w:r>
        <w:rPr>
          <w:rFonts w:ascii="宋体" w:hAnsi="宋体" w:cs="宋体" w:eastAsia="宋体" w:hint="default"/>
          <w:b/>
          <w:bCs/>
          <w:sz w:val="21"/>
          <w:szCs w:val="21"/>
        </w:rPr>
        <w:t>29</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pStyle w:val="BodyText"/>
        <w:spacing w:line="420" w:lineRule="auto"/>
        <w:ind w:left="214" w:right="0"/>
        <w:jc w:val="left"/>
      </w:pPr>
      <w:r>
        <w:rPr>
          <w:spacing w:val="-1"/>
        </w:rPr>
        <w:t>本公司将满足下列条件之一的，且该组成部分已经处置或划归为持有待售类别的、能够单独区分的组成部</w:t>
      </w:r>
      <w:r>
        <w:rPr>
          <w:spacing w:val="-81"/>
        </w:rPr>
        <w:t> </w:t>
      </w:r>
      <w:r>
        <w:rPr>
          <w:spacing w:val="-81"/>
        </w:rPr>
      </w:r>
      <w:r>
        <w:rPr/>
        <w:t>分确认为终止经营组成部分：</w:t>
      </w:r>
    </w:p>
    <w:p>
      <w:pPr>
        <w:pStyle w:val="BodyText"/>
        <w:spacing w:line="240" w:lineRule="auto" w:before="47"/>
        <w:ind w:left="214" w:right="0"/>
        <w:jc w:val="left"/>
      </w:pPr>
      <w:r>
        <w:rPr/>
        <w:t>（</w:t>
      </w:r>
      <w:r>
        <w:rPr>
          <w:rFonts w:ascii="宋体" w:hAnsi="宋体" w:cs="宋体" w:eastAsia="宋体" w:hint="default"/>
        </w:rPr>
        <w:t>1</w:t>
      </w:r>
      <w:r>
        <w:rPr/>
        <w:t>）该组成部分代表一项独立的主要业务或一个单独的主要经营地区。</w:t>
      </w:r>
    </w:p>
    <w:p>
      <w:pPr>
        <w:spacing w:line="240" w:lineRule="auto" w:before="9"/>
        <w:rPr>
          <w:rFonts w:ascii="宋体" w:hAnsi="宋体" w:cs="宋体" w:eastAsia="宋体" w:hint="default"/>
          <w:sz w:val="15"/>
          <w:szCs w:val="15"/>
        </w:rPr>
      </w:pPr>
    </w:p>
    <w:p>
      <w:pPr>
        <w:pStyle w:val="BodyText"/>
        <w:spacing w:line="420" w:lineRule="auto"/>
        <w:ind w:left="214" w:right="1197"/>
        <w:jc w:val="left"/>
      </w:pPr>
      <w:r>
        <w:rPr/>
        <w:t>（</w:t>
      </w:r>
      <w:r>
        <w:rPr>
          <w:rFonts w:ascii="宋体" w:hAnsi="宋体" w:cs="宋体" w:eastAsia="宋体" w:hint="default"/>
        </w:rPr>
        <w:t>2</w:t>
      </w:r>
      <w:r>
        <w:rPr/>
        <w:t>）该组成部分是拟对一项独立的主要业务或一个单独的主要经营地区进行处置的一项相关联计划的一 部分。</w:t>
      </w:r>
    </w:p>
    <w:p>
      <w:pPr>
        <w:pStyle w:val="BodyText"/>
        <w:spacing w:line="420" w:lineRule="auto" w:before="47"/>
        <w:ind w:left="214" w:right="2352"/>
        <w:jc w:val="left"/>
      </w:pPr>
      <w:r>
        <w:rPr/>
        <w:t>（</w:t>
      </w:r>
      <w:r>
        <w:rPr>
          <w:rFonts w:ascii="宋体" w:hAnsi="宋体" w:cs="宋体" w:eastAsia="宋体" w:hint="default"/>
        </w:rPr>
        <w:t>3</w:t>
      </w:r>
      <w:r>
        <w:rPr/>
        <w:t>）该组成部分是专为转售而取得的子公司。 终止经营的减值损失和转回金额等经营损益及处置损益作为终止经营损益在利润表中列示。</w:t>
      </w:r>
    </w:p>
    <w:p>
      <w:pPr>
        <w:pStyle w:val="Heading2"/>
        <w:spacing w:line="240" w:lineRule="auto" w:before="170"/>
        <w:ind w:left="214" w:right="0"/>
        <w:jc w:val="left"/>
        <w:rPr>
          <w:b w:val="0"/>
          <w:bCs w:val="0"/>
        </w:rPr>
      </w:pPr>
      <w:bookmarkStart w:name="六、税项" w:id="219"/>
      <w:bookmarkEnd w:id="219"/>
      <w:r>
        <w:rPr>
          <w:b w:val="0"/>
          <w:bCs w:val="0"/>
        </w:rPr>
      </w:r>
      <w:r>
        <w:rPr/>
        <w:t>六、税项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214" w:right="0"/>
        <w:jc w:val="left"/>
        <w:rPr>
          <w:b w:val="0"/>
          <w:bCs w:val="0"/>
        </w:rPr>
      </w:pPr>
      <w:bookmarkStart w:name="1、主要税种及税率" w:id="220"/>
      <w:bookmarkEnd w:id="220"/>
      <w:r>
        <w:rPr>
          <w:b w:val="0"/>
          <w:bCs w:val="0"/>
        </w:rPr>
      </w:r>
      <w:r>
        <w:rPr>
          <w:rFonts w:ascii="宋体" w:hAnsi="宋体" w:cs="宋体" w:eastAsia="宋体" w:hint="default"/>
        </w:rPr>
        <w:t>1</w:t>
      </w:r>
      <w:r>
        <w:rPr/>
        <w:t>、主要税种及税率</w:t>
      </w:r>
      <w:r>
        <w:rPr>
          <w:b w:val="0"/>
          <w:bCs w:val="0"/>
        </w:rPr>
      </w:r>
    </w:p>
    <w:p>
      <w:pPr>
        <w:spacing w:line="240" w:lineRule="auto" w:before="12"/>
        <w:rPr>
          <w:rFonts w:ascii="宋体" w:hAnsi="宋体" w:cs="宋体" w:eastAsia="宋体" w:hint="default"/>
          <w:b/>
          <w:bCs/>
          <w:sz w:val="26"/>
          <w:szCs w:val="26"/>
        </w:rPr>
      </w:pPr>
    </w:p>
    <w:tbl>
      <w:tblPr>
        <w:tblW w:w="0" w:type="auto"/>
        <w:jc w:val="left"/>
        <w:tblInd w:w="220" w:type="dxa"/>
        <w:tblLayout w:type="fixed"/>
        <w:tblCellMar>
          <w:top w:w="0" w:type="dxa"/>
          <w:left w:w="0" w:type="dxa"/>
          <w:bottom w:w="0" w:type="dxa"/>
          <w:right w:w="0" w:type="dxa"/>
        </w:tblCellMar>
        <w:tblLook w:val="01E0"/>
      </w:tblPr>
      <w:tblGrid>
        <w:gridCol w:w="3663"/>
        <w:gridCol w:w="3272"/>
        <w:gridCol w:w="3120"/>
      </w:tblGrid>
      <w:tr>
        <w:trPr>
          <w:trHeight w:val="323"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2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按国家税法有关规定</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86" w:right="0"/>
              <w:jc w:val="left"/>
              <w:rPr>
                <w:rFonts w:ascii="宋体" w:hAnsi="宋体" w:cs="宋体" w:eastAsia="宋体" w:hint="default"/>
                <w:sz w:val="18"/>
                <w:szCs w:val="18"/>
              </w:rPr>
            </w:pPr>
            <w:r>
              <w:rPr>
                <w:rFonts w:ascii="宋体" w:hAnsi="宋体" w:cs="宋体" w:eastAsia="宋体" w:hint="default"/>
                <w:sz w:val="18"/>
                <w:szCs w:val="18"/>
              </w:rPr>
              <w:t>0%</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16%</w:t>
            </w:r>
          </w:p>
        </w:tc>
      </w:tr>
    </w:tbl>
    <w:p>
      <w:pPr>
        <w:spacing w:after="0" w:line="240" w:lineRule="auto"/>
        <w:jc w:val="left"/>
        <w:rPr>
          <w:rFonts w:ascii="宋体" w:hAnsi="宋体" w:cs="宋体" w:eastAsia="宋体"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687"/>
        <w:gridCol w:w="3260"/>
        <w:gridCol w:w="3120"/>
      </w:tblGrid>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12"/>
              <w:jc w:val="right"/>
              <w:rPr>
                <w:rFonts w:ascii="宋体" w:hAnsi="宋体" w:cs="宋体" w:eastAsia="宋体" w:hint="default"/>
                <w:sz w:val="18"/>
                <w:szCs w:val="18"/>
              </w:rPr>
            </w:pPr>
            <w:r>
              <w:rPr>
                <w:rFonts w:ascii="宋体" w:hAnsi="宋体" w:cs="宋体" w:eastAsia="宋体" w:hint="default"/>
                <w:sz w:val="18"/>
                <w:szCs w:val="18"/>
              </w:rPr>
              <w:t>按国家税法有关规定</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w:t>
            </w:r>
          </w:p>
        </w:tc>
      </w:tr>
      <w:tr>
        <w:trPr>
          <w:trHeight w:val="32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12"/>
              <w:jc w:val="right"/>
              <w:rPr>
                <w:rFonts w:ascii="宋体" w:hAnsi="宋体" w:cs="宋体" w:eastAsia="宋体" w:hint="default"/>
                <w:sz w:val="18"/>
                <w:szCs w:val="18"/>
              </w:rPr>
            </w:pPr>
            <w:r>
              <w:rPr>
                <w:rFonts w:ascii="宋体" w:hAnsi="宋体" w:cs="宋体" w:eastAsia="宋体" w:hint="default"/>
                <w:sz w:val="18"/>
                <w:szCs w:val="18"/>
              </w:rPr>
              <w:t>按国家税法有关规定</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hAnsi="宋体" w:cs="宋体" w:eastAsia="宋体" w:hint="default"/>
                <w:sz w:val="18"/>
                <w:szCs w:val="18"/>
              </w:rPr>
              <w:t>0%</w:t>
            </w:r>
            <w:r>
              <w:rPr>
                <w:rFonts w:ascii="宋体" w:hAnsi="宋体" w:cs="宋体" w:eastAsia="宋体" w:hint="default"/>
                <w:sz w:val="18"/>
                <w:szCs w:val="18"/>
              </w:rPr>
              <w:t>、</w:t>
            </w:r>
            <w:r>
              <w:rPr>
                <w:rFonts w:ascii="宋体" w:hAnsi="宋体" w:cs="宋体" w:eastAsia="宋体" w:hint="default"/>
                <w:sz w:val="18"/>
                <w:szCs w:val="18"/>
              </w:rPr>
              <w:t>2.5%</w:t>
            </w: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w:t>
            </w:r>
            <w:r>
              <w:rPr>
                <w:rFonts w:ascii="宋体" w:hAnsi="宋体" w:cs="宋体" w:eastAsia="宋体" w:hint="default"/>
                <w:sz w:val="18"/>
                <w:szCs w:val="18"/>
              </w:rPr>
              <w:t>12.5%</w:t>
            </w: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17%</w:t>
            </w:r>
            <w:r>
              <w:rPr>
                <w:rFonts w:ascii="宋体" w:hAnsi="宋体" w:cs="宋体" w:eastAsia="宋体" w:hint="default"/>
                <w:sz w:val="18"/>
                <w:szCs w:val="18"/>
              </w:rPr>
              <w:t>、</w:t>
            </w:r>
            <w:r>
              <w:rPr>
                <w:rFonts w:ascii="宋体" w:hAnsi="宋体" w:cs="宋体" w:eastAsia="宋体" w:hint="default"/>
                <w:sz w:val="18"/>
                <w:szCs w:val="18"/>
              </w:rPr>
              <w:t>25%</w:t>
            </w:r>
          </w:p>
        </w:tc>
      </w:tr>
    </w:tbl>
    <w:p>
      <w:pPr>
        <w:pStyle w:val="BodyText"/>
        <w:spacing w:line="260" w:lineRule="exact"/>
        <w:ind w:right="0"/>
        <w:jc w:val="left"/>
      </w:pPr>
      <w:r>
        <w:rPr/>
        <w:t>存在不同企业所得税税率纳税主体的，披露情况说明</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6097"/>
        <w:gridCol w:w="3970"/>
      </w:tblGrid>
      <w:tr>
        <w:trPr>
          <w:trHeight w:val="322" w:hRule="exact"/>
        </w:trPr>
        <w:tc>
          <w:tcPr>
            <w:tcW w:w="6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2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华商广告、华商数码、陕西黄马甲、霍尔果斯国视、霍尔果斯澄怀</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0%</w:t>
            </w:r>
          </w:p>
        </w:tc>
      </w:tr>
      <w:tr>
        <w:trPr>
          <w:trHeight w:val="32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精视浙江、浙江掌视</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w:t>
            </w:r>
          </w:p>
        </w:tc>
      </w:tr>
      <w:tr>
        <w:trPr>
          <w:trHeight w:val="32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拉萨环球、拉萨掌视、腾踔投资、拉萨悦胜、山南国广、山南华闻、山南国视</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w:t>
            </w:r>
          </w:p>
        </w:tc>
      </w:tr>
      <w:tr>
        <w:trPr>
          <w:trHeight w:val="635"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1"/>
              <w:jc w:val="left"/>
              <w:rPr>
                <w:rFonts w:ascii="宋体" w:hAnsi="宋体" w:cs="宋体" w:eastAsia="宋体" w:hint="default"/>
                <w:sz w:val="18"/>
                <w:szCs w:val="18"/>
              </w:rPr>
            </w:pPr>
            <w:r>
              <w:rPr>
                <w:rFonts w:ascii="宋体" w:hAnsi="宋体" w:cs="宋体" w:eastAsia="宋体" w:hint="default"/>
                <w:spacing w:val="-3"/>
                <w:sz w:val="18"/>
                <w:szCs w:val="18"/>
              </w:rPr>
              <w:t>邦富软件、华商网络、陕西华商会展、黄马甲快递、掌视亿通、麦游互动、车</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音智能、上海车音、北京车音</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15%</w:t>
            </w:r>
          </w:p>
        </w:tc>
      </w:tr>
      <w:tr>
        <w:trPr>
          <w:trHeight w:val="32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新加坡车音</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w:t>
            </w:r>
          </w:p>
        </w:tc>
      </w:tr>
      <w:tr>
        <w:trPr>
          <w:trHeight w:val="32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北京亚越、广州粤瑛纬</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w:t>
            </w:r>
          </w:p>
        </w:tc>
      </w:tr>
      <w:tr>
        <w:trPr>
          <w:trHeight w:val="323"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鸿立华享</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hAnsi="宋体" w:cs="宋体" w:eastAsia="宋体" w:hint="default"/>
                <w:sz w:val="18"/>
                <w:szCs w:val="18"/>
              </w:rPr>
              <w:t>按照合伙企业相关规定缴纳税款</w:t>
            </w:r>
          </w:p>
        </w:tc>
      </w:tr>
      <w:tr>
        <w:trPr>
          <w:trHeight w:val="322"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本公司及其他子公司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bookmarkStart w:name="2、税收优惠" w:id="221"/>
      <w:bookmarkEnd w:id="221"/>
      <w:r>
        <w:rPr>
          <w:b w:val="0"/>
          <w:bCs w:val="0"/>
        </w:rPr>
      </w:r>
      <w:r>
        <w:rPr>
          <w:rFonts w:ascii="宋体" w:hAnsi="宋体" w:cs="宋体" w:eastAsia="宋体" w:hint="default"/>
        </w:rPr>
        <w:t>2</w:t>
      </w:r>
      <w:r>
        <w:rPr/>
        <w:t>、税收优惠</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1026"/>
        <w:jc w:val="left"/>
      </w:pPr>
      <w:r>
        <w:rPr/>
        <w:t>（</w:t>
      </w:r>
      <w:r>
        <w:rPr>
          <w:rFonts w:ascii="宋体" w:hAnsi="宋体" w:cs="宋体" w:eastAsia="宋体" w:hint="default"/>
        </w:rPr>
        <w:t>1</w:t>
      </w:r>
      <w:r>
        <w:rPr/>
        <w:t>）</w:t>
      </w:r>
      <w:r>
        <w:rPr>
          <w:rFonts w:ascii="宋体" w:hAnsi="宋体" w:cs="宋体" w:eastAsia="宋体" w:hint="default"/>
        </w:rPr>
        <w:t>2013</w:t>
      </w:r>
      <w:r>
        <w:rPr/>
        <w:t>年</w:t>
      </w:r>
      <w:r>
        <w:rPr>
          <w:rFonts w:ascii="宋体" w:hAnsi="宋体" w:cs="宋体" w:eastAsia="宋体" w:hint="default"/>
        </w:rPr>
        <w:t>12</w:t>
      </w:r>
      <w:r>
        <w:rPr/>
        <w:t>月，广州市邦富软件有限公司（以下简称“邦富软件”）被认定为高新技术企业。</w:t>
      </w:r>
      <w:r>
        <w:rPr>
          <w:rFonts w:ascii="宋体" w:hAnsi="宋体" w:cs="宋体" w:eastAsia="宋体" w:hint="default"/>
        </w:rPr>
        <w:t>2016</w:t>
      </w:r>
      <w:r>
        <w:rPr/>
        <w:t>年 </w:t>
      </w:r>
      <w:r>
        <w:rPr>
          <w:rFonts w:ascii="宋体" w:hAnsi="宋体" w:cs="宋体" w:eastAsia="宋体" w:hint="default"/>
          <w:spacing w:val="-3"/>
        </w:rPr>
        <w:t>12</w:t>
      </w:r>
      <w:r>
        <w:rPr>
          <w:spacing w:val="-3"/>
        </w:rPr>
        <w:t>月，邦富软件继续被认定为高新技术企业，证书编号为</w:t>
      </w:r>
      <w:r>
        <w:rPr>
          <w:rFonts w:ascii="宋体" w:hAnsi="宋体" w:cs="宋体" w:eastAsia="宋体" w:hint="default"/>
          <w:spacing w:val="-3"/>
        </w:rPr>
        <w:t>GR201644005986</w:t>
      </w:r>
      <w:r>
        <w:rPr>
          <w:spacing w:val="-3"/>
        </w:rPr>
        <w:t>，有效期</w:t>
      </w:r>
      <w:r>
        <w:rPr>
          <w:rFonts w:ascii="宋体" w:hAnsi="宋体" w:cs="宋体" w:eastAsia="宋体" w:hint="default"/>
          <w:spacing w:val="-3"/>
        </w:rPr>
        <w:t>3</w:t>
      </w:r>
      <w:r>
        <w:rPr>
          <w:spacing w:val="-3"/>
        </w:rPr>
        <w:t>年（</w:t>
      </w:r>
      <w:r>
        <w:rPr>
          <w:rFonts w:ascii="宋体" w:hAnsi="宋体" w:cs="宋体" w:eastAsia="宋体" w:hint="default"/>
          <w:spacing w:val="-3"/>
        </w:rPr>
        <w:t>2017-2019</w:t>
      </w:r>
      <w:r>
        <w:rPr>
          <w:spacing w:val="-3"/>
        </w:rPr>
        <w:t>年度），</w:t>
      </w:r>
    </w:p>
    <w:p>
      <w:pPr>
        <w:pStyle w:val="BodyText"/>
        <w:spacing w:line="240" w:lineRule="auto" w:before="47"/>
        <w:ind w:right="0"/>
        <w:jc w:val="left"/>
      </w:pPr>
      <w:r>
        <w:rPr>
          <w:rFonts w:ascii="宋体" w:hAnsi="宋体" w:cs="宋体" w:eastAsia="宋体" w:hint="default"/>
        </w:rPr>
        <w:t>2018</w:t>
      </w:r>
      <w:r>
        <w:rPr/>
        <w:t>年享受高新技术企业税收优惠政策，所得税税率为</w:t>
      </w:r>
      <w:r>
        <w:rPr>
          <w:rFonts w:ascii="宋体" w:hAnsi="宋体" w:cs="宋体" w:eastAsia="宋体" w:hint="default"/>
        </w:rPr>
        <w:t>15%</w:t>
      </w:r>
      <w:r>
        <w:rPr/>
        <w:t>。</w:t>
      </w:r>
    </w:p>
    <w:p>
      <w:pPr>
        <w:spacing w:line="240" w:lineRule="auto" w:before="9"/>
        <w:rPr>
          <w:rFonts w:ascii="宋体" w:hAnsi="宋体" w:cs="宋体" w:eastAsia="宋体" w:hint="default"/>
          <w:sz w:val="15"/>
          <w:szCs w:val="15"/>
        </w:rPr>
      </w:pPr>
    </w:p>
    <w:p>
      <w:pPr>
        <w:pStyle w:val="BodyText"/>
        <w:spacing w:line="420" w:lineRule="auto"/>
        <w:ind w:right="1017"/>
        <w:jc w:val="left"/>
      </w:pPr>
      <w:r>
        <w:rPr/>
        <w:t>（</w:t>
      </w:r>
      <w:r>
        <w:rPr>
          <w:rFonts w:ascii="宋体" w:hAnsi="宋体" w:cs="宋体" w:eastAsia="宋体" w:hint="default"/>
        </w:rPr>
        <w:t>2</w:t>
      </w:r>
      <w:r>
        <w:rPr/>
        <w:t>）根据《西藏自治区关于招商引资的若干规定》（藏政发</w:t>
      </w:r>
      <w:r>
        <w:rPr>
          <w:rFonts w:ascii="宋体" w:hAnsi="宋体" w:cs="宋体" w:eastAsia="宋体" w:hint="default"/>
        </w:rPr>
        <w:t>[1999</w:t>
      </w:r>
      <w:r>
        <w:rPr/>
        <w:t>］</w:t>
      </w:r>
      <w:r>
        <w:rPr>
          <w:rFonts w:ascii="宋体" w:hAnsi="宋体" w:cs="宋体" w:eastAsia="宋体" w:hint="default"/>
        </w:rPr>
        <w:t>33</w:t>
      </w:r>
      <w:r>
        <w:rPr/>
        <w:t>号）及其补充规定，外省区市投资 </w:t>
      </w:r>
      <w:r>
        <w:rPr>
          <w:spacing w:val="-1"/>
        </w:rPr>
        <w:t>者在藏兴办的企业或项目，一律执行</w:t>
      </w:r>
      <w:r>
        <w:rPr>
          <w:rFonts w:ascii="宋体" w:hAnsi="宋体" w:cs="宋体" w:eastAsia="宋体" w:hint="default"/>
          <w:spacing w:val="-1"/>
        </w:rPr>
        <w:t>15%</w:t>
      </w:r>
      <w:r>
        <w:rPr>
          <w:spacing w:val="-1"/>
        </w:rPr>
        <w:t>的企业所得税税率。拉萨环球、拉萨掌视、腾踔投资、拉萨悦胜、</w:t>
      </w:r>
      <w:r>
        <w:rPr>
          <w:spacing w:val="-83"/>
        </w:rPr>
        <w:t> </w:t>
      </w:r>
      <w:r>
        <w:rPr>
          <w:spacing w:val="-83"/>
        </w:rPr>
      </w:r>
      <w:r>
        <w:rPr/>
        <w:t>山南国广、山南华闻、山南国视享受减免税收优惠，按</w:t>
      </w:r>
      <w:r>
        <w:rPr>
          <w:rFonts w:ascii="宋体" w:hAnsi="宋体" w:cs="宋体" w:eastAsia="宋体" w:hint="default"/>
        </w:rPr>
        <w:t>15%</w:t>
      </w:r>
      <w:r>
        <w:rPr/>
        <w:t>税率计征企业所得税。根据藏国税发</w:t>
      </w:r>
      <w:r>
        <w:rPr>
          <w:rFonts w:ascii="宋体" w:hAnsi="宋体" w:cs="宋体" w:eastAsia="宋体" w:hint="default"/>
        </w:rPr>
        <w:t>[2014]124 </w:t>
      </w:r>
      <w:r>
        <w:rPr/>
        <w:t>号《西藏自治区国家税务局西藏自治区财政厅关于贯彻西藏自治区企业所得税政策实施办法具体问题的通 知》，自</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日止，暂免征收我区企业应缴纳的企业所得税中属于地方分享的 部分，拉萨环球、拉萨掌视、腾踔投资、拉萨悦胜、山南国广、山南华闻、山南国视适用的所得税税率为 </w:t>
      </w:r>
      <w:r>
        <w:rPr>
          <w:rFonts w:ascii="宋体" w:hAnsi="宋体" w:cs="宋体" w:eastAsia="宋体" w:hint="default"/>
        </w:rPr>
        <w:t>9%</w:t>
      </w:r>
      <w:r>
        <w:rPr/>
        <w:t>。</w:t>
      </w:r>
    </w:p>
    <w:p>
      <w:pPr>
        <w:pStyle w:val="BodyText"/>
        <w:spacing w:line="420" w:lineRule="auto" w:before="47"/>
        <w:ind w:right="1215"/>
        <w:jc w:val="both"/>
      </w:pPr>
      <w:r>
        <w:rPr/>
        <w:t>（</w:t>
      </w:r>
      <w:r>
        <w:rPr>
          <w:rFonts w:ascii="宋体" w:hAnsi="宋体" w:cs="宋体" w:eastAsia="宋体" w:hint="default"/>
        </w:rPr>
        <w:t>3</w:t>
      </w:r>
      <w:r>
        <w:rPr/>
        <w:t>）根据《陕西省财政厅等四部门转发财政部国家税务总局中宣部关于继续实施文化体制改革中经营性 文化事业单位转制为企业若干税收政策的通知》》（陕财税</w:t>
      </w:r>
      <w:r>
        <w:rPr>
          <w:rFonts w:ascii="宋体" w:hAnsi="宋体" w:cs="宋体" w:eastAsia="宋体" w:hint="default"/>
        </w:rPr>
        <w:t>[2015]8</w:t>
      </w:r>
      <w:r>
        <w:rPr/>
        <w:t>号）文规定，华商广告、华商数码、 陕西黄马甲</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日免征企业所得税。</w:t>
      </w:r>
    </w:p>
    <w:p>
      <w:pPr>
        <w:pStyle w:val="BodyText"/>
        <w:spacing w:line="240" w:lineRule="auto" w:before="47"/>
        <w:ind w:right="0"/>
        <w:jc w:val="left"/>
      </w:pPr>
      <w:r>
        <w:rPr/>
        <w:t>（</w:t>
      </w:r>
      <w:r>
        <w:rPr>
          <w:rFonts w:ascii="宋体" w:hAnsi="宋体" w:cs="宋体" w:eastAsia="宋体" w:hint="default"/>
        </w:rPr>
        <w:t>4</w:t>
      </w:r>
      <w:r>
        <w:rPr/>
        <w:t>）根据财政部、海关总署、国家税务总局《关于深入实施西部大开发战略有关税收政策问题的通知》</w:t>
      </w:r>
    </w:p>
    <w:p>
      <w:pPr>
        <w:spacing w:line="240" w:lineRule="auto" w:before="9"/>
        <w:rPr>
          <w:rFonts w:ascii="宋体" w:hAnsi="宋体" w:cs="宋体" w:eastAsia="宋体" w:hint="default"/>
          <w:sz w:val="15"/>
          <w:szCs w:val="15"/>
        </w:rPr>
      </w:pPr>
    </w:p>
    <w:p>
      <w:pPr>
        <w:pStyle w:val="BodyText"/>
        <w:spacing w:line="420" w:lineRule="auto"/>
        <w:ind w:right="0"/>
        <w:jc w:val="left"/>
      </w:pPr>
      <w:r>
        <w:rPr>
          <w:spacing w:val="-1"/>
        </w:rPr>
        <w:t>（财税〔</w:t>
      </w:r>
      <w:r>
        <w:rPr>
          <w:rFonts w:ascii="宋体" w:hAnsi="宋体" w:cs="宋体" w:eastAsia="宋体" w:hint="default"/>
          <w:spacing w:val="-1"/>
        </w:rPr>
        <w:t>2011</w:t>
      </w:r>
      <w:r>
        <w:rPr>
          <w:spacing w:val="-1"/>
        </w:rPr>
        <w:t>〕</w:t>
      </w:r>
      <w:r>
        <w:rPr>
          <w:rFonts w:ascii="宋体" w:hAnsi="宋体" w:cs="宋体" w:eastAsia="宋体" w:hint="default"/>
          <w:spacing w:val="-1"/>
        </w:rPr>
        <w:t>58</w:t>
      </w:r>
      <w:r>
        <w:rPr>
          <w:spacing w:val="-1"/>
        </w:rPr>
        <w:t>号）文规定，经税务机关确认，同意华商网络、陕西华商会展、黄马甲快递</w:t>
      </w:r>
      <w:r>
        <w:rPr>
          <w:rFonts w:ascii="宋体" w:hAnsi="宋体" w:cs="宋体" w:eastAsia="宋体" w:hint="default"/>
          <w:spacing w:val="-1"/>
        </w:rPr>
        <w:t>2011</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rFonts w:ascii="宋体" w:hAnsi="宋体" w:cs="宋体" w:eastAsia="宋体" w:hint="default"/>
          <w:spacing w:val="-81"/>
        </w:rPr>
        <w:t> </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日享受</w:t>
      </w:r>
      <w:r>
        <w:rPr>
          <w:rFonts w:ascii="宋体" w:hAnsi="宋体" w:cs="宋体" w:eastAsia="宋体" w:hint="default"/>
        </w:rPr>
        <w:t>15%</w:t>
      </w:r>
      <w:r>
        <w:rPr/>
        <w:t>的所得税优惠税率。</w:t>
      </w:r>
    </w:p>
    <w:p>
      <w:pPr>
        <w:pStyle w:val="BodyText"/>
        <w:spacing w:line="240" w:lineRule="auto" w:before="47"/>
        <w:ind w:right="0"/>
        <w:jc w:val="left"/>
      </w:pPr>
      <w:r>
        <w:rPr/>
        <w:t>（</w:t>
      </w:r>
      <w:r>
        <w:rPr>
          <w:rFonts w:ascii="宋体" w:hAnsi="宋体" w:cs="宋体" w:eastAsia="宋体" w:hint="default"/>
        </w:rPr>
        <w:t>5</w:t>
      </w:r>
      <w:r>
        <w:rPr/>
        <w:t>）精视浙江、浙江掌视企业所得税</w:t>
      </w:r>
      <w:r>
        <w:rPr>
          <w:rFonts w:ascii="宋体" w:hAnsi="宋体" w:cs="宋体" w:eastAsia="宋体" w:hint="default"/>
        </w:rPr>
        <w:t>2018</w:t>
      </w:r>
      <w:r>
        <w:rPr/>
        <w:t>年度按照核定征收方式征收，税率为收入总额的</w:t>
      </w:r>
      <w:r>
        <w:rPr>
          <w:rFonts w:ascii="宋体" w:hAnsi="宋体" w:cs="宋体" w:eastAsia="宋体" w:hint="default"/>
        </w:rPr>
        <w:t>2.5%</w:t>
      </w:r>
      <w:r>
        <w:rPr/>
        <w:t>。</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0"/>
        <w:jc w:val="left"/>
      </w:pPr>
      <w:r>
        <w:rPr/>
        <w:t>（</w:t>
      </w:r>
      <w:r>
        <w:rPr>
          <w:rFonts w:ascii="宋体" w:hAnsi="宋体" w:cs="宋体" w:eastAsia="宋体" w:hint="default"/>
        </w:rPr>
        <w:t>6</w:t>
      </w:r>
      <w:r>
        <w:rPr/>
        <w:t>）根据《中华人民共和国企业所得税法》及其实施条例和《国务院关于印发进一步鼓励软件产业和集 成电路产业发展若干政策的通知》（国发〔</w:t>
      </w:r>
      <w:r>
        <w:rPr>
          <w:rFonts w:ascii="宋体" w:hAnsi="宋体" w:cs="宋体" w:eastAsia="宋体" w:hint="default"/>
        </w:rPr>
        <w:t>2011</w:t>
      </w:r>
      <w:r>
        <w:rPr/>
        <w:t>〕</w:t>
      </w:r>
      <w:r>
        <w:rPr>
          <w:rFonts w:ascii="宋体" w:hAnsi="宋体" w:cs="宋体" w:eastAsia="宋体" w:hint="default"/>
        </w:rPr>
        <w:t>4</w:t>
      </w:r>
      <w:r>
        <w:rPr/>
        <w:t>号）</w:t>
      </w:r>
      <w:r>
        <w:rPr>
          <w:rFonts w:ascii="宋体" w:hAnsi="宋体" w:cs="宋体" w:eastAsia="宋体" w:hint="default"/>
        </w:rPr>
        <w:t>,</w:t>
      </w:r>
      <w:r>
        <w:rPr>
          <w:rFonts w:ascii="宋体" w:hAnsi="宋体" w:cs="宋体" w:eastAsia="宋体" w:hint="default"/>
          <w:spacing w:val="-1"/>
        </w:rPr>
        <w:t> </w:t>
      </w:r>
      <w:r>
        <w:rPr/>
        <w:t>我国境内新办的集成电路设计企业和符合条件 </w:t>
      </w:r>
      <w:r>
        <w:rPr>
          <w:spacing w:val="-3"/>
        </w:rPr>
        <w:t>的软件企业，经认定后，在</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日前自获利年度起计算优惠期，第一年至第二年免征企业所得税，</w:t>
      </w:r>
      <w:r>
        <w:rPr>
          <w:spacing w:val="-84"/>
        </w:rPr>
        <w:t> </w:t>
      </w:r>
      <w:r>
        <w:rPr>
          <w:spacing w:val="-84"/>
        </w:rPr>
      </w:r>
      <w:r>
        <w:rPr/>
        <w:t>第三年至第五年按照</w:t>
      </w:r>
      <w:r>
        <w:rPr>
          <w:rFonts w:ascii="宋体" w:hAnsi="宋体" w:cs="宋体" w:eastAsia="宋体" w:hint="default"/>
        </w:rPr>
        <w:t>25%</w:t>
      </w:r>
      <w:r>
        <w:rPr/>
        <w:t>的法定税率减半征收企业所得税，并享受至期满为止。掌视亿通通过高新技术企 业的认定，并于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8</w:t>
      </w:r>
      <w:r>
        <w:rPr/>
        <w:t>日取得由天津市高新技术企业认定管理机构颁发的证书编号为 </w:t>
      </w:r>
      <w:r>
        <w:rPr>
          <w:rFonts w:ascii="宋体" w:hAnsi="宋体" w:cs="宋体" w:eastAsia="宋体" w:hint="default"/>
        </w:rPr>
        <w:t>GR201512000533</w:t>
      </w:r>
      <w:r>
        <w:rPr/>
        <w:t>的《高新技术企业证书》，有效期</w:t>
      </w:r>
      <w:r>
        <w:rPr>
          <w:rFonts w:ascii="宋体" w:hAnsi="宋体" w:cs="宋体" w:eastAsia="宋体" w:hint="default"/>
        </w:rPr>
        <w:t>3</w:t>
      </w:r>
      <w:r>
        <w:rPr/>
        <w:t>年。因掌视亿通“双软”优惠政策于</w:t>
      </w:r>
      <w:r>
        <w:rPr>
          <w:rFonts w:ascii="宋体" w:hAnsi="宋体" w:cs="宋体" w:eastAsia="宋体" w:hint="default"/>
        </w:rPr>
        <w:t>2017</w:t>
      </w:r>
      <w:r>
        <w:rPr/>
        <w:t>年到期，所 以掌视亿通</w:t>
      </w:r>
      <w:r>
        <w:rPr>
          <w:rFonts w:ascii="宋体" w:hAnsi="宋体" w:cs="宋体" w:eastAsia="宋体" w:hint="default"/>
        </w:rPr>
        <w:t>2018</w:t>
      </w:r>
      <w:r>
        <w:rPr/>
        <w:t>年所得税享受高新技术企业优惠政策，掌视亿通</w:t>
      </w:r>
      <w:r>
        <w:rPr>
          <w:rFonts w:ascii="宋体" w:hAnsi="宋体" w:cs="宋体" w:eastAsia="宋体" w:hint="default"/>
        </w:rPr>
        <w:t>2018</w:t>
      </w:r>
      <w:r>
        <w:rPr/>
        <w:t>年企业所得税税率为</w:t>
      </w:r>
      <w:r>
        <w:rPr>
          <w:rFonts w:ascii="宋体" w:hAnsi="宋体" w:cs="宋体" w:eastAsia="宋体" w:hint="default"/>
        </w:rPr>
        <w:t>15%</w:t>
      </w:r>
      <w:r>
        <w:rPr/>
        <w:t>。</w:t>
      </w:r>
    </w:p>
    <w:p>
      <w:pPr>
        <w:pStyle w:val="BodyText"/>
        <w:spacing w:line="240" w:lineRule="auto" w:before="47"/>
        <w:ind w:right="0"/>
        <w:jc w:val="left"/>
      </w:pPr>
      <w:r>
        <w:rPr/>
        <w:t>（</w:t>
      </w:r>
      <w:r>
        <w:rPr>
          <w:rFonts w:ascii="宋体" w:hAnsi="宋体" w:cs="宋体" w:eastAsia="宋体" w:hint="default"/>
        </w:rPr>
        <w:t>7</w:t>
      </w:r>
      <w:r>
        <w:rPr/>
        <w:t>）根据《财政部、国家税务总局关于新疆霍尔果斯两个特殊经济开发区企业所得税优惠政策的通知》</w:t>
      </w:r>
    </w:p>
    <w:p>
      <w:pPr>
        <w:spacing w:line="240" w:lineRule="auto" w:before="9"/>
        <w:rPr>
          <w:rFonts w:ascii="宋体" w:hAnsi="宋体" w:cs="宋体" w:eastAsia="宋体" w:hint="default"/>
          <w:sz w:val="15"/>
          <w:szCs w:val="15"/>
        </w:rPr>
      </w:pPr>
    </w:p>
    <w:p>
      <w:pPr>
        <w:pStyle w:val="BodyText"/>
        <w:spacing w:line="420" w:lineRule="auto"/>
        <w:ind w:right="1197"/>
        <w:jc w:val="left"/>
      </w:pPr>
      <w:r>
        <w:rPr/>
        <w:t>（财税</w:t>
      </w:r>
      <w:r>
        <w:rPr>
          <w:rFonts w:ascii="宋体" w:hAnsi="宋体" w:cs="宋体" w:eastAsia="宋体" w:hint="default"/>
        </w:rPr>
        <w:t>[2011]112</w:t>
      </w:r>
      <w:r>
        <w:rPr/>
        <w:t>号）文件规定，霍尔果斯国视、霍尔果斯澄怀</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日，免征企 业所得税。</w:t>
      </w:r>
    </w:p>
    <w:p>
      <w:pPr>
        <w:pStyle w:val="BodyText"/>
        <w:spacing w:line="240" w:lineRule="auto" w:before="47"/>
        <w:ind w:right="0"/>
        <w:jc w:val="left"/>
      </w:pPr>
      <w:r>
        <w:rPr/>
        <w:t>（</w:t>
      </w:r>
      <w:r>
        <w:rPr>
          <w:rFonts w:ascii="宋体" w:hAnsi="宋体" w:cs="宋体" w:eastAsia="宋体" w:hint="default"/>
        </w:rPr>
        <w:t>8</w:t>
      </w:r>
      <w:r>
        <w:rPr/>
        <w:t>）鸿立华享为合伙企业，按照合伙企业相关规定缴纳税款。</w:t>
      </w:r>
    </w:p>
    <w:p>
      <w:pPr>
        <w:spacing w:line="240" w:lineRule="auto" w:before="9"/>
        <w:rPr>
          <w:rFonts w:ascii="宋体" w:hAnsi="宋体" w:cs="宋体" w:eastAsia="宋体" w:hint="default"/>
          <w:sz w:val="15"/>
          <w:szCs w:val="15"/>
        </w:rPr>
      </w:pPr>
    </w:p>
    <w:p>
      <w:pPr>
        <w:pStyle w:val="BodyText"/>
        <w:spacing w:line="420" w:lineRule="auto"/>
        <w:ind w:right="0"/>
        <w:jc w:val="left"/>
      </w:pPr>
      <w:r>
        <w:rPr/>
        <w:t>（</w:t>
      </w:r>
      <w:r>
        <w:rPr>
          <w:rFonts w:ascii="宋体" w:hAnsi="宋体" w:cs="宋体" w:eastAsia="宋体" w:hint="default"/>
        </w:rPr>
        <w:t>9</w:t>
      </w:r>
      <w:r>
        <w:rPr/>
        <w:t>）麦游互动经深圳市科技创新委员会、深圳市财政委员会、深圳市国家税务局、深圳市地方税务局批 </w:t>
      </w:r>
      <w:r>
        <w:rPr>
          <w:spacing w:val="-1"/>
        </w:rPr>
        <w:t>准，于</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月取得《高新技术企业证书》（证书编号：</w:t>
      </w:r>
      <w:r>
        <w:rPr>
          <w:rFonts w:ascii="宋体" w:hAnsi="宋体" w:cs="宋体" w:eastAsia="宋体" w:hint="default"/>
          <w:spacing w:val="-1"/>
        </w:rPr>
        <w:t>GR201744205000</w:t>
      </w:r>
      <w:r>
        <w:rPr>
          <w:spacing w:val="-1"/>
        </w:rPr>
        <w:t>），有效期三年，</w:t>
      </w:r>
      <w:r>
        <w:rPr>
          <w:rFonts w:ascii="宋体" w:hAnsi="宋体" w:cs="宋体" w:eastAsia="宋体" w:hint="default"/>
          <w:spacing w:val="-1"/>
        </w:rPr>
        <w:t>2018</w:t>
      </w:r>
      <w:r>
        <w:rPr>
          <w:spacing w:val="-1"/>
        </w:rPr>
        <w:t>年度企</w:t>
      </w:r>
      <w:r>
        <w:rPr>
          <w:spacing w:val="-72"/>
        </w:rPr>
        <w:t> </w:t>
      </w:r>
      <w:r>
        <w:rPr/>
        <w:t>业所得税税率为</w:t>
      </w:r>
      <w:r>
        <w:rPr>
          <w:rFonts w:ascii="宋体" w:hAnsi="宋体" w:cs="宋体" w:eastAsia="宋体" w:hint="default"/>
        </w:rPr>
        <w:t>15%</w:t>
      </w:r>
      <w:r>
        <w:rPr/>
        <w:t>。</w:t>
      </w:r>
    </w:p>
    <w:p>
      <w:pPr>
        <w:pStyle w:val="BodyText"/>
        <w:spacing w:line="420" w:lineRule="auto" w:before="48"/>
        <w:ind w:right="1130"/>
        <w:jc w:val="left"/>
      </w:pPr>
      <w:r>
        <w:rPr>
          <w:spacing w:val="-1"/>
        </w:rPr>
        <w:t>（</w:t>
      </w:r>
      <w:r>
        <w:rPr>
          <w:rFonts w:ascii="宋体" w:hAnsi="宋体" w:cs="宋体" w:eastAsia="宋体" w:hint="default"/>
          <w:spacing w:val="-1"/>
        </w:rPr>
        <w:t>10</w:t>
      </w:r>
      <w:r>
        <w:rPr>
          <w:spacing w:val="-1"/>
        </w:rPr>
        <w:t>）车音智能通过高新技术企业的重新认定，并于</w:t>
      </w:r>
      <w:r>
        <w:rPr>
          <w:rFonts w:ascii="宋体" w:hAnsi="宋体" w:cs="宋体" w:eastAsia="宋体" w:hint="default"/>
          <w:spacing w:val="-1"/>
        </w:rPr>
        <w:t>2016</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21</w:t>
      </w:r>
      <w:r>
        <w:rPr>
          <w:spacing w:val="-1"/>
        </w:rPr>
        <w:t>日取得由深圳市科学技术厅、深圳市财</w:t>
      </w:r>
      <w:r>
        <w:rPr>
          <w:spacing w:val="-84"/>
        </w:rPr>
        <w:t> </w:t>
      </w:r>
      <w:r>
        <w:rPr>
          <w:spacing w:val="-84"/>
        </w:rPr>
      </w:r>
      <w:r>
        <w:rPr>
          <w:spacing w:val="-1"/>
        </w:rPr>
        <w:t>政厅、深圳市国家税务局、深圳市地方税务局联合颁发的证书编号为</w:t>
      </w:r>
      <w:r>
        <w:rPr>
          <w:rFonts w:ascii="宋体" w:hAnsi="宋体" w:cs="宋体" w:eastAsia="宋体" w:hint="default"/>
          <w:spacing w:val="-1"/>
        </w:rPr>
        <w:t>GR201644203757</w:t>
      </w:r>
      <w:r>
        <w:rPr>
          <w:spacing w:val="-1"/>
        </w:rPr>
        <w:t>的《高新技术企业证</w:t>
      </w:r>
      <w:r>
        <w:rPr>
          <w:spacing w:val="-79"/>
        </w:rPr>
        <w:t> </w:t>
      </w:r>
      <w:r>
        <w:rPr>
          <w:spacing w:val="-79"/>
        </w:rPr>
      </w:r>
      <w:r>
        <w:rPr>
          <w:spacing w:val="-3"/>
        </w:rPr>
        <w:t>书》，有效期</w:t>
      </w:r>
      <w:r>
        <w:rPr>
          <w:rFonts w:ascii="宋体" w:hAnsi="宋体" w:cs="宋体" w:eastAsia="宋体" w:hint="default"/>
          <w:spacing w:val="-3"/>
        </w:rPr>
        <w:t>3</w:t>
      </w:r>
      <w:r>
        <w:rPr>
          <w:spacing w:val="-3"/>
        </w:rPr>
        <w:t>年。同时根据该文件规定车音智能享受国家规定的有关优惠政策，车音智能自</w:t>
      </w:r>
      <w:r>
        <w:rPr>
          <w:rFonts w:ascii="宋体" w:hAnsi="宋体" w:cs="宋体" w:eastAsia="宋体" w:hint="default"/>
          <w:spacing w:val="-3"/>
        </w:rPr>
        <w:t>2016</w:t>
      </w:r>
      <w:r>
        <w:rPr>
          <w:spacing w:val="-3"/>
        </w:rPr>
        <w:t>年至</w:t>
      </w:r>
      <w:r>
        <w:rPr>
          <w:rFonts w:ascii="宋体" w:hAnsi="宋体" w:cs="宋体" w:eastAsia="宋体" w:hint="default"/>
          <w:spacing w:val="-3"/>
        </w:rPr>
        <w:t>2018</w:t>
      </w:r>
      <w:r>
        <w:rPr>
          <w:rFonts w:ascii="宋体" w:hAnsi="宋体" w:cs="宋体" w:eastAsia="宋体" w:hint="default"/>
          <w:spacing w:val="-82"/>
        </w:rPr>
        <w:t> </w:t>
      </w:r>
      <w:r>
        <w:rPr/>
        <w:t>年所得税减按</w:t>
      </w:r>
      <w:r>
        <w:rPr>
          <w:rFonts w:ascii="宋体" w:hAnsi="宋体" w:cs="宋体" w:eastAsia="宋体" w:hint="default"/>
        </w:rPr>
        <w:t>15%</w:t>
      </w:r>
      <w:r>
        <w:rPr/>
        <w:t>计征；</w:t>
      </w:r>
      <w:r>
        <w:rPr>
          <w:rFonts w:ascii="宋体" w:hAnsi="宋体" w:cs="宋体" w:eastAsia="宋体" w:hint="default"/>
        </w:rPr>
        <w:t>2017</w:t>
      </w:r>
      <w:r>
        <w:rPr/>
        <w:t>年</w:t>
      </w:r>
      <w:r>
        <w:rPr>
          <w:rFonts w:ascii="宋体" w:hAnsi="宋体" w:cs="宋体" w:eastAsia="宋体" w:hint="default"/>
        </w:rPr>
        <w:t>12</w:t>
      </w:r>
      <w:r>
        <w:rPr/>
        <w:t>月，车音智能获得软件企业资格证书（证书编号深</w:t>
      </w:r>
      <w:r>
        <w:rPr>
          <w:rFonts w:ascii="宋体" w:hAnsi="宋体" w:cs="宋体" w:eastAsia="宋体" w:hint="default"/>
        </w:rPr>
        <w:t>RQ-2017-0794</w:t>
      </w:r>
      <w:r>
        <w:rPr/>
        <w:t>），根 </w:t>
      </w:r>
      <w:r>
        <w:rPr>
          <w:spacing w:val="-1"/>
        </w:rPr>
        <w:t>据财政部颁发的《关于进一步鼓励软件产业和集成电路产业发展企业所得税政策的通知》（财税</w:t>
      </w:r>
      <w:r>
        <w:rPr>
          <w:rFonts w:ascii="宋体" w:hAnsi="宋体" w:cs="宋体" w:eastAsia="宋体" w:hint="default"/>
          <w:spacing w:val="-1"/>
        </w:rPr>
        <w:t>[2012]27</w:t>
      </w:r>
      <w:r>
        <w:rPr>
          <w:rFonts w:ascii="宋体" w:hAnsi="宋体" w:cs="宋体" w:eastAsia="宋体" w:hint="default"/>
          <w:spacing w:val="-77"/>
        </w:rPr>
        <w:t> </w:t>
      </w:r>
      <w:r>
        <w:rPr>
          <w:spacing w:val="-1"/>
        </w:rPr>
        <w:t>号）文件，软件企业自获利年度起享受两免三减半的所得税税收优惠。车音智能自</w:t>
      </w:r>
      <w:r>
        <w:rPr>
          <w:rFonts w:ascii="宋体" w:hAnsi="宋体" w:cs="宋体" w:eastAsia="宋体" w:hint="default"/>
          <w:spacing w:val="-1"/>
        </w:rPr>
        <w:t>2017</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日起，享受</w:t>
      </w:r>
      <w:r>
        <w:rPr>
          <w:spacing w:val="-86"/>
        </w:rPr>
        <w:t> </w:t>
      </w:r>
      <w:r>
        <w:rPr>
          <w:spacing w:val="-86"/>
        </w:rPr>
      </w:r>
      <w:r>
        <w:rPr/>
        <w:t>两免三减半的所得税税收优惠。</w:t>
      </w:r>
    </w:p>
    <w:p>
      <w:pPr>
        <w:pStyle w:val="BodyText"/>
        <w:spacing w:line="420" w:lineRule="auto" w:before="47"/>
        <w:ind w:right="1092"/>
        <w:jc w:val="left"/>
      </w:pPr>
      <w:r>
        <w:rPr>
          <w:spacing w:val="-1"/>
        </w:rPr>
        <w:t>（</w:t>
      </w:r>
      <w:r>
        <w:rPr>
          <w:rFonts w:ascii="宋体" w:hAnsi="宋体" w:cs="宋体" w:eastAsia="宋体" w:hint="default"/>
          <w:spacing w:val="-1"/>
        </w:rPr>
        <w:t>11</w:t>
      </w:r>
      <w:r>
        <w:rPr>
          <w:spacing w:val="-1"/>
        </w:rPr>
        <w:t>）上海车音通过高新技术企业的重新认定，并于</w:t>
      </w:r>
      <w:r>
        <w:rPr>
          <w:rFonts w:ascii="宋体" w:hAnsi="宋体" w:cs="宋体" w:eastAsia="宋体" w:hint="default"/>
          <w:spacing w:val="-1"/>
        </w:rPr>
        <w:t>2017</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23</w:t>
      </w:r>
      <w:r>
        <w:rPr>
          <w:spacing w:val="-1"/>
        </w:rPr>
        <w:t>日取得由上海市科学技术厅、上海市财</w:t>
      </w:r>
      <w:r>
        <w:rPr>
          <w:spacing w:val="-84"/>
        </w:rPr>
        <w:t> </w:t>
      </w:r>
      <w:r>
        <w:rPr>
          <w:spacing w:val="-84"/>
        </w:rPr>
      </w:r>
      <w:r>
        <w:rPr/>
        <w:t>政厅、上海市国家税务局、上海市地方税务局联合颁发的证书编号为</w:t>
      </w:r>
      <w:r>
        <w:rPr>
          <w:rFonts w:ascii="宋体" w:hAnsi="宋体" w:cs="宋体" w:eastAsia="宋体" w:hint="default"/>
        </w:rPr>
        <w:t>GR201731001743</w:t>
      </w:r>
      <w:r>
        <w:rPr/>
        <w:t>高新技术企业证书， 有效期</w:t>
      </w:r>
      <w:r>
        <w:rPr>
          <w:rFonts w:ascii="宋体" w:hAnsi="宋体" w:cs="宋体" w:eastAsia="宋体" w:hint="default"/>
        </w:rPr>
        <w:t>3</w:t>
      </w:r>
      <w:r>
        <w:rPr/>
        <w:t>年。同时根据该文件规定上海车音享受国家规定的有关优惠政策，自</w:t>
      </w:r>
      <w:r>
        <w:rPr>
          <w:rFonts w:ascii="宋体" w:hAnsi="宋体" w:cs="宋体" w:eastAsia="宋体" w:hint="default"/>
        </w:rPr>
        <w:t>2017</w:t>
      </w:r>
      <w:r>
        <w:rPr/>
        <w:t>年至</w:t>
      </w:r>
      <w:r>
        <w:rPr>
          <w:rFonts w:ascii="宋体" w:hAnsi="宋体" w:cs="宋体" w:eastAsia="宋体" w:hint="default"/>
        </w:rPr>
        <w:t>2019</w:t>
      </w:r>
      <w:r>
        <w:rPr/>
        <w:t>年所得税减按 </w:t>
      </w:r>
      <w:r>
        <w:rPr>
          <w:rFonts w:ascii="宋体" w:hAnsi="宋体" w:cs="宋体" w:eastAsia="宋体" w:hint="default"/>
        </w:rPr>
        <w:t>15%</w:t>
      </w:r>
      <w:r>
        <w:rPr/>
        <w:t>计征；</w:t>
      </w:r>
    </w:p>
    <w:p>
      <w:pPr>
        <w:pStyle w:val="BodyText"/>
        <w:spacing w:line="420" w:lineRule="auto" w:before="47"/>
        <w:ind w:right="1216"/>
        <w:jc w:val="both"/>
      </w:pPr>
      <w:r>
        <w:rPr/>
        <w:t>（</w:t>
      </w:r>
      <w:r>
        <w:rPr>
          <w:rFonts w:ascii="宋体" w:hAnsi="宋体" w:cs="宋体" w:eastAsia="宋体" w:hint="default"/>
        </w:rPr>
        <w:t>12</w:t>
      </w:r>
      <w:r>
        <w:rPr/>
        <w:t>）北京车音通过高新技术企业的认定，并于</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10</w:t>
      </w:r>
      <w:r>
        <w:rPr/>
        <w:t>日取得编号为</w:t>
      </w:r>
      <w:r>
        <w:rPr>
          <w:rFonts w:ascii="宋体" w:hAnsi="宋体" w:cs="宋体" w:eastAsia="宋体" w:hint="default"/>
        </w:rPr>
        <w:t>GR201811003492</w:t>
      </w:r>
      <w:r>
        <w:rPr/>
        <w:t>高新技术企业 证书，有效期</w:t>
      </w:r>
      <w:r>
        <w:rPr>
          <w:rFonts w:ascii="宋体" w:hAnsi="宋体" w:cs="宋体" w:eastAsia="宋体" w:hint="default"/>
        </w:rPr>
        <w:t>3</w:t>
      </w:r>
      <w:r>
        <w:rPr/>
        <w:t>年。同时根据该文件规定本公司享受国家规定的有关优惠政策，自</w:t>
      </w:r>
      <w:r>
        <w:rPr>
          <w:rFonts w:ascii="宋体" w:hAnsi="宋体" w:cs="宋体" w:eastAsia="宋体" w:hint="default"/>
        </w:rPr>
        <w:t>2018</w:t>
      </w:r>
      <w:r>
        <w:rPr/>
        <w:t>年至</w:t>
      </w:r>
      <w:r>
        <w:rPr>
          <w:rFonts w:ascii="宋体" w:hAnsi="宋体" w:cs="宋体" w:eastAsia="宋体" w:hint="default"/>
        </w:rPr>
        <w:t>2020</w:t>
      </w:r>
      <w:r>
        <w:rPr/>
        <w:t>年所得税 减按</w:t>
      </w:r>
      <w:r>
        <w:rPr>
          <w:rFonts w:ascii="宋体" w:hAnsi="宋体" w:cs="宋体" w:eastAsia="宋体" w:hint="default"/>
        </w:rPr>
        <w:t>15%</w:t>
      </w:r>
      <w:r>
        <w:rPr/>
        <w:t>计征；</w:t>
      </w:r>
    </w:p>
    <w:p>
      <w:pPr>
        <w:spacing w:after="0" w:line="420"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0"/>
        <w:jc w:val="left"/>
      </w:pPr>
      <w:r>
        <w:rPr>
          <w:spacing w:val="-1"/>
        </w:rPr>
        <w:t>（</w:t>
      </w:r>
      <w:r>
        <w:rPr>
          <w:rFonts w:ascii="宋体" w:hAnsi="宋体" w:cs="宋体" w:eastAsia="宋体" w:hint="default"/>
          <w:spacing w:val="-1"/>
        </w:rPr>
        <w:t>13</w:t>
      </w:r>
      <w:r>
        <w:rPr>
          <w:spacing w:val="-1"/>
        </w:rPr>
        <w:t>）北京亚越、广州粤瑛纬本期符合小型微利企业条件，其所得减按</w:t>
      </w:r>
      <w:r>
        <w:rPr>
          <w:rFonts w:ascii="宋体" w:hAnsi="宋体" w:cs="宋体" w:eastAsia="宋体" w:hint="default"/>
          <w:spacing w:val="-1"/>
        </w:rPr>
        <w:t>50%</w:t>
      </w:r>
      <w:r>
        <w:rPr>
          <w:spacing w:val="-1"/>
        </w:rPr>
        <w:t>计入应纳税所得额，按</w:t>
      </w:r>
      <w:r>
        <w:rPr>
          <w:rFonts w:ascii="宋体" w:hAnsi="宋体" w:cs="宋体" w:eastAsia="宋体" w:hint="default"/>
          <w:spacing w:val="-1"/>
        </w:rPr>
        <w:t>20%</w:t>
      </w:r>
      <w:r>
        <w:rPr>
          <w:spacing w:val="-1"/>
        </w:rPr>
        <w:t>的税</w:t>
      </w:r>
      <w:r>
        <w:rPr>
          <w:spacing w:val="-84"/>
        </w:rPr>
        <w:t> </w:t>
      </w:r>
      <w:r>
        <w:rPr/>
        <w:t>率缴纳企业所得税。</w:t>
      </w:r>
    </w:p>
    <w:p>
      <w:pPr>
        <w:pStyle w:val="BodyText"/>
        <w:spacing w:line="240" w:lineRule="auto" w:before="47"/>
        <w:ind w:right="0"/>
        <w:jc w:val="left"/>
      </w:pPr>
      <w:r>
        <w:rPr/>
        <w:t>（</w:t>
      </w:r>
      <w:r>
        <w:rPr>
          <w:rFonts w:ascii="宋体" w:hAnsi="宋体" w:cs="宋体" w:eastAsia="宋体" w:hint="default"/>
        </w:rPr>
        <w:t>14</w:t>
      </w:r>
      <w:r>
        <w:rPr/>
        <w:t>）新加坡车音所得税税率为</w:t>
      </w:r>
      <w:r>
        <w:rPr>
          <w:rFonts w:ascii="宋体" w:hAnsi="宋体" w:cs="宋体" w:eastAsia="宋体" w:hint="default"/>
        </w:rPr>
        <w:t>17%</w:t>
      </w:r>
      <w:r>
        <w:rPr/>
        <w:t>。</w:t>
      </w:r>
    </w:p>
    <w:p>
      <w:pPr>
        <w:spacing w:line="240" w:lineRule="auto" w:before="9"/>
        <w:rPr>
          <w:rFonts w:ascii="宋体" w:hAnsi="宋体" w:cs="宋体" w:eastAsia="宋体" w:hint="default"/>
          <w:sz w:val="15"/>
          <w:szCs w:val="15"/>
        </w:rPr>
      </w:pPr>
    </w:p>
    <w:p>
      <w:pPr>
        <w:pStyle w:val="BodyText"/>
        <w:spacing w:line="547" w:lineRule="auto"/>
        <w:ind w:right="5187"/>
        <w:jc w:val="left"/>
        <w:rPr>
          <w:rFonts w:ascii="宋体" w:hAnsi="宋体" w:cs="宋体" w:eastAsia="宋体" w:hint="default"/>
        </w:rPr>
      </w:pPr>
      <w:r>
        <w:rPr/>
        <w:t>（</w:t>
      </w:r>
      <w:r>
        <w:rPr>
          <w:rFonts w:ascii="宋体" w:hAnsi="宋体" w:cs="宋体" w:eastAsia="宋体" w:hint="default"/>
        </w:rPr>
        <w:t>15</w:t>
      </w:r>
      <w:r>
        <w:rPr/>
        <w:t>）本公司及其他子公司</w:t>
      </w:r>
      <w:r>
        <w:rPr>
          <w:rFonts w:ascii="宋体" w:hAnsi="宋体" w:cs="宋体" w:eastAsia="宋体" w:hint="default"/>
        </w:rPr>
        <w:t>2018</w:t>
      </w:r>
      <w:r>
        <w:rPr/>
        <w:t>年度企业所得税税率为</w:t>
      </w:r>
      <w:r>
        <w:rPr>
          <w:rFonts w:ascii="宋体" w:hAnsi="宋体" w:cs="宋体" w:eastAsia="宋体" w:hint="default"/>
        </w:rPr>
        <w:t>25%</w:t>
      </w:r>
      <w:r>
        <w:rPr/>
        <w:t>。 </w:t>
      </w:r>
      <w:bookmarkStart w:name="3、其他" w:id="222"/>
      <w:bookmarkEnd w:id="222"/>
      <w:r>
        <w:rPr/>
      </w:r>
      <w:r>
        <w:rPr>
          <w:rFonts w:ascii="宋体" w:hAnsi="宋体" w:cs="宋体" w:eastAsia="宋体" w:hint="default"/>
          <w:b/>
          <w:bCs/>
        </w:rPr>
        <w:t>3</w:t>
      </w:r>
      <w:r>
        <w:rPr>
          <w:rFonts w:ascii="宋体" w:hAnsi="宋体" w:cs="宋体" w:eastAsia="宋体" w:hint="default"/>
          <w:b/>
          <w:bCs/>
        </w:rPr>
        <w:t>、其他</w:t>
      </w:r>
      <w:r>
        <w:rPr>
          <w:rFonts w:ascii="宋体" w:hAnsi="宋体" w:cs="宋体" w:eastAsia="宋体" w:hint="default"/>
        </w:rPr>
      </w:r>
    </w:p>
    <w:p>
      <w:pPr>
        <w:pStyle w:val="Heading4"/>
        <w:spacing w:line="240" w:lineRule="auto" w:before="68"/>
        <w:ind w:right="0"/>
        <w:jc w:val="left"/>
        <w:rPr>
          <w:b w:val="0"/>
          <w:bCs w:val="0"/>
        </w:rPr>
      </w:pPr>
      <w:bookmarkStart w:name="（1）增值税" w:id="223"/>
      <w:bookmarkEnd w:id="223"/>
      <w:r>
        <w:rPr>
          <w:b w:val="0"/>
          <w:bCs w:val="0"/>
        </w:rPr>
      </w:r>
      <w:r>
        <w:rPr/>
        <w:t>（</w:t>
      </w:r>
      <w:r>
        <w:rPr>
          <w:rFonts w:ascii="宋体" w:hAnsi="宋体" w:cs="宋体" w:eastAsia="宋体" w:hint="default"/>
        </w:rPr>
        <w:t>1</w:t>
      </w:r>
      <w:r>
        <w:rPr/>
        <w:t>）增值税</w:t>
      </w:r>
      <w:r>
        <w:rPr>
          <w:b w:val="0"/>
          <w:bCs w:val="0"/>
        </w:rPr>
      </w:r>
    </w:p>
    <w:p>
      <w:pPr>
        <w:spacing w:line="240" w:lineRule="auto" w:before="4"/>
        <w:rPr>
          <w:rFonts w:ascii="宋体" w:hAnsi="宋体" w:cs="宋体" w:eastAsia="宋体" w:hint="default"/>
          <w:b/>
          <w:bCs/>
          <w:sz w:val="27"/>
          <w:szCs w:val="27"/>
        </w:rPr>
      </w:pPr>
    </w:p>
    <w:tbl>
      <w:tblPr>
        <w:tblW w:w="0" w:type="auto"/>
        <w:jc w:val="left"/>
        <w:tblInd w:w="146" w:type="dxa"/>
        <w:tblLayout w:type="fixed"/>
        <w:tblCellMar>
          <w:top w:w="0" w:type="dxa"/>
          <w:left w:w="0" w:type="dxa"/>
          <w:bottom w:w="0" w:type="dxa"/>
          <w:right w:w="0" w:type="dxa"/>
        </w:tblCellMar>
        <w:tblLook w:val="01E0"/>
      </w:tblPr>
      <w:tblGrid>
        <w:gridCol w:w="7090"/>
        <w:gridCol w:w="2410"/>
      </w:tblGrid>
      <w:tr>
        <w:trPr>
          <w:trHeight w:val="341" w:hRule="exact"/>
        </w:trPr>
        <w:tc>
          <w:tcPr>
            <w:tcW w:w="70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659" w:hRule="exact"/>
        </w:trPr>
        <w:tc>
          <w:tcPr>
            <w:tcW w:w="70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购买纸张、受托印刷有统一刊号（</w:t>
            </w:r>
            <w:r>
              <w:rPr>
                <w:rFonts w:ascii="宋体" w:hAnsi="宋体" w:cs="宋体" w:eastAsia="宋体" w:hint="default"/>
                <w:sz w:val="18"/>
                <w:szCs w:val="18"/>
              </w:rPr>
              <w:t>CN</w:t>
            </w:r>
            <w:r>
              <w:rPr>
                <w:rFonts w:ascii="宋体" w:hAnsi="宋体" w:cs="宋体" w:eastAsia="宋体" w:hint="default"/>
                <w:sz w:val="18"/>
                <w:szCs w:val="18"/>
              </w:rPr>
              <w:t>）以及采用国际标准书号编序的图书、报刊和杂志取</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得印刷收入</w:t>
            </w:r>
          </w:p>
        </w:tc>
        <w:tc>
          <w:tcPr>
            <w:tcW w:w="2410"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0"/>
              <w:jc w:val="right"/>
              <w:rPr>
                <w:rFonts w:ascii="宋体" w:hAnsi="宋体" w:cs="宋体" w:eastAsia="宋体" w:hint="default"/>
                <w:sz w:val="18"/>
                <w:szCs w:val="18"/>
              </w:rPr>
            </w:pPr>
            <w:r>
              <w:rPr>
                <w:rFonts w:ascii="宋体"/>
                <w:sz w:val="18"/>
              </w:rPr>
              <w:t>10%</w:t>
            </w:r>
          </w:p>
        </w:tc>
      </w:tr>
      <w:tr>
        <w:trPr>
          <w:trHeight w:val="346" w:hRule="exact"/>
        </w:trPr>
        <w:tc>
          <w:tcPr>
            <w:tcW w:w="70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批发、零售漫画图书、期刊的收入</w:t>
            </w:r>
          </w:p>
        </w:tc>
        <w:tc>
          <w:tcPr>
            <w:tcW w:w="24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10%</w:t>
            </w:r>
          </w:p>
        </w:tc>
      </w:tr>
      <w:tr>
        <w:trPr>
          <w:trHeight w:val="348" w:hRule="exact"/>
        </w:trPr>
        <w:tc>
          <w:tcPr>
            <w:tcW w:w="70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其他印刷收入</w:t>
            </w:r>
          </w:p>
        </w:tc>
        <w:tc>
          <w:tcPr>
            <w:tcW w:w="24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16%</w:t>
            </w:r>
          </w:p>
        </w:tc>
      </w:tr>
      <w:tr>
        <w:trPr>
          <w:trHeight w:val="347" w:hRule="exact"/>
        </w:trPr>
        <w:tc>
          <w:tcPr>
            <w:tcW w:w="70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漫画图书、期刊的周边产品销售收入</w:t>
            </w:r>
          </w:p>
        </w:tc>
        <w:tc>
          <w:tcPr>
            <w:tcW w:w="24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16%</w:t>
            </w:r>
          </w:p>
        </w:tc>
      </w:tr>
      <w:tr>
        <w:trPr>
          <w:trHeight w:val="342" w:hRule="exact"/>
        </w:trPr>
        <w:tc>
          <w:tcPr>
            <w:tcW w:w="70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软件、硬件销售收入</w:t>
            </w:r>
          </w:p>
        </w:tc>
        <w:tc>
          <w:tcPr>
            <w:tcW w:w="24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16%</w:t>
            </w:r>
          </w:p>
        </w:tc>
      </w:tr>
      <w:tr>
        <w:trPr>
          <w:trHeight w:val="669" w:hRule="exact"/>
        </w:trPr>
        <w:tc>
          <w:tcPr>
            <w:tcW w:w="70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信息传播服务收入、视频信息服务收入、动漫类服务收入、网络游戏收入</w:t>
            </w:r>
          </w:p>
        </w:tc>
        <w:tc>
          <w:tcPr>
            <w:tcW w:w="24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或</w:t>
            </w:r>
            <w:r>
              <w:rPr>
                <w:rFonts w:ascii="宋体" w:hAnsi="宋体" w:cs="宋体" w:eastAsia="宋体" w:hint="default"/>
                <w:sz w:val="18"/>
                <w:szCs w:val="18"/>
              </w:rPr>
              <w:t>3%</w:t>
            </w:r>
          </w:p>
          <w:p>
            <w:pPr>
              <w:pStyle w:val="TableParagraph"/>
              <w:spacing w:line="240" w:lineRule="auto" w:before="76"/>
              <w:ind w:right="0"/>
              <w:jc w:val="right"/>
              <w:rPr>
                <w:rFonts w:ascii="宋体" w:hAnsi="宋体" w:cs="宋体" w:eastAsia="宋体" w:hint="default"/>
                <w:sz w:val="18"/>
                <w:szCs w:val="18"/>
              </w:rPr>
            </w:pPr>
            <w:r>
              <w:rPr>
                <w:rFonts w:ascii="宋体" w:hAnsi="宋体" w:cs="宋体" w:eastAsia="宋体" w:hint="default"/>
                <w:sz w:val="18"/>
                <w:szCs w:val="18"/>
              </w:rPr>
              <w:t>（小规模纳税人）</w:t>
            </w:r>
          </w:p>
        </w:tc>
      </w:tr>
      <w:tr>
        <w:trPr>
          <w:trHeight w:val="341" w:hRule="exact"/>
        </w:trPr>
        <w:tc>
          <w:tcPr>
            <w:tcW w:w="70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商品配送服务收入</w:t>
            </w:r>
          </w:p>
        </w:tc>
        <w:tc>
          <w:tcPr>
            <w:tcW w:w="24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10%</w:t>
            </w:r>
          </w:p>
        </w:tc>
      </w:tr>
      <w:tr>
        <w:trPr>
          <w:trHeight w:val="343" w:hRule="exact"/>
        </w:trPr>
        <w:tc>
          <w:tcPr>
            <w:tcW w:w="70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贸易代理及其他服务业务</w:t>
            </w:r>
          </w:p>
        </w:tc>
        <w:tc>
          <w:tcPr>
            <w:tcW w:w="24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w:t>
            </w:r>
          </w:p>
        </w:tc>
      </w:tr>
    </w:tbl>
    <w:p>
      <w:pPr>
        <w:spacing w:line="240" w:lineRule="auto" w:before="4"/>
        <w:rPr>
          <w:rFonts w:ascii="宋体" w:hAnsi="宋体" w:cs="宋体" w:eastAsia="宋体" w:hint="default"/>
          <w:b/>
          <w:bCs/>
          <w:sz w:val="8"/>
          <w:szCs w:val="8"/>
        </w:rPr>
      </w:pPr>
    </w:p>
    <w:p>
      <w:pPr>
        <w:pStyle w:val="BodyText"/>
        <w:spacing w:line="420" w:lineRule="auto" w:before="35"/>
        <w:ind w:right="0"/>
        <w:jc w:val="left"/>
      </w:pPr>
      <w:r>
        <w:rPr/>
        <w:t>①根据《关于软件产品增值税政策的通知》（财税</w:t>
      </w:r>
      <w:r>
        <w:rPr>
          <w:rFonts w:ascii="宋体" w:hAnsi="宋体" w:cs="宋体" w:eastAsia="宋体" w:hint="default"/>
        </w:rPr>
        <w:t>[2011]100</w:t>
      </w:r>
      <w:r>
        <w:rPr/>
        <w:t>号）规定，邦富软件申请备案的软件产品符 合税收减免备案条件，分别于</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28</w:t>
      </w:r>
      <w:r>
        <w:rPr/>
        <w:t>日和</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2</w:t>
      </w:r>
      <w:r>
        <w:rPr/>
        <w:t>号取得由广州市天河区国家税务局下发的编号 </w:t>
      </w:r>
      <w:r>
        <w:rPr>
          <w:spacing w:val="-3"/>
        </w:rPr>
        <w:t>为“穗天国税五减备</w:t>
      </w:r>
      <w:r>
        <w:rPr>
          <w:rFonts w:ascii="宋体" w:hAnsi="宋体" w:cs="宋体" w:eastAsia="宋体" w:hint="default"/>
          <w:spacing w:val="-3"/>
        </w:rPr>
        <w:t>[2012]100257</w:t>
      </w:r>
      <w:r>
        <w:rPr>
          <w:spacing w:val="-3"/>
        </w:rPr>
        <w:t>号”和“穗天国税减备</w:t>
      </w:r>
      <w:r>
        <w:rPr>
          <w:rFonts w:ascii="宋体" w:hAnsi="宋体" w:cs="宋体" w:eastAsia="宋体" w:hint="default"/>
          <w:spacing w:val="-3"/>
        </w:rPr>
        <w:t>[2013]100562</w:t>
      </w:r>
      <w:r>
        <w:rPr>
          <w:spacing w:val="-3"/>
        </w:rPr>
        <w:t>号”的《减免税备案登记告知书》，</w:t>
      </w:r>
      <w:r>
        <w:rPr>
          <w:spacing w:val="-59"/>
        </w:rPr>
        <w:t> </w:t>
      </w:r>
      <w:r>
        <w:rPr>
          <w:spacing w:val="-59"/>
        </w:rPr>
      </w:r>
      <w:r>
        <w:rPr/>
        <w:t>分别自</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w:t>
      </w:r>
      <w:r>
        <w:rPr/>
        <w:t>日和</w:t>
      </w:r>
      <w:r>
        <w:rPr>
          <w:rFonts w:ascii="宋体" w:hAnsi="宋体" w:cs="宋体" w:eastAsia="宋体" w:hint="default"/>
        </w:rPr>
        <w:t>2013</w:t>
      </w:r>
      <w:r>
        <w:rPr/>
        <w:t>年</w:t>
      </w:r>
      <w:r>
        <w:rPr>
          <w:rFonts w:ascii="宋体" w:hAnsi="宋体" w:cs="宋体" w:eastAsia="宋体" w:hint="default"/>
        </w:rPr>
        <w:t>9</w:t>
      </w:r>
      <w:r>
        <w:rPr/>
        <w:t>月</w:t>
      </w:r>
      <w:r>
        <w:rPr>
          <w:rFonts w:ascii="宋体" w:hAnsi="宋体" w:cs="宋体" w:eastAsia="宋体" w:hint="default"/>
        </w:rPr>
        <w:t>1</w:t>
      </w:r>
      <w:r>
        <w:rPr/>
        <w:t>日起执行减免相关备案产品增值税，实行即征即退。</w:t>
      </w:r>
    </w:p>
    <w:p>
      <w:pPr>
        <w:pStyle w:val="BodyText"/>
        <w:spacing w:line="420" w:lineRule="auto" w:before="47"/>
        <w:ind w:right="1130"/>
        <w:jc w:val="both"/>
      </w:pPr>
      <w:r>
        <w:rPr>
          <w:spacing w:val="-1"/>
        </w:rPr>
        <w:t>②根据《关于鼓励软件产业和集成电路产业发展有关税收政策问题的通知》（财税</w:t>
      </w:r>
      <w:r>
        <w:rPr>
          <w:rFonts w:ascii="宋体" w:hAnsi="宋体" w:cs="宋体" w:eastAsia="宋体" w:hint="default"/>
          <w:spacing w:val="-1"/>
        </w:rPr>
        <w:t>[2000]25</w:t>
      </w:r>
      <w:r>
        <w:rPr>
          <w:spacing w:val="-1"/>
        </w:rPr>
        <w:t>号）规定，邦</w:t>
      </w:r>
      <w:r>
        <w:rPr>
          <w:spacing w:val="-77"/>
        </w:rPr>
        <w:t> </w:t>
      </w:r>
      <w:r>
        <w:rPr>
          <w:spacing w:val="-77"/>
        </w:rPr>
      </w:r>
      <w:r>
        <w:rPr>
          <w:spacing w:val="-1"/>
        </w:rPr>
        <w:t>富软件符合增值税减免备案条件，于</w:t>
      </w:r>
      <w:r>
        <w:rPr>
          <w:rFonts w:ascii="宋体" w:hAnsi="宋体" w:cs="宋体" w:eastAsia="宋体" w:hint="default"/>
          <w:spacing w:val="-1"/>
        </w:rPr>
        <w:t>2013</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10</w:t>
      </w:r>
      <w:r>
        <w:rPr>
          <w:spacing w:val="-1"/>
        </w:rPr>
        <w:t>日取得由广州市天河区国家税务局下发的编号为“穗天</w:t>
      </w:r>
      <w:r>
        <w:rPr>
          <w:spacing w:val="-81"/>
        </w:rPr>
        <w:t> </w:t>
      </w:r>
      <w:r>
        <w:rPr>
          <w:spacing w:val="-81"/>
        </w:rPr>
      </w:r>
      <w:r>
        <w:rPr>
          <w:spacing w:val="-1"/>
        </w:rPr>
        <w:t>国税减备</w:t>
      </w:r>
      <w:r>
        <w:rPr>
          <w:rFonts w:ascii="宋体" w:hAnsi="宋体" w:cs="宋体" w:eastAsia="宋体" w:hint="default"/>
          <w:spacing w:val="-1"/>
        </w:rPr>
        <w:t>[2013]100696</w:t>
      </w:r>
      <w:r>
        <w:rPr>
          <w:spacing w:val="-1"/>
        </w:rPr>
        <w:t>号”的《减免税备案登记告知书》，自</w:t>
      </w:r>
      <w:r>
        <w:rPr>
          <w:rFonts w:ascii="宋体" w:hAnsi="宋体" w:cs="宋体" w:eastAsia="宋体" w:hint="default"/>
          <w:spacing w:val="-1"/>
        </w:rPr>
        <w:t>2014</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日起邦富软件技术转让、技术开</w:t>
      </w:r>
      <w:r>
        <w:rPr>
          <w:spacing w:val="-81"/>
        </w:rPr>
        <w:t> </w:t>
      </w:r>
      <w:r>
        <w:rPr>
          <w:spacing w:val="-81"/>
        </w:rPr>
      </w:r>
      <w:r>
        <w:rPr/>
        <w:t>发和与之相关的技术咨询、技术服务免征增值税。</w:t>
      </w:r>
    </w:p>
    <w:p>
      <w:pPr>
        <w:pStyle w:val="BodyText"/>
        <w:tabs>
          <w:tab w:pos="2455" w:val="left" w:leader="none"/>
        </w:tabs>
        <w:spacing w:line="420" w:lineRule="auto" w:before="47"/>
        <w:ind w:right="1132"/>
        <w:jc w:val="left"/>
      </w:pPr>
      <w:r>
        <w:rPr>
          <w:spacing w:val="-1"/>
        </w:rPr>
        <w:t>③根据财税〔</w:t>
      </w:r>
      <w:r>
        <w:rPr>
          <w:rFonts w:ascii="宋体" w:hAnsi="宋体" w:cs="宋体" w:eastAsia="宋体" w:hint="default"/>
          <w:spacing w:val="-1"/>
        </w:rPr>
        <w:t>2018</w:t>
      </w:r>
      <w:r>
        <w:rPr>
          <w:spacing w:val="-1"/>
        </w:rPr>
        <w:t>〕</w:t>
      </w:r>
      <w:r>
        <w:rPr>
          <w:rFonts w:ascii="宋体" w:hAnsi="宋体" w:cs="宋体" w:eastAsia="宋体" w:hint="default"/>
          <w:spacing w:val="-1"/>
        </w:rPr>
        <w:t>53</w:t>
        <w:tab/>
      </w:r>
      <w:r>
        <w:rPr>
          <w:spacing w:val="-1"/>
        </w:rPr>
        <w:t>号文规定，自</w:t>
      </w:r>
      <w:r>
        <w:rPr>
          <w:rFonts w:ascii="宋体" w:hAnsi="宋体" w:cs="宋体" w:eastAsia="宋体" w:hint="default"/>
          <w:spacing w:val="-1"/>
        </w:rPr>
        <w:t>2018</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日起至</w:t>
      </w:r>
      <w:r>
        <w:rPr>
          <w:rFonts w:ascii="宋体" w:hAnsi="宋体" w:cs="宋体" w:eastAsia="宋体" w:hint="default"/>
          <w:spacing w:val="-1"/>
        </w:rPr>
        <w:t>2020</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日，免征图书批发、零售环节增值</w:t>
      </w:r>
      <w:r>
        <w:rPr>
          <w:spacing w:val="-84"/>
        </w:rPr>
        <w:t> </w:t>
      </w:r>
      <w:r>
        <w:rPr>
          <w:spacing w:val="-84"/>
        </w:rPr>
      </w:r>
      <w:r>
        <w:rPr/>
        <w:t>税，漫友文化漫画图书出版销售享受此优费政策。</w:t>
      </w:r>
    </w:p>
    <w:p>
      <w:pPr>
        <w:pStyle w:val="BodyText"/>
        <w:spacing w:line="420" w:lineRule="auto" w:before="47"/>
        <w:ind w:right="1116"/>
        <w:jc w:val="left"/>
      </w:pPr>
      <w:r>
        <w:rPr/>
        <w:t>④根据财政部、国家税务总局《关于软件产品增值税政策的通知》（财税</w:t>
      </w:r>
      <w:r>
        <w:rPr>
          <w:rFonts w:ascii="宋体" w:hAnsi="宋体" w:cs="宋体" w:eastAsia="宋体" w:hint="default"/>
        </w:rPr>
        <w:t>[2011]100</w:t>
      </w:r>
      <w:r>
        <w:rPr/>
        <w:t>号）文有关规定，车 </w:t>
      </w:r>
      <w:r>
        <w:rPr>
          <w:spacing w:val="-1"/>
        </w:rPr>
        <w:t>音智能自行开发研制软件产品销售收入按法定税率缴纳增值税后，对实际税负超过</w:t>
      </w:r>
      <w:r>
        <w:rPr>
          <w:rFonts w:ascii="宋体" w:hAnsi="宋体" w:cs="宋体" w:eastAsia="宋体" w:hint="default"/>
          <w:spacing w:val="-1"/>
        </w:rPr>
        <w:t>3%</w:t>
      </w:r>
      <w:r>
        <w:rPr>
          <w:spacing w:val="-1"/>
        </w:rPr>
        <w:t>的部分实行即征即退</w:t>
      </w:r>
      <w:r>
        <w:rPr>
          <w:spacing w:val="-81"/>
        </w:rPr>
        <w:t> </w:t>
      </w:r>
      <w:r>
        <w:rPr>
          <w:spacing w:val="-81"/>
        </w:rPr>
      </w:r>
      <w:r>
        <w:rPr/>
        <w:t>政策。</w:t>
      </w:r>
    </w:p>
    <w:p>
      <w:pPr>
        <w:pStyle w:val="Heading4"/>
        <w:spacing w:line="240" w:lineRule="auto" w:before="47"/>
        <w:ind w:right="0"/>
        <w:jc w:val="left"/>
        <w:rPr>
          <w:b w:val="0"/>
          <w:bCs w:val="0"/>
        </w:rPr>
      </w:pPr>
      <w:r>
        <w:rPr/>
        <w:t>（</w:t>
      </w:r>
      <w:r>
        <w:rPr>
          <w:rFonts w:ascii="宋体" w:hAnsi="宋体" w:cs="宋体" w:eastAsia="宋体" w:hint="default"/>
        </w:rPr>
        <w:t>2</w:t>
      </w:r>
      <w:r>
        <w:rPr/>
        <w:t>）城市维护建设税、教育费附加和地方教育费附加</w:t>
      </w:r>
      <w:r>
        <w:rPr>
          <w:b w:val="0"/>
          <w:bCs w:val="0"/>
        </w:rPr>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420" w:lineRule="auto"/>
        <w:ind w:right="0"/>
        <w:jc w:val="left"/>
      </w:pPr>
      <w:r>
        <w:rPr>
          <w:spacing w:val="-1"/>
        </w:rPr>
        <w:t>①精视文化、精视广告（不含分公司）、北京车音、上海逊睿、上海祥隆城市维护建设税按计提增值税额</w:t>
      </w:r>
      <w:r>
        <w:rPr>
          <w:spacing w:val="-83"/>
        </w:rPr>
        <w:t> </w:t>
      </w:r>
      <w:r>
        <w:rPr>
          <w:spacing w:val="-83"/>
        </w:rPr>
      </w:r>
      <w:r>
        <w:rPr/>
        <w:t>的</w:t>
      </w:r>
      <w:r>
        <w:rPr>
          <w:rFonts w:ascii="宋体" w:hAnsi="宋体" w:cs="宋体" w:eastAsia="宋体" w:hint="default"/>
        </w:rPr>
        <w:t>5%</w:t>
      </w:r>
      <w:r>
        <w:rPr/>
        <w:t>计征缴纳。上海鸿立、国视上海（不含子公司</w:t>
      </w:r>
      <w:r>
        <w:rPr>
          <w:rFonts w:ascii="宋体" w:hAnsi="宋体" w:cs="宋体" w:eastAsia="宋体" w:hint="default"/>
        </w:rPr>
        <w:t>)</w:t>
      </w:r>
      <w:r>
        <w:rPr/>
        <w:t>、上海逊睿、上海祥隆城市维护建设税按增值税额的 </w:t>
      </w:r>
      <w:r>
        <w:rPr>
          <w:rFonts w:ascii="宋体" w:hAnsi="宋体" w:cs="宋体" w:eastAsia="宋体" w:hint="default"/>
        </w:rPr>
        <w:t>1%</w:t>
      </w:r>
      <w:r>
        <w:rPr/>
        <w:t>计征缴纳。</w:t>
      </w:r>
    </w:p>
    <w:p>
      <w:pPr>
        <w:pStyle w:val="BodyText"/>
        <w:spacing w:line="240" w:lineRule="auto" w:before="48"/>
        <w:ind w:right="0"/>
        <w:jc w:val="left"/>
      </w:pPr>
      <w:r>
        <w:rPr/>
        <w:t>②本公司及其他子公司城市维护建设税按增值税额的</w:t>
      </w:r>
      <w:r>
        <w:rPr>
          <w:rFonts w:ascii="宋体" w:hAnsi="宋体" w:cs="宋体" w:eastAsia="宋体" w:hint="default"/>
        </w:rPr>
        <w:t>7%</w:t>
      </w:r>
      <w:r>
        <w:rPr/>
        <w:t>计征缴纳。</w:t>
      </w:r>
    </w:p>
    <w:p>
      <w:pPr>
        <w:spacing w:line="240" w:lineRule="auto" w:before="9"/>
        <w:rPr>
          <w:rFonts w:ascii="宋体" w:hAnsi="宋体" w:cs="宋体" w:eastAsia="宋体" w:hint="default"/>
          <w:sz w:val="15"/>
          <w:szCs w:val="15"/>
        </w:rPr>
      </w:pPr>
    </w:p>
    <w:p>
      <w:pPr>
        <w:pStyle w:val="BodyText"/>
        <w:spacing w:line="240" w:lineRule="auto"/>
        <w:ind w:right="0"/>
        <w:jc w:val="left"/>
      </w:pPr>
      <w:r>
        <w:rPr/>
        <w:t>③本公司及其子公司的教育费附加、地方教育费附加按增值税额的</w:t>
      </w:r>
      <w:r>
        <w:rPr>
          <w:rFonts w:ascii="宋体" w:hAnsi="宋体" w:cs="宋体" w:eastAsia="宋体" w:hint="default"/>
        </w:rPr>
        <w:t>3%</w:t>
      </w:r>
      <w:r>
        <w:rPr/>
        <w:t>、</w:t>
      </w:r>
      <w:r>
        <w:rPr>
          <w:rFonts w:ascii="宋体" w:hAnsi="宋体" w:cs="宋体" w:eastAsia="宋体" w:hint="default"/>
        </w:rPr>
        <w:t>2%</w:t>
      </w:r>
      <w:r>
        <w:rPr/>
        <w:t>计征缴纳。</w:t>
      </w:r>
    </w:p>
    <w:p>
      <w:pPr>
        <w:spacing w:line="240" w:lineRule="auto" w:before="9"/>
        <w:rPr>
          <w:rFonts w:ascii="宋体" w:hAnsi="宋体" w:cs="宋体" w:eastAsia="宋体" w:hint="default"/>
          <w:sz w:val="15"/>
          <w:szCs w:val="15"/>
        </w:rPr>
      </w:pPr>
    </w:p>
    <w:p>
      <w:pPr>
        <w:pStyle w:val="BodyText"/>
        <w:spacing w:line="420" w:lineRule="auto"/>
        <w:ind w:right="1116"/>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其他税项</w:t>
      </w:r>
      <w:r>
        <w:rPr>
          <w:rFonts w:ascii="宋体" w:hAnsi="宋体" w:cs="宋体" w:eastAsia="宋体" w:hint="default"/>
          <w:b/>
          <w:bCs/>
          <w:w w:val="99"/>
        </w:rPr>
        <w:t> </w:t>
      </w:r>
      <w:r>
        <w:rPr>
          <w:spacing w:val="-1"/>
        </w:rPr>
        <w:t>包括房产税、土地使用税、车船税、印花税、代扣代交的个人所得税等，按照国家税法有关规定照章计征</w:t>
      </w:r>
      <w:r>
        <w:rPr>
          <w:spacing w:val="-83"/>
        </w:rPr>
        <w:t> </w:t>
      </w:r>
      <w:r>
        <w:rPr>
          <w:spacing w:val="-83"/>
        </w:rPr>
      </w:r>
      <w:r>
        <w:rPr/>
        <w:t>缴纳。</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2"/>
        <w:spacing w:line="240" w:lineRule="auto" w:before="0"/>
        <w:ind w:right="0"/>
        <w:jc w:val="left"/>
        <w:rPr>
          <w:b w:val="0"/>
          <w:bCs w:val="0"/>
        </w:rPr>
      </w:pPr>
      <w:bookmarkStart w:name="七、合并财务报表项目注释" w:id="224"/>
      <w:bookmarkEnd w:id="224"/>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225"/>
      <w:bookmarkEnd w:id="225"/>
      <w:r>
        <w:rPr>
          <w:b w:val="0"/>
          <w:bCs w:val="0"/>
        </w:rPr>
      </w:r>
      <w:r>
        <w:rPr>
          <w:rFonts w:ascii="宋体" w:hAnsi="宋体" w:cs="宋体" w:eastAsia="宋体" w:hint="default"/>
        </w:rPr>
        <w:t>1</w:t>
      </w:r>
      <w:r>
        <w:rPr/>
        <w:t>、货币资金</w:t>
      </w:r>
      <w:r>
        <w:rPr>
          <w:b w:val="0"/>
          <w:bCs w:val="0"/>
        </w:rPr>
      </w:r>
    </w:p>
    <w:p>
      <w:pPr>
        <w:spacing w:line="240" w:lineRule="auto" w:before="9"/>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415,090.11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347,840.51</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927,406,061.06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2,283,009,462.33</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379,486,542.67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604,456,395.18</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1,307,307,693.84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2,887,813,698.02</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316,953.87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15,560,835.03</w:t>
            </w:r>
          </w:p>
        </w:tc>
      </w:tr>
    </w:tbl>
    <w:p>
      <w:pPr>
        <w:spacing w:line="240" w:lineRule="auto" w:before="12"/>
        <w:rPr>
          <w:rFonts w:ascii="宋体" w:hAnsi="宋体" w:cs="宋体" w:eastAsia="宋体" w:hint="default"/>
          <w:sz w:val="7"/>
          <w:szCs w:val="7"/>
        </w:rPr>
      </w:pPr>
    </w:p>
    <w:p>
      <w:pPr>
        <w:pStyle w:val="BodyText"/>
        <w:spacing w:line="420" w:lineRule="auto" w:before="35"/>
        <w:ind w:right="7602"/>
        <w:jc w:val="left"/>
      </w:pPr>
      <w:r>
        <w:rPr/>
        <w:pict>
          <v:shape style="position:absolute;margin-left:77.639999pt;margin-top:43.443653pt;width:440.55pt;height:121.6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86"/>
                    <w:gridCol w:w="2693"/>
                    <w:gridCol w:w="2410"/>
                  </w:tblGrid>
                  <w:tr>
                    <w:trPr>
                      <w:trHeight w:val="334" w:hRule="exact"/>
                    </w:trPr>
                    <w:tc>
                      <w:tcPr>
                        <w:tcW w:w="36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654"/>
                          <w:jc w:val="right"/>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8" w:hRule="exact"/>
                    </w:trPr>
                    <w:tc>
                      <w:tcPr>
                        <w:tcW w:w="36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693"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300,608,375.71</w:t>
                        </w:r>
                      </w:p>
                    </w:tc>
                    <w:tc>
                      <w:tcPr>
                        <w:tcW w:w="241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6,913,321.72</w:t>
                        </w: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业务保证金</w:t>
                        </w:r>
                      </w:p>
                    </w:tc>
                    <w:tc>
                      <w:tcPr>
                        <w:tcW w:w="269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105,312.96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8,214,400.00</w:t>
                        </w: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2693" w:type="dxa"/>
                        <w:tcBorders>
                          <w:top w:val="single" w:sz="6" w:space="0" w:color="000000"/>
                          <w:left w:val="single" w:sz="7"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4,130,719.15</w:t>
                        </w: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被查封冻结的存款</w:t>
                        </w:r>
                      </w:p>
                    </w:tc>
                    <w:tc>
                      <w:tcPr>
                        <w:tcW w:w="269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3,466,723.31</w:t>
                        </w: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其他使用受限制的存款</w:t>
                        </w:r>
                      </w:p>
                    </w:tc>
                    <w:tc>
                      <w:tcPr>
                        <w:tcW w:w="269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96,606.61</w:t>
                        </w: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6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654"/>
                          <w:jc w:val="righ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304,277,018.59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19,258,440.87</w:t>
                        </w:r>
                      </w:p>
                    </w:tc>
                  </w:tr>
                </w:tbl>
                <w:p>
                  <w:pPr/>
                </w:p>
              </w:txbxContent>
            </v:textbox>
            <w10:wrap type="none"/>
          </v:shape>
        </w:pict>
      </w:r>
      <w:r>
        <w:rPr/>
        <w:t>其他说明 其中受限制的货币资金明细如下：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4"/>
        <w:spacing w:line="240" w:lineRule="auto" w:before="35"/>
        <w:ind w:right="0"/>
        <w:jc w:val="left"/>
        <w:rPr>
          <w:b w:val="0"/>
          <w:bCs w:val="0"/>
        </w:rPr>
      </w:pPr>
      <w:bookmarkStart w:name="2、以公允价值计量且其变动计入当期损益的金融资产" w:id="226"/>
      <w:bookmarkEnd w:id="226"/>
      <w:r>
        <w:rPr>
          <w:b w:val="0"/>
          <w:bCs w:val="0"/>
        </w:rPr>
      </w:r>
      <w:r>
        <w:rPr>
          <w:rFonts w:ascii="宋体" w:hAnsi="宋体" w:cs="宋体" w:eastAsia="宋体" w:hint="default"/>
        </w:rPr>
        <w:t>2</w:t>
      </w:r>
      <w:r>
        <w:rPr/>
        <w:t>、以公允价值计量且其变动计入当期损益的金融资产</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987" w:right="0"/>
              <w:jc w:val="left"/>
              <w:rPr>
                <w:rFonts w:ascii="宋体" w:hAnsi="宋体" w:cs="宋体" w:eastAsia="宋体" w:hint="default"/>
                <w:sz w:val="18"/>
                <w:szCs w:val="18"/>
              </w:rPr>
            </w:pPr>
            <w:r>
              <w:rPr>
                <w:rFonts w:ascii="宋体"/>
                <w:sz w:val="18"/>
              </w:rPr>
              <w:t>21,267,653.52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87" w:right="0"/>
              <w:jc w:val="left"/>
              <w:rPr>
                <w:rFonts w:ascii="宋体" w:hAnsi="宋体" w:cs="宋体" w:eastAsia="宋体" w:hint="default"/>
                <w:sz w:val="18"/>
                <w:szCs w:val="18"/>
              </w:rPr>
            </w:pPr>
            <w:r>
              <w:rPr>
                <w:rFonts w:ascii="宋体"/>
                <w:sz w:val="18"/>
              </w:rPr>
              <w:t>82,333,986.54</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3"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21,267,653.52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82,333,986.54</w:t>
            </w:r>
          </w:p>
        </w:tc>
      </w:tr>
      <w:tr>
        <w:trPr>
          <w:trHeight w:val="63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96"/>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47,267,675.93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3"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47,267,675.93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68,535,329.45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82,333,986.54</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bookmarkStart w:name="3、应收票据及应收账款" w:id="227"/>
      <w:bookmarkEnd w:id="227"/>
      <w:r>
        <w:rPr>
          <w:b w:val="0"/>
          <w:bCs w:val="0"/>
        </w:rPr>
      </w:r>
      <w:r>
        <w:rPr>
          <w:rFonts w:ascii="宋体" w:hAnsi="宋体" w:cs="宋体" w:eastAsia="宋体" w:hint="default"/>
        </w:rPr>
        <w:t>3</w:t>
      </w:r>
      <w:r>
        <w:rPr/>
        <w:t>、应收票据及应收账款</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1,762,895.00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3,020,867.00</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1,394,549,719.72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670,879,228.28</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1,396,312,614.72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673,900,095.28</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228"/>
      <w:bookmarkEnd w:id="228"/>
      <w:r>
        <w:rPr>
          <w:b w:val="0"/>
          <w:bCs w:val="0"/>
        </w:rPr>
      </w:r>
      <w:r>
        <w:rPr/>
        <w:t>（</w:t>
      </w:r>
      <w:r>
        <w:rPr>
          <w:rFonts w:ascii="宋体" w:hAnsi="宋体" w:cs="宋体" w:eastAsia="宋体" w:hint="default"/>
        </w:rPr>
        <w:t>1</w:t>
      </w:r>
      <w:r>
        <w:rPr/>
        <w:t>）应收票据</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240" w:lineRule="auto" w:before="35"/>
        <w:ind w:right="-11"/>
        <w:jc w:val="left"/>
      </w:pPr>
      <w:r>
        <w:rPr>
          <w:rFonts w:ascii="宋体" w:hAnsi="宋体" w:cs="宋体" w:eastAsia="宋体" w:hint="default"/>
          <w:spacing w:val="-1"/>
        </w:rPr>
        <w:t>1)</w:t>
      </w:r>
      <w:r>
        <w:rPr>
          <w:spacing w:val="-1"/>
        </w:rPr>
        <w:t>应收票据分类列示</w:t>
      </w:r>
    </w:p>
    <w:p>
      <w:pPr>
        <w:spacing w:line="240" w:lineRule="auto" w:before="0"/>
        <w:rPr>
          <w:rFonts w:ascii="宋体" w:hAnsi="宋体" w:cs="宋体" w:eastAsia="宋体" w:hint="default"/>
          <w:sz w:val="18"/>
          <w:szCs w:val="18"/>
        </w:rPr>
      </w:pPr>
      <w:r>
        <w:rPr/>
        <w:br w:type="column"/>
      </w:r>
      <w:r>
        <w:rPr>
          <w:rFonts w:ascii="宋体"/>
          <w:sz w:val="18"/>
        </w:rPr>
      </w:r>
    </w:p>
    <w:p>
      <w:pPr>
        <w:spacing w:before="137"/>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044" w:space="6785"/>
            <w:col w:w="2101"/>
          </w:cols>
        </w:sectPr>
      </w:pP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1,018,000.00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1,029,386.00</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744,895.00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1,991,481.00</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1,762,895.00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3,020,867.00</w:t>
            </w:r>
          </w:p>
        </w:tc>
      </w:tr>
    </w:tbl>
    <w:p>
      <w:pPr>
        <w:spacing w:line="240" w:lineRule="auto" w:before="12"/>
        <w:rPr>
          <w:rFonts w:ascii="宋体" w:hAnsi="宋体" w:cs="宋体" w:eastAsia="宋体" w:hint="default"/>
          <w:sz w:val="7"/>
          <w:szCs w:val="7"/>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2"/>
        </w:rPr>
        <w:t> </w:t>
      </w:r>
      <w:r>
        <w:rPr/>
        <w:t>期末公司无已质押的应收票据。</w:t>
      </w:r>
    </w:p>
    <w:p>
      <w:pPr>
        <w:spacing w:line="240" w:lineRule="auto" w:before="9"/>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3)</w:t>
      </w:r>
      <w:r>
        <w:rPr>
          <w:rFonts w:ascii="宋体" w:hAnsi="宋体" w:cs="宋体" w:eastAsia="宋体" w:hint="default"/>
          <w:spacing w:val="-2"/>
        </w:rPr>
        <w:t> </w:t>
      </w:r>
      <w:r>
        <w:rPr/>
        <w:t>期末公司无已背书或贴现且在资产负债表日尚未到期的应收票据。</w:t>
      </w:r>
    </w:p>
    <w:p>
      <w:pPr>
        <w:spacing w:line="240" w:lineRule="auto" w:before="9"/>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4)</w:t>
      </w:r>
      <w:r>
        <w:rPr>
          <w:rFonts w:ascii="宋体" w:hAnsi="宋体" w:cs="宋体" w:eastAsia="宋体" w:hint="default"/>
          <w:spacing w:val="-2"/>
        </w:rPr>
        <w:t> </w:t>
      </w:r>
      <w:r>
        <w:rPr/>
        <w:t>期末公司无因出票人未履约而将其转为应收账款的票据。</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3"/>
          <w:szCs w:val="23"/>
        </w:rPr>
      </w:pPr>
    </w:p>
    <w:p>
      <w:pPr>
        <w:spacing w:line="535" w:lineRule="auto" w:before="0"/>
        <w:ind w:left="260" w:right="-11" w:firstLine="0"/>
        <w:jc w:val="left"/>
        <w:rPr>
          <w:rFonts w:ascii="宋体" w:hAnsi="宋体" w:cs="宋体" w:eastAsia="宋体" w:hint="default"/>
          <w:sz w:val="21"/>
          <w:szCs w:val="21"/>
        </w:rPr>
      </w:pPr>
      <w:bookmarkStart w:name="（2）应收账款" w:id="229"/>
      <w:bookmarkEnd w:id="229"/>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）应收账款</w:t>
      </w:r>
      <w:r>
        <w:rPr>
          <w:rFonts w:ascii="宋体" w:hAnsi="宋体" w:cs="宋体" w:eastAsia="宋体" w:hint="default"/>
          <w:b/>
          <w:bCs/>
          <w:w w:val="99"/>
          <w:sz w:val="21"/>
          <w:szCs w:val="21"/>
        </w:rPr>
        <w:t> </w:t>
      </w:r>
      <w:r>
        <w:rPr>
          <w:rFonts w:ascii="宋体" w:hAnsi="宋体" w:cs="宋体" w:eastAsia="宋体" w:hint="default"/>
          <w:spacing w:val="-1"/>
          <w:sz w:val="21"/>
          <w:szCs w:val="21"/>
        </w:rPr>
        <w:t>1)</w:t>
      </w:r>
      <w:r>
        <w:rPr>
          <w:rFonts w:ascii="宋体" w:hAnsi="宋体" w:cs="宋体" w:eastAsia="宋体" w:hint="default"/>
          <w:spacing w:val="-1"/>
          <w:sz w:val="21"/>
          <w:szCs w:val="21"/>
        </w:rPr>
        <w:t>应收账款分类披露</w:t>
      </w:r>
    </w:p>
    <w:p>
      <w:pPr>
        <w:spacing w:before="15"/>
        <w:ind w:left="0" w:right="636" w:firstLine="0"/>
        <w:jc w:val="righ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spacing w:before="0"/>
        <w:ind w:left="0" w:right="636" w:firstLine="0"/>
        <w:jc w:val="right"/>
        <w:rPr>
          <w:rFonts w:ascii="宋体" w:hAnsi="宋体" w:cs="宋体" w:eastAsia="宋体" w:hint="default"/>
          <w:sz w:val="18"/>
          <w:szCs w:val="18"/>
        </w:rPr>
      </w:pPr>
      <w:r>
        <w:rPr/>
        <w:pict>
          <v:group style="position:absolute;margin-left:70.5pt;margin-top:-47.828297pt;width:701pt;height:.1pt;mso-position-horizontal-relative:page;mso-position-vertical-relative:paragraph;z-index:2776" coordorigin="1410,-957" coordsize="14020,2">
            <v:shape style="position:absolute;left:1410;top:-957;width:14020;height:2" coordorigin="1410,-957" coordsize="14020,0" path="m1410,-957l15430,-957e" filled="false" stroked="true" strokeweight=".72pt" strokecolor="#000000">
              <v:path arrowok="t"/>
            </v:shape>
            <w10:wrap type="none"/>
          </v:group>
        </w:pict>
      </w: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headerReference w:type="default" r:id="rId39"/>
          <w:footerReference w:type="default" r:id="rId40"/>
          <w:pgSz w:w="16840" w:h="11910" w:orient="landscape"/>
          <w:pgMar w:header="0" w:footer="0" w:top="800" w:bottom="0" w:left="1180" w:right="800"/>
          <w:cols w:num="2" w:equalWidth="0">
            <w:col w:w="2150" w:space="7579"/>
            <w:col w:w="5131"/>
          </w:cols>
        </w:sectPr>
      </w:pPr>
    </w:p>
    <w:p>
      <w:pPr>
        <w:spacing w:line="240" w:lineRule="auto" w:before="0"/>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115"/>
        <w:gridCol w:w="1713"/>
        <w:gridCol w:w="762"/>
        <w:gridCol w:w="1506"/>
        <w:gridCol w:w="925"/>
        <w:gridCol w:w="1505"/>
        <w:gridCol w:w="1417"/>
        <w:gridCol w:w="762"/>
        <w:gridCol w:w="1506"/>
        <w:gridCol w:w="932"/>
        <w:gridCol w:w="1478"/>
      </w:tblGrid>
      <w:tr>
        <w:trPr>
          <w:trHeight w:val="322" w:hRule="exact"/>
        </w:trPr>
        <w:tc>
          <w:tcPr>
            <w:tcW w:w="2115"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21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05"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2115" w:type="dxa"/>
            <w:vMerge/>
            <w:tcBorders>
              <w:left w:val="single" w:sz="4" w:space="0" w:color="000000"/>
              <w:bottom w:val="nil" w:sz="6" w:space="0" w:color="auto"/>
              <w:right w:val="single" w:sz="4" w:space="0" w:color="000000"/>
            </w:tcBorders>
            <w:shd w:val="clear" w:color="auto" w:fill="D2D2D2"/>
          </w:tcPr>
          <w:p>
            <w:pPr/>
          </w:p>
        </w:tc>
        <w:tc>
          <w:tcPr>
            <w:tcW w:w="2475" w:type="dxa"/>
            <w:gridSpan w:val="2"/>
            <w:vMerge/>
            <w:tcBorders>
              <w:left w:val="single" w:sz="4" w:space="0" w:color="000000"/>
              <w:bottom w:val="single" w:sz="4" w:space="0" w:color="000000"/>
              <w:right w:val="single" w:sz="4" w:space="0" w:color="000000"/>
            </w:tcBorders>
            <w:shd w:val="clear" w:color="auto" w:fill="D2D2D2"/>
          </w:tcPr>
          <w:p>
            <w:pPr/>
          </w:p>
        </w:tc>
        <w:tc>
          <w:tcPr>
            <w:tcW w:w="2431" w:type="dxa"/>
            <w:gridSpan w:val="2"/>
            <w:vMerge/>
            <w:tcBorders>
              <w:left w:val="single" w:sz="4" w:space="0" w:color="000000"/>
              <w:bottom w:val="single" w:sz="4" w:space="0" w:color="000000"/>
              <w:right w:val="single" w:sz="4" w:space="0" w:color="000000"/>
            </w:tcBorders>
            <w:shd w:val="clear" w:color="auto" w:fill="D2D2D2"/>
          </w:tcPr>
          <w:p>
            <w:pPr/>
          </w:p>
        </w:tc>
        <w:tc>
          <w:tcPr>
            <w:tcW w:w="15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8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179" w:type="dxa"/>
            <w:gridSpan w:val="2"/>
            <w:vMerge/>
            <w:tcBorders>
              <w:left w:val="single" w:sz="4" w:space="0" w:color="000000"/>
              <w:bottom w:val="single" w:sz="4" w:space="0" w:color="000000"/>
              <w:right w:val="single" w:sz="4" w:space="0" w:color="000000"/>
            </w:tcBorders>
            <w:shd w:val="clear" w:color="auto" w:fill="D2D2D2"/>
          </w:tcPr>
          <w:p>
            <w:pPr/>
          </w:p>
        </w:tc>
        <w:tc>
          <w:tcPr>
            <w:tcW w:w="2438" w:type="dxa"/>
            <w:gridSpan w:val="2"/>
            <w:vMerge/>
            <w:tcBorders>
              <w:left w:val="single" w:sz="4" w:space="0" w:color="000000"/>
              <w:bottom w:val="single" w:sz="4" w:space="0" w:color="000000"/>
              <w:right w:val="single" w:sz="4" w:space="0" w:color="000000"/>
            </w:tcBorders>
            <w:shd w:val="clear" w:color="auto" w:fill="D2D2D2"/>
          </w:tcPr>
          <w:p>
            <w:pPr/>
          </w:p>
        </w:tc>
        <w:tc>
          <w:tcPr>
            <w:tcW w:w="14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6" w:hRule="exact"/>
        </w:trPr>
        <w:tc>
          <w:tcPr>
            <w:tcW w:w="2115" w:type="dxa"/>
            <w:vMerge w:val="restart"/>
            <w:tcBorders>
              <w:top w:val="nil" w:sz="6" w:space="0" w:color="auto"/>
              <w:left w:val="single" w:sz="4" w:space="0" w:color="000000"/>
              <w:right w:val="single" w:sz="4" w:space="0" w:color="000000"/>
            </w:tcBorders>
            <w:shd w:val="clear" w:color="auto" w:fill="D2D2D2"/>
          </w:tcPr>
          <w:p>
            <w:pPr/>
          </w:p>
        </w:tc>
        <w:tc>
          <w:tcPr>
            <w:tcW w:w="17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9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505"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78"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2115" w:type="dxa"/>
            <w:vMerge/>
            <w:tcBorders>
              <w:left w:val="single" w:sz="4" w:space="0" w:color="000000"/>
              <w:bottom w:val="single" w:sz="4" w:space="0" w:color="000000"/>
              <w:right w:val="single" w:sz="4" w:space="0" w:color="000000"/>
            </w:tcBorders>
            <w:shd w:val="clear" w:color="auto" w:fill="D2D2D2"/>
          </w:tcPr>
          <w:p>
            <w:pPr/>
          </w:p>
        </w:tc>
        <w:tc>
          <w:tcPr>
            <w:tcW w:w="1713"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1506"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5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1506"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4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634"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102"/>
              <w:jc w:val="left"/>
              <w:rPr>
                <w:rFonts w:ascii="宋体" w:hAnsi="宋体" w:cs="宋体" w:eastAsia="宋体" w:hint="default"/>
                <w:sz w:val="18"/>
                <w:szCs w:val="18"/>
              </w:rPr>
            </w:pPr>
            <w:r>
              <w:rPr>
                <w:rFonts w:ascii="宋体" w:hAnsi="宋体" w:cs="宋体" w:eastAsia="宋体" w:hint="default"/>
                <w:sz w:val="18"/>
                <w:szCs w:val="18"/>
              </w:rPr>
              <w:t>单项金额重大并单独计提 坏账准备的应收账款</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98,630,975.03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6.05%</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42,949,518.10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43.55%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55,681,456.93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9" w:right="0"/>
              <w:jc w:val="center"/>
              <w:rPr>
                <w:rFonts w:ascii="宋体" w:hAnsi="宋体" w:cs="宋体" w:eastAsia="宋体" w:hint="default"/>
                <w:sz w:val="18"/>
                <w:szCs w:val="18"/>
              </w:rPr>
            </w:pPr>
            <w:r>
              <w:rPr>
                <w:rFonts w:ascii="宋体"/>
                <w:sz w:val="18"/>
              </w:rPr>
              <w:t>49,829,230.29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6.32%</w:t>
            </w:r>
          </w:p>
        </w:tc>
        <w:tc>
          <w:tcPr>
            <w:tcW w:w="150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49,829,230.29</w:t>
            </w:r>
          </w:p>
        </w:tc>
      </w:tr>
      <w:tr>
        <w:trPr>
          <w:trHeight w:val="635"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102"/>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坏账准备的应收账款</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1,437,966,238.72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88.20%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130,479,983.13</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9.07%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1,307,486,255.59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9" w:right="0"/>
              <w:jc w:val="center"/>
              <w:rPr>
                <w:rFonts w:ascii="宋体" w:hAnsi="宋体" w:cs="宋体" w:eastAsia="宋体" w:hint="default"/>
                <w:sz w:val="18"/>
                <w:szCs w:val="18"/>
              </w:rPr>
            </w:pPr>
            <w:r>
              <w:rPr>
                <w:rFonts w:ascii="宋体"/>
                <w:sz w:val="18"/>
              </w:rPr>
              <w:t>652,675,775.47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82.82%</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64,490,032.76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9.88%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588,185,742.71</w:t>
            </w:r>
          </w:p>
        </w:tc>
      </w:tr>
      <w:tr>
        <w:trPr>
          <w:trHeight w:val="634"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02"/>
              <w:jc w:val="left"/>
              <w:rPr>
                <w:rFonts w:ascii="宋体" w:hAnsi="宋体" w:cs="宋体" w:eastAsia="宋体" w:hint="default"/>
                <w:sz w:val="18"/>
                <w:szCs w:val="18"/>
              </w:rPr>
            </w:pPr>
            <w:r>
              <w:rPr>
                <w:rFonts w:ascii="宋体" w:hAnsi="宋体" w:cs="宋体" w:eastAsia="宋体" w:hint="default"/>
                <w:sz w:val="18"/>
                <w:szCs w:val="18"/>
              </w:rPr>
              <w:t>单项金额不重大但单独计 提坏账准备的应收账款</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93,665,756.68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5.75%</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62,283,749.48</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66.50%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31,382,007.20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9" w:right="0"/>
              <w:jc w:val="center"/>
              <w:rPr>
                <w:rFonts w:ascii="宋体" w:hAnsi="宋体" w:cs="宋体" w:eastAsia="宋体" w:hint="default"/>
                <w:sz w:val="18"/>
                <w:szCs w:val="18"/>
              </w:rPr>
            </w:pPr>
            <w:r>
              <w:rPr>
                <w:rFonts w:ascii="宋体"/>
                <w:sz w:val="18"/>
              </w:rPr>
              <w:t>85,603,651.65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10.86%</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52,739,396.37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61.61%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32,864,255.28</w:t>
            </w:r>
          </w:p>
        </w:tc>
      </w:tr>
      <w:tr>
        <w:trPr>
          <w:trHeight w:val="402"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1,630,262,970.43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235,713,250.71</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14.46%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1,394,549,719.72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9" w:right="0"/>
              <w:jc w:val="center"/>
              <w:rPr>
                <w:rFonts w:ascii="宋体" w:hAnsi="宋体" w:cs="宋体" w:eastAsia="宋体" w:hint="default"/>
                <w:sz w:val="18"/>
                <w:szCs w:val="18"/>
              </w:rPr>
            </w:pPr>
            <w:r>
              <w:rPr>
                <w:rFonts w:ascii="宋体"/>
                <w:sz w:val="18"/>
              </w:rPr>
              <w:t>788,108,657.41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117,229,429.13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670,879,228.28</w:t>
            </w:r>
          </w:p>
        </w:tc>
      </w:tr>
    </w:tbl>
    <w:p>
      <w:pPr>
        <w:spacing w:line="240" w:lineRule="auto" w:before="12"/>
        <w:rPr>
          <w:rFonts w:ascii="宋体" w:hAnsi="宋体" w:cs="宋体" w:eastAsia="宋体" w:hint="default"/>
          <w:sz w:val="7"/>
          <w:szCs w:val="7"/>
        </w:rPr>
      </w:pPr>
    </w:p>
    <w:p>
      <w:pPr>
        <w:pStyle w:val="BodyText"/>
        <w:spacing w:line="240" w:lineRule="auto" w:before="35"/>
        <w:ind w:left="260" w:right="0"/>
        <w:jc w:val="left"/>
      </w:pPr>
      <w:r>
        <w:rPr/>
        <w:t>期末单项金额重大并单项计提坏账准备的应收账款：</w:t>
      </w:r>
    </w:p>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6840" w:h="11910" w:orient="landscape"/>
          <w:pgMar w:top="1060" w:bottom="1160" w:left="1180" w:right="800"/>
        </w:sectPr>
      </w:pPr>
    </w:p>
    <w:p>
      <w:pPr>
        <w:pStyle w:val="BodyText"/>
        <w:spacing w:line="240" w:lineRule="auto" w:before="35"/>
        <w:ind w:left="260" w:right="-19"/>
        <w:jc w:val="left"/>
      </w:pPr>
      <w:r>
        <w:rPr/>
        <w:t>√ 适用 □</w:t>
      </w:r>
      <w:r>
        <w:rPr>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before="151"/>
        <w:ind w:left="26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6840" w:h="11910" w:orient="landscape"/>
          <w:pgMar w:top="1060" w:bottom="1160" w:left="1180" w:right="800"/>
          <w:cols w:num="2" w:equalWidth="0">
            <w:col w:w="2045" w:space="11105"/>
            <w:col w:w="1710"/>
          </w:cols>
        </w:sectPr>
      </w:pPr>
    </w:p>
    <w:p>
      <w:pPr>
        <w:spacing w:line="240" w:lineRule="auto" w:before="1"/>
        <w:rPr>
          <w:rFonts w:ascii="宋体" w:hAnsi="宋体" w:cs="宋体" w:eastAsia="宋体" w:hint="default"/>
          <w:sz w:val="5"/>
          <w:szCs w:val="5"/>
        </w:rPr>
      </w:pPr>
    </w:p>
    <w:tbl>
      <w:tblPr>
        <w:tblW w:w="0" w:type="auto"/>
        <w:jc w:val="left"/>
        <w:tblInd w:w="255" w:type="dxa"/>
        <w:tblLayout w:type="fixed"/>
        <w:tblCellMar>
          <w:top w:w="0" w:type="dxa"/>
          <w:left w:w="0" w:type="dxa"/>
          <w:bottom w:w="0" w:type="dxa"/>
          <w:right w:w="0" w:type="dxa"/>
        </w:tblCellMar>
        <w:tblLook w:val="01E0"/>
      </w:tblPr>
      <w:tblGrid>
        <w:gridCol w:w="3262"/>
        <w:gridCol w:w="1914"/>
        <w:gridCol w:w="1628"/>
        <w:gridCol w:w="1419"/>
        <w:gridCol w:w="1559"/>
      </w:tblGrid>
      <w:tr>
        <w:trPr>
          <w:trHeight w:val="322" w:hRule="exact"/>
        </w:trPr>
        <w:tc>
          <w:tcPr>
            <w:tcW w:w="32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14"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52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3262" w:type="dxa"/>
            <w:vMerge/>
            <w:tcBorders>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5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杭州菜鸟供应链管理有限公司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33,237,207.94</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中国移动通信集团上海有限公司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22,444,248.99</w:t>
            </w:r>
          </w:p>
        </w:tc>
        <w:tc>
          <w:tcPr>
            <w:tcW w:w="162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微岚星空（北京）信息技术有限公司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20,694,162.60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20,694,162.60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北广互联国际文化传媒（北京）有限公司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8,000,000.00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Genesis Global Entertainment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14,255,355.50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14,255,355.50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98,630,975.03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42,949,518.10</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before="76"/>
        <w:ind w:left="0" w:right="636" w:firstLine="0"/>
        <w:jc w:val="right"/>
        <w:rPr>
          <w:rFonts w:ascii="Times New Roman" w:hAnsi="Times New Roman" w:cs="Times New Roman" w:eastAsia="Times New Roman" w:hint="default"/>
          <w:sz w:val="18"/>
          <w:szCs w:val="18"/>
        </w:rPr>
      </w:pPr>
      <w:r>
        <w:rPr>
          <w:rFonts w:ascii="Times New Roman"/>
          <w:sz w:val="18"/>
        </w:rPr>
        <w:t>180</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spacing w:line="371" w:lineRule="exact"/>
        <w:ind w:left="106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7" name="image1.jpeg" descr=""/>
            <wp:cNvGraphicFramePr>
              <a:graphicFrameLocks noChangeAspect="1"/>
            </wp:cNvGraphicFramePr>
            <a:graphic>
              <a:graphicData uri="http://schemas.openxmlformats.org/drawingml/2006/picture">
                <pic:pic>
                  <pic:nvPicPr>
                    <pic:cNvPr id="8" name="image1.jpeg"/>
                    <pic:cNvPicPr/>
                  </pic:nvPicPr>
                  <pic:blipFill>
                    <a:blip r:embed="rId2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180" w:right="8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p>
      <w:pPr>
        <w:pStyle w:val="BodyText"/>
        <w:spacing w:line="240" w:lineRule="auto" w:before="35"/>
        <w:ind w:right="0"/>
        <w:jc w:val="left"/>
      </w:pPr>
      <w:r>
        <w:rPr/>
        <w:t>组合中，按账龄分析法计提坏账准备的应收账款：</w:t>
      </w:r>
    </w:p>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footerReference w:type="default" r:id="rId41"/>
          <w:pgSz w:w="11910" w:h="16840"/>
          <w:pgMar w:footer="979" w:header="0" w:top="1100" w:bottom="1160" w:left="980" w:right="0"/>
          <w:pgNumType w:start="181"/>
        </w:sectPr>
      </w:pPr>
    </w:p>
    <w:p>
      <w:pPr>
        <w:pStyle w:val="BodyText"/>
        <w:spacing w:line="240" w:lineRule="auto" w:before="35"/>
        <w:ind w:right="-20"/>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before="151"/>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39" w:space="6890"/>
            <w:col w:w="2101"/>
          </w:cols>
        </w:sectPr>
      </w:pP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535"/>
        <w:gridCol w:w="2416"/>
        <w:gridCol w:w="2410"/>
        <w:gridCol w:w="2392"/>
      </w:tblGrid>
      <w:tr>
        <w:trPr>
          <w:trHeight w:val="166" w:hRule="exact"/>
        </w:trPr>
        <w:tc>
          <w:tcPr>
            <w:tcW w:w="25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7" w:hRule="exact"/>
        </w:trPr>
        <w:tc>
          <w:tcPr>
            <w:tcW w:w="25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218" w:type="dxa"/>
            <w:gridSpan w:val="3"/>
            <w:vMerge/>
            <w:tcBorders>
              <w:left w:val="single" w:sz="4" w:space="0" w:color="000000"/>
              <w:bottom w:val="single" w:sz="4" w:space="0" w:color="000000"/>
              <w:right w:val="single" w:sz="4" w:space="0" w:color="000000"/>
            </w:tcBorders>
            <w:shd w:val="clear" w:color="auto" w:fill="D2D2D2"/>
          </w:tcPr>
          <w:p>
            <w:pPr/>
          </w:p>
        </w:tc>
      </w:tr>
      <w:tr>
        <w:trPr>
          <w:trHeight w:val="155" w:hRule="exact"/>
        </w:trPr>
        <w:tc>
          <w:tcPr>
            <w:tcW w:w="2535" w:type="dxa"/>
            <w:vMerge/>
            <w:tcBorders>
              <w:left w:val="single" w:sz="4" w:space="0" w:color="000000"/>
              <w:bottom w:val="nil" w:sz="6" w:space="0" w:color="auto"/>
              <w:right w:val="single" w:sz="4" w:space="0" w:color="000000"/>
            </w:tcBorders>
            <w:shd w:val="clear" w:color="auto" w:fill="D2D2D2"/>
          </w:tcPr>
          <w:p>
            <w:pPr/>
          </w:p>
        </w:tc>
        <w:tc>
          <w:tcPr>
            <w:tcW w:w="2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72" w:hRule="exact"/>
        </w:trPr>
        <w:tc>
          <w:tcPr>
            <w:tcW w:w="2535" w:type="dxa"/>
            <w:tcBorders>
              <w:top w:val="nil" w:sz="6" w:space="0" w:color="auto"/>
              <w:left w:val="single" w:sz="4" w:space="0" w:color="000000"/>
              <w:bottom w:val="single" w:sz="4" w:space="0" w:color="000000"/>
              <w:right w:val="single" w:sz="4" w:space="0" w:color="000000"/>
            </w:tcBorders>
            <w:shd w:val="clear" w:color="auto" w:fill="D2D2D2"/>
          </w:tcPr>
          <w:p>
            <w:pPr/>
          </w:p>
        </w:tc>
        <w:tc>
          <w:tcPr>
            <w:tcW w:w="2416" w:type="dxa"/>
            <w:vMerge/>
            <w:tcBorders>
              <w:left w:val="single" w:sz="4" w:space="0" w:color="000000"/>
              <w:bottom w:val="single" w:sz="4" w:space="0" w:color="000000"/>
              <w:right w:val="single" w:sz="4" w:space="0" w:color="000000"/>
            </w:tcBorders>
            <w:shd w:val="clear" w:color="auto" w:fill="D2D2D2"/>
          </w:tcPr>
          <w:p>
            <w:pPr/>
          </w:p>
        </w:tc>
        <w:tc>
          <w:tcPr>
            <w:tcW w:w="2410"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97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322" w:hRule="exact"/>
        </w:trPr>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1,225,907,610.39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61,295,380.52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5.00%</w:t>
            </w:r>
          </w:p>
        </w:tc>
      </w:tr>
      <w:tr>
        <w:trPr>
          <w:trHeight w:val="323" w:hRule="exact"/>
        </w:trPr>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75,366,063.20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7,536,606.33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10.00%</w:t>
            </w:r>
          </w:p>
        </w:tc>
      </w:tr>
      <w:tr>
        <w:trPr>
          <w:trHeight w:val="322" w:hRule="exact"/>
        </w:trPr>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46,464,819.47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9,292,963.90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20.00%</w:t>
            </w:r>
          </w:p>
        </w:tc>
      </w:tr>
      <w:tr>
        <w:trPr>
          <w:trHeight w:val="322" w:hRule="exact"/>
        </w:trPr>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38,298,128.38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15,319,251.35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40.00%</w:t>
            </w:r>
          </w:p>
        </w:tc>
      </w:tr>
      <w:tr>
        <w:trPr>
          <w:trHeight w:val="323" w:hRule="exact"/>
        </w:trPr>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37,234,590.65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22,340,754.40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60.00%</w:t>
            </w:r>
          </w:p>
        </w:tc>
      </w:tr>
      <w:tr>
        <w:trPr>
          <w:trHeight w:val="322" w:hRule="exact"/>
        </w:trPr>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14,695,026.63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14,695,026.63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100.00%</w:t>
            </w:r>
          </w:p>
        </w:tc>
      </w:tr>
      <w:tr>
        <w:trPr>
          <w:trHeight w:val="323" w:hRule="exact"/>
        </w:trPr>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2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1,437,966,238.72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130,479,983.13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9.07%</w:t>
            </w:r>
          </w:p>
        </w:tc>
      </w:tr>
    </w:tbl>
    <w:p>
      <w:pPr>
        <w:spacing w:line="240" w:lineRule="auto" w:before="12"/>
        <w:rPr>
          <w:rFonts w:ascii="宋体" w:hAnsi="宋体" w:cs="宋体" w:eastAsia="宋体" w:hint="default"/>
          <w:sz w:val="7"/>
          <w:szCs w:val="7"/>
        </w:rPr>
      </w:pPr>
    </w:p>
    <w:p>
      <w:pPr>
        <w:pStyle w:val="BodyText"/>
        <w:spacing w:line="420" w:lineRule="auto" w:before="35"/>
        <w:ind w:right="5712"/>
        <w:jc w:val="left"/>
      </w:pPr>
      <w:r>
        <w:rPr/>
        <w:t>确定该组合依据的说明： 组合中，采用余额百分比法计提坏账准备的应收账款：</w:t>
      </w:r>
    </w:p>
    <w:p>
      <w:pPr>
        <w:pStyle w:val="BodyText"/>
        <w:spacing w:line="420" w:lineRule="auto" w:before="47"/>
        <w:ind w:right="5712"/>
        <w:jc w:val="left"/>
      </w:pPr>
      <w:r>
        <w:rPr/>
        <w:pict>
          <v:shape style="position:absolute;margin-left:56.459999pt;margin-top:67.413651pt;width:419pt;height:183.65pt;mso-position-horizontal-relative:page;mso-position-vertical-relative:paragraph;z-index:2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4"/>
                    <w:gridCol w:w="1418"/>
                    <w:gridCol w:w="1559"/>
                    <w:gridCol w:w="1309"/>
                    <w:gridCol w:w="2235"/>
                  </w:tblGrid>
                  <w:tr>
                    <w:trPr>
                      <w:trHeight w:val="407"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7"/>
                            <w:sz w:val="18"/>
                            <w:szCs w:val="18"/>
                          </w:rPr>
                          <w:t>计提比例（</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p>
                    </w:tc>
                    <w:tc>
                      <w:tcPr>
                        <w:tcW w:w="22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3" w:right="0"/>
                          <w:jc w:val="left"/>
                          <w:rPr>
                            <w:rFonts w:ascii="宋体" w:hAnsi="宋体" w:cs="宋体" w:eastAsia="宋体" w:hint="default"/>
                            <w:sz w:val="18"/>
                            <w:szCs w:val="18"/>
                          </w:rPr>
                        </w:pPr>
                        <w:r>
                          <w:rPr>
                            <w:rFonts w:ascii="宋体" w:hAnsi="宋体" w:cs="宋体" w:eastAsia="宋体" w:hint="default"/>
                            <w:sz w:val="18"/>
                            <w:szCs w:val="18"/>
                          </w:rPr>
                          <w:t>信息披露费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40,013,814.17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40,013,814.17</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56" w:right="0"/>
                          <w:jc w:val="left"/>
                          <w:rPr>
                            <w:rFonts w:ascii="宋体" w:hAnsi="宋体" w:cs="宋体" w:eastAsia="宋体" w:hint="default"/>
                            <w:sz w:val="18"/>
                            <w:szCs w:val="18"/>
                          </w:rPr>
                        </w:pPr>
                        <w:r>
                          <w:rPr>
                            <w:rFonts w:ascii="宋体"/>
                            <w:sz w:val="18"/>
                          </w:rPr>
                          <w:t>100.00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3"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18,034,635.31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18,034,635.31</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56" w:right="0"/>
                          <w:jc w:val="left"/>
                          <w:rPr>
                            <w:rFonts w:ascii="宋体" w:hAnsi="宋体" w:cs="宋体" w:eastAsia="宋体" w:hint="default"/>
                            <w:sz w:val="18"/>
                            <w:szCs w:val="18"/>
                          </w:rPr>
                        </w:pPr>
                        <w:r>
                          <w:rPr>
                            <w:rFonts w:ascii="宋体"/>
                            <w:sz w:val="18"/>
                          </w:rPr>
                          <w:t>100.00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3"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2,450,500.00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2,450,500.00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56" w:right="0"/>
                          <w:jc w:val="left"/>
                          <w:rPr>
                            <w:rFonts w:ascii="宋体" w:hAnsi="宋体" w:cs="宋体" w:eastAsia="宋体" w:hint="default"/>
                            <w:sz w:val="18"/>
                            <w:szCs w:val="18"/>
                          </w:rPr>
                        </w:pPr>
                        <w:r>
                          <w:rPr>
                            <w:rFonts w:ascii="宋体"/>
                            <w:sz w:val="18"/>
                          </w:rPr>
                          <w:t>100.00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对方注销，预计不可收回</w:t>
                        </w:r>
                      </w:p>
                    </w:tc>
                  </w:tr>
                  <w:tr>
                    <w:trPr>
                      <w:trHeight w:val="40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1,784,800.00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1,784,800.00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56" w:right="0"/>
                          <w:jc w:val="left"/>
                          <w:rPr>
                            <w:rFonts w:ascii="宋体" w:hAnsi="宋体" w:cs="宋体" w:eastAsia="宋体" w:hint="default"/>
                            <w:sz w:val="18"/>
                            <w:szCs w:val="18"/>
                          </w:rPr>
                        </w:pPr>
                        <w:r>
                          <w:rPr>
                            <w:rFonts w:ascii="宋体"/>
                            <w:sz w:val="18"/>
                          </w:rPr>
                          <w:t>100.00</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对方停业，预计不可收回</w:t>
                        </w:r>
                      </w:p>
                    </w:tc>
                  </w:tr>
                  <w:tr>
                    <w:trPr>
                      <w:trHeight w:val="40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3"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27,789,368.00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经常发生，预计可收回</w:t>
                        </w:r>
                      </w:p>
                    </w:tc>
                  </w:tr>
                  <w:tr>
                    <w:trPr>
                      <w:trHeight w:val="40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3"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3,356,639.20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40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3"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236,000.00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政府部门，预计可收回</w:t>
                        </w:r>
                      </w:p>
                    </w:tc>
                  </w:tr>
                  <w:tr>
                    <w:trPr>
                      <w:trHeight w:val="407"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93,665,756.68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62,283,749.48</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46" w:right="0"/>
                          <w:jc w:val="left"/>
                          <w:rPr>
                            <w:rFonts w:ascii="宋体" w:hAnsi="宋体" w:cs="宋体" w:eastAsia="宋体" w:hint="default"/>
                            <w:sz w:val="18"/>
                            <w:szCs w:val="18"/>
                          </w:rPr>
                        </w:pPr>
                        <w:r>
                          <w:rPr>
                            <w:rFonts w:ascii="宋体"/>
                            <w:sz w:val="18"/>
                          </w:rPr>
                          <w:t>66.50</w:t>
                        </w:r>
                      </w:p>
                    </w:tc>
                    <w:tc>
                      <w:tcPr>
                        <w:tcW w:w="2235"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 适用 √</w:t>
      </w:r>
      <w:r>
        <w:rPr>
          <w:spacing w:val="-1"/>
        </w:rPr>
        <w:t> </w:t>
      </w:r>
      <w:r>
        <w:rPr/>
        <w:t>不适用</w:t>
      </w:r>
      <w:r>
        <w:rPr/>
        <w:t> 组合中，采用其他方法计提坏账准备的应收账款： 期末单项金额虽不重大但单项计提坏账准备的应收账款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35"/>
        <w:ind w:right="0"/>
        <w:jc w:val="left"/>
      </w:pPr>
      <w:r>
        <w:rPr>
          <w:rFonts w:ascii="宋体" w:hAnsi="宋体" w:cs="宋体" w:eastAsia="宋体" w:hint="default"/>
        </w:rPr>
        <w:t>2)</w:t>
      </w:r>
      <w:r>
        <w:rPr/>
        <w:t>本期计提、收回或转回的坏账准备情况</w:t>
      </w:r>
    </w:p>
    <w:p>
      <w:pPr>
        <w:spacing w:line="240" w:lineRule="auto" w:before="9"/>
        <w:rPr>
          <w:rFonts w:ascii="宋体" w:hAnsi="宋体" w:cs="宋体" w:eastAsia="宋体" w:hint="default"/>
          <w:sz w:val="15"/>
          <w:szCs w:val="15"/>
        </w:rPr>
      </w:pPr>
    </w:p>
    <w:p>
      <w:pPr>
        <w:pStyle w:val="BodyText"/>
        <w:spacing w:line="240" w:lineRule="auto"/>
        <w:ind w:right="0"/>
        <w:jc w:val="left"/>
      </w:pPr>
      <w:r>
        <w:rPr/>
        <w:t>本期计提坏账准备金额</w:t>
      </w:r>
      <w:r>
        <w:rPr>
          <w:spacing w:val="-54"/>
        </w:rPr>
        <w:t> </w:t>
      </w:r>
      <w:r>
        <w:rPr>
          <w:rFonts w:ascii="宋体" w:hAnsi="宋体" w:cs="宋体" w:eastAsia="宋体" w:hint="default"/>
        </w:rPr>
        <w:t>118,483,821.58</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9"/>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3)</w:t>
      </w:r>
      <w:r>
        <w:rPr>
          <w:rFonts w:ascii="宋体" w:hAnsi="宋体" w:cs="宋体" w:eastAsia="宋体" w:hint="default"/>
          <w:spacing w:val="-2"/>
        </w:rPr>
        <w:t> </w:t>
      </w:r>
      <w:r>
        <w:rPr/>
        <w:t>本期无实际核销的应收账款情况</w:t>
      </w:r>
    </w:p>
    <w:p>
      <w:pPr>
        <w:spacing w:line="240" w:lineRule="auto" w:before="9"/>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4)</w:t>
      </w:r>
      <w:r>
        <w:rPr/>
        <w:t>按欠款方归集的期末余额前五名的应收账款情况</w:t>
      </w:r>
    </w:p>
    <w:p>
      <w:pPr>
        <w:spacing w:line="240" w:lineRule="auto" w:before="1"/>
        <w:rPr>
          <w:rFonts w:ascii="宋体" w:hAnsi="宋体" w:cs="宋体" w:eastAsia="宋体" w:hint="default"/>
          <w:sz w:val="5"/>
          <w:szCs w:val="5"/>
        </w:rPr>
      </w:pPr>
    </w:p>
    <w:tbl>
      <w:tblPr>
        <w:tblW w:w="0" w:type="auto"/>
        <w:jc w:val="left"/>
        <w:tblInd w:w="288" w:type="dxa"/>
        <w:tblLayout w:type="fixed"/>
        <w:tblCellMar>
          <w:top w:w="0" w:type="dxa"/>
          <w:left w:w="0" w:type="dxa"/>
          <w:bottom w:w="0" w:type="dxa"/>
          <w:right w:w="0" w:type="dxa"/>
        </w:tblCellMar>
        <w:tblLook w:val="01E0"/>
      </w:tblPr>
      <w:tblGrid>
        <w:gridCol w:w="3829"/>
        <w:gridCol w:w="1985"/>
        <w:gridCol w:w="1559"/>
        <w:gridCol w:w="1987"/>
      </w:tblGrid>
      <w:tr>
        <w:trPr>
          <w:trHeight w:val="348" w:hRule="exact"/>
        </w:trPr>
        <w:tc>
          <w:tcPr>
            <w:tcW w:w="382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531"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8" w:hRule="exact"/>
        </w:trPr>
        <w:tc>
          <w:tcPr>
            <w:tcW w:w="3829" w:type="dxa"/>
            <w:vMerge/>
            <w:tcBorders>
              <w:left w:val="single" w:sz="6" w:space="0" w:color="000000"/>
              <w:bottom w:val="single" w:sz="6" w:space="0" w:color="000000"/>
              <w:right w:val="single" w:sz="6" w:space="0" w:color="000000"/>
            </w:tcBorders>
            <w:shd w:val="clear" w:color="auto" w:fill="D9D9D9"/>
          </w:tcPr>
          <w:p>
            <w:pP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275" w:right="51" w:hanging="225"/>
              <w:jc w:val="left"/>
              <w:rPr>
                <w:rFonts w:ascii="宋体" w:hAnsi="宋体" w:cs="宋体" w:eastAsia="宋体" w:hint="default"/>
                <w:sz w:val="18"/>
                <w:szCs w:val="18"/>
              </w:rPr>
            </w:pPr>
            <w:r>
              <w:rPr>
                <w:rFonts w:ascii="宋体" w:hAnsi="宋体" w:cs="宋体" w:eastAsia="宋体" w:hint="default"/>
                <w:sz w:val="18"/>
                <w:szCs w:val="18"/>
              </w:rPr>
              <w:t>占应收账款合计数 的比例（</w:t>
            </w:r>
            <w:r>
              <w:rPr>
                <w:rFonts w:ascii="宋体" w:hAnsi="宋体" w:cs="宋体" w:eastAsia="宋体" w:hint="default"/>
                <w:sz w:val="18"/>
                <w:szCs w:val="18"/>
              </w:rPr>
              <w:t>%</w:t>
            </w:r>
            <w:r>
              <w:rPr>
                <w:rFonts w:ascii="宋体" w:hAnsi="宋体" w:cs="宋体" w:eastAsia="宋体" w:hint="default"/>
                <w:sz w:val="18"/>
                <w:szCs w:val="18"/>
              </w:rPr>
              <w:t>）</w:t>
            </w:r>
          </w:p>
        </w:tc>
        <w:tc>
          <w:tcPr>
            <w:tcW w:w="19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288" w:type="dxa"/>
        <w:tblLayout w:type="fixed"/>
        <w:tblCellMar>
          <w:top w:w="0" w:type="dxa"/>
          <w:left w:w="0" w:type="dxa"/>
          <w:bottom w:w="0" w:type="dxa"/>
          <w:right w:w="0" w:type="dxa"/>
        </w:tblCellMar>
        <w:tblLook w:val="01E0"/>
      </w:tblPr>
      <w:tblGrid>
        <w:gridCol w:w="3829"/>
        <w:gridCol w:w="1985"/>
        <w:gridCol w:w="1559"/>
        <w:gridCol w:w="1984"/>
      </w:tblGrid>
      <w:tr>
        <w:trPr>
          <w:trHeight w:val="427"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拉萨美娱传媒有限公司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z w:val="18"/>
              </w:rPr>
              <w:t>87,570,000.00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5.37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z w:val="18"/>
              </w:rPr>
              <w:t>4,378,500.00</w:t>
            </w:r>
          </w:p>
        </w:tc>
      </w:tr>
      <w:tr>
        <w:trPr>
          <w:trHeight w:val="427"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上海瀚天星海广告有限公司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z w:val="18"/>
              </w:rPr>
              <w:t>74,063,116.00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4.54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z w:val="18"/>
              </w:rPr>
              <w:t>3,703,155.80</w:t>
            </w:r>
          </w:p>
        </w:tc>
      </w:tr>
      <w:tr>
        <w:trPr>
          <w:trHeight w:val="427"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北京瀚天润海广告有限公司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z w:val="18"/>
              </w:rPr>
              <w:t>66,442,380.70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4.08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sz w:val="18"/>
              </w:rPr>
              <w:t>3,637,981.85</w:t>
            </w:r>
          </w:p>
        </w:tc>
      </w:tr>
      <w:tr>
        <w:trPr>
          <w:trHeight w:val="428"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93" w:right="0"/>
              <w:jc w:val="left"/>
              <w:rPr>
                <w:rFonts w:ascii="宋体" w:hAnsi="宋体" w:cs="宋体" w:eastAsia="宋体" w:hint="default"/>
                <w:sz w:val="18"/>
                <w:szCs w:val="18"/>
              </w:rPr>
            </w:pPr>
            <w:r>
              <w:rPr>
                <w:rFonts w:ascii="宋体" w:hAnsi="宋体" w:cs="宋体" w:eastAsia="宋体" w:hint="default"/>
                <w:sz w:val="18"/>
                <w:szCs w:val="18"/>
              </w:rPr>
              <w:t>拉萨美瑞广告传媒有限公司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60,470,000.00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3.71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3,023,500.00</w:t>
            </w:r>
          </w:p>
        </w:tc>
      </w:tr>
      <w:tr>
        <w:trPr>
          <w:trHeight w:val="427"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93" w:right="0"/>
              <w:jc w:val="left"/>
              <w:rPr>
                <w:rFonts w:ascii="宋体" w:hAnsi="宋体" w:cs="宋体" w:eastAsia="宋体" w:hint="default"/>
                <w:sz w:val="18"/>
                <w:szCs w:val="18"/>
              </w:rPr>
            </w:pPr>
            <w:r>
              <w:rPr>
                <w:rFonts w:ascii="宋体" w:hAnsi="宋体" w:cs="宋体" w:eastAsia="宋体" w:hint="default"/>
                <w:sz w:val="18"/>
                <w:szCs w:val="18"/>
              </w:rPr>
              <w:t>北京瀚天星河广告有限责任公司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宋体" w:hAnsi="宋体" w:cs="宋体" w:eastAsia="宋体" w:hint="default"/>
                <w:sz w:val="18"/>
                <w:szCs w:val="18"/>
              </w:rPr>
            </w:pPr>
            <w:r>
              <w:rPr>
                <w:rFonts w:ascii="宋体"/>
                <w:sz w:val="18"/>
              </w:rPr>
              <w:t>51,830,542.00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3.18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宋体" w:hAnsi="宋体" w:cs="宋体" w:eastAsia="宋体" w:hint="default"/>
                <w:sz w:val="18"/>
                <w:szCs w:val="18"/>
              </w:rPr>
            </w:pPr>
            <w:r>
              <w:rPr>
                <w:rFonts w:ascii="宋体"/>
                <w:sz w:val="18"/>
              </w:rPr>
              <w:t>2,591,527.10</w:t>
            </w:r>
          </w:p>
        </w:tc>
      </w:tr>
      <w:tr>
        <w:trPr>
          <w:trHeight w:val="427" w:hRule="exact"/>
        </w:trPr>
        <w:tc>
          <w:tcPr>
            <w:tcW w:w="3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宋体" w:hAnsi="宋体" w:cs="宋体" w:eastAsia="宋体" w:hint="default"/>
                <w:sz w:val="18"/>
                <w:szCs w:val="18"/>
              </w:rPr>
            </w:pPr>
            <w:r>
              <w:rPr>
                <w:rFonts w:ascii="宋体"/>
                <w:sz w:val="18"/>
              </w:rPr>
              <w:t>340,376,038.70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20.88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宋体" w:hAnsi="宋体" w:cs="宋体" w:eastAsia="宋体" w:hint="default"/>
                <w:sz w:val="18"/>
                <w:szCs w:val="18"/>
              </w:rPr>
            </w:pPr>
            <w:r>
              <w:rPr>
                <w:rFonts w:ascii="宋体"/>
                <w:sz w:val="18"/>
              </w:rPr>
              <w:t>17,334,664.75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420" w:lineRule="auto"/>
        <w:ind w:right="1120"/>
        <w:jc w:val="left"/>
      </w:pPr>
      <w:r>
        <w:rPr>
          <w:rFonts w:ascii="宋体" w:hAnsi="宋体" w:cs="宋体" w:eastAsia="宋体" w:hint="default"/>
        </w:rPr>
        <w:t>5)</w:t>
      </w:r>
      <w:r>
        <w:rPr>
          <w:rFonts w:ascii="宋体" w:hAnsi="宋体" w:cs="宋体" w:eastAsia="宋体" w:hint="default"/>
          <w:spacing w:val="-14"/>
        </w:rPr>
        <w:t> </w:t>
      </w:r>
      <w:r>
        <w:rPr/>
        <w:t>期末应收账款中无持本公司</w:t>
      </w:r>
      <w:r>
        <w:rPr>
          <w:spacing w:val="-60"/>
        </w:rPr>
        <w:t> </w:t>
      </w:r>
      <w:r>
        <w:rPr>
          <w:rFonts w:ascii="宋体" w:hAnsi="宋体" w:cs="宋体" w:eastAsia="宋体" w:hint="default"/>
        </w:rPr>
        <w:t>5</w:t>
      </w:r>
      <w:r>
        <w:rPr/>
        <w:t>％以上（含</w:t>
      </w:r>
      <w:r>
        <w:rPr>
          <w:spacing w:val="-59"/>
        </w:rPr>
        <w:t> </w:t>
      </w:r>
      <w:r>
        <w:rPr>
          <w:rFonts w:ascii="宋体" w:hAnsi="宋体" w:cs="宋体" w:eastAsia="宋体" w:hint="default"/>
        </w:rPr>
        <w:t>5</w:t>
      </w:r>
      <w:r>
        <w:rPr/>
        <w:t>％）表决权股份的股东单位欠款；应收其他关联方账款情况 详见附注十二、</w:t>
      </w:r>
      <w:r>
        <w:rPr>
          <w:rFonts w:ascii="宋体" w:hAnsi="宋体" w:cs="宋体" w:eastAsia="宋体" w:hint="default"/>
        </w:rPr>
        <w:t>7</w:t>
      </w:r>
      <w:r>
        <w:rPr/>
        <w:t>。</w:t>
      </w: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bookmarkStart w:name="4、预付款项" w:id="230"/>
      <w:bookmarkEnd w:id="230"/>
      <w:r>
        <w:rPr>
          <w:b w:val="0"/>
          <w:bCs w:val="0"/>
        </w:rPr>
      </w:r>
      <w:r>
        <w:rPr>
          <w:rFonts w:ascii="宋体" w:hAnsi="宋体" w:cs="宋体" w:eastAsia="宋体" w:hint="default"/>
        </w:rPr>
        <w:t>4</w:t>
      </w:r>
      <w:r>
        <w:rPr/>
        <w:t>、预付款项</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left"/>
        <w:rPr>
          <w:b w:val="0"/>
          <w:bCs w:val="0"/>
        </w:rPr>
      </w:pPr>
      <w:bookmarkStart w:name="（1）预付款项按账龄列示" w:id="231"/>
      <w:bookmarkEnd w:id="231"/>
      <w:r>
        <w:rPr>
          <w:b w:val="0"/>
          <w:bCs w:val="0"/>
        </w:rPr>
      </w:r>
      <w:r>
        <w:rPr/>
        <w:t>（</w:t>
      </w:r>
      <w:r>
        <w:rPr>
          <w:rFonts w:ascii="宋体" w:hAnsi="宋体" w:cs="宋体" w:eastAsia="宋体" w:hint="default"/>
        </w:rPr>
        <w:t>1</w:t>
      </w:r>
      <w:r>
        <w:rPr/>
        <w:t>）预付款项按账龄列示</w:t>
      </w:r>
      <w:r>
        <w:rPr>
          <w:b w:val="0"/>
          <w:bCs w:val="0"/>
        </w:rPr>
      </w:r>
    </w:p>
    <w:p>
      <w:pPr>
        <w:spacing w:line="240" w:lineRule="auto" w:before="9"/>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167"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16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221,217,895.78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216,068,745.83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74.10%</w:t>
            </w:r>
          </w:p>
        </w:tc>
      </w:tr>
      <w:tr>
        <w:trPr>
          <w:trHeight w:val="402" w:hRule="exact"/>
        </w:trPr>
        <w:tc>
          <w:tcPr>
            <w:tcW w:w="1912"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25,936,762.00</w:t>
            </w:r>
          </w:p>
        </w:tc>
        <w:tc>
          <w:tcPr>
            <w:tcW w:w="191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10.17%</w:t>
            </w:r>
          </w:p>
        </w:tc>
        <w:tc>
          <w:tcPr>
            <w:tcW w:w="191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67,506,049.25</w:t>
            </w:r>
          </w:p>
        </w:tc>
        <w:tc>
          <w:tcPr>
            <w:tcW w:w="191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23.15%</w:t>
            </w:r>
          </w:p>
        </w:tc>
      </w:tr>
      <w:tr>
        <w:trPr>
          <w:trHeight w:val="402" w:hRule="exact"/>
        </w:trPr>
        <w:tc>
          <w:tcPr>
            <w:tcW w:w="191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6,038,671.75</w:t>
            </w:r>
          </w:p>
        </w:tc>
        <w:tc>
          <w:tcPr>
            <w:tcW w:w="191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2.37%</w:t>
            </w:r>
          </w:p>
        </w:tc>
        <w:tc>
          <w:tcPr>
            <w:tcW w:w="191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6,019,794.04</w:t>
            </w:r>
          </w:p>
        </w:tc>
        <w:tc>
          <w:tcPr>
            <w:tcW w:w="191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2.06%</w:t>
            </w:r>
          </w:p>
        </w:tc>
      </w:tr>
      <w:tr>
        <w:trPr>
          <w:trHeight w:val="402" w:hRule="exact"/>
        </w:trPr>
        <w:tc>
          <w:tcPr>
            <w:tcW w:w="191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1,916,577.45</w:t>
            </w:r>
          </w:p>
        </w:tc>
        <w:tc>
          <w:tcPr>
            <w:tcW w:w="19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0.75%</w:t>
            </w:r>
          </w:p>
        </w:tc>
        <w:tc>
          <w:tcPr>
            <w:tcW w:w="19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2,009,342.87</w:t>
            </w:r>
          </w:p>
        </w:tc>
        <w:tc>
          <w:tcPr>
            <w:tcW w:w="191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0.69%</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right="9"/>
              <w:jc w:val="right"/>
              <w:rPr>
                <w:rFonts w:ascii="宋体" w:hAnsi="宋体" w:cs="宋体" w:eastAsia="宋体" w:hint="default"/>
                <w:sz w:val="18"/>
                <w:szCs w:val="18"/>
              </w:rPr>
            </w:pPr>
            <w:r>
              <w:rPr>
                <w:rFonts w:ascii="宋体"/>
                <w:sz w:val="18"/>
              </w:rPr>
              <w:t>255,109,906.98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291,603,931.99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4"/>
        <w:spacing w:line="240" w:lineRule="auto" w:before="35"/>
        <w:ind w:right="0"/>
        <w:jc w:val="left"/>
        <w:rPr>
          <w:b w:val="0"/>
          <w:bCs w:val="0"/>
        </w:rPr>
      </w:pPr>
      <w:bookmarkStart w:name="（2）按预付对象归集的期末余额前五名的预付款情况" w:id="232"/>
      <w:bookmarkEnd w:id="232"/>
      <w:r>
        <w:rPr>
          <w:b w:val="0"/>
          <w:bCs w:val="0"/>
        </w:rPr>
      </w:r>
      <w:r>
        <w:rPr/>
        <w:t>（</w:t>
      </w:r>
      <w:r>
        <w:rPr>
          <w:rFonts w:ascii="宋体" w:hAnsi="宋体" w:cs="宋体" w:eastAsia="宋体"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tbl>
      <w:tblPr>
        <w:tblW w:w="0" w:type="auto"/>
        <w:jc w:val="left"/>
        <w:tblInd w:w="431" w:type="dxa"/>
        <w:tblLayout w:type="fixed"/>
        <w:tblCellMar>
          <w:top w:w="0" w:type="dxa"/>
          <w:left w:w="0" w:type="dxa"/>
          <w:bottom w:w="0" w:type="dxa"/>
          <w:right w:w="0" w:type="dxa"/>
        </w:tblCellMar>
        <w:tblLook w:val="01E0"/>
      </w:tblPr>
      <w:tblGrid>
        <w:gridCol w:w="3645"/>
        <w:gridCol w:w="2735"/>
        <w:gridCol w:w="2550"/>
      </w:tblGrid>
      <w:tr>
        <w:trPr>
          <w:trHeight w:val="173" w:hRule="exact"/>
        </w:trPr>
        <w:tc>
          <w:tcPr>
            <w:tcW w:w="3645" w:type="dxa"/>
            <w:tcBorders>
              <w:top w:val="single" w:sz="6" w:space="0" w:color="000000"/>
              <w:left w:val="single" w:sz="6" w:space="0" w:color="000000"/>
              <w:bottom w:val="nil" w:sz="6" w:space="0" w:color="auto"/>
              <w:right w:val="single" w:sz="6" w:space="0" w:color="000000"/>
            </w:tcBorders>
            <w:shd w:val="clear" w:color="auto" w:fill="D9D9D9"/>
          </w:tcPr>
          <w:p>
            <w:pPr/>
          </w:p>
        </w:tc>
        <w:tc>
          <w:tcPr>
            <w:tcW w:w="2735" w:type="dxa"/>
            <w:tcBorders>
              <w:top w:val="single" w:sz="6" w:space="0" w:color="000000"/>
              <w:left w:val="single" w:sz="6" w:space="0" w:color="000000"/>
              <w:bottom w:val="nil" w:sz="6" w:space="0" w:color="auto"/>
              <w:right w:val="single" w:sz="6" w:space="0" w:color="000000"/>
            </w:tcBorders>
            <w:shd w:val="clear" w:color="auto" w:fill="D9D9D9"/>
          </w:tcPr>
          <w:p>
            <w:pPr/>
          </w:p>
        </w:tc>
        <w:tc>
          <w:tcPr>
            <w:tcW w:w="2550" w:type="dxa"/>
            <w:vMerge w:val="restart"/>
            <w:tcBorders>
              <w:top w:val="single" w:sz="6" w:space="0" w:color="000000"/>
              <w:left w:val="single" w:sz="6" w:space="0" w:color="000000"/>
              <w:right w:val="single" w:sz="6" w:space="0" w:color="000000"/>
            </w:tcBorders>
            <w:shd w:val="clear" w:color="auto" w:fill="D9D9D9"/>
          </w:tcPr>
          <w:p>
            <w:pPr>
              <w:pStyle w:val="TableParagraph"/>
              <w:spacing w:line="316" w:lineRule="auto" w:before="20"/>
              <w:ind w:left="503" w:right="500" w:firstLine="44"/>
              <w:jc w:val="left"/>
              <w:rPr>
                <w:rFonts w:ascii="宋体" w:hAnsi="宋体" w:cs="宋体" w:eastAsia="宋体" w:hint="default"/>
                <w:sz w:val="18"/>
                <w:szCs w:val="18"/>
              </w:rPr>
            </w:pPr>
            <w:r>
              <w:rPr>
                <w:rFonts w:ascii="宋体" w:hAnsi="宋体" w:cs="宋体" w:eastAsia="宋体" w:hint="default"/>
                <w:sz w:val="18"/>
                <w:szCs w:val="18"/>
              </w:rPr>
              <w:t>占预付款期末余额 合计数的比例（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85" w:hRule="exact"/>
        </w:trPr>
        <w:tc>
          <w:tcPr>
            <w:tcW w:w="3645"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735"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50" w:type="dxa"/>
            <w:vMerge/>
            <w:tcBorders>
              <w:left w:val="single" w:sz="6" w:space="0" w:color="000000"/>
              <w:bottom w:val="single" w:sz="6" w:space="0" w:color="000000"/>
              <w:right w:val="single" w:sz="6" w:space="0" w:color="000000"/>
            </w:tcBorders>
            <w:shd w:val="clear" w:color="auto" w:fill="D9D9D9"/>
          </w:tcPr>
          <w:p>
            <w:pPr/>
          </w:p>
        </w:tc>
      </w:tr>
      <w:tr>
        <w:trPr>
          <w:trHeight w:val="347" w:hRule="exact"/>
        </w:trPr>
        <w:tc>
          <w:tcPr>
            <w:tcW w:w="36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上海蓝韵广告有限公司</w:t>
            </w:r>
          </w:p>
        </w:tc>
        <w:tc>
          <w:tcPr>
            <w:tcW w:w="273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52,986,532.08</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20.77</w:t>
            </w:r>
          </w:p>
        </w:tc>
      </w:tr>
      <w:tr>
        <w:trPr>
          <w:trHeight w:val="347" w:hRule="exact"/>
        </w:trPr>
        <w:tc>
          <w:tcPr>
            <w:tcW w:w="36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浙江和于道广告有限公司</w:t>
            </w:r>
          </w:p>
        </w:tc>
        <w:tc>
          <w:tcPr>
            <w:tcW w:w="273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20,000,000.00</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7.84</w:t>
            </w:r>
          </w:p>
        </w:tc>
      </w:tr>
      <w:tr>
        <w:trPr>
          <w:trHeight w:val="347" w:hRule="exact"/>
        </w:trPr>
        <w:tc>
          <w:tcPr>
            <w:tcW w:w="36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深圳车小米智能网络科技有限公司</w:t>
            </w:r>
          </w:p>
        </w:tc>
        <w:tc>
          <w:tcPr>
            <w:tcW w:w="273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17,500,000.00</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6.86</w:t>
            </w:r>
          </w:p>
        </w:tc>
      </w:tr>
      <w:tr>
        <w:trPr>
          <w:trHeight w:val="348" w:hRule="exact"/>
        </w:trPr>
        <w:tc>
          <w:tcPr>
            <w:tcW w:w="36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微众梦想科技（北京）有限公司</w:t>
            </w:r>
          </w:p>
        </w:tc>
        <w:tc>
          <w:tcPr>
            <w:tcW w:w="273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16,478,435.76</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6.46</w:t>
            </w:r>
          </w:p>
        </w:tc>
      </w:tr>
      <w:tr>
        <w:trPr>
          <w:trHeight w:val="347" w:hRule="exact"/>
        </w:trPr>
        <w:tc>
          <w:tcPr>
            <w:tcW w:w="36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上海瀚天星海广告有限公司</w:t>
            </w:r>
          </w:p>
        </w:tc>
        <w:tc>
          <w:tcPr>
            <w:tcW w:w="273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16,088,605.19</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6.31</w:t>
            </w:r>
          </w:p>
        </w:tc>
      </w:tr>
      <w:tr>
        <w:trPr>
          <w:trHeight w:val="347" w:hRule="exact"/>
        </w:trPr>
        <w:tc>
          <w:tcPr>
            <w:tcW w:w="36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3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123,053,573.03</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48.24</w:t>
            </w:r>
          </w:p>
        </w:tc>
      </w:tr>
    </w:tbl>
    <w:p>
      <w:pPr>
        <w:spacing w:after="0" w:line="240" w:lineRule="auto"/>
        <w:jc w:val="right"/>
        <w:rPr>
          <w:rFonts w:ascii="宋体" w:hAnsi="宋体" w:cs="宋体" w:eastAsia="宋体" w:hint="default"/>
          <w:sz w:val="18"/>
          <w:szCs w:val="18"/>
        </w:rPr>
        <w:sectPr>
          <w:pgSz w:w="11910" w:h="16840"/>
          <w:pgMar w:header="0" w:footer="979" w:top="1100" w:bottom="1160" w:left="980" w:right="0"/>
        </w:sectPr>
      </w:pPr>
    </w:p>
    <w:p>
      <w:pPr>
        <w:spacing w:line="240" w:lineRule="auto" w:before="9"/>
        <w:rPr>
          <w:rFonts w:ascii="宋体" w:hAnsi="宋体" w:cs="宋体" w:eastAsia="宋体" w:hint="default"/>
          <w:b/>
          <w:bCs/>
          <w:sz w:val="20"/>
          <w:szCs w:val="20"/>
        </w:rPr>
      </w:pPr>
    </w:p>
    <w:p>
      <w:pPr>
        <w:pStyle w:val="Heading4"/>
        <w:spacing w:line="273" w:lineRule="auto" w:before="35"/>
        <w:ind w:right="1123"/>
        <w:jc w:val="left"/>
        <w:rPr>
          <w:b w:val="0"/>
          <w:bCs w:val="0"/>
        </w:rPr>
      </w:pPr>
      <w:bookmarkStart w:name="（3） 期末预付款项中无持本公司5％以上（含5％）表决权股份的股东单位欠款；预付" w:id="233"/>
      <w:bookmarkEnd w:id="233"/>
      <w:r>
        <w:rPr>
          <w:b w:val="0"/>
          <w:bCs w:val="0"/>
        </w:rPr>
      </w:r>
      <w:r>
        <w:rPr/>
        <w:t>（</w:t>
      </w:r>
      <w:r>
        <w:rPr>
          <w:rFonts w:ascii="宋体" w:hAnsi="宋体" w:cs="宋体" w:eastAsia="宋体" w:hint="default"/>
        </w:rPr>
        <w:t>3</w:t>
      </w:r>
      <w:r>
        <w:rPr/>
        <w:t>） 期末预付款项中无持本公司 </w:t>
      </w:r>
      <w:r>
        <w:rPr>
          <w:rFonts w:ascii="宋体" w:hAnsi="宋体" w:cs="宋体" w:eastAsia="宋体" w:hint="default"/>
        </w:rPr>
        <w:t>5</w:t>
      </w:r>
      <w:r>
        <w:rPr/>
        <w:t>％以上（含</w:t>
      </w:r>
      <w:r>
        <w:rPr>
          <w:spacing w:val="-71"/>
        </w:rPr>
        <w:t> </w:t>
      </w:r>
      <w:r>
        <w:rPr>
          <w:rFonts w:ascii="宋体" w:hAnsi="宋体" w:cs="宋体" w:eastAsia="宋体" w:hint="default"/>
        </w:rPr>
        <w:t>5</w:t>
      </w:r>
      <w:r>
        <w:rPr/>
        <w:t>％）表决权股份的股东单位欠款；预付其他关联方账款</w:t>
      </w:r>
      <w:r>
        <w:rPr>
          <w:w w:val="99"/>
        </w:rPr>
        <w:t> </w:t>
      </w:r>
      <w:r>
        <w:rPr/>
        <w:t>情况详见附注十二、</w:t>
      </w:r>
      <w:r>
        <w:rPr>
          <w:rFonts w:ascii="宋体" w:hAnsi="宋体" w:cs="宋体" w:eastAsia="宋体" w:hint="default"/>
        </w:rPr>
        <w:t>7</w:t>
      </w:r>
      <w:r>
        <w:rPr/>
        <w:t>。</w:t>
      </w:r>
      <w:r>
        <w:rPr>
          <w:b w:val="0"/>
          <w:bCs w:val="0"/>
        </w:rPr>
      </w:r>
    </w:p>
    <w:p>
      <w:pPr>
        <w:spacing w:line="240" w:lineRule="auto" w:before="7"/>
        <w:rPr>
          <w:rFonts w:ascii="宋体" w:hAnsi="宋体" w:cs="宋体" w:eastAsia="宋体" w:hint="default"/>
          <w:b/>
          <w:bCs/>
          <w:sz w:val="23"/>
          <w:szCs w:val="23"/>
        </w:rPr>
      </w:pPr>
    </w:p>
    <w:p>
      <w:pPr>
        <w:pStyle w:val="Heading4"/>
        <w:spacing w:line="240" w:lineRule="auto"/>
        <w:ind w:right="0"/>
        <w:jc w:val="left"/>
        <w:rPr>
          <w:b w:val="0"/>
          <w:bCs w:val="0"/>
        </w:rPr>
      </w:pPr>
      <w:bookmarkStart w:name="5、其他应收款" w:id="234"/>
      <w:bookmarkEnd w:id="234"/>
      <w:r>
        <w:rPr>
          <w:b w:val="0"/>
          <w:bCs w:val="0"/>
        </w:rPr>
      </w:r>
      <w:r>
        <w:rPr>
          <w:rFonts w:ascii="宋体" w:hAnsi="宋体" w:cs="宋体" w:eastAsia="宋体" w:hint="default"/>
        </w:rPr>
        <w:t>5</w:t>
      </w:r>
      <w:r>
        <w:rPr/>
        <w:t>、其他应收款</w:t>
      </w:r>
      <w:r>
        <w:rPr>
          <w:b w:val="0"/>
          <w:bCs w:val="0"/>
        </w:rPr>
      </w:r>
    </w:p>
    <w:p>
      <w:pPr>
        <w:spacing w:line="240" w:lineRule="auto" w:before="10"/>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749,589.04</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79,995,000.00</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336,286,366.83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279,773,074.77</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349,886,366.83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360,517,663.81</w:t>
            </w:r>
          </w:p>
        </w:tc>
      </w:tr>
    </w:tbl>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235"/>
      <w:bookmarkEnd w:id="235"/>
      <w:r>
        <w:rPr>
          <w:b w:val="0"/>
          <w:bCs w:val="0"/>
        </w:rPr>
      </w:r>
      <w:r>
        <w:rPr/>
        <w:t>（</w:t>
      </w:r>
      <w:r>
        <w:rPr>
          <w:rFonts w:ascii="宋体" w:hAnsi="宋体" w:cs="宋体" w:eastAsia="宋体" w:hint="default"/>
        </w:rPr>
        <w:t>1</w:t>
      </w:r>
      <w:r>
        <w:rPr/>
        <w:t>）应收利息</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79" w:top="1100" w:bottom="1160" w:left="980" w:right="0"/>
        </w:sectPr>
      </w:pPr>
    </w:p>
    <w:p>
      <w:pPr>
        <w:pStyle w:val="BodyText"/>
        <w:spacing w:line="240" w:lineRule="auto" w:before="35"/>
        <w:ind w:right="-13"/>
        <w:jc w:val="left"/>
      </w:pPr>
      <w:r>
        <w:rPr>
          <w:rFonts w:ascii="宋体" w:hAnsi="宋体" w:cs="宋体" w:eastAsia="宋体" w:hint="default"/>
          <w:spacing w:val="-1"/>
        </w:rPr>
        <w:t>1)</w:t>
      </w:r>
      <w:r>
        <w:rPr>
          <w:spacing w:val="-1"/>
        </w:rPr>
        <w:t>应收利息分类</w:t>
      </w:r>
    </w:p>
    <w:p>
      <w:pPr>
        <w:spacing w:line="240" w:lineRule="auto" w:before="0"/>
        <w:rPr>
          <w:rFonts w:ascii="宋体" w:hAnsi="宋体" w:cs="宋体" w:eastAsia="宋体" w:hint="default"/>
          <w:sz w:val="18"/>
          <w:szCs w:val="18"/>
        </w:rPr>
      </w:pPr>
      <w:r>
        <w:rPr/>
        <w:br w:type="column"/>
      </w:r>
      <w:r>
        <w:rPr>
          <w:rFonts w:ascii="宋体"/>
          <w:sz w:val="18"/>
        </w:rPr>
      </w:r>
    </w:p>
    <w:p>
      <w:pPr>
        <w:spacing w:before="137"/>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624" w:space="7205"/>
            <w:col w:w="2101"/>
          </w:cols>
        </w:sectPr>
      </w:pP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396"/>
              <w:jc w:val="right"/>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749,589.04</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96"/>
              <w:jc w:val="righ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749,589.04</w:t>
            </w:r>
          </w:p>
        </w:tc>
      </w:tr>
    </w:tbl>
    <w:p>
      <w:pPr>
        <w:pStyle w:val="BodyText"/>
        <w:spacing w:line="260" w:lineRule="exact"/>
        <w:ind w:right="0"/>
        <w:jc w:val="left"/>
      </w:pPr>
      <w:r>
        <w:rPr>
          <w:rFonts w:ascii="宋体" w:hAnsi="宋体" w:cs="宋体" w:eastAsia="宋体" w:hint="default"/>
        </w:rPr>
        <w:t>2)</w:t>
      </w:r>
      <w:r>
        <w:rPr>
          <w:rFonts w:ascii="宋体" w:hAnsi="宋体" w:cs="宋体" w:eastAsia="宋体" w:hint="default"/>
          <w:spacing w:val="-2"/>
        </w:rPr>
        <w:t> </w:t>
      </w:r>
      <w:r>
        <w:rPr/>
        <w:t>期末应收利息中无重要的逾期利息。</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应收股利" w:id="236"/>
      <w:bookmarkEnd w:id="236"/>
      <w:r>
        <w:rPr>
          <w:b w:val="0"/>
          <w:bCs w:val="0"/>
        </w:rPr>
      </w:r>
      <w:r>
        <w:rPr/>
        <w:t>（</w:t>
      </w:r>
      <w:r>
        <w:rPr>
          <w:rFonts w:ascii="宋体" w:hAnsi="宋体" w:cs="宋体" w:eastAsia="宋体" w:hint="default"/>
        </w:rPr>
        <w:t>2</w:t>
      </w:r>
      <w:r>
        <w:rPr/>
        <w:t>）应收股利</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240" w:lineRule="auto" w:before="35"/>
        <w:ind w:right="-19"/>
        <w:jc w:val="left"/>
      </w:pPr>
      <w:r>
        <w:rPr>
          <w:rFonts w:ascii="宋体" w:hAnsi="宋体" w:cs="宋体" w:eastAsia="宋体" w:hint="default"/>
        </w:rPr>
        <w:t>1)</w:t>
      </w:r>
      <w:r>
        <w:rPr/>
        <w:t>应收股利</w:t>
      </w:r>
    </w:p>
    <w:p>
      <w:pPr>
        <w:spacing w:line="240" w:lineRule="auto" w:before="0"/>
        <w:rPr>
          <w:rFonts w:ascii="宋体" w:hAnsi="宋体" w:cs="宋体" w:eastAsia="宋体" w:hint="default"/>
          <w:sz w:val="18"/>
          <w:szCs w:val="18"/>
        </w:rPr>
      </w:pPr>
      <w:r>
        <w:rPr/>
        <w:br w:type="column"/>
      </w:r>
      <w:r>
        <w:rPr>
          <w:rFonts w:ascii="宋体"/>
          <w:sz w:val="18"/>
        </w:rPr>
      </w:r>
    </w:p>
    <w:p>
      <w:pPr>
        <w:spacing w:before="137"/>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206" w:space="7624"/>
            <w:col w:w="2100"/>
          </w:cols>
        </w:sectPr>
      </w:pP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254"/>
        <w:gridCol w:w="2693"/>
        <w:gridCol w:w="2694"/>
      </w:tblGrid>
      <w:tr>
        <w:trPr>
          <w:trHeight w:val="322" w:hRule="exact"/>
        </w:trPr>
        <w:tc>
          <w:tcPr>
            <w:tcW w:w="42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31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山东丰源集团股份有限公司（以下简称</w:t>
            </w:r>
            <w:r>
              <w:rPr>
                <w:rFonts w:ascii="宋体" w:hAnsi="宋体" w:cs="宋体" w:eastAsia="宋体" w:hint="default"/>
                <w:sz w:val="18"/>
                <w:szCs w:val="18"/>
              </w:rPr>
              <w:t>"</w:t>
            </w:r>
            <w:r>
              <w:rPr>
                <w:rFonts w:ascii="宋体" w:hAnsi="宋体" w:cs="宋体" w:eastAsia="宋体" w:hint="default"/>
                <w:sz w:val="18"/>
                <w:szCs w:val="18"/>
              </w:rPr>
              <w:t>山东丰源</w:t>
            </w:r>
            <w:r>
              <w:rPr>
                <w:rFonts w:ascii="宋体" w:hAnsi="宋体" w:cs="宋体" w:eastAsia="宋体" w:hint="default"/>
                <w:sz w:val="18"/>
                <w:szCs w:val="18"/>
              </w:rPr>
              <w:t>"</w:t>
            </w:r>
            <w:r>
              <w:rPr>
                <w:rFonts w:ascii="宋体" w:hAnsi="宋体" w:cs="宋体" w:eastAsia="宋体" w:hint="default"/>
                <w:sz w:val="18"/>
                <w:szCs w:val="18"/>
              </w:rPr>
              <w:t>）</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1,710,000.00</w:t>
            </w:r>
          </w:p>
        </w:tc>
      </w:tr>
      <w:tr>
        <w:trPr>
          <w:trHeight w:val="32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昆仑基石（深圳）股权投资合伙企业（有限合伙）</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20,392,500.00</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深圳市华夏基石股权投资合伙企业（有限合伙）</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20,392,500.00</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芜湖弘唯基石创业投资合伙企业（有限合伙）</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37,500,000.00</w:t>
            </w:r>
          </w:p>
        </w:tc>
      </w:tr>
      <w:tr>
        <w:trPr>
          <w:trHeight w:val="32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13,600,000.00</w:t>
            </w: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13,600,000.00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79,995,000.00</w:t>
            </w:r>
          </w:p>
        </w:tc>
      </w:tr>
    </w:tbl>
    <w:p>
      <w:pPr>
        <w:pStyle w:val="BodyText"/>
        <w:spacing w:line="260" w:lineRule="exact"/>
        <w:ind w:right="0"/>
        <w:jc w:val="left"/>
      </w:pPr>
      <w:r>
        <w:rPr>
          <w:rFonts w:ascii="宋体" w:hAnsi="宋体" w:cs="宋体" w:eastAsia="宋体" w:hint="default"/>
        </w:rPr>
        <w:t>2)</w:t>
      </w:r>
      <w:r>
        <w:rPr>
          <w:rFonts w:ascii="宋体" w:hAnsi="宋体" w:cs="宋体" w:eastAsia="宋体" w:hint="default"/>
          <w:spacing w:val="-1"/>
        </w:rPr>
        <w:t> </w:t>
      </w:r>
      <w:r>
        <w:rPr/>
        <w:t>无重要的账龄超过</w:t>
      </w:r>
      <w:r>
        <w:rPr>
          <w:spacing w:val="-53"/>
        </w:rPr>
        <w:t> </w:t>
      </w:r>
      <w:r>
        <w:rPr>
          <w:rFonts w:ascii="宋体" w:hAnsi="宋体" w:cs="宋体" w:eastAsia="宋体" w:hint="default"/>
        </w:rPr>
        <w:t>1</w:t>
      </w:r>
      <w:r>
        <w:rPr>
          <w:rFonts w:ascii="宋体" w:hAnsi="宋体" w:cs="宋体" w:eastAsia="宋体" w:hint="default"/>
          <w:spacing w:val="-54"/>
        </w:rPr>
        <w:t> </w:t>
      </w:r>
      <w:r>
        <w:rPr/>
        <w:t>年的应收股利。</w:t>
      </w:r>
    </w:p>
    <w:p>
      <w:pPr>
        <w:spacing w:after="0" w:line="260" w:lineRule="exact"/>
        <w:jc w:val="left"/>
        <w:sectPr>
          <w:type w:val="continuous"/>
          <w:pgSz w:w="11910" w:h="16840"/>
          <w:pgMar w:top="1060" w:bottom="1160" w:left="980" w:right="0"/>
        </w:sectPr>
      </w:pPr>
    </w:p>
    <w:p>
      <w:pPr>
        <w:spacing w:before="15"/>
        <w:ind w:left="0" w:right="616" w:firstLine="0"/>
        <w:jc w:val="righ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22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4"/>
        <w:spacing w:line="240" w:lineRule="auto" w:before="35"/>
        <w:ind w:left="260" w:right="0"/>
        <w:jc w:val="left"/>
        <w:rPr>
          <w:b w:val="0"/>
          <w:bCs w:val="0"/>
        </w:rPr>
      </w:pPr>
      <w:bookmarkStart w:name="（3）其他应收款" w:id="237"/>
      <w:bookmarkEnd w:id="237"/>
      <w:r>
        <w:rPr>
          <w:b w:val="0"/>
          <w:bCs w:val="0"/>
        </w:rPr>
      </w:r>
      <w:r>
        <w:rPr/>
        <w:t>（</w:t>
      </w:r>
      <w:r>
        <w:rPr>
          <w:rFonts w:ascii="宋体" w:hAnsi="宋体" w:cs="宋体" w:eastAsia="宋体" w:hint="default"/>
        </w:rPr>
        <w:t>3</w:t>
      </w:r>
      <w:r>
        <w:rPr/>
        <w:t>）其他应收款</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42"/>
          <w:footerReference w:type="default" r:id="rId43"/>
          <w:pgSz w:w="16840" w:h="11910" w:orient="landscape"/>
          <w:pgMar w:header="0" w:footer="0" w:top="800" w:bottom="0" w:left="1180" w:right="820"/>
        </w:sectPr>
      </w:pPr>
    </w:p>
    <w:p>
      <w:pPr>
        <w:pStyle w:val="BodyText"/>
        <w:spacing w:line="240" w:lineRule="auto" w:before="35"/>
        <w:ind w:left="260" w:right="-10"/>
        <w:jc w:val="left"/>
      </w:pPr>
      <w:r>
        <w:rPr>
          <w:rFonts w:ascii="宋体" w:hAnsi="宋体" w:cs="宋体" w:eastAsia="宋体" w:hint="default"/>
          <w:spacing w:val="-1"/>
        </w:rPr>
        <w:t>1)</w:t>
      </w:r>
      <w:r>
        <w:rPr>
          <w:spacing w:val="-1"/>
        </w:rPr>
        <w:t>其他应收款分类披露</w:t>
      </w:r>
    </w:p>
    <w:p>
      <w:pPr>
        <w:spacing w:line="240" w:lineRule="auto" w:before="0"/>
        <w:rPr>
          <w:rFonts w:ascii="宋体" w:hAnsi="宋体" w:cs="宋体" w:eastAsia="宋体" w:hint="default"/>
          <w:sz w:val="18"/>
          <w:szCs w:val="18"/>
        </w:rPr>
      </w:pPr>
      <w:r>
        <w:rPr/>
        <w:br w:type="column"/>
      </w:r>
      <w:r>
        <w:rPr>
          <w:rFonts w:ascii="宋体"/>
          <w:sz w:val="18"/>
        </w:rPr>
      </w:r>
    </w:p>
    <w:p>
      <w:pPr>
        <w:spacing w:before="137"/>
        <w:ind w:left="26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6840" w:h="11910" w:orient="landscape"/>
          <w:pgMar w:top="1060" w:bottom="1160" w:left="1180" w:right="820"/>
          <w:cols w:num="2" w:equalWidth="0">
            <w:col w:w="2360" w:space="10789"/>
            <w:col w:w="1691"/>
          </w:cols>
        </w:sectPr>
      </w:pPr>
    </w:p>
    <w:p>
      <w:pPr>
        <w:spacing w:line="240" w:lineRule="auto" w:before="0"/>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115"/>
        <w:gridCol w:w="1570"/>
        <w:gridCol w:w="762"/>
        <w:gridCol w:w="1649"/>
        <w:gridCol w:w="763"/>
        <w:gridCol w:w="1647"/>
        <w:gridCol w:w="1417"/>
        <w:gridCol w:w="762"/>
        <w:gridCol w:w="1506"/>
        <w:gridCol w:w="933"/>
        <w:gridCol w:w="1477"/>
      </w:tblGrid>
      <w:tr>
        <w:trPr>
          <w:trHeight w:val="322" w:hRule="exact"/>
        </w:trPr>
        <w:tc>
          <w:tcPr>
            <w:tcW w:w="2115" w:type="dxa"/>
            <w:vMerge w:val="restart"/>
            <w:tcBorders>
              <w:top w:val="single" w:sz="4" w:space="0" w:color="000000"/>
              <w:left w:val="single" w:sz="4" w:space="0" w:color="000000"/>
              <w:right w:val="single" w:sz="4" w:space="0" w:color="000000"/>
            </w:tcBorders>
            <w:shd w:val="clear" w:color="auto" w:fill="D2D2D2"/>
          </w:tcPr>
          <w:p>
            <w:pPr/>
          </w:p>
        </w:tc>
        <w:tc>
          <w:tcPr>
            <w:tcW w:w="639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2115" w:type="dxa"/>
            <w:vMerge/>
            <w:tcBorders>
              <w:left w:val="single" w:sz="4" w:space="0" w:color="000000"/>
              <w:bottom w:val="nil" w:sz="6" w:space="0" w:color="auto"/>
              <w:right w:val="single" w:sz="4" w:space="0" w:color="000000"/>
            </w:tcBorders>
            <w:shd w:val="clear" w:color="auto" w:fill="D2D2D2"/>
          </w:tcPr>
          <w:p>
            <w:pPr/>
          </w:p>
        </w:tc>
        <w:tc>
          <w:tcPr>
            <w:tcW w:w="23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47" w:type="dxa"/>
            <w:vMerge w:val="restart"/>
            <w:tcBorders>
              <w:top w:val="single" w:sz="4" w:space="0" w:color="000000"/>
              <w:left w:val="single" w:sz="4" w:space="0" w:color="000000"/>
              <w:right w:val="single" w:sz="4" w:space="0" w:color="000000"/>
            </w:tcBorders>
            <w:shd w:val="clear" w:color="auto" w:fill="D2D2D2"/>
          </w:tcPr>
          <w:p>
            <w:pPr/>
          </w:p>
        </w:tc>
        <w:tc>
          <w:tcPr>
            <w:tcW w:w="21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77" w:type="dxa"/>
            <w:vMerge w:val="restart"/>
            <w:tcBorders>
              <w:top w:val="single" w:sz="4" w:space="0" w:color="000000"/>
              <w:left w:val="single" w:sz="4" w:space="0" w:color="000000"/>
              <w:right w:val="single" w:sz="4" w:space="0" w:color="000000"/>
            </w:tcBorders>
            <w:shd w:val="clear" w:color="auto" w:fill="D2D2D2"/>
          </w:tcPr>
          <w:p>
            <w:pPr/>
          </w:p>
        </w:tc>
      </w:tr>
      <w:tr>
        <w:trPr>
          <w:trHeight w:val="161" w:hRule="exact"/>
        </w:trPr>
        <w:tc>
          <w:tcPr>
            <w:tcW w:w="21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332" w:type="dxa"/>
            <w:gridSpan w:val="2"/>
            <w:vMerge/>
            <w:tcBorders>
              <w:left w:val="single" w:sz="4" w:space="0" w:color="000000"/>
              <w:bottom w:val="single" w:sz="4" w:space="0" w:color="000000"/>
              <w:right w:val="single" w:sz="4" w:space="0" w:color="000000"/>
            </w:tcBorders>
            <w:shd w:val="clear" w:color="auto" w:fill="D2D2D2"/>
          </w:tcPr>
          <w:p>
            <w:pPr/>
          </w:p>
        </w:tc>
        <w:tc>
          <w:tcPr>
            <w:tcW w:w="2412" w:type="dxa"/>
            <w:gridSpan w:val="2"/>
            <w:vMerge/>
            <w:tcBorders>
              <w:left w:val="single" w:sz="4" w:space="0" w:color="000000"/>
              <w:bottom w:val="single" w:sz="4" w:space="0" w:color="000000"/>
              <w:right w:val="single" w:sz="4" w:space="0" w:color="000000"/>
            </w:tcBorders>
            <w:shd w:val="clear" w:color="auto" w:fill="D2D2D2"/>
          </w:tcPr>
          <w:p>
            <w:pPr/>
          </w:p>
        </w:tc>
        <w:tc>
          <w:tcPr>
            <w:tcW w:w="1647" w:type="dxa"/>
            <w:vMerge/>
            <w:tcBorders>
              <w:left w:val="single" w:sz="4" w:space="0" w:color="000000"/>
              <w:bottom w:val="nil" w:sz="6" w:space="0" w:color="auto"/>
              <w:right w:val="single" w:sz="4" w:space="0" w:color="000000"/>
            </w:tcBorders>
            <w:shd w:val="clear" w:color="auto" w:fill="D2D2D2"/>
          </w:tcPr>
          <w:p>
            <w:pPr/>
          </w:p>
        </w:tc>
        <w:tc>
          <w:tcPr>
            <w:tcW w:w="2179" w:type="dxa"/>
            <w:gridSpan w:val="2"/>
            <w:vMerge/>
            <w:tcBorders>
              <w:left w:val="single" w:sz="4" w:space="0" w:color="000000"/>
              <w:bottom w:val="single" w:sz="4" w:space="0" w:color="000000"/>
              <w:right w:val="single" w:sz="4" w:space="0" w:color="000000"/>
            </w:tcBorders>
            <w:shd w:val="clear" w:color="auto" w:fill="D2D2D2"/>
          </w:tcPr>
          <w:p>
            <w:pPr/>
          </w:p>
        </w:tc>
        <w:tc>
          <w:tcPr>
            <w:tcW w:w="2439" w:type="dxa"/>
            <w:gridSpan w:val="2"/>
            <w:vMerge/>
            <w:tcBorders>
              <w:left w:val="single" w:sz="4" w:space="0" w:color="000000"/>
              <w:bottom w:val="single" w:sz="4" w:space="0" w:color="000000"/>
              <w:right w:val="single" w:sz="4" w:space="0" w:color="000000"/>
            </w:tcBorders>
            <w:shd w:val="clear" w:color="auto" w:fill="D2D2D2"/>
          </w:tcPr>
          <w:p>
            <w:pPr/>
          </w:p>
        </w:tc>
        <w:tc>
          <w:tcPr>
            <w:tcW w:w="1477"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115" w:type="dxa"/>
            <w:vMerge/>
            <w:tcBorders>
              <w:left w:val="single" w:sz="4" w:space="0" w:color="000000"/>
              <w:bottom w:val="nil" w:sz="6" w:space="0" w:color="auto"/>
              <w:right w:val="single" w:sz="4" w:space="0" w:color="000000"/>
            </w:tcBorders>
            <w:shd w:val="clear" w:color="auto" w:fill="D2D2D2"/>
          </w:tcPr>
          <w:p>
            <w:pPr/>
          </w:p>
        </w:tc>
        <w:tc>
          <w:tcPr>
            <w:tcW w:w="15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285" w:right="10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6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5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0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1" w:hRule="exact"/>
        </w:trPr>
        <w:tc>
          <w:tcPr>
            <w:tcW w:w="2115" w:type="dxa"/>
            <w:vMerge w:val="restart"/>
            <w:tcBorders>
              <w:top w:val="nil" w:sz="6" w:space="0" w:color="auto"/>
              <w:left w:val="single" w:sz="4" w:space="0" w:color="000000"/>
              <w:right w:val="single" w:sz="4" w:space="0" w:color="000000"/>
            </w:tcBorders>
            <w:shd w:val="clear" w:color="auto" w:fill="D2D2D2"/>
          </w:tcPr>
          <w:p>
            <w:pPr/>
          </w:p>
        </w:tc>
        <w:tc>
          <w:tcPr>
            <w:tcW w:w="15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6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1647"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77"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115" w:type="dxa"/>
            <w:vMerge/>
            <w:tcBorders>
              <w:left w:val="single" w:sz="4" w:space="0" w:color="000000"/>
              <w:right w:val="single" w:sz="4" w:space="0" w:color="000000"/>
            </w:tcBorders>
            <w:shd w:val="clear" w:color="auto" w:fill="D2D2D2"/>
          </w:tcPr>
          <w:p>
            <w:pPr/>
          </w:p>
        </w:tc>
        <w:tc>
          <w:tcPr>
            <w:tcW w:w="1570"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1649"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1647" w:type="dxa"/>
            <w:vMerge w:val="restart"/>
            <w:tcBorders>
              <w:top w:val="nil" w:sz="6" w:space="0" w:color="auto"/>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1506" w:type="dxa"/>
            <w:vMerge/>
            <w:tcBorders>
              <w:left w:val="single" w:sz="4" w:space="0" w:color="000000"/>
              <w:bottom w:val="nil" w:sz="6" w:space="0" w:color="auto"/>
              <w:right w:val="single" w:sz="4" w:space="0" w:color="000000"/>
            </w:tcBorders>
            <w:shd w:val="clear" w:color="auto" w:fill="D2D2D2"/>
          </w:tcPr>
          <w:p>
            <w:pPr/>
          </w:p>
        </w:tc>
        <w:tc>
          <w:tcPr>
            <w:tcW w:w="933" w:type="dxa"/>
            <w:vMerge/>
            <w:tcBorders>
              <w:left w:val="single" w:sz="4" w:space="0" w:color="000000"/>
              <w:bottom w:val="nil" w:sz="6" w:space="0" w:color="auto"/>
              <w:right w:val="single" w:sz="4" w:space="0" w:color="000000"/>
            </w:tcBorders>
            <w:shd w:val="clear" w:color="auto" w:fill="D2D2D2"/>
          </w:tcPr>
          <w:p>
            <w:pPr/>
          </w:p>
        </w:tc>
        <w:tc>
          <w:tcPr>
            <w:tcW w:w="147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115" w:type="dxa"/>
            <w:vMerge/>
            <w:tcBorders>
              <w:left w:val="single" w:sz="4" w:space="0" w:color="000000"/>
              <w:bottom w:val="single" w:sz="4" w:space="0" w:color="000000"/>
              <w:right w:val="single" w:sz="4" w:space="0" w:color="000000"/>
            </w:tcBorders>
            <w:shd w:val="clear" w:color="auto" w:fill="D2D2D2"/>
          </w:tcPr>
          <w:p>
            <w:pPr/>
          </w:p>
        </w:tc>
        <w:tc>
          <w:tcPr>
            <w:tcW w:w="15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1647"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7" w:type="dxa"/>
            <w:vMerge/>
            <w:tcBorders>
              <w:left w:val="single" w:sz="4" w:space="0" w:color="000000"/>
              <w:bottom w:val="single" w:sz="4" w:space="0" w:color="000000"/>
              <w:right w:val="single" w:sz="4" w:space="0" w:color="000000"/>
            </w:tcBorders>
            <w:shd w:val="clear" w:color="auto" w:fill="D2D2D2"/>
          </w:tcPr>
          <w:p>
            <w:pPr/>
          </w:p>
        </w:tc>
      </w:tr>
      <w:tr>
        <w:trPr>
          <w:trHeight w:val="634"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02"/>
              <w:jc w:val="left"/>
              <w:rPr>
                <w:rFonts w:ascii="宋体" w:hAnsi="宋体" w:cs="宋体" w:eastAsia="宋体" w:hint="default"/>
                <w:sz w:val="18"/>
                <w:szCs w:val="18"/>
              </w:rPr>
            </w:pPr>
            <w:r>
              <w:rPr>
                <w:rFonts w:ascii="宋体" w:hAnsi="宋体" w:cs="宋体" w:eastAsia="宋体" w:hint="default"/>
                <w:sz w:val="18"/>
                <w:szCs w:val="18"/>
              </w:rPr>
              <w:t>单项金额重大并单独计提 坏账准备的其他应收款</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538,317,410.82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67.53%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409,577,624.84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76.08%</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128,739,785.98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142,076,730.57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46.38%</w:t>
            </w:r>
          </w:p>
        </w:tc>
        <w:tc>
          <w:tcPr>
            <w:tcW w:w="1506"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142,076,730.57</w:t>
            </w:r>
          </w:p>
        </w:tc>
      </w:tr>
      <w:tr>
        <w:trPr>
          <w:trHeight w:val="635"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102"/>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坏账准备的其他应收款</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151,782,992.72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19.04%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43,274,524.36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28.51%</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108,508,468.36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42,648,750.15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13.92%</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21,663,574.53</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50.80%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20,985,175.62</w:t>
            </w:r>
          </w:p>
        </w:tc>
      </w:tr>
      <w:tr>
        <w:trPr>
          <w:trHeight w:val="634"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102"/>
              <w:jc w:val="left"/>
              <w:rPr>
                <w:rFonts w:ascii="宋体" w:hAnsi="宋体" w:cs="宋体" w:eastAsia="宋体" w:hint="default"/>
                <w:sz w:val="18"/>
                <w:szCs w:val="18"/>
              </w:rPr>
            </w:pPr>
            <w:r>
              <w:rPr>
                <w:rFonts w:ascii="宋体" w:hAnsi="宋体" w:cs="宋体" w:eastAsia="宋体" w:hint="default"/>
                <w:sz w:val="18"/>
                <w:szCs w:val="18"/>
              </w:rPr>
              <w:t>单项金额不重大但单独计 提坏账准备的其他应收款</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107,029,357.77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13.43%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7,991,245.28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7.47%</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99,038,112.49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121,593,918.15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39.70%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4,882,749.57</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4.02%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116,711,168.58</w:t>
            </w:r>
          </w:p>
        </w:tc>
      </w:tr>
      <w:tr>
        <w:trPr>
          <w:trHeight w:val="402" w:hRule="exact"/>
        </w:trPr>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797,129,761.31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460,843,394.48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57.81%</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336,286,366.83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306,319,398.87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26,546,324.10</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8.67%</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279,773,074.77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76"/>
        <w:ind w:left="0" w:right="616" w:firstLine="0"/>
        <w:jc w:val="right"/>
        <w:rPr>
          <w:rFonts w:ascii="Times New Roman" w:hAnsi="Times New Roman" w:cs="Times New Roman" w:eastAsia="Times New Roman" w:hint="default"/>
          <w:sz w:val="18"/>
          <w:szCs w:val="18"/>
        </w:rPr>
      </w:pPr>
      <w:r>
        <w:rPr>
          <w:rFonts w:ascii="Times New Roman"/>
          <w:sz w:val="18"/>
        </w:rPr>
        <w:t>184</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spacing w:line="371" w:lineRule="exact"/>
        <w:ind w:left="106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2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180" w:right="8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p>
      <w:pPr>
        <w:pStyle w:val="BodyText"/>
        <w:spacing w:line="240" w:lineRule="auto" w:before="35"/>
        <w:ind w:right="0"/>
        <w:jc w:val="left"/>
      </w:pPr>
      <w:r>
        <w:rPr/>
        <w:t>期末单项金额重大并单项计提坏账准备的其他应收款：</w:t>
      </w:r>
    </w:p>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footerReference w:type="default" r:id="rId44"/>
          <w:pgSz w:w="11910" w:h="16840"/>
          <w:pgMar w:footer="979" w:header="0" w:top="1100" w:bottom="1160" w:left="980" w:right="0"/>
          <w:pgNumType w:start="185"/>
        </w:sectPr>
      </w:pPr>
    </w:p>
    <w:p>
      <w:pPr>
        <w:pStyle w:val="BodyText"/>
        <w:spacing w:line="240" w:lineRule="auto" w:before="35"/>
        <w:ind w:right="-20"/>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before="151"/>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39" w:space="6890"/>
            <w:col w:w="2101"/>
          </w:cols>
        </w:sectPr>
      </w:pP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402"/>
        <w:gridCol w:w="1702"/>
        <w:gridCol w:w="1700"/>
        <w:gridCol w:w="1276"/>
        <w:gridCol w:w="1702"/>
      </w:tblGrid>
      <w:tr>
        <w:trPr>
          <w:trHeight w:val="323" w:hRule="exact"/>
        </w:trPr>
        <w:tc>
          <w:tcPr>
            <w:tcW w:w="3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96"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63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3402"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9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86"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大庭广众影视传媒（北京）有限公司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霍尔果斯光魔文化传媒有限公司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55,277,372.26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55,277,372.26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霍尔果斯云享网络科技有限公司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117,020,000.00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117,020,000.00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北京凯乐福德文化发展有限公司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105,925,869.00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105,925,869.00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欢动无限（北京）科技有限公司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61,662,500.00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61,662,500.00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欢跃互娱（北京）科技有限公司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北京础瑜广告有限公司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42,691,883.58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42,691,883.58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国视通讯（北京）有限公司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西安郭杜教育科技产业开发区管理委员会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65,569,785.98</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建信信托有限责任公司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28,670,000.00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北京础瑜广告有限公司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押金，预计可收回</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538,317,410.82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409,577,624.84</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r>
    </w:tbl>
    <w:p>
      <w:pPr>
        <w:spacing w:line="240" w:lineRule="auto" w:before="12"/>
        <w:rPr>
          <w:rFonts w:ascii="宋体" w:hAnsi="宋体" w:cs="宋体" w:eastAsia="宋体" w:hint="default"/>
          <w:sz w:val="7"/>
          <w:szCs w:val="7"/>
        </w:rPr>
      </w:pPr>
    </w:p>
    <w:p>
      <w:pPr>
        <w:pStyle w:val="BodyText"/>
        <w:spacing w:line="240" w:lineRule="auto" w:before="35"/>
        <w:ind w:right="0"/>
        <w:jc w:val="left"/>
      </w:pPr>
      <w:r>
        <w:rPr/>
        <w:t>组合中，按账龄分析法计提坏账准备的其他应收款：</w:t>
      </w:r>
    </w:p>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060" w:bottom="1160" w:left="980" w:right="0"/>
        </w:sectPr>
      </w:pPr>
    </w:p>
    <w:p>
      <w:pPr>
        <w:pStyle w:val="BodyText"/>
        <w:spacing w:line="240" w:lineRule="auto" w:before="35"/>
        <w:ind w:right="-20"/>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before="151"/>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39" w:space="6890"/>
            <w:col w:w="2101"/>
          </w:cols>
        </w:sectPr>
      </w:pP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588"/>
        <w:gridCol w:w="2410"/>
      </w:tblGrid>
      <w:tr>
        <w:trPr>
          <w:trHeight w:val="16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7"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397" w:type="dxa"/>
            <w:gridSpan w:val="3"/>
            <w:vMerge/>
            <w:tcBorders>
              <w:left w:val="single" w:sz="4" w:space="0" w:color="000000"/>
              <w:bottom w:val="single" w:sz="4" w:space="0" w:color="000000"/>
              <w:right w:val="single" w:sz="4" w:space="0" w:color="000000"/>
            </w:tcBorders>
            <w:shd w:val="clear" w:color="auto" w:fill="D2D2D2"/>
          </w:tcPr>
          <w:p>
            <w:pPr/>
          </w:p>
        </w:tc>
      </w:tr>
      <w:tr>
        <w:trPr>
          <w:trHeight w:val="155"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72"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588" w:type="dxa"/>
            <w:vMerge/>
            <w:tcBorders>
              <w:left w:val="single" w:sz="4" w:space="0" w:color="000000"/>
              <w:bottom w:val="single" w:sz="4" w:space="0" w:color="000000"/>
              <w:right w:val="single" w:sz="4" w:space="0" w:color="000000"/>
            </w:tcBorders>
            <w:shd w:val="clear" w:color="auto" w:fill="D2D2D2"/>
          </w:tcPr>
          <w:p>
            <w:pPr/>
          </w:p>
        </w:tc>
        <w:tc>
          <w:tcPr>
            <w:tcW w:w="2410"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97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95,066,778.47</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4,753,253.86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5.00%</w:t>
            </w:r>
          </w:p>
        </w:tc>
      </w:tr>
      <w:tr>
        <w:trPr>
          <w:trHeight w:val="32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14,083,438.76</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1,408,343.88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2,914,693.62</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582,938.72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1,124,301.65</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449,720.66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40.00%</w:t>
            </w:r>
          </w:p>
        </w:tc>
      </w:tr>
      <w:tr>
        <w:trPr>
          <w:trHeight w:val="32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6,283,782.45</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3,770,269.47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60.00%</w:t>
            </w:r>
          </w:p>
        </w:tc>
      </w:tr>
      <w:tr>
        <w:trPr>
          <w:trHeight w:val="32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32,309,997.77</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32,309,997.77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100.00%</w:t>
            </w:r>
          </w:p>
        </w:tc>
      </w:tr>
      <w:tr>
        <w:trPr>
          <w:trHeight w:val="32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151,782,992.72</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43,274,524.36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28.51%</w:t>
            </w:r>
          </w:p>
        </w:tc>
      </w:tr>
    </w:tbl>
    <w:p>
      <w:pPr>
        <w:spacing w:line="240" w:lineRule="auto" w:before="12"/>
        <w:rPr>
          <w:rFonts w:ascii="宋体" w:hAnsi="宋体" w:cs="宋体" w:eastAsia="宋体" w:hint="default"/>
          <w:sz w:val="7"/>
          <w:szCs w:val="7"/>
        </w:rPr>
      </w:pPr>
    </w:p>
    <w:p>
      <w:pPr>
        <w:pStyle w:val="BodyText"/>
        <w:spacing w:line="420" w:lineRule="auto" w:before="35"/>
        <w:ind w:right="5502"/>
        <w:jc w:val="left"/>
      </w:pPr>
      <w:r>
        <w:rPr/>
        <w:t>确定该组合依据的说明： 组合中，采用余额百分比法计提坏账准备的其他应收款：</w:t>
      </w:r>
    </w:p>
    <w:p>
      <w:pPr>
        <w:pStyle w:val="BodyText"/>
        <w:spacing w:line="420" w:lineRule="auto" w:before="48"/>
        <w:ind w:right="5922"/>
        <w:jc w:val="left"/>
      </w:pPr>
      <w:r>
        <w:rPr/>
        <w:t>□ 适用 √</w:t>
      </w:r>
      <w:r>
        <w:rPr>
          <w:spacing w:val="-1"/>
        </w:rPr>
        <w:t> </w:t>
      </w:r>
      <w:r>
        <w:rPr/>
        <w:t>不适用</w:t>
      </w:r>
      <w:r>
        <w:rPr/>
        <w:t> 组合中，采用其他方法计提坏账准备的其他应收款：</w:t>
      </w:r>
    </w:p>
    <w:p>
      <w:pPr>
        <w:pStyle w:val="BodyText"/>
        <w:spacing w:line="240" w:lineRule="auto" w:before="47"/>
        <w:ind w:right="0"/>
        <w:jc w:val="left"/>
      </w:pPr>
      <w:r>
        <w:rPr/>
        <w:t>√ 适用 □</w:t>
      </w:r>
      <w:r>
        <w:rPr>
          <w:spacing w:val="-1"/>
        </w:rPr>
        <w:t> </w:t>
      </w:r>
      <w:r>
        <w:rPr/>
        <w:t>不适用</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期末单项金额虽不重大但单项计提坏账准备的其他应收款</w:t>
      </w:r>
    </w:p>
    <w:p>
      <w:pPr>
        <w:spacing w:line="240" w:lineRule="auto" w:before="1"/>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411"/>
        <w:gridCol w:w="1986"/>
        <w:gridCol w:w="1984"/>
        <w:gridCol w:w="1419"/>
        <w:gridCol w:w="1982"/>
      </w:tblGrid>
      <w:tr>
        <w:trPr>
          <w:trHeight w:val="334" w:hRule="exact"/>
        </w:trPr>
        <w:tc>
          <w:tcPr>
            <w:tcW w:w="24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567"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6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6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11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c>
          <w:tcPr>
            <w:tcW w:w="19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7" w:hRule="exact"/>
        </w:trPr>
        <w:tc>
          <w:tcPr>
            <w:tcW w:w="24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98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125,645.42</w:t>
            </w:r>
          </w:p>
        </w:tc>
        <w:tc>
          <w:tcPr>
            <w:tcW w:w="198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125,645.42</w:t>
            </w:r>
          </w:p>
        </w:tc>
        <w:tc>
          <w:tcPr>
            <w:tcW w:w="141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100.00</w:t>
            </w:r>
          </w:p>
        </w:tc>
        <w:tc>
          <w:tcPr>
            <w:tcW w:w="198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24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代扣社保及住房公积金</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29,499.00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29,499.00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100.00</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8" w:hRule="exact"/>
        </w:trPr>
        <w:tc>
          <w:tcPr>
            <w:tcW w:w="24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公司往来</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4,913,063.85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4,913,063.85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100.00</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24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2,151,348.30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2,151,348.30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100.00</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24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126,897.92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126,897.92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100.00</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24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员工往来款</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644,790.79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644,790.79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100.00</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7" w:hRule="exact"/>
        </w:trPr>
        <w:tc>
          <w:tcPr>
            <w:tcW w:w="24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8,245,824.99</w:t>
            </w:r>
          </w:p>
        </w:tc>
        <w:tc>
          <w:tcPr>
            <w:tcW w:w="198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347" w:hRule="exact"/>
        </w:trPr>
        <w:tc>
          <w:tcPr>
            <w:tcW w:w="24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代扣社保及住房公积金</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461,987.63</w:t>
            </w:r>
          </w:p>
        </w:tc>
        <w:tc>
          <w:tcPr>
            <w:tcW w:w="198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348" w:hRule="exact"/>
        </w:trPr>
        <w:tc>
          <w:tcPr>
            <w:tcW w:w="24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公司往来</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67,448,580.69</w:t>
            </w:r>
          </w:p>
        </w:tc>
        <w:tc>
          <w:tcPr>
            <w:tcW w:w="198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347" w:hRule="exact"/>
        </w:trPr>
        <w:tc>
          <w:tcPr>
            <w:tcW w:w="24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290,509.54</w:t>
            </w:r>
          </w:p>
        </w:tc>
        <w:tc>
          <w:tcPr>
            <w:tcW w:w="198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347" w:hRule="exact"/>
        </w:trPr>
        <w:tc>
          <w:tcPr>
            <w:tcW w:w="24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8,372,620.93</w:t>
            </w:r>
          </w:p>
        </w:tc>
        <w:tc>
          <w:tcPr>
            <w:tcW w:w="198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347" w:hRule="exact"/>
        </w:trPr>
        <w:tc>
          <w:tcPr>
            <w:tcW w:w="24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员工往来款</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5,918,347.57</w:t>
            </w:r>
          </w:p>
        </w:tc>
        <w:tc>
          <w:tcPr>
            <w:tcW w:w="198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347" w:hRule="exact"/>
        </w:trPr>
        <w:tc>
          <w:tcPr>
            <w:tcW w:w="24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8,300,241.14</w:t>
            </w:r>
          </w:p>
        </w:tc>
        <w:tc>
          <w:tcPr>
            <w:tcW w:w="198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348" w:hRule="exact"/>
        </w:trPr>
        <w:tc>
          <w:tcPr>
            <w:tcW w:w="24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107,029,357.77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7,991,245.28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7.47</w:t>
            </w:r>
          </w:p>
        </w:tc>
        <w:tc>
          <w:tcPr>
            <w:tcW w:w="198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2)</w:t>
      </w:r>
      <w:r>
        <w:rPr/>
        <w:t>本期计提、收回或转回的坏账准备情况</w:t>
      </w:r>
    </w:p>
    <w:p>
      <w:pPr>
        <w:spacing w:line="240" w:lineRule="auto" w:before="9"/>
        <w:rPr>
          <w:rFonts w:ascii="宋体" w:hAnsi="宋体" w:cs="宋体" w:eastAsia="宋体" w:hint="default"/>
          <w:sz w:val="15"/>
          <w:szCs w:val="15"/>
        </w:rPr>
      </w:pPr>
    </w:p>
    <w:p>
      <w:pPr>
        <w:pStyle w:val="BodyText"/>
        <w:spacing w:line="240" w:lineRule="auto"/>
        <w:ind w:right="0"/>
        <w:jc w:val="left"/>
      </w:pPr>
      <w:r>
        <w:rPr/>
        <w:t>本期计提坏账准备金额</w:t>
      </w:r>
      <w:r>
        <w:rPr>
          <w:spacing w:val="-53"/>
        </w:rPr>
        <w:t> </w:t>
      </w:r>
      <w:r>
        <w:rPr>
          <w:rFonts w:ascii="宋体" w:hAnsi="宋体" w:cs="宋体" w:eastAsia="宋体" w:hint="default"/>
        </w:rPr>
        <w:t>434,297,070.38</w:t>
      </w:r>
      <w:r>
        <w:rPr>
          <w:rFonts w:ascii="宋体" w:hAnsi="宋体" w:cs="宋体" w:eastAsia="宋体" w:hint="default"/>
          <w:spacing w:val="-52"/>
        </w:rPr>
        <w:t> </w:t>
      </w:r>
      <w:r>
        <w:rPr/>
        <w:t>元；本期收回或转回坏账准备金额</w:t>
      </w:r>
      <w:r>
        <w:rPr>
          <w:spacing w:val="-53"/>
        </w:rPr>
        <w:t> </w:t>
      </w:r>
      <w:r>
        <w:rPr>
          <w:rFonts w:ascii="宋体" w:hAnsi="宋体" w:cs="宋体" w:eastAsia="宋体" w:hint="default"/>
        </w:rPr>
        <w:t>0.00</w:t>
      </w:r>
      <w:r>
        <w:rPr>
          <w:rFonts w:ascii="宋体" w:hAnsi="宋体" w:cs="宋体" w:eastAsia="宋体" w:hint="default"/>
          <w:spacing w:val="-53"/>
        </w:rPr>
        <w:t> </w:t>
      </w:r>
      <w:r>
        <w:rPr/>
        <w:t>元。</w:t>
      </w:r>
    </w:p>
    <w:p>
      <w:pPr>
        <w:spacing w:line="240" w:lineRule="auto" w:before="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979" w:top="1100" w:bottom="1160" w:left="980" w:right="0"/>
        </w:sectPr>
      </w:pPr>
    </w:p>
    <w:p>
      <w:pPr>
        <w:pStyle w:val="BodyText"/>
        <w:spacing w:line="240" w:lineRule="auto" w:before="35"/>
        <w:ind w:right="-5"/>
        <w:jc w:val="left"/>
      </w:pPr>
      <w:r>
        <w:rPr>
          <w:rFonts w:ascii="宋体" w:hAnsi="宋体" w:cs="宋体" w:eastAsia="宋体" w:hint="default"/>
          <w:spacing w:val="-1"/>
        </w:rPr>
        <w:t>3)</w:t>
      </w:r>
      <w:r>
        <w:rPr>
          <w:spacing w:val="-1"/>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before="151"/>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304" w:space="5525"/>
            <w:col w:w="2101"/>
          </w:cols>
        </w:sectPr>
      </w:pP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262"/>
        <w:gridCol w:w="3402"/>
        <w:gridCol w:w="3118"/>
      </w:tblGrid>
      <w:tr>
        <w:trPr>
          <w:trHeight w:val="322"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期末账面余额</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150,478,508.87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131,852,933.16</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11,400,394.79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7,365,119.45</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627,286,940.16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109,804,607.67</w:t>
            </w: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7,963,917.49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57,296,738.59</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797,129,761.31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306,319,398.87</w:t>
            </w:r>
          </w:p>
        </w:tc>
      </w:tr>
    </w:tbl>
    <w:p>
      <w:pPr>
        <w:spacing w:line="240" w:lineRule="auto" w:before="12"/>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10" w:h="16840"/>
          <w:pgMar w:top="1060" w:bottom="1160" w:left="980" w:right="0"/>
        </w:sectPr>
      </w:pPr>
    </w:p>
    <w:p>
      <w:pPr>
        <w:pStyle w:val="BodyText"/>
        <w:spacing w:line="240" w:lineRule="auto" w:before="35"/>
        <w:ind w:right="0"/>
        <w:jc w:val="left"/>
      </w:pPr>
      <w:r>
        <w:rPr>
          <w:rFonts w:ascii="宋体" w:hAnsi="宋体" w:cs="宋体" w:eastAsia="宋体" w:hint="default"/>
          <w:spacing w:val="-1"/>
        </w:rPr>
        <w:t>4)</w:t>
      </w:r>
      <w:r>
        <w:rPr>
          <w:spacing w:val="-1"/>
        </w:rPr>
        <w:t>按欠款方归集的期末余额前五名的其他应收款情况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before="151"/>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984" w:space="3845"/>
            <w:col w:w="2101"/>
          </w:cols>
        </w:sectPr>
      </w:pP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595"/>
        <w:gridCol w:w="1382"/>
        <w:gridCol w:w="1595"/>
        <w:gridCol w:w="1666"/>
      </w:tblGrid>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霍尔果斯云享网络科技 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117,020,000.00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14.68%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117,020,000.00</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北京凯乐福德文化发展 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105,925,869.00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13.29%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105,925,869.00</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西安郭杜教育科技产业 开发区管理委员会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资金占用费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65,569,785.98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8.23%</w:t>
            </w: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pacing w:val="-5"/>
                <w:sz w:val="18"/>
                <w:szCs w:val="18"/>
              </w:rPr>
              <w:t>欢动无限（北京）科技有</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61,662,500.00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61,662,500.00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595"/>
        <w:gridCol w:w="1382"/>
        <w:gridCol w:w="1595"/>
        <w:gridCol w:w="1666"/>
      </w:tblGrid>
      <w:tr>
        <w:trPr>
          <w:trHeight w:val="36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20" w:space="0" w:color="D2D2D2"/>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霍尔果斯光魔文化传媒 有限公司</w:t>
            </w:r>
          </w:p>
        </w:tc>
        <w:tc>
          <w:tcPr>
            <w:tcW w:w="1559" w:type="dxa"/>
            <w:tcBorders>
              <w:top w:val="single" w:sz="4" w:space="0" w:color="000000"/>
              <w:left w:val="single" w:sz="4" w:space="0" w:color="000000"/>
              <w:bottom w:val="single" w:sz="2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55,277,372.26</w:t>
            </w:r>
          </w:p>
        </w:tc>
        <w:tc>
          <w:tcPr>
            <w:tcW w:w="1382" w:type="dxa"/>
            <w:tcBorders>
              <w:top w:val="single" w:sz="4" w:space="0" w:color="000000"/>
              <w:left w:val="single" w:sz="4" w:space="0" w:color="000000"/>
              <w:bottom w:val="single" w:sz="20"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6.93%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55,277,372.26</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405,455,527.24</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50.86%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339,885,741.26</w:t>
            </w:r>
          </w:p>
        </w:tc>
      </w:tr>
    </w:tbl>
    <w:p>
      <w:pPr>
        <w:spacing w:line="240" w:lineRule="auto" w:before="12"/>
        <w:rPr>
          <w:rFonts w:ascii="宋体" w:hAnsi="宋体" w:cs="宋体" w:eastAsia="宋体" w:hint="default"/>
          <w:sz w:val="7"/>
          <w:szCs w:val="7"/>
        </w:rPr>
      </w:pPr>
    </w:p>
    <w:p>
      <w:pPr>
        <w:pStyle w:val="BodyText"/>
        <w:spacing w:line="420" w:lineRule="auto" w:before="35"/>
        <w:ind w:right="1122"/>
        <w:jc w:val="left"/>
      </w:pPr>
      <w:r>
        <w:rPr>
          <w:rFonts w:ascii="宋体" w:hAnsi="宋体" w:cs="宋体" w:eastAsia="宋体" w:hint="default"/>
        </w:rPr>
        <w:t>5)</w:t>
      </w:r>
      <w:r>
        <w:rPr>
          <w:rFonts w:ascii="宋体" w:hAnsi="宋体" w:cs="宋体" w:eastAsia="宋体" w:hint="default"/>
          <w:spacing w:val="-15"/>
        </w:rPr>
        <w:t> </w:t>
      </w:r>
      <w:r>
        <w:rPr/>
        <w:t>期末其他应收款中无持本公司</w:t>
      </w:r>
      <w:r>
        <w:rPr>
          <w:spacing w:val="-60"/>
        </w:rPr>
        <w:t> </w:t>
      </w:r>
      <w:r>
        <w:rPr>
          <w:rFonts w:ascii="宋体" w:hAnsi="宋体" w:cs="宋体" w:eastAsia="宋体" w:hint="default"/>
        </w:rPr>
        <w:t>5</w:t>
      </w:r>
      <w:r>
        <w:rPr/>
        <w:t>％以上（含</w:t>
      </w:r>
      <w:r>
        <w:rPr>
          <w:spacing w:val="-60"/>
        </w:rPr>
        <w:t> </w:t>
      </w:r>
      <w:r>
        <w:rPr>
          <w:rFonts w:ascii="宋体" w:hAnsi="宋体" w:cs="宋体" w:eastAsia="宋体" w:hint="default"/>
        </w:rPr>
        <w:t>5</w:t>
      </w:r>
      <w:r>
        <w:rPr/>
        <w:t>％）表决权股份的股东单位欠款；应收其他关联方账款情 况详见附注十二、</w:t>
      </w:r>
      <w:r>
        <w:rPr>
          <w:rFonts w:ascii="宋体" w:hAnsi="宋体" w:cs="宋体" w:eastAsia="宋体" w:hint="default"/>
        </w:rPr>
        <w:t>7</w:t>
      </w:r>
      <w:r>
        <w:rPr/>
        <w:t>。</w:t>
      </w:r>
    </w:p>
    <w:p>
      <w:pPr>
        <w:spacing w:line="240" w:lineRule="auto" w:before="7"/>
        <w:rPr>
          <w:rFonts w:ascii="宋体" w:hAnsi="宋体" w:cs="宋体" w:eastAsia="宋体" w:hint="default"/>
          <w:sz w:val="26"/>
          <w:szCs w:val="26"/>
        </w:rPr>
      </w:pPr>
    </w:p>
    <w:p>
      <w:pPr>
        <w:pStyle w:val="Heading4"/>
        <w:spacing w:line="240" w:lineRule="auto"/>
        <w:ind w:right="0"/>
        <w:jc w:val="left"/>
        <w:rPr>
          <w:b w:val="0"/>
          <w:bCs w:val="0"/>
        </w:rPr>
      </w:pPr>
      <w:bookmarkStart w:name="6、存货" w:id="238"/>
      <w:bookmarkEnd w:id="238"/>
      <w:r>
        <w:rPr>
          <w:b w:val="0"/>
          <w:bCs w:val="0"/>
        </w:rPr>
      </w:r>
      <w:r>
        <w:rPr>
          <w:rFonts w:ascii="宋体" w:hAnsi="宋体" w:cs="宋体" w:eastAsia="宋体" w:hint="default"/>
        </w:rPr>
        <w:t>6</w:t>
      </w:r>
      <w:r>
        <w:rPr/>
        <w:t>、存货</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420" w:lineRule="auto"/>
        <w:ind w:right="6972"/>
        <w:jc w:val="left"/>
      </w:pPr>
      <w:r>
        <w:rPr/>
        <w:t>公司是否需要遵守房地产行业的披露要求 否</w:t>
      </w:r>
    </w:p>
    <w:p>
      <w:pPr>
        <w:spacing w:line="240" w:lineRule="auto" w:before="12"/>
        <w:rPr>
          <w:rFonts w:ascii="宋体" w:hAnsi="宋体" w:cs="宋体" w:eastAsia="宋体" w:hint="default"/>
          <w:sz w:val="14"/>
          <w:szCs w:val="14"/>
        </w:rPr>
      </w:pPr>
    </w:p>
    <w:p>
      <w:pPr>
        <w:pStyle w:val="Heading4"/>
        <w:spacing w:line="240" w:lineRule="auto"/>
        <w:ind w:right="0"/>
        <w:jc w:val="left"/>
        <w:rPr>
          <w:b w:val="0"/>
          <w:bCs w:val="0"/>
        </w:rPr>
      </w:pPr>
      <w:bookmarkStart w:name="（1）存货分类" w:id="239"/>
      <w:bookmarkEnd w:id="239"/>
      <w:r>
        <w:rPr>
          <w:b w:val="0"/>
          <w:bCs w:val="0"/>
        </w:rPr>
      </w:r>
      <w:r>
        <w:rPr/>
        <w:t>（</w:t>
      </w:r>
      <w:r>
        <w:rPr>
          <w:rFonts w:ascii="宋体" w:hAnsi="宋体" w:cs="宋体" w:eastAsia="宋体" w:hint="default"/>
        </w:rPr>
        <w:t>1</w:t>
      </w:r>
      <w:r>
        <w:rPr/>
        <w:t>）存货分类</w:t>
      </w:r>
      <w:r>
        <w:rPr>
          <w:b w:val="0"/>
          <w:bCs w:val="0"/>
        </w:rPr>
      </w:r>
    </w:p>
    <w:p>
      <w:pPr>
        <w:spacing w:line="240" w:lineRule="auto" w:before="9"/>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253"/>
        <w:gridCol w:w="1479"/>
        <w:gridCol w:w="1367"/>
        <w:gridCol w:w="1468"/>
        <w:gridCol w:w="1511"/>
        <w:gridCol w:w="1367"/>
        <w:gridCol w:w="1367"/>
      </w:tblGrid>
      <w:tr>
        <w:trPr>
          <w:trHeight w:val="167" w:hRule="exact"/>
        </w:trPr>
        <w:tc>
          <w:tcPr>
            <w:tcW w:w="1253" w:type="dxa"/>
            <w:tcBorders>
              <w:top w:val="single" w:sz="4" w:space="0" w:color="000000"/>
              <w:left w:val="single" w:sz="4" w:space="0" w:color="000000"/>
              <w:bottom w:val="nil" w:sz="6" w:space="0" w:color="auto"/>
              <w:right w:val="single" w:sz="4" w:space="0" w:color="000000"/>
            </w:tcBorders>
            <w:shd w:val="clear" w:color="auto" w:fill="D9D9D9"/>
          </w:tcPr>
          <w:p>
            <w:pPr/>
          </w:p>
        </w:tc>
        <w:tc>
          <w:tcPr>
            <w:tcW w:w="4314" w:type="dxa"/>
            <w:gridSpan w:val="3"/>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45" w:type="dxa"/>
            <w:gridSpan w:val="3"/>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5" w:hRule="exact"/>
        </w:trPr>
        <w:tc>
          <w:tcPr>
            <w:tcW w:w="1253"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314" w:type="dxa"/>
            <w:gridSpan w:val="3"/>
            <w:vMerge/>
            <w:tcBorders>
              <w:left w:val="single" w:sz="4" w:space="0" w:color="000000"/>
              <w:bottom w:val="single" w:sz="4" w:space="0" w:color="000000"/>
              <w:right w:val="single" w:sz="4" w:space="0" w:color="000000"/>
            </w:tcBorders>
            <w:shd w:val="clear" w:color="auto" w:fill="D9D9D9"/>
          </w:tcPr>
          <w:p>
            <w:pPr/>
          </w:p>
        </w:tc>
        <w:tc>
          <w:tcPr>
            <w:tcW w:w="4245" w:type="dxa"/>
            <w:gridSpan w:val="3"/>
            <w:vMerge/>
            <w:tcBorders>
              <w:left w:val="single" w:sz="4" w:space="0" w:color="000000"/>
              <w:bottom w:val="single" w:sz="4" w:space="0" w:color="000000"/>
              <w:right w:val="single" w:sz="4" w:space="0" w:color="000000"/>
            </w:tcBorders>
            <w:shd w:val="clear" w:color="auto" w:fill="D9D9D9"/>
          </w:tcPr>
          <w:p>
            <w:pPr/>
          </w:p>
        </w:tc>
      </w:tr>
      <w:tr>
        <w:trPr>
          <w:trHeight w:val="157" w:hRule="exact"/>
        </w:trPr>
        <w:tc>
          <w:tcPr>
            <w:tcW w:w="1253" w:type="dxa"/>
            <w:vMerge/>
            <w:tcBorders>
              <w:left w:val="single" w:sz="4" w:space="0" w:color="000000"/>
              <w:bottom w:val="nil" w:sz="6" w:space="0" w:color="auto"/>
              <w:right w:val="single" w:sz="4" w:space="0" w:color="000000"/>
            </w:tcBorders>
            <w:shd w:val="clear" w:color="auto" w:fill="D9D9D9"/>
          </w:tcPr>
          <w:p>
            <w:pPr/>
          </w:p>
        </w:tc>
        <w:tc>
          <w:tcPr>
            <w:tcW w:w="147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left="38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6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left="3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1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left="3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6" w:hRule="exact"/>
        </w:trPr>
        <w:tc>
          <w:tcPr>
            <w:tcW w:w="1253" w:type="dxa"/>
            <w:tcBorders>
              <w:top w:val="nil" w:sz="6" w:space="0" w:color="auto"/>
              <w:left w:val="single" w:sz="4" w:space="0" w:color="000000"/>
              <w:bottom w:val="single" w:sz="4" w:space="0" w:color="000000"/>
              <w:right w:val="single" w:sz="4" w:space="0" w:color="000000"/>
            </w:tcBorders>
            <w:shd w:val="clear" w:color="auto" w:fill="D9D9D9"/>
          </w:tcPr>
          <w:p>
            <w:pPr/>
          </w:p>
        </w:tc>
        <w:tc>
          <w:tcPr>
            <w:tcW w:w="1479" w:type="dxa"/>
            <w:vMerge/>
            <w:tcBorders>
              <w:left w:val="single" w:sz="4" w:space="0" w:color="000000"/>
              <w:bottom w:val="single" w:sz="4" w:space="0" w:color="000000"/>
              <w:right w:val="single" w:sz="4" w:space="0" w:color="000000"/>
            </w:tcBorders>
            <w:shd w:val="clear" w:color="auto" w:fill="D9D9D9"/>
          </w:tcPr>
          <w:p>
            <w:pPr/>
          </w:p>
        </w:tc>
        <w:tc>
          <w:tcPr>
            <w:tcW w:w="1367" w:type="dxa"/>
            <w:vMerge/>
            <w:tcBorders>
              <w:left w:val="single" w:sz="4" w:space="0" w:color="000000"/>
              <w:bottom w:val="single" w:sz="4" w:space="0" w:color="000000"/>
              <w:right w:val="single" w:sz="4" w:space="0" w:color="000000"/>
            </w:tcBorders>
            <w:shd w:val="clear" w:color="auto" w:fill="D9D9D9"/>
          </w:tcPr>
          <w:p>
            <w:pPr/>
          </w:p>
        </w:tc>
        <w:tc>
          <w:tcPr>
            <w:tcW w:w="1468" w:type="dxa"/>
            <w:vMerge/>
            <w:tcBorders>
              <w:left w:val="single" w:sz="4" w:space="0" w:color="000000"/>
              <w:bottom w:val="single" w:sz="4" w:space="0" w:color="000000"/>
              <w:right w:val="single" w:sz="4" w:space="0" w:color="000000"/>
            </w:tcBorders>
            <w:shd w:val="clear" w:color="auto" w:fill="D9D9D9"/>
          </w:tcPr>
          <w:p>
            <w:pPr/>
          </w:p>
        </w:tc>
        <w:tc>
          <w:tcPr>
            <w:tcW w:w="1511" w:type="dxa"/>
            <w:vMerge/>
            <w:tcBorders>
              <w:left w:val="single" w:sz="4" w:space="0" w:color="000000"/>
              <w:bottom w:val="single" w:sz="4" w:space="0" w:color="000000"/>
              <w:right w:val="single" w:sz="4" w:space="0" w:color="000000"/>
            </w:tcBorders>
            <w:shd w:val="clear" w:color="auto" w:fill="D9D9D9"/>
          </w:tcPr>
          <w:p>
            <w:pPr/>
          </w:p>
        </w:tc>
        <w:tc>
          <w:tcPr>
            <w:tcW w:w="1367" w:type="dxa"/>
            <w:vMerge/>
            <w:tcBorders>
              <w:left w:val="single" w:sz="4" w:space="0" w:color="000000"/>
              <w:bottom w:val="single" w:sz="4" w:space="0" w:color="000000"/>
              <w:right w:val="single" w:sz="4" w:space="0" w:color="000000"/>
            </w:tcBorders>
            <w:shd w:val="clear" w:color="auto" w:fill="D9D9D9"/>
          </w:tcPr>
          <w:p>
            <w:pPr/>
          </w:p>
        </w:tc>
        <w:tc>
          <w:tcPr>
            <w:tcW w:w="1367" w:type="dxa"/>
            <w:vMerge/>
            <w:tcBorders>
              <w:left w:val="single" w:sz="4" w:space="0" w:color="000000"/>
              <w:bottom w:val="single" w:sz="4" w:space="0" w:color="000000"/>
              <w:right w:val="single" w:sz="4" w:space="0" w:color="000000"/>
            </w:tcBorders>
            <w:shd w:val="clear" w:color="auto" w:fill="D9D9D9"/>
          </w:tcPr>
          <w:p>
            <w:pPr/>
          </w:p>
        </w:tc>
      </w:tr>
      <w:tr>
        <w:trPr>
          <w:trHeight w:val="3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20,698,889.85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554,809.45</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20,144,080.40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30,220,949.47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30,220,949.47</w:t>
            </w:r>
          </w:p>
        </w:tc>
      </w:tr>
      <w:tr>
        <w:trPr>
          <w:trHeight w:val="3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27,170,555.38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4,600,153.54</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22,570,401.84</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64,299,100.53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3,514,821.59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60,784,278.94</w:t>
            </w:r>
          </w:p>
        </w:tc>
      </w:tr>
      <w:tr>
        <w:trPr>
          <w:trHeight w:val="3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752,880.68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752,880.68</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375,237.59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375,237.59</w:t>
            </w:r>
          </w:p>
        </w:tc>
      </w:tr>
      <w:tr>
        <w:trPr>
          <w:trHeight w:val="3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413,316.55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413,316.55</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1,510,347.82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1,510,347.82</w:t>
            </w:r>
          </w:p>
        </w:tc>
      </w:tr>
      <w:tr>
        <w:trPr>
          <w:trHeight w:val="3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9,745,556.11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9,745,556.11</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7,389,979.95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7,389,979.95</w:t>
            </w:r>
          </w:p>
        </w:tc>
      </w:tr>
      <w:tr>
        <w:trPr>
          <w:trHeight w:val="3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4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117,970,045.45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117,970,045.45</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95,158,527.19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95,158,527.19</w:t>
            </w:r>
          </w:p>
        </w:tc>
      </w:tr>
      <w:tr>
        <w:trPr>
          <w:trHeight w:val="3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影视片成本</w:t>
            </w:r>
          </w:p>
        </w:tc>
        <w:tc>
          <w:tcPr>
            <w:tcW w:w="14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2,246,856.42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2,246,856.42</w:t>
            </w:r>
          </w:p>
        </w:tc>
        <w:tc>
          <w:tcPr>
            <w:tcW w:w="1468"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2,246,856.42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2,246,856.42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4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399,661,947.10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399,661,947.10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426,427,864.65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426,427,864.65</w:t>
            </w:r>
          </w:p>
        </w:tc>
      </w:tr>
      <w:tr>
        <w:trPr>
          <w:trHeight w:val="3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项目服务成本</w:t>
            </w:r>
          </w:p>
        </w:tc>
        <w:tc>
          <w:tcPr>
            <w:tcW w:w="14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13,203,810.13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13,203,810.13</w:t>
            </w:r>
          </w:p>
        </w:tc>
        <w:tc>
          <w:tcPr>
            <w:tcW w:w="151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596,817.40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69,343.55</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527,473.85</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854,078.90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854,078.90</w:t>
            </w:r>
          </w:p>
        </w:tc>
      </w:tr>
      <w:tr>
        <w:trPr>
          <w:trHeight w:val="3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592,460,675.07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7,471,162.96</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584,989,512.11</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628,482,942.52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5,761,678.01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622,721,264.51</w:t>
            </w:r>
          </w:p>
        </w:tc>
      </w:tr>
    </w:tbl>
    <w:p>
      <w:pPr>
        <w:spacing w:line="240" w:lineRule="auto" w:before="12"/>
        <w:rPr>
          <w:rFonts w:ascii="宋体" w:hAnsi="宋体" w:cs="宋体" w:eastAsia="宋体" w:hint="default"/>
          <w:sz w:val="7"/>
          <w:szCs w:val="7"/>
        </w:rPr>
      </w:pPr>
    </w:p>
    <w:p>
      <w:pPr>
        <w:pStyle w:val="BodyText"/>
        <w:spacing w:line="420" w:lineRule="auto" w:before="35"/>
        <w:ind w:right="1115"/>
        <w:jc w:val="left"/>
      </w:pPr>
      <w:r>
        <w:rPr/>
        <w:t>公司是否需遵守《深圳证券交易所行业信息披露指引第</w:t>
      </w:r>
      <w:r>
        <w:rPr>
          <w:spacing w:val="-64"/>
        </w:rPr>
        <w:t> </w:t>
      </w:r>
      <w:r>
        <w:rPr>
          <w:rFonts w:ascii="宋体" w:hAnsi="宋体" w:cs="宋体" w:eastAsia="宋体" w:hint="default"/>
        </w:rPr>
        <w:t>4</w:t>
      </w:r>
      <w:r>
        <w:rPr>
          <w:rFonts w:ascii="宋体" w:hAnsi="宋体" w:cs="宋体" w:eastAsia="宋体" w:hint="default"/>
          <w:spacing w:val="-64"/>
        </w:rPr>
        <w:t> </w:t>
      </w:r>
      <w:r>
        <w:rPr/>
        <w:t>号—上市公司从事种业、种植业务》的披露要求 否</w:t>
      </w:r>
    </w:p>
    <w:p>
      <w:pPr>
        <w:pStyle w:val="BodyText"/>
        <w:spacing w:line="420" w:lineRule="auto" w:before="47"/>
        <w:ind w:right="1410"/>
        <w:jc w:val="left"/>
      </w:pPr>
      <w:r>
        <w:rPr/>
        <w:t>公司需遵守《深圳证券交易所行业信息披露指引第</w:t>
      </w:r>
      <w:r>
        <w:rPr>
          <w:spacing w:val="-54"/>
        </w:rPr>
        <w:t> </w:t>
      </w:r>
      <w:r>
        <w:rPr>
          <w:rFonts w:ascii="宋体" w:hAnsi="宋体" w:cs="宋体" w:eastAsia="宋体" w:hint="default"/>
        </w:rPr>
        <w:t>11</w:t>
      </w:r>
      <w:r>
        <w:rPr>
          <w:rFonts w:ascii="宋体" w:hAnsi="宋体" w:cs="宋体" w:eastAsia="宋体" w:hint="default"/>
          <w:spacing w:val="-54"/>
        </w:rPr>
        <w:t> </w:t>
      </w:r>
      <w:r>
        <w:rPr/>
        <w:t>号——上市公司从事珠宝相关业务》的披露要求 否</w:t>
      </w:r>
    </w:p>
    <w:p>
      <w:pPr>
        <w:spacing w:line="240" w:lineRule="auto" w:before="12"/>
        <w:rPr>
          <w:rFonts w:ascii="宋体" w:hAnsi="宋体" w:cs="宋体" w:eastAsia="宋体" w:hint="default"/>
          <w:sz w:val="14"/>
          <w:szCs w:val="14"/>
        </w:rPr>
      </w:pPr>
    </w:p>
    <w:p>
      <w:pPr>
        <w:pStyle w:val="Heading4"/>
        <w:spacing w:line="240" w:lineRule="auto"/>
        <w:ind w:right="0"/>
        <w:jc w:val="left"/>
        <w:rPr>
          <w:b w:val="0"/>
          <w:bCs w:val="0"/>
        </w:rPr>
      </w:pPr>
      <w:bookmarkStart w:name="（2）存货跌价准备" w:id="240"/>
      <w:bookmarkEnd w:id="240"/>
      <w:r>
        <w:rPr>
          <w:b w:val="0"/>
          <w:bCs w:val="0"/>
        </w:rPr>
      </w:r>
      <w:r>
        <w:rPr/>
        <w:t>（</w:t>
      </w:r>
      <w:r>
        <w:rPr>
          <w:rFonts w:ascii="宋体" w:hAnsi="宋体" w:cs="宋体" w:eastAsia="宋体" w:hint="default"/>
        </w:rPr>
        <w:t>2</w:t>
      </w:r>
      <w:r>
        <w:rPr/>
        <w:t>）存货跌价准备</w:t>
      </w:r>
      <w:r>
        <w:rPr>
          <w:b w:val="0"/>
          <w:bCs w:val="0"/>
        </w:rPr>
      </w:r>
    </w:p>
    <w:p>
      <w:pPr>
        <w:spacing w:line="240" w:lineRule="auto" w:before="10"/>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2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32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554,809.45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554,809.45</w:t>
            </w:r>
          </w:p>
        </w:tc>
      </w:tr>
      <w:tr>
        <w:trPr>
          <w:trHeight w:val="32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3,514,821.59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5,872,549.37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4,787,217.42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4,600,153.54</w:t>
            </w:r>
          </w:p>
        </w:tc>
      </w:tr>
      <w:tr>
        <w:trPr>
          <w:trHeight w:val="32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影视片成本</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2,246,856.42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2,246,856.42</w:t>
            </w:r>
          </w:p>
        </w:tc>
      </w:tr>
      <w:tr>
        <w:trPr>
          <w:trHeight w:val="32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9"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69,343.55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69,343.55</w:t>
            </w:r>
          </w:p>
        </w:tc>
      </w:tr>
      <w:tr>
        <w:trPr>
          <w:trHeight w:val="32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5,761,678.01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18"/>
                <w:szCs w:val="18"/>
              </w:rPr>
            </w:pPr>
            <w:r>
              <w:rPr>
                <w:rFonts w:ascii="宋体"/>
                <w:sz w:val="18"/>
              </w:rPr>
              <w:t>6,496,702.37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4,787,217.42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7,471,162.96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持有待售资产" w:id="241"/>
      <w:bookmarkEnd w:id="241"/>
      <w:r>
        <w:rPr>
          <w:b w:val="0"/>
          <w:bCs w:val="0"/>
        </w:rPr>
      </w:r>
      <w:r>
        <w:rPr>
          <w:rFonts w:ascii="宋体" w:hAnsi="宋体" w:cs="宋体" w:eastAsia="宋体" w:hint="default"/>
        </w:rPr>
        <w:t>7</w:t>
      </w:r>
      <w:r>
        <w:rPr/>
        <w:t>、持有待售资产</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10"/>
              <w:jc w:val="righ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635"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78"/>
              <w:jc w:val="left"/>
              <w:rPr>
                <w:rFonts w:ascii="宋体" w:hAnsi="宋体" w:cs="宋体" w:eastAsia="宋体" w:hint="default"/>
                <w:sz w:val="18"/>
                <w:szCs w:val="18"/>
              </w:rPr>
            </w:pPr>
            <w:r>
              <w:rPr>
                <w:rFonts w:ascii="宋体" w:hAnsi="宋体" w:cs="宋体" w:eastAsia="宋体" w:hint="default"/>
                <w:sz w:val="18"/>
                <w:szCs w:val="18"/>
              </w:rPr>
              <w:t>一辆红旗牌</w:t>
            </w:r>
            <w:r>
              <w:rPr>
                <w:rFonts w:ascii="宋体" w:hAnsi="宋体" w:cs="宋体" w:eastAsia="宋体" w:hint="default"/>
                <w:spacing w:val="-46"/>
                <w:sz w:val="18"/>
                <w:szCs w:val="18"/>
              </w:rPr>
              <w:t> </w:t>
            </w:r>
            <w:r>
              <w:rPr>
                <w:rFonts w:ascii="宋体" w:hAnsi="宋体" w:cs="宋体" w:eastAsia="宋体" w:hint="default"/>
                <w:sz w:val="18"/>
                <w:szCs w:val="18"/>
              </w:rPr>
              <w:t>CA7201A</w:t>
            </w:r>
            <w:r>
              <w:rPr>
                <w:rFonts w:ascii="宋体" w:hAnsi="宋体" w:cs="宋体" w:eastAsia="宋体" w:hint="default"/>
                <w:spacing w:val="-46"/>
                <w:sz w:val="18"/>
                <w:szCs w:val="18"/>
              </w:rPr>
              <w:t> </w:t>
            </w:r>
            <w:r>
              <w:rPr>
                <w:rFonts w:ascii="宋体" w:hAnsi="宋体" w:cs="宋体" w:eastAsia="宋体" w:hint="default"/>
                <w:sz w:val="18"/>
                <w:szCs w:val="18"/>
              </w:rPr>
              <w:t>汽 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236,977.93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250,700.00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96"/>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236,977.93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250,700.00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一年内到期的非流动资产" w:id="242"/>
      <w:bookmarkEnd w:id="242"/>
      <w:r>
        <w:rPr>
          <w:b w:val="0"/>
          <w:bCs w:val="0"/>
        </w:rPr>
      </w:r>
      <w:r>
        <w:rPr>
          <w:rFonts w:ascii="宋体" w:hAnsi="宋体" w:cs="宋体" w:eastAsia="宋体" w:hint="default"/>
        </w:rPr>
        <w:t>8</w:t>
      </w:r>
      <w:r>
        <w:rPr/>
        <w:t>、一年内到期的非流动资产</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一年内到期的可供出售金融资产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36,432,000.00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63,003,895.99</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影视投资款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15,000,000.00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36,432,000.00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78,003,895.99</w:t>
            </w:r>
          </w:p>
        </w:tc>
      </w:tr>
    </w:tbl>
    <w:p>
      <w:pPr>
        <w:pStyle w:val="BodyText"/>
        <w:spacing w:line="260" w:lineRule="exact"/>
        <w:ind w:right="0"/>
        <w:jc w:val="left"/>
      </w:pPr>
      <w:r>
        <w:rPr/>
        <w:t>其他说明：</w:t>
      </w:r>
    </w:p>
    <w:p>
      <w:pPr>
        <w:spacing w:line="240" w:lineRule="auto" w:before="8"/>
        <w:rPr>
          <w:rFonts w:ascii="宋体" w:hAnsi="宋体" w:cs="宋体" w:eastAsia="宋体" w:hint="default"/>
          <w:sz w:val="14"/>
          <w:szCs w:val="14"/>
        </w:rPr>
      </w:pPr>
    </w:p>
    <w:p>
      <w:pPr>
        <w:pStyle w:val="BodyText"/>
        <w:spacing w:line="240" w:lineRule="auto"/>
        <w:ind w:right="0"/>
        <w:jc w:val="left"/>
      </w:pPr>
      <w:r>
        <w:rPr/>
        <w:t>期末按公允价值计量的可供出售金融资产</w:t>
      </w:r>
    </w:p>
    <w:p>
      <w:pPr>
        <w:spacing w:line="240" w:lineRule="auto" w:before="6"/>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970"/>
        <w:gridCol w:w="2127"/>
        <w:gridCol w:w="1844"/>
        <w:gridCol w:w="1700"/>
      </w:tblGrid>
      <w:tr>
        <w:trPr>
          <w:trHeight w:val="341" w:hRule="exact"/>
        </w:trPr>
        <w:tc>
          <w:tcPr>
            <w:tcW w:w="39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076"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336"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93"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宋体" w:hAnsi="宋体" w:cs="宋体" w:eastAsia="宋体" w:hint="default"/>
                <w:sz w:val="18"/>
                <w:szCs w:val="18"/>
              </w:rPr>
              <w:t>/</w:t>
            </w:r>
            <w:r>
              <w:rPr>
                <w:rFonts w:ascii="宋体" w:hAnsi="宋体" w:cs="宋体" w:eastAsia="宋体" w:hint="default"/>
                <w:sz w:val="18"/>
                <w:szCs w:val="18"/>
              </w:rPr>
              <w:t>债务的摊余成本</w:t>
            </w:r>
          </w:p>
        </w:tc>
        <w:tc>
          <w:tcPr>
            <w:tcW w:w="212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23,040,000.00</w:t>
            </w:r>
          </w:p>
        </w:tc>
        <w:tc>
          <w:tcPr>
            <w:tcW w:w="1844" w:type="dxa"/>
            <w:tcBorders>
              <w:top w:val="single" w:sz="10" w:space="0" w:color="000000"/>
              <w:left w:val="single" w:sz="6" w:space="0" w:color="000000"/>
              <w:bottom w:val="single" w:sz="6" w:space="0" w:color="000000"/>
              <w:right w:val="single" w:sz="6" w:space="0" w:color="000000"/>
            </w:tcBorders>
          </w:tcPr>
          <w:p>
            <w:pPr/>
          </w:p>
        </w:tc>
        <w:tc>
          <w:tcPr>
            <w:tcW w:w="170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23,040,000.00</w:t>
            </w:r>
          </w:p>
        </w:tc>
      </w:tr>
      <w:tr>
        <w:trPr>
          <w:trHeight w:val="348" w:hRule="exact"/>
        </w:trPr>
        <w:tc>
          <w:tcPr>
            <w:tcW w:w="39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36,432,000.00</w:t>
            </w:r>
          </w:p>
        </w:tc>
        <w:tc>
          <w:tcPr>
            <w:tcW w:w="184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36,432,000.00</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13,392,000.00</w:t>
            </w:r>
          </w:p>
        </w:tc>
        <w:tc>
          <w:tcPr>
            <w:tcW w:w="184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13,392,000.00</w:t>
            </w:r>
          </w:p>
        </w:tc>
      </w:tr>
      <w:tr>
        <w:trPr>
          <w:trHeight w:val="347" w:hRule="exact"/>
        </w:trPr>
        <w:tc>
          <w:tcPr>
            <w:tcW w:w="39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2127"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0"/>
        <w:jc w:val="left"/>
        <w:rPr>
          <w:b w:val="0"/>
          <w:bCs w:val="0"/>
        </w:rPr>
      </w:pPr>
      <w:bookmarkStart w:name="9、其他流动资产" w:id="243"/>
      <w:bookmarkEnd w:id="243"/>
      <w:r>
        <w:rPr>
          <w:b w:val="0"/>
          <w:bCs w:val="0"/>
        </w:rPr>
      </w:r>
      <w:r>
        <w:rPr>
          <w:rFonts w:ascii="宋体" w:hAnsi="宋体" w:cs="宋体" w:eastAsia="宋体" w:hint="default"/>
        </w:rPr>
        <w:t>9</w:t>
      </w:r>
      <w:r>
        <w:rPr/>
        <w:t>、其他流动资产</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国债回购</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150,010,000.00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65,000,000.00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490,160,000.00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59,598,690.45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61,443,099.99</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11,798,582.85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12,605,662.60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136,397,273.30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714,218,762.59</w:t>
            </w:r>
          </w:p>
        </w:tc>
      </w:tr>
    </w:tbl>
    <w:p>
      <w:pPr>
        <w:spacing w:after="0" w:line="240" w:lineRule="auto"/>
        <w:jc w:val="right"/>
        <w:rPr>
          <w:rFonts w:ascii="宋体" w:hAnsi="宋体" w:cs="宋体" w:eastAsia="宋体" w:hint="default"/>
          <w:sz w:val="18"/>
          <w:szCs w:val="18"/>
        </w:rPr>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left="534" w:right="1114"/>
        <w:jc w:val="left"/>
        <w:rPr>
          <w:b w:val="0"/>
          <w:bCs w:val="0"/>
        </w:rPr>
      </w:pPr>
      <w:bookmarkStart w:name="10、可供出售金融资产" w:id="244"/>
      <w:bookmarkEnd w:id="244"/>
      <w:r>
        <w:rPr>
          <w:b w:val="0"/>
          <w:bCs w:val="0"/>
        </w:rPr>
      </w:r>
      <w:r>
        <w:rPr>
          <w:rFonts w:ascii="宋体" w:hAnsi="宋体" w:cs="宋体" w:eastAsia="宋体" w:hint="default"/>
        </w:rPr>
        <w:t>10</w:t>
      </w:r>
      <w:r>
        <w:rPr/>
        <w:t>、可供出售金融资产</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534" w:right="1114"/>
        <w:jc w:val="left"/>
        <w:rPr>
          <w:b w:val="0"/>
          <w:bCs w:val="0"/>
        </w:rPr>
      </w:pPr>
      <w:bookmarkStart w:name="（1）可供出售金融资产情况" w:id="245"/>
      <w:bookmarkEnd w:id="245"/>
      <w:r>
        <w:rPr>
          <w:b w:val="0"/>
          <w:bCs w:val="0"/>
        </w:rPr>
      </w:r>
      <w:r>
        <w:rPr/>
        <w:t>（</w:t>
      </w:r>
      <w:r>
        <w:rPr>
          <w:rFonts w:ascii="宋体" w:hAnsi="宋体" w:cs="宋体" w:eastAsia="宋体" w:hint="default"/>
        </w:rPr>
        <w:t>1</w:t>
      </w:r>
      <w:r>
        <w:rPr/>
        <w:t>）可供出售金融资产情况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964"/>
        <w:gridCol w:w="1557"/>
        <w:gridCol w:w="1416"/>
        <w:gridCol w:w="1560"/>
        <w:gridCol w:w="1560"/>
        <w:gridCol w:w="1276"/>
        <w:gridCol w:w="1574"/>
      </w:tblGrid>
      <w:tr>
        <w:trPr>
          <w:trHeight w:val="167" w:hRule="exact"/>
        </w:trPr>
        <w:tc>
          <w:tcPr>
            <w:tcW w:w="1964" w:type="dxa"/>
            <w:tcBorders>
              <w:top w:val="single" w:sz="4" w:space="0" w:color="000000"/>
              <w:left w:val="single" w:sz="4" w:space="0" w:color="000000"/>
              <w:bottom w:val="nil" w:sz="6" w:space="0" w:color="auto"/>
              <w:right w:val="single" w:sz="4" w:space="0" w:color="000000"/>
            </w:tcBorders>
            <w:shd w:val="clear" w:color="auto" w:fill="D2D2D2"/>
          </w:tcPr>
          <w:p>
            <w:pPr/>
          </w:p>
        </w:tc>
        <w:tc>
          <w:tcPr>
            <w:tcW w:w="453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5" w:hRule="exact"/>
        </w:trPr>
        <w:tc>
          <w:tcPr>
            <w:tcW w:w="19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33" w:type="dxa"/>
            <w:gridSpan w:val="3"/>
            <w:vMerge/>
            <w:tcBorders>
              <w:left w:val="single" w:sz="4" w:space="0" w:color="000000"/>
              <w:bottom w:val="single" w:sz="4" w:space="0" w:color="000000"/>
              <w:right w:val="single" w:sz="4" w:space="0" w:color="000000"/>
            </w:tcBorders>
            <w:shd w:val="clear" w:color="auto" w:fill="D2D2D2"/>
          </w:tcPr>
          <w:p>
            <w:pPr/>
          </w:p>
        </w:tc>
        <w:tc>
          <w:tcPr>
            <w:tcW w:w="4410" w:type="dxa"/>
            <w:gridSpan w:val="3"/>
            <w:vMerge/>
            <w:tcBorders>
              <w:left w:val="single" w:sz="4" w:space="0" w:color="000000"/>
              <w:bottom w:val="single" w:sz="4" w:space="0" w:color="000000"/>
              <w:right w:val="single" w:sz="4" w:space="0" w:color="000000"/>
            </w:tcBorders>
            <w:shd w:val="clear" w:color="auto" w:fill="D2D2D2"/>
          </w:tcPr>
          <w:p>
            <w:pPr/>
          </w:p>
        </w:tc>
      </w:tr>
      <w:tr>
        <w:trPr>
          <w:trHeight w:val="157" w:hRule="exact"/>
        </w:trPr>
        <w:tc>
          <w:tcPr>
            <w:tcW w:w="1964" w:type="dxa"/>
            <w:vMerge/>
            <w:tcBorders>
              <w:left w:val="single" w:sz="4" w:space="0" w:color="000000"/>
              <w:bottom w:val="nil" w:sz="6" w:space="0" w:color="auto"/>
              <w:right w:val="single" w:sz="4" w:space="0" w:color="000000"/>
            </w:tcBorders>
            <w:shd w:val="clear" w:color="auto" w:fill="D2D2D2"/>
          </w:tcPr>
          <w:p>
            <w:pPr/>
          </w:p>
        </w:tc>
        <w:tc>
          <w:tcPr>
            <w:tcW w:w="15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4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4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4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4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4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6" w:hRule="exact"/>
        </w:trPr>
        <w:tc>
          <w:tcPr>
            <w:tcW w:w="19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7"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557" w:type="dxa"/>
            <w:tcBorders>
              <w:top w:val="single" w:sz="4" w:space="0" w:color="000000"/>
              <w:left w:val="single" w:sz="9"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20,029,555.55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20,029,555.55</w:t>
            </w:r>
          </w:p>
        </w:tc>
      </w:tr>
      <w:tr>
        <w:trPr>
          <w:trHeight w:val="322"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55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2,587,228,247.79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602,538,735.51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1,984,689,512.28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2,258,310,688.62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 w:right="0"/>
              <w:jc w:val="center"/>
              <w:rPr>
                <w:rFonts w:ascii="宋体" w:hAnsi="宋体" w:cs="宋体" w:eastAsia="宋体" w:hint="default"/>
                <w:sz w:val="18"/>
                <w:szCs w:val="18"/>
              </w:rPr>
            </w:pPr>
            <w:r>
              <w:rPr>
                <w:rFonts w:ascii="宋体"/>
                <w:sz w:val="18"/>
              </w:rPr>
              <w:t>50,098,593.77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2,208,212,094.85</w:t>
            </w:r>
          </w:p>
        </w:tc>
      </w:tr>
      <w:tr>
        <w:trPr>
          <w:trHeight w:val="32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557" w:type="dxa"/>
            <w:tcBorders>
              <w:top w:val="single" w:sz="4" w:space="0" w:color="000000"/>
              <w:left w:val="single" w:sz="9"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26,254,776.72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26,254,776.72</w:t>
            </w:r>
          </w:p>
        </w:tc>
      </w:tr>
      <w:tr>
        <w:trPr>
          <w:trHeight w:val="322"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55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2,587,228,247.79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602,538,735.51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1,984,689,512.28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2,232,055,911.90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 w:right="0"/>
              <w:jc w:val="center"/>
              <w:rPr>
                <w:rFonts w:ascii="宋体" w:hAnsi="宋体" w:cs="宋体" w:eastAsia="宋体" w:hint="default"/>
                <w:sz w:val="18"/>
                <w:szCs w:val="18"/>
              </w:rPr>
            </w:pPr>
            <w:r>
              <w:rPr>
                <w:rFonts w:ascii="宋体"/>
                <w:sz w:val="18"/>
              </w:rPr>
              <w:t>50,098,593.77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2,181,957,318.13</w:t>
            </w:r>
          </w:p>
        </w:tc>
      </w:tr>
      <w:tr>
        <w:trPr>
          <w:trHeight w:val="32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2,587,228,247.79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602,538,735.51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1,984,689,512.28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2,278,340,244.17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 w:right="0"/>
              <w:jc w:val="center"/>
              <w:rPr>
                <w:rFonts w:ascii="宋体" w:hAnsi="宋体" w:cs="宋体" w:eastAsia="宋体" w:hint="default"/>
                <w:sz w:val="18"/>
                <w:szCs w:val="18"/>
              </w:rPr>
            </w:pPr>
            <w:r>
              <w:rPr>
                <w:rFonts w:ascii="宋体"/>
                <w:sz w:val="18"/>
              </w:rPr>
              <w:t>50,098,593.77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2,228,241,650.40</w:t>
            </w:r>
          </w:p>
        </w:tc>
      </w:tr>
    </w:tbl>
    <w:p>
      <w:pPr>
        <w:spacing w:after="0" w:line="240" w:lineRule="auto"/>
        <w:jc w:val="right"/>
        <w:rPr>
          <w:rFonts w:ascii="宋体" w:hAnsi="宋体" w:cs="宋体" w:eastAsia="宋体" w:hint="default"/>
          <w:sz w:val="18"/>
          <w:szCs w:val="18"/>
        </w:rPr>
        <w:sectPr>
          <w:pgSz w:w="11910" w:h="16840"/>
          <w:pgMar w:header="0" w:footer="979" w:top="1100" w:bottom="1160" w:left="600" w:right="0"/>
        </w:sectPr>
      </w:pPr>
    </w:p>
    <w:p>
      <w:pPr>
        <w:spacing w:line="240" w:lineRule="auto" w:before="12"/>
        <w:rPr>
          <w:rFonts w:ascii="宋体" w:hAnsi="宋体" w:cs="宋体" w:eastAsia="宋体" w:hint="default"/>
          <w:sz w:val="2"/>
          <w:szCs w:val="2"/>
        </w:rPr>
      </w:pPr>
    </w:p>
    <w:p>
      <w:pPr>
        <w:spacing w:line="20" w:lineRule="exact"/>
        <w:ind w:left="78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820" w:right="0"/>
        <w:jc w:val="left"/>
        <w:rPr>
          <w:b w:val="0"/>
          <w:bCs w:val="0"/>
        </w:rPr>
      </w:pPr>
      <w:bookmarkStart w:name="（2）期末按成本计量的可供出售金融资产" w:id="246"/>
      <w:bookmarkEnd w:id="246"/>
      <w:r>
        <w:rPr>
          <w:b w:val="0"/>
          <w:bCs w:val="0"/>
        </w:rPr>
      </w:r>
      <w:r>
        <w:rPr/>
        <w:t>（</w:t>
      </w:r>
      <w:r>
        <w:rPr>
          <w:rFonts w:ascii="宋体" w:hAnsi="宋体" w:cs="宋体" w:eastAsia="宋体" w:hint="default"/>
        </w:rPr>
        <w:t>2</w:t>
      </w:r>
      <w:r>
        <w:rPr/>
        <w:t>）期末按成本计量的可供出售金融资产</w:t>
      </w:r>
      <w:r>
        <w:rPr>
          <w:b w:val="0"/>
          <w:bCs w:val="0"/>
        </w:rPr>
      </w:r>
    </w:p>
    <w:p>
      <w:pPr>
        <w:spacing w:line="240" w:lineRule="auto" w:before="5"/>
        <w:rPr>
          <w:rFonts w:ascii="宋体" w:hAnsi="宋体" w:cs="宋体" w:eastAsia="宋体" w:hint="default"/>
          <w:b/>
          <w:bCs/>
          <w:sz w:val="24"/>
          <w:szCs w:val="24"/>
        </w:rPr>
      </w:pPr>
    </w:p>
    <w:p>
      <w:pPr>
        <w:spacing w:before="44"/>
        <w:ind w:left="0" w:right="119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1985"/>
        <w:gridCol w:w="1560"/>
        <w:gridCol w:w="1428"/>
        <w:gridCol w:w="1398"/>
        <w:gridCol w:w="1578"/>
        <w:gridCol w:w="1590"/>
        <w:gridCol w:w="1700"/>
        <w:gridCol w:w="870"/>
        <w:gridCol w:w="1540"/>
        <w:gridCol w:w="821"/>
        <w:gridCol w:w="1286"/>
      </w:tblGrid>
      <w:tr>
        <w:trPr>
          <w:trHeight w:val="322"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5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57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45" w:right="43"/>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12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623"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21" w:type="dxa"/>
            <w:vMerge/>
            <w:tcBorders>
              <w:left w:val="single" w:sz="4" w:space="0" w:color="000000"/>
              <w:bottom w:val="single" w:sz="4" w:space="0" w:color="000000"/>
              <w:right w:val="single" w:sz="4" w:space="0" w:color="000000"/>
            </w:tcBorders>
            <w:shd w:val="clear" w:color="auto" w:fill="D2D2D2"/>
          </w:tcPr>
          <w:p>
            <w:pPr/>
          </w:p>
        </w:tc>
        <w:tc>
          <w:tcPr>
            <w:tcW w:w="1286"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both"/>
              <w:rPr>
                <w:rFonts w:ascii="宋体" w:hAnsi="宋体" w:cs="宋体" w:eastAsia="宋体" w:hint="default"/>
                <w:sz w:val="18"/>
                <w:szCs w:val="18"/>
              </w:rPr>
            </w:pPr>
            <w:r>
              <w:rPr>
                <w:rFonts w:ascii="宋体" w:hAnsi="宋体" w:cs="宋体" w:eastAsia="宋体" w:hint="default"/>
                <w:spacing w:val="14"/>
                <w:sz w:val="18"/>
                <w:szCs w:val="18"/>
              </w:rPr>
              <w:t>深圳价值在线信息科技 </w:t>
            </w:r>
            <w:r>
              <w:rPr>
                <w:rFonts w:ascii="宋体" w:hAnsi="宋体" w:cs="宋体" w:eastAsia="宋体" w:hint="default"/>
                <w:spacing w:val="-5"/>
                <w:sz w:val="18"/>
                <w:szCs w:val="18"/>
              </w:rPr>
              <w:t>股份有限公司（以下简称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w:t>
            </w:r>
            <w:r>
              <w:rPr>
                <w:rFonts w:ascii="宋体" w:hAnsi="宋体" w:cs="宋体" w:eastAsia="宋体" w:hint="default"/>
                <w:sz w:val="18"/>
                <w:szCs w:val="18"/>
              </w:rPr>
              <w:t>价值在线</w:t>
            </w:r>
            <w:r>
              <w:rPr>
                <w:rFonts w:ascii="宋体" w:hAnsi="宋体" w:cs="宋体" w:eastAsia="宋体" w:hint="default"/>
                <w:sz w:val="18"/>
                <w:szCs w:val="18"/>
              </w:rPr>
              <w:t>"</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20,029,555.55</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20,029,555.55</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2" w:right="6"/>
              <w:jc w:val="left"/>
              <w:rPr>
                <w:rFonts w:ascii="宋体" w:hAnsi="宋体" w:cs="宋体" w:eastAsia="宋体" w:hint="default"/>
                <w:sz w:val="18"/>
                <w:szCs w:val="18"/>
              </w:rPr>
            </w:pPr>
            <w:r>
              <w:rPr>
                <w:rFonts w:ascii="宋体" w:hAnsi="宋体" w:cs="宋体" w:eastAsia="宋体" w:hint="default"/>
                <w:spacing w:val="14"/>
                <w:sz w:val="18"/>
                <w:szCs w:val="18"/>
              </w:rPr>
              <w:t>上海鸿立虚拟现实投资 </w:t>
            </w:r>
            <w:r>
              <w:rPr>
                <w:rFonts w:ascii="宋体" w:hAnsi="宋体" w:cs="宋体" w:eastAsia="宋体" w:hint="default"/>
                <w:sz w:val="18"/>
                <w:szCs w:val="18"/>
              </w:rPr>
              <w:t>合伙企业（有限合伙）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100,000,000.00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100,000,000.00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45.45%</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深圳国金天惠创业投资 </w:t>
            </w:r>
            <w:r>
              <w:rPr>
                <w:rFonts w:ascii="宋体" w:hAnsi="宋体" w:cs="宋体" w:eastAsia="宋体" w:hint="default"/>
                <w:sz w:val="18"/>
                <w:szCs w:val="18"/>
              </w:rPr>
              <w:t>企业（有限合伙）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30,000,000.00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1,590,000.00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28,410,000.00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7.14%</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4"/>
                <w:sz w:val="18"/>
                <w:szCs w:val="18"/>
              </w:rPr>
              <w:t>义乌商阜创赢投资中心</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333,000,000.00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333,000,000.00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07" w:right="0"/>
              <w:jc w:val="left"/>
              <w:rPr>
                <w:rFonts w:ascii="宋体" w:hAnsi="宋体" w:cs="宋体" w:eastAsia="宋体" w:hint="default"/>
                <w:sz w:val="18"/>
                <w:szCs w:val="18"/>
              </w:rPr>
            </w:pPr>
            <w:r>
              <w:rPr>
                <w:rFonts w:ascii="宋体"/>
                <w:sz w:val="18"/>
              </w:rPr>
              <w:t>333,000,000.00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333,000,000.00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19.96%</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6"/>
              <w:jc w:val="left"/>
              <w:rPr>
                <w:rFonts w:ascii="宋体" w:hAnsi="宋体" w:cs="宋体" w:eastAsia="宋体" w:hint="default"/>
                <w:sz w:val="18"/>
                <w:szCs w:val="18"/>
              </w:rPr>
            </w:pPr>
            <w:r>
              <w:rPr>
                <w:rFonts w:ascii="宋体" w:hAnsi="宋体" w:cs="宋体" w:eastAsia="宋体" w:hint="default"/>
                <w:spacing w:val="14"/>
                <w:sz w:val="18"/>
                <w:szCs w:val="18"/>
              </w:rPr>
              <w:t>湖北省资产管理有限公 </w:t>
            </w:r>
            <w:r>
              <w:rPr>
                <w:rFonts w:ascii="宋体" w:hAnsi="宋体" w:cs="宋体" w:eastAsia="宋体" w:hint="default"/>
                <w:sz w:val="18"/>
                <w:szCs w:val="18"/>
              </w:rPr>
              <w:t>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363,198,891.47</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363,198,891.47</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宋体" w:hAnsi="宋体" w:cs="宋体" w:eastAsia="宋体" w:hint="default"/>
                <w:sz w:val="18"/>
                <w:szCs w:val="18"/>
              </w:rPr>
            </w:pPr>
            <w:r>
              <w:rPr>
                <w:rFonts w:ascii="宋体"/>
                <w:sz w:val="18"/>
              </w:rPr>
              <w:t>10,000,000.00</w:t>
            </w: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深圳互惠联盟电子商务 </w:t>
            </w:r>
            <w:r>
              <w:rPr>
                <w:rFonts w:ascii="宋体" w:hAnsi="宋体" w:cs="宋体" w:eastAsia="宋体" w:hint="default"/>
                <w:sz w:val="18"/>
                <w:szCs w:val="18"/>
              </w:rPr>
              <w:t>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1,000,000.00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1,000,000.00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5.00%</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上海国时资产管理有限 </w:t>
            </w:r>
            <w:r>
              <w:rPr>
                <w:rFonts w:ascii="宋体" w:hAnsi="宋体" w:cs="宋体" w:eastAsia="宋体" w:hint="default"/>
                <w:sz w:val="18"/>
                <w:szCs w:val="18"/>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4,000,000.00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4,000,000.00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11.76%</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价值在线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8,000,000.00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8,000,000.00</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上海国融文化传媒有限 </w:t>
            </w:r>
            <w:r>
              <w:rPr>
                <w:rFonts w:ascii="宋体" w:hAnsi="宋体" w:cs="宋体" w:eastAsia="宋体" w:hint="default"/>
                <w:sz w:val="18"/>
                <w:szCs w:val="18"/>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4,900,000.00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4,900,000.00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12.25%</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上海高鲲股权投资基金 </w:t>
            </w:r>
            <w:r>
              <w:rPr>
                <w:rFonts w:ascii="宋体" w:hAnsi="宋体" w:cs="宋体" w:eastAsia="宋体" w:hint="default"/>
                <w:sz w:val="18"/>
                <w:szCs w:val="18"/>
              </w:rPr>
              <w:t>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600,000.00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600,000.00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20.00%</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6"/>
              <w:jc w:val="left"/>
              <w:rPr>
                <w:rFonts w:ascii="宋体" w:hAnsi="宋体" w:cs="宋体" w:eastAsia="宋体" w:hint="default"/>
                <w:sz w:val="18"/>
                <w:szCs w:val="18"/>
              </w:rPr>
            </w:pPr>
            <w:r>
              <w:rPr>
                <w:rFonts w:ascii="宋体" w:hAnsi="宋体" w:cs="宋体" w:eastAsia="宋体" w:hint="default"/>
                <w:spacing w:val="14"/>
                <w:sz w:val="18"/>
                <w:szCs w:val="18"/>
              </w:rPr>
              <w:t>陕西华商互联文化传播 </w:t>
            </w:r>
            <w:r>
              <w:rPr>
                <w:rFonts w:ascii="宋体" w:hAnsi="宋体" w:cs="宋体" w:eastAsia="宋体" w:hint="default"/>
                <w:sz w:val="18"/>
                <w:szCs w:val="18"/>
              </w:rPr>
              <w:t>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2,500,000.00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2,500,000.00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6" w:right="0"/>
              <w:jc w:val="left"/>
              <w:rPr>
                <w:rFonts w:ascii="宋体" w:hAnsi="宋体" w:cs="宋体" w:eastAsia="宋体" w:hint="default"/>
                <w:sz w:val="18"/>
                <w:szCs w:val="18"/>
              </w:rPr>
            </w:pPr>
            <w:r>
              <w:rPr>
                <w:rFonts w:ascii="宋体"/>
                <w:sz w:val="18"/>
              </w:rPr>
              <w:t>2,500,000.00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2,500,000.00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40.00%</w:t>
            </w:r>
          </w:p>
        </w:tc>
        <w:tc>
          <w:tcPr>
            <w:tcW w:w="128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5"/>
          <w:footerReference w:type="default" r:id="rId46"/>
          <w:pgSz w:w="16840" w:h="11910" w:orient="landscape"/>
          <w:pgMar w:header="867" w:footer="979" w:top="1060" w:bottom="1260" w:left="620" w:right="240"/>
          <w:pgNumType w:start="19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985"/>
        <w:gridCol w:w="1560"/>
        <w:gridCol w:w="1428"/>
        <w:gridCol w:w="1398"/>
        <w:gridCol w:w="1578"/>
        <w:gridCol w:w="1590"/>
        <w:gridCol w:w="1700"/>
        <w:gridCol w:w="870"/>
        <w:gridCol w:w="1540"/>
        <w:gridCol w:w="821"/>
        <w:gridCol w:w="1286"/>
      </w:tblGrid>
      <w:tr>
        <w:trPr>
          <w:trHeight w:val="648" w:hRule="exact"/>
        </w:trPr>
        <w:tc>
          <w:tcPr>
            <w:tcW w:w="1985"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吉林京演儿艺联合剧院 </w:t>
            </w:r>
            <w:r>
              <w:rPr>
                <w:rFonts w:ascii="宋体" w:hAnsi="宋体" w:cs="宋体" w:eastAsia="宋体" w:hint="default"/>
                <w:sz w:val="18"/>
                <w:szCs w:val="18"/>
              </w:rPr>
              <w:t>有限公司</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450,000.00</w:t>
            </w:r>
          </w:p>
        </w:tc>
        <w:tc>
          <w:tcPr>
            <w:tcW w:w="1428" w:type="dxa"/>
            <w:tcBorders>
              <w:top w:val="single" w:sz="15" w:space="0" w:color="000000"/>
              <w:left w:val="single" w:sz="4" w:space="0" w:color="000000"/>
              <w:bottom w:val="single" w:sz="4" w:space="0" w:color="000000"/>
              <w:right w:val="single" w:sz="4" w:space="0" w:color="000000"/>
            </w:tcBorders>
          </w:tcPr>
          <w:p>
            <w:pPr/>
          </w:p>
        </w:tc>
        <w:tc>
          <w:tcPr>
            <w:tcW w:w="1398" w:type="dxa"/>
            <w:tcBorders>
              <w:top w:val="single" w:sz="15" w:space="0" w:color="000000"/>
              <w:left w:val="single" w:sz="4" w:space="0" w:color="000000"/>
              <w:bottom w:val="single" w:sz="4" w:space="0" w:color="000000"/>
              <w:right w:val="single" w:sz="4" w:space="0" w:color="000000"/>
            </w:tcBorders>
          </w:tcPr>
          <w:p>
            <w:pPr/>
          </w:p>
        </w:tc>
        <w:tc>
          <w:tcPr>
            <w:tcW w:w="15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450,000.00</w:t>
            </w:r>
          </w:p>
        </w:tc>
        <w:tc>
          <w:tcPr>
            <w:tcW w:w="15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357,093.77</w:t>
            </w:r>
          </w:p>
        </w:tc>
        <w:tc>
          <w:tcPr>
            <w:tcW w:w="17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92,906.23</w:t>
            </w:r>
          </w:p>
        </w:tc>
        <w:tc>
          <w:tcPr>
            <w:tcW w:w="870" w:type="dxa"/>
            <w:tcBorders>
              <w:top w:val="single" w:sz="15" w:space="0" w:color="000000"/>
              <w:left w:val="single" w:sz="4" w:space="0" w:color="000000"/>
              <w:bottom w:val="single" w:sz="4" w:space="0" w:color="000000"/>
              <w:right w:val="single" w:sz="4" w:space="0" w:color="000000"/>
            </w:tcBorders>
          </w:tcPr>
          <w:p>
            <w:pPr/>
          </w:p>
        </w:tc>
        <w:tc>
          <w:tcPr>
            <w:tcW w:w="15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450,000.00</w:t>
            </w: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15.00%</w:t>
            </w:r>
          </w:p>
        </w:tc>
        <w:tc>
          <w:tcPr>
            <w:tcW w:w="1286" w:type="dxa"/>
            <w:tcBorders>
              <w:top w:val="single" w:sz="6" w:space="0" w:color="000000"/>
              <w:left w:val="single" w:sz="4" w:space="0" w:color="000000"/>
              <w:bottom w:val="single" w:sz="4" w:space="0" w:color="000000"/>
              <w:right w:val="single" w:sz="4" w:space="0" w:color="000000"/>
            </w:tcBorders>
          </w:tcPr>
          <w:p>
            <w:pPr/>
          </w:p>
        </w:tc>
      </w:tr>
      <w:tr>
        <w:trPr>
          <w:trHeight w:val="63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6"/>
              <w:jc w:val="left"/>
              <w:rPr>
                <w:rFonts w:ascii="宋体" w:hAnsi="宋体" w:cs="宋体" w:eastAsia="宋体" w:hint="default"/>
                <w:sz w:val="18"/>
                <w:szCs w:val="18"/>
              </w:rPr>
            </w:pPr>
            <w:r>
              <w:rPr>
                <w:rFonts w:ascii="宋体" w:hAnsi="宋体" w:cs="宋体" w:eastAsia="宋体" w:hint="default"/>
                <w:spacing w:val="14"/>
                <w:sz w:val="18"/>
                <w:szCs w:val="18"/>
              </w:rPr>
              <w:t>陕西怡适康健康管理有 </w:t>
            </w:r>
            <w:r>
              <w:rPr>
                <w:rFonts w:ascii="宋体" w:hAnsi="宋体" w:cs="宋体" w:eastAsia="宋体" w:hint="default"/>
                <w:sz w:val="18"/>
                <w:szCs w:val="18"/>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5,000,000.00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5,000,000.00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7.50%</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上海复娱文化传播股份 </w:t>
            </w:r>
            <w:r>
              <w:rPr>
                <w:rFonts w:ascii="宋体" w:hAnsi="宋体" w:cs="宋体" w:eastAsia="宋体" w:hint="default"/>
                <w:sz w:val="18"/>
                <w:szCs w:val="18"/>
              </w:rPr>
              <w:t>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20,000,000.00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20,000,000.00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17,140,000.00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17,140,000.00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1.25%</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陕西同力重工股份有限 </w:t>
            </w:r>
            <w:r>
              <w:rPr>
                <w:rFonts w:ascii="宋体" w:hAnsi="宋体" w:cs="宋体" w:eastAsia="宋体" w:hint="default"/>
                <w:sz w:val="18"/>
                <w:szCs w:val="18"/>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20,400,000.00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20,400,000.00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4.00%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1,869,600.00</w:t>
            </w:r>
          </w:p>
        </w:tc>
      </w:tr>
      <w:tr>
        <w:trPr>
          <w:trHeight w:val="63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6"/>
              <w:jc w:val="left"/>
              <w:rPr>
                <w:rFonts w:ascii="宋体" w:hAnsi="宋体" w:cs="宋体" w:eastAsia="宋体" w:hint="default"/>
                <w:sz w:val="18"/>
                <w:szCs w:val="18"/>
              </w:rPr>
            </w:pPr>
            <w:r>
              <w:rPr>
                <w:rFonts w:ascii="宋体" w:hAnsi="宋体" w:cs="宋体" w:eastAsia="宋体" w:hint="default"/>
                <w:spacing w:val="14"/>
                <w:sz w:val="18"/>
                <w:szCs w:val="18"/>
              </w:rPr>
              <w:t>绵阳科技城产业投资基 </w:t>
            </w:r>
            <w:r>
              <w:rPr>
                <w:rFonts w:ascii="宋体" w:hAnsi="宋体" w:cs="宋体" w:eastAsia="宋体" w:hint="default"/>
                <w:sz w:val="18"/>
                <w:szCs w:val="18"/>
              </w:rPr>
              <w:t>金（有限合伙）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74,305,658.81</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11,837,985.74</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62,467,673.07</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5"/>
                <w:sz w:val="18"/>
                <w:szCs w:val="18"/>
              </w:rPr>
              <w:t>中信夹层（上海）投资中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心（有限合伙）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30,498,521.74</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9,510,599.11</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20,987,922.63</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西安喜来快递有限公司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10,000,000.00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10,000,000.00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5.52%</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14"/>
                <w:sz w:val="18"/>
                <w:szCs w:val="18"/>
              </w:rPr>
              <w:t>北京磐聿企业管理中心</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300,000,000.00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300,000,000.00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99.67%</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上海太洋科技有限公司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10,000,000.00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10,000,000.00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1.82%</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芜湖其欣石电影投资合 </w:t>
            </w:r>
            <w:r>
              <w:rPr>
                <w:rFonts w:ascii="宋体" w:hAnsi="宋体" w:cs="宋体" w:eastAsia="宋体" w:hint="default"/>
                <w:sz w:val="18"/>
                <w:szCs w:val="18"/>
              </w:rPr>
              <w:t>伙企业（有限合伙）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34,380,000.00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5,670,000.00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28,710,000.00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6"/>
              <w:jc w:val="both"/>
              <w:rPr>
                <w:rFonts w:ascii="宋体" w:hAnsi="宋体" w:cs="宋体" w:eastAsia="宋体" w:hint="default"/>
                <w:sz w:val="18"/>
                <w:szCs w:val="18"/>
              </w:rPr>
            </w:pPr>
            <w:r>
              <w:rPr>
                <w:rFonts w:ascii="宋体" w:hAnsi="宋体" w:cs="宋体" w:eastAsia="宋体" w:hint="default"/>
                <w:spacing w:val="14"/>
                <w:sz w:val="18"/>
                <w:szCs w:val="18"/>
              </w:rPr>
              <w:t>芜湖弘唯基石投资基金 管理合伙企业（有限合 </w:t>
            </w:r>
            <w:r>
              <w:rPr>
                <w:rFonts w:ascii="宋体" w:hAnsi="宋体" w:cs="宋体" w:eastAsia="宋体" w:hint="default"/>
                <w:sz w:val="18"/>
                <w:szCs w:val="18"/>
              </w:rPr>
              <w:t>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3"/>
              <w:jc w:val="right"/>
              <w:rPr>
                <w:rFonts w:ascii="宋体" w:hAnsi="宋体" w:cs="宋体" w:eastAsia="宋体" w:hint="default"/>
                <w:sz w:val="18"/>
                <w:szCs w:val="18"/>
              </w:rPr>
            </w:pPr>
            <w:r>
              <w:rPr>
                <w:rFonts w:ascii="宋体"/>
                <w:sz w:val="18"/>
              </w:rPr>
              <w:t>250,000,000.00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3"/>
              <w:jc w:val="right"/>
              <w:rPr>
                <w:rFonts w:ascii="宋体" w:hAnsi="宋体" w:cs="宋体" w:eastAsia="宋体" w:hint="default"/>
                <w:sz w:val="18"/>
                <w:szCs w:val="18"/>
              </w:rPr>
            </w:pPr>
            <w:r>
              <w:rPr>
                <w:rFonts w:ascii="宋体"/>
                <w:sz w:val="18"/>
              </w:rPr>
              <w:t>102,500,000.00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1"/>
              <w:jc w:val="right"/>
              <w:rPr>
                <w:rFonts w:ascii="宋体" w:hAnsi="宋体" w:cs="宋体" w:eastAsia="宋体" w:hint="default"/>
                <w:sz w:val="18"/>
                <w:szCs w:val="18"/>
              </w:rPr>
            </w:pPr>
            <w:r>
              <w:rPr>
                <w:rFonts w:ascii="宋体"/>
                <w:sz w:val="18"/>
              </w:rPr>
              <w:t>147,500,000.00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0"/>
              <w:jc w:val="right"/>
              <w:rPr>
                <w:rFonts w:ascii="宋体" w:hAnsi="宋体" w:cs="宋体" w:eastAsia="宋体" w:hint="default"/>
                <w:sz w:val="18"/>
                <w:szCs w:val="18"/>
              </w:rPr>
            </w:pPr>
            <w:r>
              <w:rPr>
                <w:rFonts w:ascii="宋体"/>
                <w:sz w:val="18"/>
              </w:rPr>
              <w:t>83,326,561.81</w:t>
            </w: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2"/>
              <w:jc w:val="right"/>
              <w:rPr>
                <w:rFonts w:ascii="宋体" w:hAnsi="宋体" w:cs="宋体" w:eastAsia="宋体" w:hint="default"/>
                <w:sz w:val="18"/>
                <w:szCs w:val="18"/>
              </w:rPr>
            </w:pPr>
            <w:r>
              <w:rPr>
                <w:rFonts w:ascii="宋体"/>
                <w:sz w:val="18"/>
              </w:rPr>
              <w:t>83,326,561.81</w:t>
            </w:r>
          </w:p>
        </w:tc>
        <w:tc>
          <w:tcPr>
            <w:tcW w:w="8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芜湖领航基石创业投资 </w:t>
            </w:r>
            <w:r>
              <w:rPr>
                <w:rFonts w:ascii="宋体" w:hAnsi="宋体" w:cs="宋体" w:eastAsia="宋体" w:hint="default"/>
                <w:sz w:val="18"/>
                <w:szCs w:val="18"/>
              </w:rPr>
              <w:t>合伙企业（有限合伙）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42,750,000.00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1,550,000.00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41,200,000.00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1,250,000.00</w:t>
            </w: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芜湖基石创业投资合伙 </w:t>
            </w:r>
            <w:r>
              <w:rPr>
                <w:rFonts w:ascii="宋体" w:hAnsi="宋体" w:cs="宋体" w:eastAsia="宋体" w:hint="default"/>
                <w:sz w:val="18"/>
                <w:szCs w:val="18"/>
              </w:rPr>
              <w:t>企业（有限合伙）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47,120,000.00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24,382,788.17</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22,737,211.83</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6"/>
              <w:jc w:val="left"/>
              <w:rPr>
                <w:rFonts w:ascii="宋体" w:hAnsi="宋体" w:cs="宋体" w:eastAsia="宋体" w:hint="default"/>
                <w:sz w:val="18"/>
                <w:szCs w:val="18"/>
              </w:rPr>
            </w:pPr>
            <w:r>
              <w:rPr>
                <w:rFonts w:ascii="宋体" w:hAnsi="宋体" w:cs="宋体" w:eastAsia="宋体" w:hint="default"/>
                <w:spacing w:val="14"/>
                <w:sz w:val="18"/>
                <w:szCs w:val="18"/>
              </w:rPr>
              <w:t>马鞍山盛凯股权投资合 </w:t>
            </w:r>
            <w:r>
              <w:rPr>
                <w:rFonts w:ascii="宋体" w:hAnsi="宋体" w:cs="宋体" w:eastAsia="宋体" w:hint="default"/>
                <w:sz w:val="18"/>
                <w:szCs w:val="18"/>
              </w:rPr>
              <w:t>伙企业（有限合伙）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150,000,000.00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150,000,000.00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both"/>
              <w:rPr>
                <w:rFonts w:ascii="宋体" w:hAnsi="宋体" w:cs="宋体" w:eastAsia="宋体" w:hint="default"/>
                <w:sz w:val="18"/>
                <w:szCs w:val="18"/>
              </w:rPr>
            </w:pPr>
            <w:r>
              <w:rPr>
                <w:rFonts w:ascii="宋体" w:hAnsi="宋体" w:cs="宋体" w:eastAsia="宋体" w:hint="default"/>
                <w:spacing w:val="14"/>
                <w:sz w:val="18"/>
                <w:szCs w:val="18"/>
              </w:rPr>
              <w:t>马鞍山亳州信望基石股 </w:t>
            </w:r>
            <w:r>
              <w:rPr>
                <w:rFonts w:ascii="宋体" w:hAnsi="宋体" w:cs="宋体" w:eastAsia="宋体" w:hint="default"/>
                <w:spacing w:val="-5"/>
                <w:sz w:val="18"/>
                <w:szCs w:val="18"/>
              </w:rPr>
              <w:t>权投资合伙企业（有限合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100,000,000.00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1"/>
              <w:jc w:val="right"/>
              <w:rPr>
                <w:rFonts w:ascii="宋体" w:hAnsi="宋体" w:cs="宋体" w:eastAsia="宋体" w:hint="default"/>
                <w:sz w:val="18"/>
                <w:szCs w:val="18"/>
              </w:rPr>
            </w:pPr>
            <w:r>
              <w:rPr>
                <w:rFonts w:ascii="宋体"/>
                <w:sz w:val="18"/>
              </w:rPr>
              <w:t>100,000,000.00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240" w:left="620" w:right="24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985"/>
        <w:gridCol w:w="1560"/>
        <w:gridCol w:w="1428"/>
        <w:gridCol w:w="1398"/>
        <w:gridCol w:w="1578"/>
        <w:gridCol w:w="1590"/>
        <w:gridCol w:w="1700"/>
        <w:gridCol w:w="870"/>
        <w:gridCol w:w="1540"/>
        <w:gridCol w:w="821"/>
        <w:gridCol w:w="1286"/>
      </w:tblGrid>
      <w:tr>
        <w:trPr>
          <w:trHeight w:val="648" w:hRule="exact"/>
        </w:trPr>
        <w:tc>
          <w:tcPr>
            <w:tcW w:w="1985"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山南创金灏昇实业有限 </w:t>
            </w:r>
            <w:r>
              <w:rPr>
                <w:rFonts w:ascii="宋体" w:hAnsi="宋体" w:cs="宋体" w:eastAsia="宋体" w:hint="default"/>
                <w:sz w:val="18"/>
                <w:szCs w:val="18"/>
              </w:rPr>
              <w:t>公司</w:t>
            </w:r>
          </w:p>
        </w:tc>
        <w:tc>
          <w:tcPr>
            <w:tcW w:w="1560" w:type="dxa"/>
            <w:tcBorders>
              <w:top w:val="single" w:sz="15" w:space="0" w:color="000000"/>
              <w:left w:val="single" w:sz="4" w:space="0" w:color="000000"/>
              <w:bottom w:val="single" w:sz="4" w:space="0" w:color="000000"/>
              <w:right w:val="single" w:sz="4" w:space="0" w:color="000000"/>
            </w:tcBorders>
          </w:tcPr>
          <w:p>
            <w:pPr/>
          </w:p>
        </w:tc>
        <w:tc>
          <w:tcPr>
            <w:tcW w:w="142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100,000,000.00</w:t>
            </w:r>
          </w:p>
        </w:tc>
        <w:tc>
          <w:tcPr>
            <w:tcW w:w="13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100,000,000.00</w:t>
            </w:r>
          </w:p>
        </w:tc>
        <w:tc>
          <w:tcPr>
            <w:tcW w:w="1578" w:type="dxa"/>
            <w:tcBorders>
              <w:top w:val="single" w:sz="15" w:space="0" w:color="000000"/>
              <w:left w:val="single" w:sz="4" w:space="0" w:color="000000"/>
              <w:bottom w:val="single" w:sz="4" w:space="0" w:color="000000"/>
              <w:right w:val="single" w:sz="4" w:space="0" w:color="000000"/>
            </w:tcBorders>
          </w:tcPr>
          <w:p>
            <w:pPr/>
          </w:p>
        </w:tc>
        <w:tc>
          <w:tcPr>
            <w:tcW w:w="1590" w:type="dxa"/>
            <w:tcBorders>
              <w:top w:val="single" w:sz="15" w:space="0" w:color="000000"/>
              <w:left w:val="single" w:sz="4" w:space="0" w:color="000000"/>
              <w:bottom w:val="single" w:sz="4" w:space="0" w:color="000000"/>
              <w:right w:val="single" w:sz="4" w:space="0" w:color="000000"/>
            </w:tcBorders>
          </w:tcPr>
          <w:p>
            <w:pPr/>
          </w:p>
        </w:tc>
        <w:tc>
          <w:tcPr>
            <w:tcW w:w="1700" w:type="dxa"/>
            <w:tcBorders>
              <w:top w:val="single" w:sz="15" w:space="0" w:color="000000"/>
              <w:left w:val="single" w:sz="4" w:space="0" w:color="000000"/>
              <w:bottom w:val="single" w:sz="4" w:space="0" w:color="000000"/>
              <w:right w:val="single" w:sz="4" w:space="0" w:color="000000"/>
            </w:tcBorders>
          </w:tcPr>
          <w:p>
            <w:pPr/>
          </w:p>
        </w:tc>
        <w:tc>
          <w:tcPr>
            <w:tcW w:w="870" w:type="dxa"/>
            <w:tcBorders>
              <w:top w:val="single" w:sz="15" w:space="0" w:color="000000"/>
              <w:left w:val="single" w:sz="4" w:space="0" w:color="000000"/>
              <w:bottom w:val="single" w:sz="4" w:space="0" w:color="000000"/>
              <w:right w:val="single" w:sz="4" w:space="0" w:color="000000"/>
            </w:tcBorders>
          </w:tcPr>
          <w:p>
            <w:pPr/>
          </w:p>
        </w:tc>
        <w:tc>
          <w:tcPr>
            <w:tcW w:w="1540"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24.00%</w:t>
            </w:r>
          </w:p>
        </w:tc>
        <w:tc>
          <w:tcPr>
            <w:tcW w:w="1286" w:type="dxa"/>
            <w:tcBorders>
              <w:top w:val="single" w:sz="6" w:space="0" w:color="000000"/>
              <w:left w:val="single" w:sz="4" w:space="0" w:color="000000"/>
              <w:bottom w:val="single" w:sz="4" w:space="0" w:color="000000"/>
              <w:right w:val="single" w:sz="4" w:space="0" w:color="000000"/>
            </w:tcBorders>
          </w:tcPr>
          <w:p>
            <w:pPr/>
          </w:p>
        </w:tc>
      </w:tr>
      <w:tr>
        <w:trPr>
          <w:trHeight w:val="63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6"/>
              <w:jc w:val="left"/>
              <w:rPr>
                <w:rFonts w:ascii="宋体" w:hAnsi="宋体" w:cs="宋体" w:eastAsia="宋体" w:hint="default"/>
                <w:sz w:val="18"/>
                <w:szCs w:val="18"/>
              </w:rPr>
            </w:pPr>
            <w:r>
              <w:rPr>
                <w:rFonts w:ascii="宋体" w:hAnsi="宋体" w:cs="宋体" w:eastAsia="宋体" w:hint="default"/>
                <w:spacing w:val="14"/>
                <w:sz w:val="18"/>
                <w:szCs w:val="18"/>
              </w:rPr>
              <w:t>飞拓无限信息技术（北 </w:t>
            </w:r>
            <w:r>
              <w:rPr>
                <w:rFonts w:ascii="宋体" w:hAnsi="宋体" w:cs="宋体" w:eastAsia="宋体" w:hint="default"/>
                <w:sz w:val="18"/>
                <w:szCs w:val="18"/>
              </w:rPr>
              <w:t>京）股份有限公司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20,000,000.00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20,000,000.00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2.23%</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北京传送科技有限公司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50,000,000.00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50,000,000.00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杭州明霖信息技术有限 </w:t>
            </w:r>
            <w:r>
              <w:rPr>
                <w:rFonts w:ascii="宋体" w:hAnsi="宋体" w:cs="宋体" w:eastAsia="宋体" w:hint="default"/>
                <w:sz w:val="18"/>
                <w:szCs w:val="18"/>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4,750,000.00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4,750,000.00</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14.54%</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0"/>
              <w:jc w:val="left"/>
              <w:rPr>
                <w:rFonts w:ascii="宋体" w:hAnsi="宋体" w:cs="宋体" w:eastAsia="宋体" w:hint="default"/>
                <w:sz w:val="18"/>
                <w:szCs w:val="18"/>
              </w:rPr>
            </w:pPr>
            <w:r>
              <w:rPr>
                <w:rFonts w:ascii="宋体" w:hAnsi="宋体" w:cs="宋体" w:eastAsia="宋体" w:hint="default"/>
                <w:spacing w:val="-5"/>
                <w:sz w:val="18"/>
                <w:szCs w:val="18"/>
              </w:rPr>
              <w:t>龙娱数码科技（上海）有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1,940,000.00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204,356.00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1,735,644.00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1,735,644.00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1,735,644.00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9.70%</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北京优朋普乐科技有限 </w:t>
            </w:r>
            <w:r>
              <w:rPr>
                <w:rFonts w:ascii="宋体" w:hAnsi="宋体" w:cs="宋体" w:eastAsia="宋体" w:hint="default"/>
                <w:sz w:val="18"/>
                <w:szCs w:val="18"/>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58,800,000.00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58,800,000.00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2.85%</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上海萌果信息科技有限 </w:t>
            </w:r>
            <w:r>
              <w:rPr>
                <w:rFonts w:ascii="宋体" w:hAnsi="宋体" w:cs="宋体" w:eastAsia="宋体" w:hint="default"/>
                <w:sz w:val="18"/>
                <w:szCs w:val="18"/>
              </w:rPr>
              <w:t>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53,223,489.04</w:t>
            </w: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53,223,489.04</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15,235,989.04</w:t>
            </w: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15,235,989.04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17.10%</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山东丰源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42,300,000.00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42,300,000.00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2.21%</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上海蓝光科技有限公司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28,500,000.00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28,500,000.00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4,000,000.00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4,000,000.00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1.46%</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新宇药业股份有限公司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7,080,000.00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7,080,000.00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1.79%</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6"/>
              <w:jc w:val="left"/>
              <w:rPr>
                <w:rFonts w:ascii="宋体" w:hAnsi="宋体" w:cs="宋体" w:eastAsia="宋体" w:hint="default"/>
                <w:sz w:val="18"/>
                <w:szCs w:val="18"/>
              </w:rPr>
            </w:pPr>
            <w:r>
              <w:rPr>
                <w:rFonts w:ascii="宋体" w:hAnsi="宋体" w:cs="宋体" w:eastAsia="宋体" w:hint="default"/>
                <w:spacing w:val="14"/>
                <w:sz w:val="18"/>
                <w:szCs w:val="18"/>
              </w:rPr>
              <w:t>浙江金龙电机股份有限 </w:t>
            </w:r>
            <w:r>
              <w:rPr>
                <w:rFonts w:ascii="宋体" w:hAnsi="宋体" w:cs="宋体" w:eastAsia="宋体" w:hint="default"/>
                <w:sz w:val="18"/>
                <w:szCs w:val="18"/>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28,625,001.00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28,625,001.00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8.03%</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杭州龙扬生物科技有限 </w:t>
            </w:r>
            <w:r>
              <w:rPr>
                <w:rFonts w:ascii="宋体" w:hAnsi="宋体" w:cs="宋体" w:eastAsia="宋体" w:hint="default"/>
                <w:sz w:val="18"/>
                <w:szCs w:val="18"/>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26,101,500.00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26,101,500.00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26,101,500.00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26,101,500.00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13.68%</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汇绿生态科技集团股份 </w:t>
            </w:r>
            <w:r>
              <w:rPr>
                <w:rFonts w:ascii="宋体" w:hAnsi="宋体" w:cs="宋体" w:eastAsia="宋体" w:hint="default"/>
                <w:sz w:val="18"/>
                <w:szCs w:val="18"/>
              </w:rPr>
              <w:t>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28,885,930.00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28,885,930.00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1.56%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53" w:right="0"/>
              <w:jc w:val="left"/>
              <w:rPr>
                <w:rFonts w:ascii="宋体" w:hAnsi="宋体" w:cs="宋体" w:eastAsia="宋体" w:hint="default"/>
                <w:sz w:val="18"/>
                <w:szCs w:val="18"/>
              </w:rPr>
            </w:pPr>
            <w:r>
              <w:rPr>
                <w:rFonts w:ascii="宋体"/>
                <w:sz w:val="18"/>
              </w:rPr>
              <w:t>312,186.86</w:t>
            </w:r>
          </w:p>
        </w:tc>
      </w:tr>
      <w:tr>
        <w:trPr>
          <w:trHeight w:val="63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6"/>
              <w:jc w:val="left"/>
              <w:rPr>
                <w:rFonts w:ascii="宋体" w:hAnsi="宋体" w:cs="宋体" w:eastAsia="宋体" w:hint="default"/>
                <w:sz w:val="18"/>
                <w:szCs w:val="18"/>
              </w:rPr>
            </w:pPr>
            <w:r>
              <w:rPr>
                <w:rFonts w:ascii="宋体" w:hAnsi="宋体" w:cs="宋体" w:eastAsia="宋体" w:hint="default"/>
                <w:spacing w:val="14"/>
                <w:sz w:val="18"/>
                <w:szCs w:val="18"/>
              </w:rPr>
              <w:t>厦门一品威客网络科技 </w:t>
            </w:r>
            <w:r>
              <w:rPr>
                <w:rFonts w:ascii="宋体" w:hAnsi="宋体" w:cs="宋体" w:eastAsia="宋体" w:hint="default"/>
                <w:sz w:val="18"/>
                <w:szCs w:val="18"/>
              </w:rPr>
              <w:t>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5,700,000.00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5,700,000.00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10.12%</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深圳市虚拟现实科技有 </w:t>
            </w:r>
            <w:r>
              <w:rPr>
                <w:rFonts w:ascii="宋体" w:hAnsi="宋体" w:cs="宋体" w:eastAsia="宋体" w:hint="default"/>
                <w:sz w:val="18"/>
                <w:szCs w:val="18"/>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3,750,000.00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3,750,000.00</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江苏锐天信息科技有限 </w:t>
            </w:r>
            <w:r>
              <w:rPr>
                <w:rFonts w:ascii="宋体" w:hAnsi="宋体" w:cs="宋体" w:eastAsia="宋体" w:hint="default"/>
                <w:sz w:val="18"/>
                <w:szCs w:val="18"/>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17,550,000.00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17,550,000.00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15.90%</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6"/>
              <w:jc w:val="left"/>
              <w:rPr>
                <w:rFonts w:ascii="宋体" w:hAnsi="宋体" w:cs="宋体" w:eastAsia="宋体" w:hint="default"/>
                <w:sz w:val="18"/>
                <w:szCs w:val="18"/>
              </w:rPr>
            </w:pPr>
            <w:r>
              <w:rPr>
                <w:rFonts w:ascii="宋体" w:hAnsi="宋体" w:cs="宋体" w:eastAsia="宋体" w:hint="default"/>
                <w:spacing w:val="14"/>
                <w:sz w:val="18"/>
                <w:szCs w:val="18"/>
              </w:rPr>
              <w:t>上海英翼文化传播有限 </w:t>
            </w:r>
            <w:r>
              <w:rPr>
                <w:rFonts w:ascii="宋体" w:hAnsi="宋体" w:cs="宋体" w:eastAsia="宋体" w:hint="default"/>
                <w:sz w:val="18"/>
                <w:szCs w:val="18"/>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10,000,000.00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10,000,000.00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1.24%</w:t>
            </w:r>
          </w:p>
        </w:tc>
        <w:tc>
          <w:tcPr>
            <w:tcW w:w="12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220" w:left="620" w:right="24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985"/>
        <w:gridCol w:w="1560"/>
        <w:gridCol w:w="1428"/>
        <w:gridCol w:w="1398"/>
        <w:gridCol w:w="1578"/>
        <w:gridCol w:w="1590"/>
        <w:gridCol w:w="1700"/>
        <w:gridCol w:w="870"/>
        <w:gridCol w:w="1540"/>
        <w:gridCol w:w="821"/>
        <w:gridCol w:w="1286"/>
      </w:tblGrid>
      <w:tr>
        <w:trPr>
          <w:trHeight w:val="648" w:hRule="exact"/>
        </w:trPr>
        <w:tc>
          <w:tcPr>
            <w:tcW w:w="1985"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苏州瑞步康医疗科技有 </w:t>
            </w:r>
            <w:r>
              <w:rPr>
                <w:rFonts w:ascii="宋体" w:hAnsi="宋体" w:cs="宋体" w:eastAsia="宋体" w:hint="default"/>
                <w:sz w:val="18"/>
                <w:szCs w:val="18"/>
              </w:rPr>
              <w:t>限公司</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5,000,000.00</w:t>
            </w:r>
          </w:p>
        </w:tc>
        <w:tc>
          <w:tcPr>
            <w:tcW w:w="1428" w:type="dxa"/>
            <w:tcBorders>
              <w:top w:val="single" w:sz="15" w:space="0" w:color="000000"/>
              <w:left w:val="single" w:sz="4" w:space="0" w:color="000000"/>
              <w:bottom w:val="single" w:sz="4" w:space="0" w:color="000000"/>
              <w:right w:val="single" w:sz="4" w:space="0" w:color="000000"/>
            </w:tcBorders>
          </w:tcPr>
          <w:p>
            <w:pPr/>
          </w:p>
        </w:tc>
        <w:tc>
          <w:tcPr>
            <w:tcW w:w="1398" w:type="dxa"/>
            <w:tcBorders>
              <w:top w:val="single" w:sz="15" w:space="0" w:color="000000"/>
              <w:left w:val="single" w:sz="4" w:space="0" w:color="000000"/>
              <w:bottom w:val="single" w:sz="4" w:space="0" w:color="000000"/>
              <w:right w:val="single" w:sz="4" w:space="0" w:color="000000"/>
            </w:tcBorders>
          </w:tcPr>
          <w:p>
            <w:pPr/>
          </w:p>
        </w:tc>
        <w:tc>
          <w:tcPr>
            <w:tcW w:w="15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5,000,000.00</w:t>
            </w:r>
          </w:p>
        </w:tc>
        <w:tc>
          <w:tcPr>
            <w:tcW w:w="1590" w:type="dxa"/>
            <w:tcBorders>
              <w:top w:val="single" w:sz="15" w:space="0" w:color="000000"/>
              <w:left w:val="single" w:sz="4" w:space="0" w:color="000000"/>
              <w:bottom w:val="single" w:sz="4" w:space="0" w:color="000000"/>
              <w:right w:val="single" w:sz="4" w:space="0" w:color="000000"/>
            </w:tcBorders>
          </w:tcPr>
          <w:p>
            <w:pPr/>
          </w:p>
        </w:tc>
        <w:tc>
          <w:tcPr>
            <w:tcW w:w="1700" w:type="dxa"/>
            <w:tcBorders>
              <w:top w:val="single" w:sz="15" w:space="0" w:color="000000"/>
              <w:left w:val="single" w:sz="4" w:space="0" w:color="000000"/>
              <w:bottom w:val="single" w:sz="4" w:space="0" w:color="000000"/>
              <w:right w:val="single" w:sz="4" w:space="0" w:color="000000"/>
            </w:tcBorders>
          </w:tcPr>
          <w:p>
            <w:pPr/>
          </w:p>
        </w:tc>
        <w:tc>
          <w:tcPr>
            <w:tcW w:w="870" w:type="dxa"/>
            <w:tcBorders>
              <w:top w:val="single" w:sz="15" w:space="0" w:color="000000"/>
              <w:left w:val="single" w:sz="4" w:space="0" w:color="000000"/>
              <w:bottom w:val="single" w:sz="4" w:space="0" w:color="000000"/>
              <w:right w:val="single" w:sz="4" w:space="0" w:color="000000"/>
            </w:tcBorders>
          </w:tcPr>
          <w:p>
            <w:pPr/>
          </w:p>
        </w:tc>
        <w:tc>
          <w:tcPr>
            <w:tcW w:w="1540"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7.69%</w:t>
            </w:r>
          </w:p>
        </w:tc>
        <w:tc>
          <w:tcPr>
            <w:tcW w:w="1286" w:type="dxa"/>
            <w:tcBorders>
              <w:top w:val="single" w:sz="6" w:space="0" w:color="000000"/>
              <w:left w:val="single" w:sz="4" w:space="0" w:color="000000"/>
              <w:bottom w:val="single" w:sz="4" w:space="0" w:color="000000"/>
              <w:right w:val="single" w:sz="4" w:space="0" w:color="000000"/>
            </w:tcBorders>
          </w:tcPr>
          <w:p>
            <w:pPr/>
          </w:p>
        </w:tc>
      </w:tr>
      <w:tr>
        <w:trPr>
          <w:trHeight w:val="63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6"/>
              <w:jc w:val="left"/>
              <w:rPr>
                <w:rFonts w:ascii="宋体" w:hAnsi="宋体" w:cs="宋体" w:eastAsia="宋体" w:hint="default"/>
                <w:sz w:val="18"/>
                <w:szCs w:val="18"/>
              </w:rPr>
            </w:pPr>
            <w:r>
              <w:rPr>
                <w:rFonts w:ascii="宋体" w:hAnsi="宋体" w:cs="宋体" w:eastAsia="宋体" w:hint="default"/>
                <w:spacing w:val="14"/>
                <w:sz w:val="18"/>
                <w:szCs w:val="18"/>
              </w:rPr>
              <w:t>上海雪宝信息科技有限 </w:t>
            </w:r>
            <w:r>
              <w:rPr>
                <w:rFonts w:ascii="宋体" w:hAnsi="宋体" w:cs="宋体" w:eastAsia="宋体" w:hint="default"/>
                <w:sz w:val="18"/>
                <w:szCs w:val="18"/>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10,001,428.60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952,387.94</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9,049,040.66</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587" w:right="0"/>
              <w:jc w:val="left"/>
              <w:rPr>
                <w:rFonts w:ascii="宋体" w:hAnsi="宋体" w:cs="宋体" w:eastAsia="宋体" w:hint="default"/>
                <w:sz w:val="18"/>
                <w:szCs w:val="18"/>
              </w:rPr>
            </w:pPr>
            <w:r>
              <w:rPr>
                <w:rFonts w:ascii="宋体"/>
                <w:sz w:val="18"/>
              </w:rPr>
              <w:t>9,049,040.66</w:t>
            </w: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426" w:right="0"/>
              <w:jc w:val="left"/>
              <w:rPr>
                <w:rFonts w:ascii="宋体" w:hAnsi="宋体" w:cs="宋体" w:eastAsia="宋体" w:hint="default"/>
                <w:sz w:val="18"/>
                <w:szCs w:val="18"/>
              </w:rPr>
            </w:pPr>
            <w:r>
              <w:rPr>
                <w:rFonts w:ascii="宋体"/>
                <w:sz w:val="18"/>
              </w:rPr>
              <w:t>9,049,040.66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18.15%</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5"/>
                <w:sz w:val="18"/>
                <w:szCs w:val="18"/>
              </w:rPr>
              <w:t>方一信息科技（上海）有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10,000,000.00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10,000,000.00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11.50%</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浙江永裕竹业股份有限 </w:t>
            </w:r>
            <w:r>
              <w:rPr>
                <w:rFonts w:ascii="宋体" w:hAnsi="宋体" w:cs="宋体" w:eastAsia="宋体" w:hint="default"/>
                <w:sz w:val="18"/>
                <w:szCs w:val="18"/>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15,180,000.00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15,180,000.00</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6"/>
              <w:jc w:val="both"/>
              <w:rPr>
                <w:rFonts w:ascii="宋体" w:hAnsi="宋体" w:cs="宋体" w:eastAsia="宋体" w:hint="default"/>
                <w:sz w:val="18"/>
                <w:szCs w:val="18"/>
              </w:rPr>
            </w:pPr>
            <w:r>
              <w:rPr>
                <w:rFonts w:ascii="宋体" w:hAnsi="宋体" w:cs="宋体" w:eastAsia="宋体" w:hint="default"/>
                <w:spacing w:val="14"/>
                <w:sz w:val="18"/>
                <w:szCs w:val="18"/>
              </w:rPr>
              <w:t>当涂鸿新智能制造产业 </w:t>
            </w:r>
            <w:r>
              <w:rPr>
                <w:rFonts w:ascii="宋体" w:hAnsi="宋体" w:cs="宋体" w:eastAsia="宋体" w:hint="default"/>
                <w:spacing w:val="3"/>
                <w:sz w:val="18"/>
                <w:szCs w:val="18"/>
              </w:rPr>
              <w:t>基金（有限合伙）</w:t>
            </w:r>
            <w:r>
              <w:rPr>
                <w:rFonts w:ascii="宋体" w:hAnsi="宋体" w:cs="宋体" w:eastAsia="宋体" w:hint="default"/>
                <w:spacing w:val="3"/>
                <w:sz w:val="18"/>
                <w:szCs w:val="18"/>
              </w:rPr>
              <w:t>(</w:t>
            </w:r>
            <w:r>
              <w:rPr>
                <w:rFonts w:ascii="宋体" w:hAnsi="宋体" w:cs="宋体" w:eastAsia="宋体" w:hint="default"/>
                <w:spacing w:val="3"/>
                <w:sz w:val="18"/>
                <w:szCs w:val="18"/>
              </w:rPr>
              <w:t>以下 </w:t>
            </w:r>
            <w:r>
              <w:rPr>
                <w:rFonts w:ascii="宋体" w:hAnsi="宋体" w:cs="宋体" w:eastAsia="宋体" w:hint="default"/>
                <w:sz w:val="18"/>
                <w:szCs w:val="18"/>
              </w:rPr>
              <w:t>简称为</w:t>
            </w:r>
            <w:r>
              <w:rPr>
                <w:rFonts w:ascii="宋体" w:hAnsi="宋体" w:cs="宋体" w:eastAsia="宋体" w:hint="default"/>
                <w:sz w:val="18"/>
                <w:szCs w:val="18"/>
              </w:rPr>
              <w:t>"</w:t>
            </w:r>
            <w:r>
              <w:rPr>
                <w:rFonts w:ascii="宋体" w:hAnsi="宋体" w:cs="宋体" w:eastAsia="宋体" w:hint="default"/>
                <w:sz w:val="18"/>
                <w:szCs w:val="18"/>
              </w:rPr>
              <w:t>当涂鸿新</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3"/>
              <w:jc w:val="right"/>
              <w:rPr>
                <w:rFonts w:ascii="宋体" w:hAnsi="宋体" w:cs="宋体" w:eastAsia="宋体" w:hint="default"/>
                <w:sz w:val="18"/>
                <w:szCs w:val="18"/>
              </w:rPr>
            </w:pPr>
            <w:r>
              <w:rPr>
                <w:rFonts w:ascii="宋体"/>
                <w:sz w:val="18"/>
              </w:rPr>
              <w:t>60,000,000.00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1"/>
              <w:jc w:val="right"/>
              <w:rPr>
                <w:rFonts w:ascii="宋体" w:hAnsi="宋体" w:cs="宋体" w:eastAsia="宋体" w:hint="default"/>
                <w:sz w:val="18"/>
                <w:szCs w:val="18"/>
              </w:rPr>
            </w:pPr>
            <w:r>
              <w:rPr>
                <w:rFonts w:ascii="宋体"/>
                <w:sz w:val="18"/>
              </w:rPr>
              <w:t>60,000,000.00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0"/>
              <w:jc w:val="right"/>
              <w:rPr>
                <w:rFonts w:ascii="宋体" w:hAnsi="宋体" w:cs="宋体" w:eastAsia="宋体" w:hint="default"/>
                <w:sz w:val="18"/>
                <w:szCs w:val="18"/>
              </w:rPr>
            </w:pPr>
            <w:r>
              <w:rPr>
                <w:rFonts w:ascii="宋体"/>
                <w:sz w:val="18"/>
              </w:rPr>
              <w:t>41.67%</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宁波可可磁业股份有限 </w:t>
            </w:r>
            <w:r>
              <w:rPr>
                <w:rFonts w:ascii="宋体" w:hAnsi="宋体" w:cs="宋体" w:eastAsia="宋体" w:hint="default"/>
                <w:sz w:val="18"/>
                <w:szCs w:val="18"/>
              </w:rPr>
              <w:t>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15,002,700.00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15,002,700.00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7.73%</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北京兰亭数字科技有限 </w:t>
            </w:r>
            <w:r>
              <w:rPr>
                <w:rFonts w:ascii="宋体" w:hAnsi="宋体" w:cs="宋体" w:eastAsia="宋体" w:hint="default"/>
                <w:sz w:val="18"/>
                <w:szCs w:val="18"/>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3,088,000.00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3,088,000.00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12.00%</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上海青研科技有限公司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4,950,000.00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4,950,000.00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11.88%</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上海乐相科技有限公司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9,531,547.28</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9,531,547.28</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7.62%</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上海漫铠动漫科技发展 </w:t>
            </w:r>
            <w:r>
              <w:rPr>
                <w:rFonts w:ascii="宋体" w:hAnsi="宋体" w:cs="宋体" w:eastAsia="宋体" w:hint="default"/>
                <w:sz w:val="18"/>
                <w:szCs w:val="18"/>
              </w:rPr>
              <w:t>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3,860,000.00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3,860,000.00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13.58%</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14"/>
                <w:sz w:val="18"/>
                <w:szCs w:val="18"/>
              </w:rPr>
              <w:t>广州超级暴龙投资企业</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7,911,111.10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7,911,111.10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8.89%</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苏州舞之动画股份有限 </w:t>
            </w:r>
            <w:r>
              <w:rPr>
                <w:rFonts w:ascii="宋体" w:hAnsi="宋体" w:cs="宋体" w:eastAsia="宋体" w:hint="default"/>
                <w:sz w:val="18"/>
                <w:szCs w:val="18"/>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23,160,000.00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23,160,000.00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14.18%</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5"/>
                <w:sz w:val="18"/>
                <w:szCs w:val="18"/>
              </w:rPr>
              <w:t>昀光微电子（上海）有限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3,390,000.00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113,000.00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546,416.19</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2,956,583.81</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11.30%</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6"/>
              <w:jc w:val="left"/>
              <w:rPr>
                <w:rFonts w:ascii="宋体" w:hAnsi="宋体" w:cs="宋体" w:eastAsia="宋体" w:hint="default"/>
                <w:sz w:val="18"/>
                <w:szCs w:val="18"/>
              </w:rPr>
            </w:pPr>
            <w:r>
              <w:rPr>
                <w:rFonts w:ascii="宋体" w:hAnsi="宋体" w:cs="宋体" w:eastAsia="宋体" w:hint="default"/>
                <w:spacing w:val="14"/>
                <w:sz w:val="18"/>
                <w:szCs w:val="18"/>
              </w:rPr>
              <w:t>浙江博弈科技股份有限 </w:t>
            </w:r>
            <w:r>
              <w:rPr>
                <w:rFonts w:ascii="宋体" w:hAnsi="宋体" w:cs="宋体" w:eastAsia="宋体" w:hint="default"/>
                <w:sz w:val="18"/>
                <w:szCs w:val="18"/>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29,955,000.00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29,955,000.00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5.05%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53" w:right="0"/>
              <w:jc w:val="left"/>
              <w:rPr>
                <w:rFonts w:ascii="宋体" w:hAnsi="宋体" w:cs="宋体" w:eastAsia="宋体" w:hint="default"/>
                <w:sz w:val="18"/>
                <w:szCs w:val="18"/>
              </w:rPr>
            </w:pPr>
            <w:r>
              <w:rPr>
                <w:rFonts w:ascii="宋体"/>
                <w:sz w:val="18"/>
              </w:rPr>
              <w:t>607,362.02</w:t>
            </w: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福建夜光达科技股份有 </w:t>
            </w:r>
            <w:r>
              <w:rPr>
                <w:rFonts w:ascii="宋体" w:hAnsi="宋体" w:cs="宋体" w:eastAsia="宋体" w:hint="default"/>
                <w:sz w:val="18"/>
                <w:szCs w:val="18"/>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17,943,321.90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17,943,321.90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0.81%</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4"/>
                <w:sz w:val="18"/>
                <w:szCs w:val="18"/>
              </w:rPr>
              <w:t>广德天运新技术股份有</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12,087,680.00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12,087,680.00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1.46%</w:t>
            </w:r>
          </w:p>
        </w:tc>
        <w:tc>
          <w:tcPr>
            <w:tcW w:w="12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240" w:left="620" w:right="24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985"/>
        <w:gridCol w:w="1560"/>
        <w:gridCol w:w="1428"/>
        <w:gridCol w:w="1398"/>
        <w:gridCol w:w="1578"/>
        <w:gridCol w:w="1590"/>
        <w:gridCol w:w="1700"/>
        <w:gridCol w:w="870"/>
        <w:gridCol w:w="1540"/>
        <w:gridCol w:w="821"/>
        <w:gridCol w:w="1286"/>
      </w:tblGrid>
      <w:tr>
        <w:trPr>
          <w:trHeight w:val="336" w:hRule="exact"/>
        </w:trPr>
        <w:tc>
          <w:tcPr>
            <w:tcW w:w="198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60" w:type="dxa"/>
            <w:tcBorders>
              <w:top w:val="single" w:sz="15" w:space="0" w:color="000000"/>
              <w:left w:val="single" w:sz="4" w:space="0" w:color="000000"/>
              <w:bottom w:val="single" w:sz="4" w:space="0" w:color="000000"/>
              <w:right w:val="single" w:sz="4" w:space="0" w:color="000000"/>
            </w:tcBorders>
          </w:tcPr>
          <w:p>
            <w:pPr/>
          </w:p>
        </w:tc>
        <w:tc>
          <w:tcPr>
            <w:tcW w:w="1428" w:type="dxa"/>
            <w:tcBorders>
              <w:top w:val="single" w:sz="15" w:space="0" w:color="000000"/>
              <w:left w:val="single" w:sz="4" w:space="0" w:color="000000"/>
              <w:bottom w:val="single" w:sz="4" w:space="0" w:color="000000"/>
              <w:right w:val="single" w:sz="4" w:space="0" w:color="000000"/>
            </w:tcBorders>
          </w:tcPr>
          <w:p>
            <w:pPr/>
          </w:p>
        </w:tc>
        <w:tc>
          <w:tcPr>
            <w:tcW w:w="1398" w:type="dxa"/>
            <w:tcBorders>
              <w:top w:val="single" w:sz="15" w:space="0" w:color="000000"/>
              <w:left w:val="single" w:sz="4" w:space="0" w:color="000000"/>
              <w:bottom w:val="single" w:sz="4" w:space="0" w:color="000000"/>
              <w:right w:val="single" w:sz="4" w:space="0" w:color="000000"/>
            </w:tcBorders>
          </w:tcPr>
          <w:p>
            <w:pPr/>
          </w:p>
        </w:tc>
        <w:tc>
          <w:tcPr>
            <w:tcW w:w="1578" w:type="dxa"/>
            <w:tcBorders>
              <w:top w:val="single" w:sz="15" w:space="0" w:color="000000"/>
              <w:left w:val="single" w:sz="4" w:space="0" w:color="000000"/>
              <w:bottom w:val="single" w:sz="4" w:space="0" w:color="000000"/>
              <w:right w:val="single" w:sz="4" w:space="0" w:color="000000"/>
            </w:tcBorders>
          </w:tcPr>
          <w:p>
            <w:pPr/>
          </w:p>
        </w:tc>
        <w:tc>
          <w:tcPr>
            <w:tcW w:w="1590" w:type="dxa"/>
            <w:tcBorders>
              <w:top w:val="single" w:sz="15" w:space="0" w:color="000000"/>
              <w:left w:val="single" w:sz="4" w:space="0" w:color="000000"/>
              <w:bottom w:val="single" w:sz="4" w:space="0" w:color="000000"/>
              <w:right w:val="single" w:sz="4" w:space="0" w:color="000000"/>
            </w:tcBorders>
          </w:tcPr>
          <w:p>
            <w:pPr/>
          </w:p>
        </w:tc>
        <w:tc>
          <w:tcPr>
            <w:tcW w:w="1700" w:type="dxa"/>
            <w:tcBorders>
              <w:top w:val="single" w:sz="15" w:space="0" w:color="000000"/>
              <w:left w:val="single" w:sz="4" w:space="0" w:color="000000"/>
              <w:bottom w:val="single" w:sz="4" w:space="0" w:color="000000"/>
              <w:right w:val="single" w:sz="4" w:space="0" w:color="000000"/>
            </w:tcBorders>
          </w:tcPr>
          <w:p>
            <w:pPr/>
          </w:p>
        </w:tc>
        <w:tc>
          <w:tcPr>
            <w:tcW w:w="870" w:type="dxa"/>
            <w:tcBorders>
              <w:top w:val="single" w:sz="15" w:space="0" w:color="000000"/>
              <w:left w:val="single" w:sz="4" w:space="0" w:color="000000"/>
              <w:bottom w:val="single" w:sz="4" w:space="0" w:color="000000"/>
              <w:right w:val="single" w:sz="4" w:space="0" w:color="000000"/>
            </w:tcBorders>
          </w:tcPr>
          <w:p>
            <w:pPr/>
          </w:p>
        </w:tc>
        <w:tc>
          <w:tcPr>
            <w:tcW w:w="1540"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
        </w:tc>
        <w:tc>
          <w:tcPr>
            <w:tcW w:w="1286" w:type="dxa"/>
            <w:tcBorders>
              <w:top w:val="single" w:sz="6" w:space="0" w:color="000000"/>
              <w:left w:val="single" w:sz="4" w:space="0" w:color="000000"/>
              <w:bottom w:val="single" w:sz="4" w:space="0" w:color="000000"/>
              <w:right w:val="single" w:sz="4" w:space="0" w:color="000000"/>
            </w:tcBorders>
          </w:tcPr>
          <w:p>
            <w:pPr/>
          </w:p>
        </w:tc>
      </w:tr>
      <w:tr>
        <w:trPr>
          <w:trHeight w:val="63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pacing w:val="14"/>
                <w:sz w:val="18"/>
                <w:szCs w:val="18"/>
              </w:rPr>
              <w:t>上海鲸彦企业发展中心</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20,000,000.00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20,000,000.00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left"/>
              <w:rPr>
                <w:rFonts w:ascii="宋体" w:hAnsi="宋体" w:cs="宋体" w:eastAsia="宋体" w:hint="default"/>
                <w:sz w:val="18"/>
                <w:szCs w:val="18"/>
              </w:rPr>
            </w:pPr>
            <w:r>
              <w:rPr>
                <w:rFonts w:ascii="宋体" w:hAnsi="宋体" w:cs="宋体" w:eastAsia="宋体" w:hint="default"/>
                <w:spacing w:val="14"/>
                <w:sz w:val="18"/>
                <w:szCs w:val="18"/>
              </w:rPr>
              <w:t>南京天桐新奇创业投资 </w:t>
            </w:r>
            <w:r>
              <w:rPr>
                <w:rFonts w:ascii="宋体" w:hAnsi="宋体" w:cs="宋体" w:eastAsia="宋体" w:hint="default"/>
                <w:sz w:val="18"/>
                <w:szCs w:val="18"/>
              </w:rPr>
              <w:t>基金（有限合伙）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2,000,000.00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2,000,000.00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3.39%</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
              <w:jc w:val="both"/>
              <w:rPr>
                <w:rFonts w:ascii="宋体" w:hAnsi="宋体" w:cs="宋体" w:eastAsia="宋体" w:hint="default"/>
                <w:sz w:val="18"/>
                <w:szCs w:val="18"/>
              </w:rPr>
            </w:pPr>
            <w:r>
              <w:rPr>
                <w:rFonts w:ascii="宋体" w:hAnsi="宋体" w:cs="宋体" w:eastAsia="宋体" w:hint="default"/>
                <w:spacing w:val="14"/>
                <w:sz w:val="18"/>
                <w:szCs w:val="18"/>
              </w:rPr>
              <w:t>浙江草根网络科技有限 </w:t>
            </w:r>
            <w:r>
              <w:rPr>
                <w:rFonts w:ascii="宋体" w:hAnsi="宋体" w:cs="宋体" w:eastAsia="宋体" w:hint="default"/>
                <w:spacing w:val="3"/>
                <w:sz w:val="18"/>
                <w:szCs w:val="18"/>
              </w:rPr>
              <w:t>公司（以下简称</w:t>
            </w:r>
            <w:r>
              <w:rPr>
                <w:rFonts w:ascii="宋体" w:hAnsi="宋体" w:cs="宋体" w:eastAsia="宋体" w:hint="default"/>
                <w:spacing w:val="3"/>
                <w:sz w:val="18"/>
                <w:szCs w:val="18"/>
              </w:rPr>
              <w:t>"</w:t>
            </w:r>
            <w:r>
              <w:rPr>
                <w:rFonts w:ascii="宋体" w:hAnsi="宋体" w:cs="宋体" w:eastAsia="宋体" w:hint="default"/>
                <w:spacing w:val="3"/>
                <w:sz w:val="18"/>
                <w:szCs w:val="18"/>
              </w:rPr>
              <w:t>草根网 </w:t>
            </w:r>
            <w:r>
              <w:rPr>
                <w:rFonts w:ascii="宋体" w:hAnsi="宋体" w:cs="宋体" w:eastAsia="宋体" w:hint="default"/>
                <w:sz w:val="18"/>
                <w:szCs w:val="18"/>
              </w:rPr>
              <w:t>络</w:t>
            </w:r>
            <w:r>
              <w:rPr>
                <w:rFonts w:ascii="宋体" w:hAnsi="宋体" w:cs="宋体" w:eastAsia="宋体" w:hint="default"/>
                <w:sz w:val="18"/>
                <w:szCs w:val="18"/>
              </w:rPr>
              <w:t>"</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100,000,000.00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1"/>
              <w:jc w:val="right"/>
              <w:rPr>
                <w:rFonts w:ascii="宋体" w:hAnsi="宋体" w:cs="宋体" w:eastAsia="宋体" w:hint="default"/>
                <w:sz w:val="18"/>
                <w:szCs w:val="18"/>
              </w:rPr>
            </w:pPr>
            <w:r>
              <w:rPr>
                <w:rFonts w:ascii="宋体"/>
                <w:sz w:val="18"/>
              </w:rPr>
              <w:t>100,000,000.00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宋体"/>
                <w:sz w:val="18"/>
              </w:rPr>
              <w:t>100,000,000.00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
              <w:jc w:val="right"/>
              <w:rPr>
                <w:rFonts w:ascii="宋体" w:hAnsi="宋体" w:cs="宋体" w:eastAsia="宋体" w:hint="default"/>
                <w:sz w:val="18"/>
                <w:szCs w:val="18"/>
              </w:rPr>
            </w:pPr>
            <w:r>
              <w:rPr>
                <w:rFonts w:ascii="宋体"/>
                <w:sz w:val="18"/>
              </w:rPr>
              <w:t>100,000,000.00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宋体"/>
                <w:sz w:val="18"/>
              </w:rPr>
              <w:t>1.03%</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6"/>
              <w:jc w:val="left"/>
              <w:rPr>
                <w:rFonts w:ascii="宋体" w:hAnsi="宋体" w:cs="宋体" w:eastAsia="宋体" w:hint="default"/>
                <w:sz w:val="18"/>
                <w:szCs w:val="18"/>
              </w:rPr>
            </w:pPr>
            <w:r>
              <w:rPr>
                <w:rFonts w:ascii="宋体" w:hAnsi="宋体" w:cs="宋体" w:eastAsia="宋体" w:hint="default"/>
                <w:spacing w:val="14"/>
                <w:sz w:val="18"/>
                <w:szCs w:val="18"/>
              </w:rPr>
              <w:t>成都数联铭品科技有限 </w:t>
            </w:r>
            <w:r>
              <w:rPr>
                <w:rFonts w:ascii="宋体" w:hAnsi="宋体" w:cs="宋体" w:eastAsia="宋体" w:hint="default"/>
                <w:sz w:val="18"/>
                <w:szCs w:val="18"/>
              </w:rPr>
              <w:t>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95,170,000.00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95,170,000.00</w:t>
            </w:r>
          </w:p>
        </w:tc>
        <w:tc>
          <w:tcPr>
            <w:tcW w:w="159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3.12%</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2,252,085,467.45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645,596,869.04</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sz w:val="18"/>
              </w:rPr>
              <w:t>310,454,088.70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2,587,228,247.79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6" w:right="0"/>
              <w:jc w:val="left"/>
              <w:rPr>
                <w:rFonts w:ascii="宋体" w:hAnsi="宋体" w:cs="宋体" w:eastAsia="宋体" w:hint="default"/>
                <w:sz w:val="18"/>
                <w:szCs w:val="18"/>
              </w:rPr>
            </w:pPr>
            <w:r>
              <w:rPr>
                <w:rFonts w:ascii="宋体"/>
                <w:sz w:val="18"/>
              </w:rPr>
              <w:t>50,098,593.77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552,440,141.74</w:t>
            </w:r>
          </w:p>
        </w:tc>
        <w:tc>
          <w:tcPr>
            <w:tcW w:w="87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602,538,735.51</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0"/>
              <w:jc w:val="right"/>
              <w:rPr>
                <w:rFonts w:ascii="宋体" w:hAnsi="宋体" w:cs="宋体" w:eastAsia="宋体" w:hint="default"/>
                <w:sz w:val="18"/>
                <w:szCs w:val="18"/>
              </w:rPr>
            </w:pPr>
            <w:r>
              <w:rPr>
                <w:rFonts w:ascii="宋体"/>
                <w:sz w:val="18"/>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3" w:right="0"/>
              <w:jc w:val="left"/>
              <w:rPr>
                <w:rFonts w:ascii="宋体" w:hAnsi="宋体" w:cs="宋体" w:eastAsia="宋体" w:hint="default"/>
                <w:sz w:val="18"/>
                <w:szCs w:val="18"/>
              </w:rPr>
            </w:pPr>
            <w:r>
              <w:rPr>
                <w:rFonts w:ascii="宋体"/>
                <w:sz w:val="18"/>
              </w:rPr>
              <w:t>14,039,148.88</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620" w:right="240"/>
        </w:sectPr>
      </w:pPr>
    </w:p>
    <w:p>
      <w:pPr>
        <w:pStyle w:val="Heading4"/>
        <w:spacing w:line="240" w:lineRule="auto" w:before="52"/>
        <w:ind w:left="1400" w:right="0"/>
        <w:jc w:val="left"/>
        <w:rPr>
          <w:b w:val="0"/>
          <w:bCs w:val="0"/>
        </w:rPr>
      </w:pPr>
      <w:r>
        <w:rPr/>
        <w:pict>
          <v:group style="position:absolute;margin-left:70.5pt;margin-top:2.263648pt;width:701pt;height:.1pt;mso-position-horizontal-relative:page;mso-position-vertical-relative:paragraph;z-index:2896"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3）报告期内可供出售金融资产减值的变动情况" w:id="247"/>
      <w:bookmarkEnd w:id="247"/>
      <w:r>
        <w:rPr>
          <w:b w:val="0"/>
          <w:bCs w:val="0"/>
        </w:rPr>
      </w:r>
      <w:r>
        <w:rPr>
          <w:w w:val="95"/>
        </w:rPr>
        <w:t>（</w:t>
      </w:r>
      <w:r>
        <w:rPr>
          <w:rFonts w:ascii="宋体" w:hAnsi="宋体" w:cs="宋体" w:eastAsia="宋体" w:hint="default"/>
          <w:w w:val="95"/>
        </w:rPr>
        <w:t>3</w:t>
      </w:r>
      <w:r>
        <w:rPr>
          <w:w w:val="95"/>
        </w:rPr>
        <w:t>）报告期内可供出售金融资产减值的变动情况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54"/>
        <w:ind w:left="1379" w:right="1318"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pgSz w:w="16840" w:h="11910" w:orient="landscape"/>
          <w:pgMar w:header="867" w:footer="979" w:top="1060" w:bottom="1160" w:left="40" w:right="100"/>
          <w:cols w:num="2" w:equalWidth="0">
            <w:col w:w="5930" w:space="7220"/>
            <w:col w:w="3550"/>
          </w:cols>
        </w:sectPr>
      </w:pPr>
    </w:p>
    <w:p>
      <w:pPr>
        <w:spacing w:line="240" w:lineRule="auto" w:before="0"/>
        <w:rPr>
          <w:rFonts w:ascii="宋体" w:hAnsi="宋体" w:cs="宋体" w:eastAsia="宋体" w:hint="default"/>
          <w:sz w:val="5"/>
          <w:szCs w:val="5"/>
        </w:rPr>
      </w:pPr>
    </w:p>
    <w:tbl>
      <w:tblPr>
        <w:tblW w:w="0" w:type="auto"/>
        <w:jc w:val="left"/>
        <w:tblInd w:w="1395" w:type="dxa"/>
        <w:tblLayout w:type="fixed"/>
        <w:tblCellMar>
          <w:top w:w="0" w:type="dxa"/>
          <w:left w:w="0" w:type="dxa"/>
          <w:bottom w:w="0" w:type="dxa"/>
          <w:right w:w="0" w:type="dxa"/>
        </w:tblCellMar>
        <w:tblLook w:val="01E0"/>
      </w:tblPr>
      <w:tblGrid>
        <w:gridCol w:w="1903"/>
        <w:gridCol w:w="1925"/>
        <w:gridCol w:w="1914"/>
        <w:gridCol w:w="1914"/>
        <w:gridCol w:w="1914"/>
      </w:tblGrid>
      <w:tr>
        <w:trPr>
          <w:trHeight w:val="322" w:hRule="exact"/>
        </w:trPr>
        <w:tc>
          <w:tcPr>
            <w:tcW w:w="19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4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3"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50,098,593.77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50,098,593.77</w:t>
            </w:r>
          </w:p>
        </w:tc>
      </w:tr>
      <w:tr>
        <w:trPr>
          <w:trHeight w:val="322"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552,440,141.74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552,440,141.74</w:t>
            </w:r>
          </w:p>
        </w:tc>
      </w:tr>
      <w:tr>
        <w:trPr>
          <w:trHeight w:val="323"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602,538,735.51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602,538,735.51</w:t>
            </w:r>
          </w:p>
        </w:tc>
      </w:tr>
    </w:tbl>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6840" w:h="11910" w:orient="landscape"/>
          <w:pgMar w:top="1060" w:bottom="1160" w:left="40" w:right="100"/>
        </w:sectPr>
      </w:pPr>
    </w:p>
    <w:p>
      <w:pPr>
        <w:pStyle w:val="Heading4"/>
        <w:spacing w:line="240" w:lineRule="auto" w:before="35"/>
        <w:ind w:left="1400" w:right="0"/>
        <w:jc w:val="left"/>
        <w:rPr>
          <w:b w:val="0"/>
          <w:bCs w:val="0"/>
        </w:rPr>
      </w:pPr>
      <w:bookmarkStart w:name="11、长期股权投资" w:id="248"/>
      <w:bookmarkEnd w:id="248"/>
      <w:r>
        <w:rPr>
          <w:b w:val="0"/>
          <w:bCs w:val="0"/>
        </w:rPr>
      </w:r>
      <w:r>
        <w:rPr>
          <w:rFonts w:ascii="宋体" w:hAnsi="宋体" w:cs="宋体" w:eastAsia="宋体" w:hint="default"/>
          <w:w w:val="95"/>
        </w:rPr>
        <w:t>11</w:t>
      </w:r>
      <w:r>
        <w:rPr>
          <w:w w:val="95"/>
        </w:rPr>
        <w:t>、长期股权投资</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37"/>
        <w:ind w:left="1379" w:right="1318"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6840" w:h="11910" w:orient="landscape"/>
          <w:pgMar w:top="1060" w:bottom="1160" w:left="40" w:right="100"/>
          <w:cols w:num="2" w:equalWidth="0">
            <w:col w:w="3087" w:space="10062"/>
            <w:col w:w="3551"/>
          </w:cols>
        </w:sectPr>
      </w:pPr>
    </w:p>
    <w:p>
      <w:pPr>
        <w:spacing w:line="240" w:lineRule="auto" w:before="0"/>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708"/>
        <w:gridCol w:w="1560"/>
        <w:gridCol w:w="1504"/>
        <w:gridCol w:w="1330"/>
        <w:gridCol w:w="1703"/>
        <w:gridCol w:w="1417"/>
        <w:gridCol w:w="1276"/>
        <w:gridCol w:w="1276"/>
        <w:gridCol w:w="1385"/>
        <w:gridCol w:w="1308"/>
        <w:gridCol w:w="1560"/>
        <w:gridCol w:w="1418"/>
      </w:tblGrid>
      <w:tr>
        <w:trPr>
          <w:trHeight w:val="322" w:hRule="exact"/>
        </w:trPr>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69" w:right="77"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19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614" w:right="72"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634" w:hRule="exact"/>
        </w:trPr>
        <w:tc>
          <w:tcPr>
            <w:tcW w:w="708"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665" w:right="35" w:hanging="630"/>
              <w:jc w:val="left"/>
              <w:rPr>
                <w:rFonts w:ascii="宋体" w:hAnsi="宋体" w:cs="宋体" w:eastAsia="宋体" w:hint="default"/>
                <w:sz w:val="18"/>
                <w:szCs w:val="18"/>
              </w:rPr>
            </w:pPr>
            <w:r>
              <w:rPr>
                <w:rFonts w:ascii="宋体" w:hAnsi="宋体" w:cs="宋体" w:eastAsia="宋体" w:hint="default"/>
                <w:sz w:val="18"/>
                <w:szCs w:val="18"/>
              </w:rPr>
              <w:t>权益法下确认的投资 损益</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613" w:right="72" w:hanging="540"/>
              <w:jc w:val="left"/>
              <w:rPr>
                <w:rFonts w:ascii="宋体" w:hAnsi="宋体" w:cs="宋体" w:eastAsia="宋体" w:hint="default"/>
                <w:sz w:val="18"/>
                <w:szCs w:val="18"/>
              </w:rPr>
            </w:pPr>
            <w:r>
              <w:rPr>
                <w:rFonts w:ascii="宋体" w:hAnsi="宋体" w:cs="宋体" w:eastAsia="宋体" w:hint="default"/>
                <w:sz w:val="18"/>
                <w:szCs w:val="18"/>
              </w:rPr>
              <w:t>其他综合收益调 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0"/>
              <w:jc w:val="right"/>
              <w:rPr>
                <w:rFonts w:ascii="宋体" w:hAnsi="宋体" w:cs="宋体" w:eastAsia="宋体" w:hint="default"/>
                <w:sz w:val="18"/>
                <w:szCs w:val="18"/>
              </w:rPr>
            </w:pPr>
            <w:r>
              <w:rPr>
                <w:rFonts w:ascii="宋体" w:hAnsi="宋体" w:cs="宋体" w:eastAsia="宋体" w:hint="default"/>
                <w:sz w:val="18"/>
                <w:szCs w:val="18"/>
              </w:rPr>
              <w:t>其他权益变动</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82" w:right="91"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60"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644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22" w:hRule="exact"/>
        </w:trPr>
        <w:tc>
          <w:tcPr>
            <w:tcW w:w="1644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13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海南国 文产业 基金投 资管理 有限公 </w:t>
            </w:r>
            <w:r>
              <w:rPr>
                <w:rFonts w:ascii="宋体" w:hAnsi="宋体" w:cs="宋体" w:eastAsia="宋体" w:hint="default"/>
                <w:spacing w:val="-17"/>
                <w:sz w:val="18"/>
                <w:szCs w:val="18"/>
              </w:rPr>
              <w:t>司（以下</w:t>
            </w:r>
            <w:r>
              <w:rPr>
                <w:rFonts w:ascii="宋体" w:hAnsi="宋体" w:cs="宋体" w:eastAsia="宋体" w:hint="default"/>
                <w:sz w:val="18"/>
                <w:szCs w:val="18"/>
              </w:rPr>
              <w:t> 简称为</w:t>
            </w:r>
            <w:r>
              <w:rPr>
                <w:rFonts w:ascii="宋体" w:hAnsi="宋体" w:cs="宋体" w:eastAsia="宋体" w:hint="default"/>
                <w:sz w:val="18"/>
                <w:szCs w:val="18"/>
              </w:rPr>
              <w:t>" </w:t>
            </w:r>
            <w:r>
              <w:rPr>
                <w:rFonts w:ascii="宋体" w:hAnsi="宋体" w:cs="宋体" w:eastAsia="宋体" w:hint="default"/>
                <w:sz w:val="18"/>
                <w:szCs w:val="18"/>
              </w:rPr>
              <w:t>国文管 理公司 </w:t>
            </w:r>
            <w:r>
              <w:rPr>
                <w:rFonts w:ascii="宋体" w:hAnsi="宋体" w:cs="宋体" w:eastAsia="宋体" w:hint="default"/>
                <w:sz w:val="18"/>
                <w:szCs w:val="18"/>
              </w:rPr>
              <w:t>"</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12,648,366.19</w:t>
            </w: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-4,858,831.43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7,789,534.76</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1883" w:hRule="exact"/>
        </w:trPr>
        <w:tc>
          <w:tcPr>
            <w:tcW w:w="70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11"/>
              <w:ind w:left="22" w:right="128"/>
              <w:jc w:val="left"/>
              <w:rPr>
                <w:rFonts w:ascii="宋体" w:hAnsi="宋体" w:cs="宋体" w:eastAsia="宋体" w:hint="default"/>
                <w:sz w:val="18"/>
                <w:szCs w:val="18"/>
              </w:rPr>
            </w:pPr>
            <w:r>
              <w:rPr>
                <w:rFonts w:ascii="宋体" w:hAnsi="宋体" w:cs="宋体" w:eastAsia="宋体" w:hint="default"/>
                <w:sz w:val="18"/>
                <w:szCs w:val="18"/>
              </w:rPr>
              <w:t>国广东 方网络</w:t>
            </w:r>
          </w:p>
          <w:p>
            <w:pPr>
              <w:pStyle w:val="TableParagraph"/>
              <w:spacing w:line="316" w:lineRule="auto" w:before="19"/>
              <w:ind w:left="22" w:right="-52"/>
              <w:jc w:val="left"/>
              <w:rPr>
                <w:rFonts w:ascii="宋体" w:hAnsi="宋体" w:cs="宋体" w:eastAsia="宋体" w:hint="default"/>
                <w:sz w:val="18"/>
                <w:szCs w:val="18"/>
              </w:rPr>
            </w:pPr>
            <w:r>
              <w:rPr>
                <w:rFonts w:ascii="宋体" w:hAnsi="宋体" w:cs="宋体" w:eastAsia="宋体" w:hint="default"/>
                <w:sz w:val="18"/>
                <w:szCs w:val="18"/>
              </w:rPr>
              <w:t>（北京） 有限公 </w:t>
            </w:r>
            <w:r>
              <w:rPr>
                <w:rFonts w:ascii="宋体" w:hAnsi="宋体" w:cs="宋体" w:eastAsia="宋体" w:hint="default"/>
                <w:spacing w:val="-17"/>
                <w:sz w:val="18"/>
                <w:szCs w:val="18"/>
              </w:rPr>
              <w:t>司（以下</w:t>
            </w:r>
            <w:r>
              <w:rPr>
                <w:rFonts w:ascii="宋体" w:hAnsi="宋体" w:cs="宋体" w:eastAsia="宋体" w:hint="default"/>
                <w:sz w:val="18"/>
                <w:szCs w:val="18"/>
              </w:rPr>
              <w:t> 简称为</w:t>
            </w:r>
            <w:r>
              <w:rPr>
                <w:rFonts w:ascii="宋体" w:hAnsi="宋体" w:cs="宋体" w:eastAsia="宋体" w:hint="default"/>
                <w:sz w:val="18"/>
                <w:szCs w:val="18"/>
              </w:rPr>
              <w:t>"</w:t>
            </w:r>
          </w:p>
        </w:tc>
        <w:tc>
          <w:tcPr>
            <w:tcW w:w="1560" w:type="dxa"/>
            <w:tcBorders>
              <w:top w:val="single" w:sz="4" w:space="0" w:color="000000"/>
              <w:left w:val="single" w:sz="9" w:space="0" w:color="FFFFFF"/>
              <w:bottom w:val="single" w:sz="4" w:space="0" w:color="000000"/>
              <w:right w:val="single" w:sz="4" w:space="0" w:color="000000"/>
            </w:tcBorders>
          </w:tcPr>
          <w:p>
            <w:pPr>
              <w:pStyle w:val="TableParagraph"/>
              <w:spacing w:line="780" w:lineRule="exact"/>
              <w:ind w:left="-6" w:right="-49"/>
              <w:jc w:val="left"/>
              <w:rPr>
                <w:rFonts w:ascii="宋体" w:hAnsi="宋体" w:cs="宋体" w:eastAsia="宋体" w:hint="default"/>
                <w:sz w:val="20"/>
                <w:szCs w:val="20"/>
              </w:rPr>
            </w:pPr>
            <w:r>
              <w:rPr>
                <w:rFonts w:ascii="宋体" w:hAnsi="宋体" w:cs="宋体" w:eastAsia="宋体" w:hint="default"/>
                <w:position w:val="-15"/>
                <w:sz w:val="20"/>
                <w:szCs w:val="20"/>
              </w:rPr>
              <w:pict>
                <v:group style="width:77.4pt;height:39pt;mso-position-horizontal-relative:char;mso-position-vertical-relative:line" coordorigin="0,0" coordsize="1548,780">
                  <v:group style="position:absolute;left:0;top:0;width:1548;height:780" coordorigin="0,0" coordsize="1548,780">
                    <v:shape style="position:absolute;left:0;top:0;width:1548;height:780" coordorigin="0,0" coordsize="1548,780" path="m0,780l1548,780,1548,0,0,0,0,780xe" filled="true" fillcolor="#ffffff" stroked="false">
                      <v:path arrowok="t"/>
                      <v:fill type="solid"/>
                    </v:shape>
                  </v:group>
                </v:group>
              </w:pict>
            </w:r>
            <w:r>
              <w:rPr>
                <w:rFonts w:ascii="宋体" w:hAnsi="宋体" w:cs="宋体" w:eastAsia="宋体" w:hint="default"/>
                <w:position w:val="-15"/>
                <w:sz w:val="20"/>
                <w:szCs w:val="20"/>
              </w:rPr>
            </w:r>
          </w:p>
          <w:p>
            <w:pPr>
              <w:pStyle w:val="TableParagraph"/>
              <w:spacing w:line="240" w:lineRule="auto" w:before="10"/>
              <w:ind w:right="23"/>
              <w:jc w:val="right"/>
              <w:rPr>
                <w:rFonts w:ascii="宋体" w:hAnsi="宋体" w:cs="宋体" w:eastAsia="宋体" w:hint="default"/>
                <w:sz w:val="18"/>
                <w:szCs w:val="18"/>
              </w:rPr>
            </w:pPr>
            <w:r>
              <w:rPr>
                <w:rFonts w:ascii="宋体"/>
                <w:sz w:val="18"/>
              </w:rPr>
              <w:t>216,286,917.96</w:t>
            </w: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2" w:right="0"/>
              <w:jc w:val="center"/>
              <w:rPr>
                <w:rFonts w:ascii="宋体" w:hAnsi="宋体" w:cs="宋体" w:eastAsia="宋体" w:hint="default"/>
                <w:sz w:val="18"/>
                <w:szCs w:val="18"/>
              </w:rPr>
            </w:pPr>
            <w:r>
              <w:rPr>
                <w:rFonts w:ascii="宋体"/>
                <w:sz w:val="18"/>
              </w:rPr>
              <w:t>119,173,118.09</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-39,691,246.62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609.58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57,423,162.83</w:t>
            </w: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160" w:left="40" w:right="100"/>
        </w:sectPr>
      </w:pPr>
    </w:p>
    <w:p>
      <w:pPr>
        <w:spacing w:line="240" w:lineRule="auto" w:before="4"/>
        <w:rPr>
          <w:rFonts w:ascii="Times New Roman" w:hAnsi="Times New Roman" w:cs="Times New Roman" w:eastAsia="Times New Roman" w:hint="default"/>
          <w:sz w:val="3"/>
          <w:szCs w:val="3"/>
        </w:rPr>
      </w:pPr>
      <w:r>
        <w:rPr/>
        <w:pict>
          <v:group style="position:absolute;margin-left:43.919998pt;margin-top:331.240021pt;width:77.4pt;height:70.2pt;mso-position-horizontal-relative:page;mso-position-vertical-relative:page;z-index:-1491232" coordorigin="878,6625" coordsize="1548,1404">
            <v:shape style="position:absolute;left:878;top:6625;width:1548;height:1404" coordorigin="878,6625" coordsize="1548,1404" path="m878,8029l2426,8029,2426,6625,878,6625,878,8029xe" filled="true" fillcolor="#ffffff" stroked="false">
              <v:path arrowok="t"/>
              <v:fill type="solid"/>
            </v:shape>
            <w10:wrap type="none"/>
          </v:group>
        </w:pict>
      </w:r>
    </w:p>
    <w:tbl>
      <w:tblPr>
        <w:tblW w:w="0" w:type="auto"/>
        <w:jc w:val="left"/>
        <w:tblInd w:w="119" w:type="dxa"/>
        <w:tblLayout w:type="fixed"/>
        <w:tblCellMar>
          <w:top w:w="0" w:type="dxa"/>
          <w:left w:w="0" w:type="dxa"/>
          <w:bottom w:w="0" w:type="dxa"/>
          <w:right w:w="0" w:type="dxa"/>
        </w:tblCellMar>
        <w:tblLook w:val="01E0"/>
      </w:tblPr>
      <w:tblGrid>
        <w:gridCol w:w="708"/>
        <w:gridCol w:w="1560"/>
        <w:gridCol w:w="1504"/>
        <w:gridCol w:w="1330"/>
        <w:gridCol w:w="1703"/>
        <w:gridCol w:w="1417"/>
        <w:gridCol w:w="1276"/>
        <w:gridCol w:w="1276"/>
        <w:gridCol w:w="1385"/>
        <w:gridCol w:w="1308"/>
        <w:gridCol w:w="1560"/>
        <w:gridCol w:w="1418"/>
      </w:tblGrid>
      <w:tr>
        <w:trPr>
          <w:trHeight w:val="64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5"/>
              <w:ind w:left="22" w:right="133"/>
              <w:jc w:val="left"/>
              <w:rPr>
                <w:rFonts w:ascii="宋体" w:hAnsi="宋体" w:cs="宋体" w:eastAsia="宋体" w:hint="default"/>
                <w:sz w:val="18"/>
                <w:szCs w:val="18"/>
              </w:rPr>
            </w:pPr>
            <w:r>
              <w:rPr>
                <w:rFonts w:ascii="宋体" w:hAnsi="宋体" w:cs="宋体" w:eastAsia="宋体" w:hint="default"/>
                <w:sz w:val="18"/>
                <w:szCs w:val="18"/>
              </w:rPr>
              <w:t>国广东 方</w:t>
            </w:r>
            <w:r>
              <w:rPr>
                <w:rFonts w:ascii="宋体" w:hAnsi="宋体" w:cs="宋体" w:eastAsia="宋体" w:hint="default"/>
                <w:sz w:val="18"/>
                <w:szCs w:val="18"/>
              </w:rPr>
              <w:t>"</w:t>
            </w:r>
            <w:r>
              <w:rPr>
                <w:rFonts w:ascii="宋体" w:hAnsi="宋体" w:cs="宋体" w:eastAsia="宋体" w:hint="default"/>
                <w:sz w:val="18"/>
                <w:szCs w:val="18"/>
              </w:rPr>
              <w:t>）</w:t>
            </w:r>
          </w:p>
        </w:tc>
        <w:tc>
          <w:tcPr>
            <w:tcW w:w="1560" w:type="dxa"/>
            <w:tcBorders>
              <w:top w:val="single" w:sz="15" w:space="0" w:color="000000"/>
              <w:left w:val="single" w:sz="4" w:space="0" w:color="000000"/>
              <w:bottom w:val="single" w:sz="4" w:space="0" w:color="000000"/>
              <w:right w:val="single" w:sz="4" w:space="0" w:color="000000"/>
            </w:tcBorders>
          </w:tcPr>
          <w:p>
            <w:pPr/>
          </w:p>
        </w:tc>
        <w:tc>
          <w:tcPr>
            <w:tcW w:w="1504" w:type="dxa"/>
            <w:tcBorders>
              <w:top w:val="single" w:sz="15" w:space="0" w:color="000000"/>
              <w:left w:val="single" w:sz="4" w:space="0" w:color="000000"/>
              <w:bottom w:val="single" w:sz="4" w:space="0" w:color="000000"/>
              <w:right w:val="single" w:sz="4" w:space="0" w:color="000000"/>
            </w:tcBorders>
          </w:tcPr>
          <w:p>
            <w:pPr/>
          </w:p>
        </w:tc>
        <w:tc>
          <w:tcPr>
            <w:tcW w:w="1330" w:type="dxa"/>
            <w:tcBorders>
              <w:top w:val="single" w:sz="15" w:space="0" w:color="000000"/>
              <w:left w:val="single" w:sz="4" w:space="0" w:color="000000"/>
              <w:bottom w:val="single" w:sz="4" w:space="0" w:color="000000"/>
              <w:right w:val="single" w:sz="4" w:space="0" w:color="000000"/>
            </w:tcBorders>
          </w:tcPr>
          <w:p>
            <w:pPr/>
          </w:p>
        </w:tc>
        <w:tc>
          <w:tcPr>
            <w:tcW w:w="1703"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385" w:type="dxa"/>
            <w:tcBorders>
              <w:top w:val="single" w:sz="15" w:space="0" w:color="000000"/>
              <w:left w:val="single" w:sz="4" w:space="0" w:color="000000"/>
              <w:bottom w:val="single" w:sz="4" w:space="0" w:color="000000"/>
              <w:right w:val="single" w:sz="4" w:space="0" w:color="000000"/>
            </w:tcBorders>
          </w:tcPr>
          <w:p>
            <w:pPr/>
          </w:p>
        </w:tc>
        <w:tc>
          <w:tcPr>
            <w:tcW w:w="1308"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6" w:space="0" w:color="000000"/>
              <w:left w:val="single" w:sz="4" w:space="0" w:color="000000"/>
              <w:bottom w:val="single" w:sz="4" w:space="0" w:color="000000"/>
              <w:right w:val="single" w:sz="4" w:space="0" w:color="000000"/>
            </w:tcBorders>
          </w:tcPr>
          <w:p>
            <w:pPr/>
          </w:p>
        </w:tc>
      </w:tr>
      <w:tr>
        <w:trPr>
          <w:trHeight w:val="313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0"/>
              <w:jc w:val="left"/>
              <w:rPr>
                <w:rFonts w:ascii="宋体" w:hAnsi="宋体" w:cs="宋体" w:eastAsia="宋体" w:hint="default"/>
                <w:sz w:val="18"/>
                <w:szCs w:val="18"/>
              </w:rPr>
            </w:pPr>
            <w:r>
              <w:rPr>
                <w:rFonts w:ascii="宋体" w:hAnsi="宋体" w:cs="宋体" w:eastAsia="宋体" w:hint="default"/>
                <w:sz w:val="18"/>
                <w:szCs w:val="18"/>
              </w:rPr>
              <w:t>国广环 球在线 文化传 媒（北 </w:t>
            </w:r>
            <w:r>
              <w:rPr>
                <w:rFonts w:ascii="宋体" w:hAnsi="宋体" w:cs="宋体" w:eastAsia="宋体" w:hint="default"/>
                <w:spacing w:val="-17"/>
                <w:sz w:val="18"/>
                <w:szCs w:val="18"/>
              </w:rPr>
              <w:t>京）有限</w:t>
            </w:r>
            <w:r>
              <w:rPr>
                <w:rFonts w:ascii="宋体" w:hAnsi="宋体" w:cs="宋体" w:eastAsia="宋体" w:hint="default"/>
                <w:sz w:val="18"/>
                <w:szCs w:val="18"/>
              </w:rPr>
              <w:t> </w:t>
            </w:r>
            <w:r>
              <w:rPr>
                <w:rFonts w:ascii="宋体" w:hAnsi="宋体" w:cs="宋体" w:eastAsia="宋体" w:hint="default"/>
                <w:spacing w:val="-17"/>
                <w:sz w:val="18"/>
                <w:szCs w:val="18"/>
              </w:rPr>
              <w:t>公司（以</w:t>
            </w:r>
            <w:r>
              <w:rPr>
                <w:rFonts w:ascii="宋体" w:hAnsi="宋体" w:cs="宋体" w:eastAsia="宋体" w:hint="default"/>
                <w:sz w:val="18"/>
                <w:szCs w:val="18"/>
              </w:rPr>
              <w:t> 下简称 为</w:t>
            </w:r>
            <w:r>
              <w:rPr>
                <w:rFonts w:ascii="宋体" w:hAnsi="宋体" w:cs="宋体" w:eastAsia="宋体" w:hint="default"/>
                <w:sz w:val="18"/>
                <w:szCs w:val="18"/>
              </w:rPr>
              <w:t>"</w:t>
            </w:r>
            <w:r>
              <w:rPr>
                <w:rFonts w:ascii="宋体" w:hAnsi="宋体" w:cs="宋体" w:eastAsia="宋体" w:hint="default"/>
                <w:sz w:val="18"/>
                <w:szCs w:val="18"/>
              </w:rPr>
              <w:t>国广 在线文 化</w:t>
            </w:r>
            <w:r>
              <w:rPr>
                <w:rFonts w:ascii="宋体" w:hAnsi="宋体" w:cs="宋体" w:eastAsia="宋体" w:hint="default"/>
                <w:sz w:val="18"/>
                <w:szCs w:val="18"/>
              </w:rPr>
              <w:t>"</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4,099,054.81</w:t>
            </w: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-1,166,808.05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2,932,246.76</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130" w:hRule="exact"/>
        </w:trPr>
        <w:tc>
          <w:tcPr>
            <w:tcW w:w="70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10"/>
              <w:ind w:left="22" w:right="-52"/>
              <w:jc w:val="left"/>
              <w:rPr>
                <w:rFonts w:ascii="宋体" w:hAnsi="宋体" w:cs="宋体" w:eastAsia="宋体" w:hint="default"/>
                <w:sz w:val="18"/>
                <w:szCs w:val="18"/>
              </w:rPr>
            </w:pPr>
            <w:r>
              <w:rPr>
                <w:rFonts w:ascii="宋体" w:hAnsi="宋体" w:cs="宋体" w:eastAsia="宋体" w:hint="default"/>
                <w:sz w:val="18"/>
                <w:szCs w:val="18"/>
              </w:rPr>
              <w:t>海南国 文文化 旅游产 业投资 </w:t>
            </w:r>
            <w:r>
              <w:rPr>
                <w:rFonts w:ascii="宋体" w:hAnsi="宋体" w:cs="宋体" w:eastAsia="宋体" w:hint="default"/>
                <w:spacing w:val="-17"/>
                <w:sz w:val="18"/>
                <w:szCs w:val="18"/>
              </w:rPr>
              <w:t>基金（有</w:t>
            </w:r>
            <w:r>
              <w:rPr>
                <w:rFonts w:ascii="宋体" w:hAnsi="宋体" w:cs="宋体" w:eastAsia="宋体" w:hint="default"/>
                <w:sz w:val="18"/>
                <w:szCs w:val="18"/>
              </w:rPr>
              <w:t> 限合伙）</w:t>
            </w:r>
          </w:p>
          <w:p>
            <w:pPr>
              <w:pStyle w:val="TableParagraph"/>
              <w:spacing w:line="316" w:lineRule="auto" w:before="19"/>
              <w:ind w:left="22" w:right="38"/>
              <w:jc w:val="left"/>
              <w:rPr>
                <w:rFonts w:ascii="宋体" w:hAnsi="宋体" w:cs="宋体" w:eastAsia="宋体" w:hint="default"/>
                <w:sz w:val="18"/>
                <w:szCs w:val="18"/>
              </w:rPr>
            </w:pPr>
            <w:r>
              <w:rPr>
                <w:rFonts w:ascii="宋体" w:hAnsi="宋体" w:cs="宋体" w:eastAsia="宋体" w:hint="default"/>
                <w:sz w:val="18"/>
                <w:szCs w:val="18"/>
              </w:rPr>
              <w:t>（以下 简称</w:t>
            </w:r>
            <w:r>
              <w:rPr>
                <w:rFonts w:ascii="宋体" w:hAnsi="宋体" w:cs="宋体" w:eastAsia="宋体" w:hint="default"/>
                <w:sz w:val="18"/>
                <w:szCs w:val="18"/>
              </w:rPr>
              <w:t>"</w:t>
            </w:r>
            <w:r>
              <w:rPr>
                <w:rFonts w:ascii="宋体" w:hAnsi="宋体" w:cs="宋体" w:eastAsia="宋体" w:hint="default"/>
                <w:sz w:val="18"/>
                <w:szCs w:val="18"/>
              </w:rPr>
              <w:t>国 文基金 </w:t>
            </w:r>
            <w:r>
              <w:rPr>
                <w:rFonts w:ascii="宋体" w:hAnsi="宋体" w:cs="宋体" w:eastAsia="宋体" w:hint="default"/>
                <w:sz w:val="18"/>
                <w:szCs w:val="18"/>
              </w:rPr>
              <w:t>"</w:t>
            </w:r>
            <w:r>
              <w:rPr>
                <w:rFonts w:ascii="宋体" w:hAnsi="宋体" w:cs="宋体" w:eastAsia="宋体" w:hint="default"/>
                <w:sz w:val="18"/>
                <w:szCs w:val="18"/>
              </w:rPr>
              <w:t>）</w:t>
            </w:r>
          </w:p>
        </w:tc>
        <w:tc>
          <w:tcPr>
            <w:tcW w:w="156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399,999,711.89</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600,000,000.00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-990,725,774.02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9,273,937.87</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33"/>
              <w:jc w:val="both"/>
              <w:rPr>
                <w:rFonts w:ascii="宋体" w:hAnsi="宋体" w:cs="宋体" w:eastAsia="宋体" w:hint="default"/>
                <w:sz w:val="18"/>
                <w:szCs w:val="18"/>
              </w:rPr>
            </w:pPr>
            <w:r>
              <w:rPr>
                <w:rFonts w:ascii="宋体" w:hAnsi="宋体" w:cs="宋体" w:eastAsia="宋体" w:hint="default"/>
                <w:sz w:val="18"/>
                <w:szCs w:val="18"/>
              </w:rPr>
              <w:t>上海脱 肯信息 科技有 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5,000,000.00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-79,843.10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4,920,156.90</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125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33"/>
              <w:jc w:val="both"/>
              <w:rPr>
                <w:rFonts w:ascii="宋体" w:hAnsi="宋体" w:cs="宋体" w:eastAsia="宋体" w:hint="default"/>
                <w:sz w:val="18"/>
                <w:szCs w:val="18"/>
              </w:rPr>
            </w:pPr>
            <w:r>
              <w:rPr>
                <w:rFonts w:ascii="宋体" w:hAnsi="宋体" w:cs="宋体" w:eastAsia="宋体" w:hint="default"/>
                <w:sz w:val="18"/>
                <w:szCs w:val="18"/>
              </w:rPr>
              <w:t>深圳市 益正金 融服务 有限公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22,829,097.68</w:t>
            </w: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-1,844,691.90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宋体" w:hAnsi="宋体" w:cs="宋体" w:eastAsia="宋体" w:hint="default"/>
                <w:sz w:val="18"/>
                <w:szCs w:val="18"/>
              </w:rPr>
            </w:pPr>
            <w:r>
              <w:rPr>
                <w:rFonts w:ascii="宋体"/>
                <w:sz w:val="18"/>
              </w:rPr>
              <w:t>20,984,405.78</w:t>
            </w: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40" w:right="100"/>
        </w:sectPr>
      </w:pPr>
    </w:p>
    <w:p>
      <w:pPr>
        <w:spacing w:line="240" w:lineRule="auto" w:before="4"/>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708"/>
        <w:gridCol w:w="1560"/>
        <w:gridCol w:w="1504"/>
        <w:gridCol w:w="1330"/>
        <w:gridCol w:w="1703"/>
        <w:gridCol w:w="1417"/>
        <w:gridCol w:w="1276"/>
        <w:gridCol w:w="1276"/>
        <w:gridCol w:w="1385"/>
        <w:gridCol w:w="1308"/>
        <w:gridCol w:w="1560"/>
        <w:gridCol w:w="1418"/>
      </w:tblGrid>
      <w:tr>
        <w:trPr>
          <w:trHeight w:val="127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5"/>
              <w:ind w:left="22" w:right="43"/>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w:t>
            </w:r>
            <w:r>
              <w:rPr>
                <w:rFonts w:ascii="宋体" w:hAnsi="宋体" w:cs="宋体" w:eastAsia="宋体" w:hint="default"/>
                <w:sz w:val="18"/>
                <w:szCs w:val="18"/>
              </w:rPr>
              <w:t>以下 简称为</w:t>
            </w:r>
            <w:r>
              <w:rPr>
                <w:rFonts w:ascii="宋体" w:hAnsi="宋体" w:cs="宋体" w:eastAsia="宋体" w:hint="default"/>
                <w:sz w:val="18"/>
                <w:szCs w:val="18"/>
              </w:rPr>
              <w:t>" </w:t>
            </w:r>
            <w:r>
              <w:rPr>
                <w:rFonts w:ascii="宋体" w:hAnsi="宋体" w:cs="宋体" w:eastAsia="宋体" w:hint="default"/>
                <w:sz w:val="18"/>
                <w:szCs w:val="18"/>
              </w:rPr>
              <w:t>益正金 融</w:t>
            </w:r>
            <w:r>
              <w:rPr>
                <w:rFonts w:ascii="宋体" w:hAnsi="宋体" w:cs="宋体" w:eastAsia="宋体" w:hint="default"/>
                <w:sz w:val="18"/>
                <w:szCs w:val="18"/>
              </w:rPr>
              <w:t>")</w:t>
            </w:r>
          </w:p>
        </w:tc>
        <w:tc>
          <w:tcPr>
            <w:tcW w:w="1560" w:type="dxa"/>
            <w:tcBorders>
              <w:top w:val="single" w:sz="15" w:space="0" w:color="000000"/>
              <w:left w:val="single" w:sz="4" w:space="0" w:color="000000"/>
              <w:bottom w:val="single" w:sz="4" w:space="0" w:color="000000"/>
              <w:right w:val="single" w:sz="4" w:space="0" w:color="000000"/>
            </w:tcBorders>
          </w:tcPr>
          <w:p>
            <w:pPr/>
          </w:p>
        </w:tc>
        <w:tc>
          <w:tcPr>
            <w:tcW w:w="1504" w:type="dxa"/>
            <w:tcBorders>
              <w:top w:val="single" w:sz="15" w:space="0" w:color="000000"/>
              <w:left w:val="single" w:sz="4" w:space="0" w:color="000000"/>
              <w:bottom w:val="single" w:sz="4" w:space="0" w:color="000000"/>
              <w:right w:val="single" w:sz="4" w:space="0" w:color="000000"/>
            </w:tcBorders>
          </w:tcPr>
          <w:p>
            <w:pPr/>
          </w:p>
        </w:tc>
        <w:tc>
          <w:tcPr>
            <w:tcW w:w="1330" w:type="dxa"/>
            <w:tcBorders>
              <w:top w:val="single" w:sz="15" w:space="0" w:color="000000"/>
              <w:left w:val="single" w:sz="4" w:space="0" w:color="000000"/>
              <w:bottom w:val="single" w:sz="4" w:space="0" w:color="000000"/>
              <w:right w:val="single" w:sz="4" w:space="0" w:color="000000"/>
            </w:tcBorders>
          </w:tcPr>
          <w:p>
            <w:pPr/>
          </w:p>
        </w:tc>
        <w:tc>
          <w:tcPr>
            <w:tcW w:w="1703"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385" w:type="dxa"/>
            <w:tcBorders>
              <w:top w:val="single" w:sz="15" w:space="0" w:color="000000"/>
              <w:left w:val="single" w:sz="4" w:space="0" w:color="000000"/>
              <w:bottom w:val="single" w:sz="4" w:space="0" w:color="000000"/>
              <w:right w:val="single" w:sz="4" w:space="0" w:color="000000"/>
            </w:tcBorders>
          </w:tcPr>
          <w:p>
            <w:pPr/>
          </w:p>
        </w:tc>
        <w:tc>
          <w:tcPr>
            <w:tcW w:w="1308"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6" w:space="0" w:color="000000"/>
              <w:left w:val="single" w:sz="4" w:space="0" w:color="000000"/>
              <w:bottom w:val="single" w:sz="4" w:space="0" w:color="000000"/>
              <w:right w:val="single" w:sz="4" w:space="0" w:color="000000"/>
            </w:tcBorders>
          </w:tcPr>
          <w:p>
            <w:pPr/>
          </w:p>
        </w:tc>
      </w:tr>
      <w:tr>
        <w:trPr>
          <w:trHeight w:val="281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0"/>
              <w:jc w:val="left"/>
              <w:rPr>
                <w:rFonts w:ascii="宋体" w:hAnsi="宋体" w:cs="宋体" w:eastAsia="宋体" w:hint="default"/>
                <w:sz w:val="18"/>
                <w:szCs w:val="18"/>
              </w:rPr>
            </w:pPr>
            <w:r>
              <w:rPr>
                <w:rFonts w:ascii="宋体" w:hAnsi="宋体" w:cs="宋体" w:eastAsia="宋体" w:hint="default"/>
                <w:sz w:val="18"/>
                <w:szCs w:val="18"/>
              </w:rPr>
              <w:t>深圳市 怀新企 业投资 顾问股 份有限 </w:t>
            </w:r>
            <w:r>
              <w:rPr>
                <w:rFonts w:ascii="宋体" w:hAnsi="宋体" w:cs="宋体" w:eastAsia="宋体" w:hint="default"/>
                <w:spacing w:val="-17"/>
                <w:sz w:val="18"/>
                <w:szCs w:val="18"/>
              </w:rPr>
              <w:t>公司（以</w:t>
            </w:r>
            <w:r>
              <w:rPr>
                <w:rFonts w:ascii="宋体" w:hAnsi="宋体" w:cs="宋体" w:eastAsia="宋体" w:hint="default"/>
                <w:sz w:val="18"/>
                <w:szCs w:val="18"/>
              </w:rPr>
              <w:t> 下简称 为</w:t>
            </w:r>
            <w:r>
              <w:rPr>
                <w:rFonts w:ascii="宋体" w:hAnsi="宋体" w:cs="宋体" w:eastAsia="宋体" w:hint="default"/>
                <w:sz w:val="18"/>
                <w:szCs w:val="18"/>
              </w:rPr>
              <w:t>"</w:t>
            </w:r>
            <w:r>
              <w:rPr>
                <w:rFonts w:ascii="宋体" w:hAnsi="宋体" w:cs="宋体" w:eastAsia="宋体" w:hint="default"/>
                <w:sz w:val="18"/>
                <w:szCs w:val="18"/>
              </w:rPr>
              <w:t>怀新 投资</w:t>
            </w:r>
            <w:r>
              <w:rPr>
                <w:rFonts w:ascii="宋体" w:hAnsi="宋体" w:cs="宋体" w:eastAsia="宋体" w:hint="default"/>
                <w:sz w:val="18"/>
                <w:szCs w:val="18"/>
              </w:rPr>
              <w:t>"</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44,919,119.51</w:t>
            </w: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3,736,199.50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-12,282,070.35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sz w:val="18"/>
              </w:rPr>
              <w:t>3,000,000.00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8"/>
                <w:szCs w:val="18"/>
              </w:rPr>
            </w:pPr>
            <w:r>
              <w:rPr>
                <w:rFonts w:ascii="宋体"/>
                <w:sz w:val="18"/>
              </w:rPr>
              <w:t>33,373,248.66</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50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深圳市 点石创 新投资 有限公 </w:t>
            </w:r>
            <w:r>
              <w:rPr>
                <w:rFonts w:ascii="宋体" w:hAnsi="宋体" w:cs="宋体" w:eastAsia="宋体" w:hint="default"/>
                <w:spacing w:val="-17"/>
                <w:sz w:val="18"/>
                <w:szCs w:val="18"/>
              </w:rPr>
              <w:t>司（以下</w:t>
            </w:r>
            <w:r>
              <w:rPr>
                <w:rFonts w:ascii="宋体" w:hAnsi="宋体" w:cs="宋体" w:eastAsia="宋体" w:hint="default"/>
                <w:sz w:val="18"/>
                <w:szCs w:val="18"/>
              </w:rPr>
              <w:t> 简称为</w:t>
            </w:r>
            <w:r>
              <w:rPr>
                <w:rFonts w:ascii="宋体" w:hAnsi="宋体" w:cs="宋体" w:eastAsia="宋体" w:hint="default"/>
                <w:sz w:val="18"/>
                <w:szCs w:val="18"/>
              </w:rPr>
              <w:t>" </w:t>
            </w:r>
            <w:r>
              <w:rPr>
                <w:rFonts w:ascii="宋体" w:hAnsi="宋体" w:cs="宋体" w:eastAsia="宋体" w:hint="default"/>
                <w:sz w:val="18"/>
                <w:szCs w:val="18"/>
              </w:rPr>
              <w:t>点石创 新</w:t>
            </w:r>
            <w:r>
              <w:rPr>
                <w:rFonts w:ascii="宋体" w:hAnsi="宋体" w:cs="宋体" w:eastAsia="宋体" w:hint="default"/>
                <w:sz w:val="18"/>
                <w:szCs w:val="18"/>
              </w:rPr>
              <w:t>"</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16,684,326.14</w:t>
            </w: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9,770,918.60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-6,828,697.96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宋体" w:hAnsi="宋体" w:cs="宋体" w:eastAsia="宋体" w:hint="default"/>
                <w:sz w:val="18"/>
                <w:szCs w:val="18"/>
              </w:rPr>
            </w:pPr>
            <w:r>
              <w:rPr>
                <w:rFonts w:ascii="宋体"/>
                <w:sz w:val="18"/>
              </w:rPr>
              <w:t>19,626,546.78</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3"/>
              <w:jc w:val="left"/>
              <w:rPr>
                <w:rFonts w:ascii="宋体" w:hAnsi="宋体" w:cs="宋体" w:eastAsia="宋体" w:hint="default"/>
                <w:sz w:val="18"/>
                <w:szCs w:val="18"/>
              </w:rPr>
            </w:pPr>
            <w:r>
              <w:rPr>
                <w:rFonts w:ascii="宋体" w:hAnsi="宋体" w:cs="宋体" w:eastAsia="宋体" w:hint="default"/>
                <w:sz w:val="18"/>
                <w:szCs w:val="18"/>
              </w:rPr>
              <w:t>价值在 线</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1" w:right="0"/>
              <w:jc w:val="left"/>
              <w:rPr>
                <w:rFonts w:ascii="宋体" w:hAnsi="宋体" w:cs="宋体" w:eastAsia="宋体" w:hint="default"/>
                <w:sz w:val="18"/>
                <w:szCs w:val="18"/>
              </w:rPr>
            </w:pPr>
            <w:r>
              <w:rPr>
                <w:rFonts w:ascii="宋体"/>
                <w:sz w:val="18"/>
              </w:rPr>
              <w:t>27,999,998.00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-1,849,398.37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-1,480,681.75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24,669,917.88</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19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33"/>
              <w:jc w:val="both"/>
              <w:rPr>
                <w:rFonts w:ascii="宋体" w:hAnsi="宋体" w:cs="宋体" w:eastAsia="宋体" w:hint="default"/>
                <w:sz w:val="18"/>
                <w:szCs w:val="18"/>
              </w:rPr>
            </w:pPr>
            <w:r>
              <w:rPr>
                <w:rFonts w:ascii="宋体" w:hAnsi="宋体" w:cs="宋体" w:eastAsia="宋体" w:hint="default"/>
                <w:sz w:val="18"/>
                <w:szCs w:val="18"/>
              </w:rPr>
              <w:t>辽宁新 闻印刷 集团有 限公司</w:t>
            </w:r>
          </w:p>
          <w:p>
            <w:pPr>
              <w:pStyle w:val="TableParagraph"/>
              <w:spacing w:line="316" w:lineRule="auto" w:before="19"/>
              <w:ind w:left="22" w:right="133"/>
              <w:jc w:val="left"/>
              <w:rPr>
                <w:rFonts w:ascii="宋体" w:hAnsi="宋体" w:cs="宋体" w:eastAsia="宋体" w:hint="default"/>
                <w:sz w:val="18"/>
                <w:szCs w:val="18"/>
              </w:rPr>
            </w:pPr>
            <w:r>
              <w:rPr>
                <w:rFonts w:ascii="宋体" w:hAnsi="宋体" w:cs="宋体" w:eastAsia="宋体" w:hint="default"/>
                <w:sz w:val="18"/>
                <w:szCs w:val="18"/>
              </w:rPr>
              <w:t>（以下 简称 “辽宁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23"/>
              <w:jc w:val="right"/>
              <w:rPr>
                <w:rFonts w:ascii="宋体" w:hAnsi="宋体" w:cs="宋体" w:eastAsia="宋体" w:hint="default"/>
                <w:sz w:val="18"/>
                <w:szCs w:val="18"/>
              </w:rPr>
            </w:pPr>
            <w:r>
              <w:rPr>
                <w:rFonts w:ascii="宋体"/>
                <w:sz w:val="18"/>
              </w:rPr>
              <w:t>93,164,779.18</w:t>
            </w: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20"/>
              <w:jc w:val="right"/>
              <w:rPr>
                <w:rFonts w:ascii="宋体" w:hAnsi="宋体" w:cs="宋体" w:eastAsia="宋体" w:hint="default"/>
                <w:sz w:val="18"/>
                <w:szCs w:val="18"/>
              </w:rPr>
            </w:pPr>
            <w:r>
              <w:rPr>
                <w:rFonts w:ascii="宋体"/>
                <w:sz w:val="18"/>
              </w:rPr>
              <w:t>-2,344,004.47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20"/>
              <w:jc w:val="right"/>
              <w:rPr>
                <w:rFonts w:ascii="宋体" w:hAnsi="宋体" w:cs="宋体" w:eastAsia="宋体" w:hint="default"/>
                <w:sz w:val="18"/>
                <w:szCs w:val="18"/>
              </w:rPr>
            </w:pPr>
            <w:r>
              <w:rPr>
                <w:rFonts w:ascii="宋体"/>
                <w:sz w:val="18"/>
              </w:rPr>
              <w:t>-10,220,215.79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20"/>
              <w:jc w:val="right"/>
              <w:rPr>
                <w:rFonts w:ascii="宋体" w:hAnsi="宋体" w:cs="宋体" w:eastAsia="宋体" w:hint="default"/>
                <w:sz w:val="18"/>
                <w:szCs w:val="18"/>
              </w:rPr>
            </w:pPr>
            <w:r>
              <w:rPr>
                <w:rFonts w:ascii="宋体"/>
                <w:sz w:val="18"/>
              </w:rPr>
              <w:t>34.38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21"/>
              <w:jc w:val="right"/>
              <w:rPr>
                <w:rFonts w:ascii="宋体" w:hAnsi="宋体" w:cs="宋体" w:eastAsia="宋体" w:hint="default"/>
                <w:sz w:val="18"/>
                <w:szCs w:val="18"/>
              </w:rPr>
            </w:pPr>
            <w:r>
              <w:rPr>
                <w:rFonts w:ascii="宋体"/>
                <w:sz w:val="18"/>
              </w:rPr>
              <w:t>80,600,593.30</w:t>
            </w: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40" w:right="100"/>
        </w:sectPr>
      </w:pPr>
    </w:p>
    <w:p>
      <w:pPr>
        <w:spacing w:line="240" w:lineRule="auto" w:before="4"/>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708"/>
        <w:gridCol w:w="1560"/>
        <w:gridCol w:w="1504"/>
        <w:gridCol w:w="1330"/>
        <w:gridCol w:w="1703"/>
        <w:gridCol w:w="1417"/>
        <w:gridCol w:w="1276"/>
        <w:gridCol w:w="1276"/>
        <w:gridCol w:w="1385"/>
        <w:gridCol w:w="1308"/>
        <w:gridCol w:w="1560"/>
        <w:gridCol w:w="1418"/>
      </w:tblGrid>
      <w:tr>
        <w:trPr>
          <w:trHeight w:val="33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45"/>
              <w:jc w:val="left"/>
              <w:rPr>
                <w:rFonts w:ascii="宋体" w:hAnsi="宋体" w:cs="宋体" w:eastAsia="宋体" w:hint="default"/>
                <w:sz w:val="18"/>
                <w:szCs w:val="18"/>
              </w:rPr>
            </w:pPr>
            <w:r>
              <w:rPr>
                <w:rFonts w:ascii="宋体" w:hAnsi="宋体" w:cs="宋体" w:eastAsia="宋体" w:hint="default"/>
                <w:sz w:val="18"/>
                <w:szCs w:val="18"/>
              </w:rPr>
              <w:t>印刷”）</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312" w:lineRule="exact"/>
              <w:ind w:left="1"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77.4pt;height:15.6pt;mso-position-horizontal-relative:char;mso-position-vertical-relative:line" coordorigin="0,0" coordsize="1548,312">
                  <v:group style="position:absolute;left:0;top:0;width:1548;height:312" coordorigin="0,0" coordsize="1548,312">
                    <v:shape style="position:absolute;left:0;top:0;width:1548;height:312" coordorigin="0,0" coordsize="1548,312" path="m0,312l1548,312,1548,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tc>
        <w:tc>
          <w:tcPr>
            <w:tcW w:w="1504" w:type="dxa"/>
            <w:tcBorders>
              <w:top w:val="single" w:sz="15" w:space="0" w:color="000000"/>
              <w:left w:val="single" w:sz="4" w:space="0" w:color="000000"/>
              <w:bottom w:val="single" w:sz="4" w:space="0" w:color="000000"/>
              <w:right w:val="single" w:sz="4" w:space="0" w:color="000000"/>
            </w:tcBorders>
          </w:tcPr>
          <w:p>
            <w:pPr/>
          </w:p>
        </w:tc>
        <w:tc>
          <w:tcPr>
            <w:tcW w:w="1330" w:type="dxa"/>
            <w:tcBorders>
              <w:top w:val="single" w:sz="15" w:space="0" w:color="000000"/>
              <w:left w:val="single" w:sz="4" w:space="0" w:color="000000"/>
              <w:bottom w:val="single" w:sz="4" w:space="0" w:color="000000"/>
              <w:right w:val="single" w:sz="4" w:space="0" w:color="000000"/>
            </w:tcBorders>
          </w:tcPr>
          <w:p>
            <w:pPr/>
          </w:p>
        </w:tc>
        <w:tc>
          <w:tcPr>
            <w:tcW w:w="1703"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385" w:type="dxa"/>
            <w:tcBorders>
              <w:top w:val="single" w:sz="15" w:space="0" w:color="000000"/>
              <w:left w:val="single" w:sz="4" w:space="0" w:color="000000"/>
              <w:bottom w:val="single" w:sz="4" w:space="0" w:color="000000"/>
              <w:right w:val="single" w:sz="4" w:space="0" w:color="000000"/>
            </w:tcBorders>
          </w:tcPr>
          <w:p>
            <w:pPr/>
          </w:p>
        </w:tc>
        <w:tc>
          <w:tcPr>
            <w:tcW w:w="1308"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6" w:space="0" w:color="000000"/>
              <w:left w:val="single" w:sz="4" w:space="0" w:color="000000"/>
              <w:bottom w:val="single" w:sz="4" w:space="0" w:color="000000"/>
              <w:right w:val="single" w:sz="4" w:space="0" w:color="000000"/>
            </w:tcBorders>
          </w:tcPr>
          <w:p>
            <w:pPr/>
          </w:p>
        </w:tc>
      </w:tr>
      <w:tr>
        <w:trPr>
          <w:trHeight w:val="125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22" w:right="133"/>
              <w:jc w:val="both"/>
              <w:rPr>
                <w:rFonts w:ascii="宋体" w:hAnsi="宋体" w:cs="宋体" w:eastAsia="宋体" w:hint="default"/>
                <w:sz w:val="18"/>
                <w:szCs w:val="18"/>
              </w:rPr>
            </w:pPr>
            <w:r>
              <w:rPr>
                <w:rFonts w:ascii="宋体" w:hAnsi="宋体" w:cs="宋体" w:eastAsia="宋体" w:hint="default"/>
                <w:sz w:val="18"/>
                <w:szCs w:val="18"/>
              </w:rPr>
              <w:t>辽宁三 六五网 络有限 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1,478,532.65</w:t>
            </w: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-1,096,342.71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382,189.94</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33"/>
              <w:jc w:val="both"/>
              <w:rPr>
                <w:rFonts w:ascii="宋体" w:hAnsi="宋体" w:cs="宋体" w:eastAsia="宋体" w:hint="default"/>
                <w:sz w:val="18"/>
                <w:szCs w:val="18"/>
              </w:rPr>
            </w:pPr>
            <w:r>
              <w:rPr>
                <w:rFonts w:ascii="宋体" w:hAnsi="宋体" w:cs="宋体" w:eastAsia="宋体" w:hint="default"/>
                <w:sz w:val="18"/>
                <w:szCs w:val="18"/>
              </w:rPr>
              <w:t>沈阳布 老虎文 化传媒 有限公 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39,442.50</w:t>
            </w: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486" w:right="0"/>
              <w:jc w:val="left"/>
              <w:rPr>
                <w:rFonts w:ascii="宋体" w:hAnsi="宋体" w:cs="宋体" w:eastAsia="宋体" w:hint="default"/>
                <w:sz w:val="18"/>
                <w:szCs w:val="18"/>
              </w:rPr>
            </w:pPr>
            <w:r>
              <w:rPr>
                <w:rFonts w:ascii="宋体"/>
                <w:sz w:val="18"/>
              </w:rPr>
              <w:t>37,585.61</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-1,856.89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3"/>
              <w:jc w:val="both"/>
              <w:rPr>
                <w:rFonts w:ascii="宋体" w:hAnsi="宋体" w:cs="宋体" w:eastAsia="宋体" w:hint="default"/>
                <w:sz w:val="18"/>
                <w:szCs w:val="18"/>
              </w:rPr>
            </w:pPr>
            <w:r>
              <w:rPr>
                <w:rFonts w:ascii="宋体" w:hAnsi="宋体" w:cs="宋体" w:eastAsia="宋体" w:hint="default"/>
                <w:sz w:val="18"/>
                <w:szCs w:val="18"/>
              </w:rPr>
              <w:t>沈阳市 盈赢商 贸有限 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642,027.96</w:t>
            </w: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-297,656.61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75" w:right="0"/>
              <w:jc w:val="left"/>
              <w:rPr>
                <w:rFonts w:ascii="宋体" w:hAnsi="宋体" w:cs="宋体" w:eastAsia="宋体" w:hint="default"/>
                <w:sz w:val="18"/>
                <w:szCs w:val="18"/>
              </w:rPr>
            </w:pPr>
            <w:r>
              <w:rPr>
                <w:rFonts w:ascii="宋体"/>
                <w:sz w:val="18"/>
              </w:rPr>
              <w:t>-94,970.56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249,400.79</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18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33"/>
              <w:jc w:val="both"/>
              <w:rPr>
                <w:rFonts w:ascii="宋体" w:hAnsi="宋体" w:cs="宋体" w:eastAsia="宋体" w:hint="default"/>
                <w:sz w:val="18"/>
                <w:szCs w:val="18"/>
              </w:rPr>
            </w:pPr>
            <w:r>
              <w:rPr>
                <w:rFonts w:ascii="宋体" w:hAnsi="宋体" w:cs="宋体" w:eastAsia="宋体" w:hint="default"/>
                <w:sz w:val="18"/>
                <w:szCs w:val="18"/>
              </w:rPr>
              <w:t>陕西华 商大宗 商品交 易中心 有限公 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8,108,115.95</w:t>
            </w: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-1,972,264.83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6,135,851.12</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3"/>
              <w:jc w:val="both"/>
              <w:rPr>
                <w:rFonts w:ascii="宋体" w:hAnsi="宋体" w:cs="宋体" w:eastAsia="宋体" w:hint="default"/>
                <w:sz w:val="18"/>
                <w:szCs w:val="18"/>
              </w:rPr>
            </w:pPr>
            <w:r>
              <w:rPr>
                <w:rFonts w:ascii="宋体" w:hAnsi="宋体" w:cs="宋体" w:eastAsia="宋体" w:hint="default"/>
                <w:sz w:val="18"/>
                <w:szCs w:val="18"/>
              </w:rPr>
              <w:t>辽宁天 禹星科 技股份 有限公 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46,983,193.73</w:t>
            </w: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-7,866,243.70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sz w:val="18"/>
              </w:rPr>
              <w:t>10,893,337.25</w:t>
            </w: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宋体" w:hAnsi="宋体" w:cs="宋体" w:eastAsia="宋体" w:hint="default"/>
                <w:sz w:val="18"/>
                <w:szCs w:val="18"/>
              </w:rPr>
            </w:pPr>
            <w:r>
              <w:rPr>
                <w:rFonts w:ascii="宋体"/>
                <w:sz w:val="18"/>
              </w:rPr>
              <w:t>28,223,612.78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16" w:right="0"/>
              <w:jc w:val="left"/>
              <w:rPr>
                <w:rFonts w:ascii="宋体" w:hAnsi="宋体" w:cs="宋体" w:eastAsia="宋体" w:hint="default"/>
                <w:sz w:val="18"/>
                <w:szCs w:val="18"/>
              </w:rPr>
            </w:pPr>
            <w:r>
              <w:rPr>
                <w:rFonts w:ascii="宋体"/>
                <w:sz w:val="18"/>
              </w:rPr>
              <w:t>10,893,337.25</w:t>
            </w:r>
          </w:p>
        </w:tc>
      </w:tr>
      <w:tr>
        <w:trPr>
          <w:trHeight w:val="125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33"/>
              <w:jc w:val="both"/>
              <w:rPr>
                <w:rFonts w:ascii="宋体" w:hAnsi="宋体" w:cs="宋体" w:eastAsia="宋体" w:hint="default"/>
                <w:sz w:val="18"/>
                <w:szCs w:val="18"/>
              </w:rPr>
            </w:pPr>
            <w:r>
              <w:rPr>
                <w:rFonts w:ascii="宋体" w:hAnsi="宋体" w:cs="宋体" w:eastAsia="宋体" w:hint="default"/>
                <w:sz w:val="18"/>
                <w:szCs w:val="18"/>
              </w:rPr>
              <w:t>陕西三 六五网 络有限 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2,959,013.13</w:t>
            </w: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-797,405.07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2,161,608.06</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西安沣</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91" w:right="0"/>
              <w:jc w:val="left"/>
              <w:rPr>
                <w:rFonts w:ascii="宋体" w:hAnsi="宋体" w:cs="宋体" w:eastAsia="宋体" w:hint="default"/>
                <w:sz w:val="18"/>
                <w:szCs w:val="18"/>
              </w:rPr>
            </w:pPr>
            <w:r>
              <w:rPr>
                <w:rFonts w:ascii="宋体"/>
                <w:sz w:val="18"/>
              </w:rPr>
              <w:t>3,000,000.00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-161,828.79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2,838,171.21</w:t>
            </w: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40" w:right="100"/>
        </w:sectPr>
      </w:pPr>
    </w:p>
    <w:p>
      <w:pPr>
        <w:spacing w:line="240" w:lineRule="auto" w:before="4"/>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708"/>
        <w:gridCol w:w="1560"/>
        <w:gridCol w:w="1504"/>
        <w:gridCol w:w="1330"/>
        <w:gridCol w:w="1703"/>
        <w:gridCol w:w="1417"/>
        <w:gridCol w:w="1276"/>
        <w:gridCol w:w="1276"/>
        <w:gridCol w:w="1385"/>
        <w:gridCol w:w="1308"/>
        <w:gridCol w:w="1560"/>
        <w:gridCol w:w="1418"/>
      </w:tblGrid>
      <w:tr>
        <w:trPr>
          <w:trHeight w:val="96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5"/>
              <w:ind w:left="22" w:right="133"/>
              <w:jc w:val="both"/>
              <w:rPr>
                <w:rFonts w:ascii="宋体" w:hAnsi="宋体" w:cs="宋体" w:eastAsia="宋体" w:hint="default"/>
                <w:sz w:val="18"/>
                <w:szCs w:val="18"/>
              </w:rPr>
            </w:pPr>
            <w:r>
              <w:rPr>
                <w:rFonts w:ascii="宋体" w:hAnsi="宋体" w:cs="宋体" w:eastAsia="宋体" w:hint="default"/>
                <w:sz w:val="18"/>
                <w:szCs w:val="18"/>
              </w:rPr>
              <w:t>荣文化 发展有 限公司</w:t>
            </w:r>
          </w:p>
        </w:tc>
        <w:tc>
          <w:tcPr>
            <w:tcW w:w="1560" w:type="dxa"/>
            <w:tcBorders>
              <w:top w:val="single" w:sz="15" w:space="0" w:color="000000"/>
              <w:left w:val="single" w:sz="4" w:space="0" w:color="000000"/>
              <w:bottom w:val="single" w:sz="4" w:space="0" w:color="000000"/>
              <w:right w:val="single" w:sz="4" w:space="0" w:color="000000"/>
            </w:tcBorders>
          </w:tcPr>
          <w:p>
            <w:pPr/>
          </w:p>
        </w:tc>
        <w:tc>
          <w:tcPr>
            <w:tcW w:w="1504" w:type="dxa"/>
            <w:tcBorders>
              <w:top w:val="single" w:sz="15" w:space="0" w:color="000000"/>
              <w:left w:val="single" w:sz="4" w:space="0" w:color="000000"/>
              <w:bottom w:val="single" w:sz="4" w:space="0" w:color="000000"/>
              <w:right w:val="single" w:sz="4" w:space="0" w:color="000000"/>
            </w:tcBorders>
          </w:tcPr>
          <w:p>
            <w:pPr/>
          </w:p>
        </w:tc>
        <w:tc>
          <w:tcPr>
            <w:tcW w:w="1330" w:type="dxa"/>
            <w:tcBorders>
              <w:top w:val="single" w:sz="15" w:space="0" w:color="000000"/>
              <w:left w:val="single" w:sz="4" w:space="0" w:color="000000"/>
              <w:bottom w:val="single" w:sz="4" w:space="0" w:color="000000"/>
              <w:right w:val="single" w:sz="4" w:space="0" w:color="000000"/>
            </w:tcBorders>
          </w:tcPr>
          <w:p>
            <w:pPr/>
          </w:p>
        </w:tc>
        <w:tc>
          <w:tcPr>
            <w:tcW w:w="1703"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385" w:type="dxa"/>
            <w:tcBorders>
              <w:top w:val="single" w:sz="15" w:space="0" w:color="000000"/>
              <w:left w:val="single" w:sz="4" w:space="0" w:color="000000"/>
              <w:bottom w:val="single" w:sz="4" w:space="0" w:color="000000"/>
              <w:right w:val="single" w:sz="4" w:space="0" w:color="000000"/>
            </w:tcBorders>
          </w:tcPr>
          <w:p>
            <w:pPr/>
          </w:p>
        </w:tc>
        <w:tc>
          <w:tcPr>
            <w:tcW w:w="1308"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6" w:space="0" w:color="000000"/>
              <w:left w:val="single" w:sz="4" w:space="0" w:color="000000"/>
              <w:bottom w:val="single" w:sz="4" w:space="0" w:color="000000"/>
              <w:right w:val="single" w:sz="4" w:space="0" w:color="000000"/>
            </w:tcBorders>
          </w:tcPr>
          <w:p>
            <w:pPr/>
          </w:p>
        </w:tc>
      </w:tr>
      <w:tr>
        <w:trPr>
          <w:trHeight w:val="18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33"/>
              <w:jc w:val="both"/>
              <w:rPr>
                <w:rFonts w:ascii="宋体" w:hAnsi="宋体" w:cs="宋体" w:eastAsia="宋体" w:hint="default"/>
                <w:sz w:val="18"/>
                <w:szCs w:val="18"/>
              </w:rPr>
            </w:pPr>
            <w:r>
              <w:rPr>
                <w:rFonts w:ascii="宋体" w:hAnsi="宋体" w:cs="宋体" w:eastAsia="宋体" w:hint="default"/>
                <w:sz w:val="18"/>
                <w:szCs w:val="18"/>
              </w:rPr>
              <w:t>北京华 益维新 投资管 理咨询 有限责 任公司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3"/>
              <w:jc w:val="both"/>
              <w:rPr>
                <w:rFonts w:ascii="宋体" w:hAnsi="宋体" w:cs="宋体" w:eastAsia="宋体" w:hint="default"/>
                <w:sz w:val="18"/>
                <w:szCs w:val="18"/>
              </w:rPr>
            </w:pPr>
            <w:r>
              <w:rPr>
                <w:rFonts w:ascii="宋体" w:hAnsi="宋体" w:cs="宋体" w:eastAsia="宋体" w:hint="default"/>
                <w:sz w:val="18"/>
                <w:szCs w:val="18"/>
              </w:rPr>
              <w:t>陕西泽 润传媒 发展有 限公司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33"/>
              <w:jc w:val="left"/>
              <w:rPr>
                <w:rFonts w:ascii="宋体" w:hAnsi="宋体" w:cs="宋体" w:eastAsia="宋体" w:hint="default"/>
                <w:sz w:val="18"/>
                <w:szCs w:val="18"/>
              </w:rPr>
            </w:pPr>
            <w:r>
              <w:rPr>
                <w:rFonts w:ascii="宋体" w:hAnsi="宋体" w:cs="宋体" w:eastAsia="宋体" w:hint="default"/>
                <w:sz w:val="18"/>
                <w:szCs w:val="18"/>
              </w:rPr>
              <w:t>环球智 达</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125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0"/>
              <w:jc w:val="left"/>
              <w:rPr>
                <w:rFonts w:ascii="宋体" w:hAnsi="宋体" w:cs="宋体" w:eastAsia="宋体" w:hint="default"/>
                <w:sz w:val="18"/>
                <w:szCs w:val="18"/>
              </w:rPr>
            </w:pPr>
            <w:r>
              <w:rPr>
                <w:rFonts w:ascii="宋体" w:hAnsi="宋体" w:cs="宋体" w:eastAsia="宋体" w:hint="default"/>
                <w:spacing w:val="-17"/>
                <w:sz w:val="18"/>
                <w:szCs w:val="18"/>
              </w:rPr>
              <w:t>亲街（上</w:t>
            </w:r>
            <w:r>
              <w:rPr>
                <w:rFonts w:ascii="宋体" w:hAnsi="宋体" w:cs="宋体" w:eastAsia="宋体" w:hint="default"/>
                <w:sz w:val="18"/>
                <w:szCs w:val="18"/>
              </w:rPr>
              <w:t> </w:t>
            </w:r>
            <w:r>
              <w:rPr>
                <w:rFonts w:ascii="宋体" w:hAnsi="宋体" w:cs="宋体" w:eastAsia="宋体" w:hint="default"/>
                <w:spacing w:val="-17"/>
                <w:sz w:val="18"/>
                <w:szCs w:val="18"/>
              </w:rPr>
              <w:t>海）电子</w:t>
            </w:r>
            <w:r>
              <w:rPr>
                <w:rFonts w:ascii="宋体" w:hAnsi="宋体" w:cs="宋体" w:eastAsia="宋体" w:hint="default"/>
                <w:sz w:val="18"/>
                <w:szCs w:val="18"/>
              </w:rPr>
              <w:t> 商务有 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6,000,000.00</w:t>
            </w: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6,000,000.00</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3"/>
              <w:jc w:val="both"/>
              <w:rPr>
                <w:rFonts w:ascii="宋体" w:hAnsi="宋体" w:cs="宋体" w:eastAsia="宋体" w:hint="default"/>
                <w:sz w:val="18"/>
                <w:szCs w:val="18"/>
              </w:rPr>
            </w:pPr>
            <w:r>
              <w:rPr>
                <w:rFonts w:ascii="宋体" w:hAnsi="宋体" w:cs="宋体" w:eastAsia="宋体" w:hint="default"/>
                <w:sz w:val="18"/>
                <w:szCs w:val="18"/>
              </w:rPr>
              <w:t>广州国 漫文化 传播有 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398,634.17</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571" w:right="0"/>
              <w:jc w:val="left"/>
              <w:rPr>
                <w:rFonts w:ascii="宋体" w:hAnsi="宋体" w:cs="宋体" w:eastAsia="宋体" w:hint="default"/>
                <w:sz w:val="18"/>
                <w:szCs w:val="18"/>
              </w:rPr>
            </w:pPr>
            <w:r>
              <w:rPr>
                <w:rFonts w:ascii="宋体"/>
                <w:sz w:val="18"/>
              </w:rPr>
              <w:t>500,000.00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96" w:right="0"/>
              <w:jc w:val="left"/>
              <w:rPr>
                <w:rFonts w:ascii="宋体" w:hAnsi="宋体" w:cs="宋体" w:eastAsia="宋体" w:hint="default"/>
                <w:sz w:val="18"/>
                <w:szCs w:val="18"/>
              </w:rPr>
            </w:pPr>
            <w:r>
              <w:rPr>
                <w:rFonts w:ascii="宋体"/>
                <w:sz w:val="18"/>
              </w:rPr>
              <w:t>450,000.00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-17,588.08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431,046.09</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19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33"/>
              <w:jc w:val="both"/>
              <w:rPr>
                <w:rFonts w:ascii="宋体" w:hAnsi="宋体" w:cs="宋体" w:eastAsia="宋体" w:hint="default"/>
                <w:sz w:val="18"/>
                <w:szCs w:val="18"/>
              </w:rPr>
            </w:pPr>
            <w:r>
              <w:rPr>
                <w:rFonts w:ascii="宋体" w:hAnsi="宋体" w:cs="宋体" w:eastAsia="宋体" w:hint="default"/>
                <w:sz w:val="18"/>
                <w:szCs w:val="18"/>
              </w:rPr>
              <w:t>江苏振 江新能 源装备 股份有 限公司</w:t>
            </w:r>
          </w:p>
          <w:p>
            <w:pPr>
              <w:pStyle w:val="TableParagraph"/>
              <w:spacing w:line="316" w:lineRule="auto" w:before="19"/>
              <w:ind w:left="22" w:right="43"/>
              <w:jc w:val="both"/>
              <w:rPr>
                <w:rFonts w:ascii="宋体" w:hAnsi="宋体" w:cs="宋体" w:eastAsia="宋体" w:hint="default"/>
                <w:sz w:val="18"/>
                <w:szCs w:val="18"/>
              </w:rPr>
            </w:pPr>
            <w:r>
              <w:rPr>
                <w:rFonts w:ascii="宋体" w:hAnsi="宋体" w:cs="宋体" w:eastAsia="宋体" w:hint="default"/>
                <w:sz w:val="18"/>
                <w:szCs w:val="18"/>
              </w:rPr>
              <w:t>（以下 简称为</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23"/>
              <w:jc w:val="right"/>
              <w:rPr>
                <w:rFonts w:ascii="宋体" w:hAnsi="宋体" w:cs="宋体" w:eastAsia="宋体" w:hint="default"/>
                <w:sz w:val="18"/>
                <w:szCs w:val="18"/>
              </w:rPr>
            </w:pPr>
            <w:r>
              <w:rPr>
                <w:rFonts w:ascii="宋体"/>
                <w:sz w:val="18"/>
              </w:rPr>
              <w:t>240,691,497.71</w:t>
            </w: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20"/>
              <w:jc w:val="right"/>
              <w:rPr>
                <w:rFonts w:ascii="宋体" w:hAnsi="宋体" w:cs="宋体" w:eastAsia="宋体" w:hint="default"/>
                <w:sz w:val="18"/>
                <w:szCs w:val="18"/>
              </w:rPr>
            </w:pPr>
            <w:r>
              <w:rPr>
                <w:rFonts w:ascii="宋体"/>
                <w:sz w:val="18"/>
              </w:rPr>
              <w:t>9,072,323.65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63" w:right="0"/>
              <w:jc w:val="left"/>
              <w:rPr>
                <w:rFonts w:ascii="宋体" w:hAnsi="宋体" w:cs="宋体" w:eastAsia="宋体" w:hint="default"/>
                <w:sz w:val="18"/>
                <w:szCs w:val="18"/>
              </w:rPr>
            </w:pPr>
            <w:r>
              <w:rPr>
                <w:rFonts w:ascii="宋体"/>
                <w:sz w:val="18"/>
              </w:rPr>
              <w:t>5,422,179.00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21"/>
              <w:jc w:val="right"/>
              <w:rPr>
                <w:rFonts w:ascii="宋体" w:hAnsi="宋体" w:cs="宋体" w:eastAsia="宋体" w:hint="default"/>
                <w:sz w:val="18"/>
                <w:szCs w:val="18"/>
              </w:rPr>
            </w:pPr>
            <w:r>
              <w:rPr>
                <w:rFonts w:ascii="宋体"/>
                <w:sz w:val="18"/>
              </w:rPr>
              <w:t>244,341,642.36</w:t>
            </w: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40" w:right="100"/>
        </w:sectPr>
      </w:pPr>
    </w:p>
    <w:p>
      <w:pPr>
        <w:spacing w:line="240" w:lineRule="auto" w:before="4"/>
        <w:rPr>
          <w:rFonts w:ascii="Times New Roman" w:hAnsi="Times New Roman" w:cs="Times New Roman" w:eastAsia="Times New Roman" w:hint="default"/>
          <w:sz w:val="3"/>
          <w:szCs w:val="3"/>
        </w:rPr>
      </w:pPr>
      <w:r>
        <w:rPr/>
        <w:pict>
          <v:group style="position:absolute;margin-left:43.919998pt;margin-top:268.839996pt;width:77.4pt;height:39pt;mso-position-horizontal-relative:page;mso-position-vertical-relative:page;z-index:-1491184" coordorigin="878,5377" coordsize="1548,780">
            <v:shape style="position:absolute;left:878;top:5377;width:1548;height:780" coordorigin="878,5377" coordsize="1548,780" path="m878,6157l2426,6157,2426,5377,878,5377,878,6157xe" filled="true" fillcolor="#ffffff" stroked="false">
              <v:path arrowok="t"/>
              <v:fill type="solid"/>
            </v:shape>
            <w10:wrap type="none"/>
          </v:group>
        </w:pict>
      </w:r>
    </w:p>
    <w:tbl>
      <w:tblPr>
        <w:tblW w:w="0" w:type="auto"/>
        <w:jc w:val="left"/>
        <w:tblInd w:w="119" w:type="dxa"/>
        <w:tblLayout w:type="fixed"/>
        <w:tblCellMar>
          <w:top w:w="0" w:type="dxa"/>
          <w:left w:w="0" w:type="dxa"/>
          <w:bottom w:w="0" w:type="dxa"/>
          <w:right w:w="0" w:type="dxa"/>
        </w:tblCellMar>
        <w:tblLook w:val="01E0"/>
      </w:tblPr>
      <w:tblGrid>
        <w:gridCol w:w="708"/>
        <w:gridCol w:w="1560"/>
        <w:gridCol w:w="1504"/>
        <w:gridCol w:w="1330"/>
        <w:gridCol w:w="1703"/>
        <w:gridCol w:w="1417"/>
        <w:gridCol w:w="1276"/>
        <w:gridCol w:w="1276"/>
        <w:gridCol w:w="1385"/>
        <w:gridCol w:w="1308"/>
        <w:gridCol w:w="1560"/>
        <w:gridCol w:w="1418"/>
      </w:tblGrid>
      <w:tr>
        <w:trPr>
          <w:trHeight w:val="64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5"/>
              <w:ind w:left="22" w:right="133"/>
              <w:jc w:val="left"/>
              <w:rPr>
                <w:rFonts w:ascii="宋体" w:hAnsi="宋体" w:cs="宋体" w:eastAsia="宋体" w:hint="default"/>
                <w:sz w:val="18"/>
                <w:szCs w:val="18"/>
              </w:rPr>
            </w:pPr>
            <w:r>
              <w:rPr>
                <w:rFonts w:ascii="宋体" w:hAnsi="宋体" w:cs="宋体" w:eastAsia="宋体" w:hint="default"/>
                <w:sz w:val="18"/>
                <w:szCs w:val="18"/>
              </w:rPr>
              <w:t>振江股 份</w:t>
            </w:r>
            <w:r>
              <w:rPr>
                <w:rFonts w:ascii="宋体" w:hAnsi="宋体" w:cs="宋体" w:eastAsia="宋体" w:hint="default"/>
                <w:sz w:val="18"/>
                <w:szCs w:val="18"/>
              </w:rPr>
              <w:t>"</w:t>
            </w:r>
            <w:r>
              <w:rPr>
                <w:rFonts w:ascii="宋体" w:hAnsi="宋体" w:cs="宋体" w:eastAsia="宋体" w:hint="default"/>
                <w:sz w:val="18"/>
                <w:szCs w:val="18"/>
              </w:rPr>
              <w:t>）</w:t>
            </w:r>
          </w:p>
        </w:tc>
        <w:tc>
          <w:tcPr>
            <w:tcW w:w="1560" w:type="dxa"/>
            <w:tcBorders>
              <w:top w:val="single" w:sz="15" w:space="0" w:color="000000"/>
              <w:left w:val="single" w:sz="4" w:space="0" w:color="000000"/>
              <w:bottom w:val="single" w:sz="4" w:space="0" w:color="000000"/>
              <w:right w:val="single" w:sz="4" w:space="0" w:color="000000"/>
            </w:tcBorders>
          </w:tcPr>
          <w:p>
            <w:pPr/>
          </w:p>
        </w:tc>
        <w:tc>
          <w:tcPr>
            <w:tcW w:w="1504" w:type="dxa"/>
            <w:tcBorders>
              <w:top w:val="single" w:sz="15" w:space="0" w:color="000000"/>
              <w:left w:val="single" w:sz="4" w:space="0" w:color="000000"/>
              <w:bottom w:val="single" w:sz="4" w:space="0" w:color="000000"/>
              <w:right w:val="single" w:sz="4" w:space="0" w:color="000000"/>
            </w:tcBorders>
          </w:tcPr>
          <w:p>
            <w:pPr/>
          </w:p>
        </w:tc>
        <w:tc>
          <w:tcPr>
            <w:tcW w:w="1330" w:type="dxa"/>
            <w:tcBorders>
              <w:top w:val="single" w:sz="15" w:space="0" w:color="000000"/>
              <w:left w:val="single" w:sz="4" w:space="0" w:color="000000"/>
              <w:bottom w:val="single" w:sz="4" w:space="0" w:color="000000"/>
              <w:right w:val="single" w:sz="4" w:space="0" w:color="000000"/>
            </w:tcBorders>
          </w:tcPr>
          <w:p>
            <w:pPr/>
          </w:p>
        </w:tc>
        <w:tc>
          <w:tcPr>
            <w:tcW w:w="1703"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385" w:type="dxa"/>
            <w:tcBorders>
              <w:top w:val="single" w:sz="15" w:space="0" w:color="000000"/>
              <w:left w:val="single" w:sz="4" w:space="0" w:color="000000"/>
              <w:bottom w:val="single" w:sz="4" w:space="0" w:color="000000"/>
              <w:right w:val="single" w:sz="4" w:space="0" w:color="000000"/>
            </w:tcBorders>
          </w:tcPr>
          <w:p>
            <w:pPr/>
          </w:p>
        </w:tc>
        <w:tc>
          <w:tcPr>
            <w:tcW w:w="1308"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6" w:space="0" w:color="000000"/>
              <w:left w:val="single" w:sz="4" w:space="0" w:color="000000"/>
              <w:bottom w:val="single" w:sz="4" w:space="0" w:color="000000"/>
              <w:right w:val="single" w:sz="4" w:space="0" w:color="000000"/>
            </w:tcBorders>
          </w:tcPr>
          <w:p>
            <w:pPr/>
          </w:p>
        </w:tc>
      </w:tr>
      <w:tr>
        <w:trPr>
          <w:trHeight w:val="250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0"/>
              <w:jc w:val="left"/>
              <w:rPr>
                <w:rFonts w:ascii="宋体" w:hAnsi="宋体" w:cs="宋体" w:eastAsia="宋体" w:hint="default"/>
                <w:sz w:val="18"/>
                <w:szCs w:val="18"/>
              </w:rPr>
            </w:pPr>
            <w:r>
              <w:rPr>
                <w:rFonts w:ascii="宋体" w:hAnsi="宋体" w:cs="宋体" w:eastAsia="宋体" w:hint="default"/>
                <w:sz w:val="18"/>
                <w:szCs w:val="18"/>
              </w:rPr>
              <w:t>国广联 合文化 </w:t>
            </w:r>
            <w:r>
              <w:rPr>
                <w:rFonts w:ascii="宋体" w:hAnsi="宋体" w:cs="宋体" w:eastAsia="宋体" w:hint="default"/>
                <w:spacing w:val="-17"/>
                <w:sz w:val="18"/>
                <w:szCs w:val="18"/>
              </w:rPr>
              <w:t>发展（北</w:t>
            </w:r>
            <w:r>
              <w:rPr>
                <w:rFonts w:ascii="宋体" w:hAnsi="宋体" w:cs="宋体" w:eastAsia="宋体" w:hint="default"/>
                <w:sz w:val="18"/>
                <w:szCs w:val="18"/>
              </w:rPr>
              <w:t> </w:t>
            </w:r>
            <w:r>
              <w:rPr>
                <w:rFonts w:ascii="宋体" w:hAnsi="宋体" w:cs="宋体" w:eastAsia="宋体" w:hint="default"/>
                <w:spacing w:val="-17"/>
                <w:sz w:val="18"/>
                <w:szCs w:val="18"/>
              </w:rPr>
              <w:t>京）有限</w:t>
            </w:r>
            <w:r>
              <w:rPr>
                <w:rFonts w:ascii="宋体" w:hAnsi="宋体" w:cs="宋体" w:eastAsia="宋体" w:hint="default"/>
                <w:sz w:val="18"/>
                <w:szCs w:val="18"/>
              </w:rPr>
              <w:t> </w:t>
            </w:r>
            <w:r>
              <w:rPr>
                <w:rFonts w:ascii="宋体" w:hAnsi="宋体" w:cs="宋体" w:eastAsia="宋体" w:hint="default"/>
                <w:spacing w:val="-17"/>
                <w:sz w:val="18"/>
                <w:szCs w:val="18"/>
              </w:rPr>
              <w:t>公司（以</w:t>
            </w:r>
            <w:r>
              <w:rPr>
                <w:rFonts w:ascii="宋体" w:hAnsi="宋体" w:cs="宋体" w:eastAsia="宋体" w:hint="default"/>
                <w:sz w:val="18"/>
                <w:szCs w:val="18"/>
              </w:rPr>
              <w:t> 下简称 为</w:t>
            </w:r>
            <w:r>
              <w:rPr>
                <w:rFonts w:ascii="宋体" w:hAnsi="宋体" w:cs="宋体" w:eastAsia="宋体" w:hint="default"/>
                <w:sz w:val="18"/>
                <w:szCs w:val="18"/>
              </w:rPr>
              <w:t>"</w:t>
            </w:r>
            <w:r>
              <w:rPr>
                <w:rFonts w:ascii="宋体" w:hAnsi="宋体" w:cs="宋体" w:eastAsia="宋体" w:hint="default"/>
                <w:sz w:val="18"/>
                <w:szCs w:val="18"/>
              </w:rPr>
              <w:t>国广 联合</w:t>
            </w:r>
            <w:r>
              <w:rPr>
                <w:rFonts w:ascii="宋体" w:hAnsi="宋体" w:cs="宋体" w:eastAsia="宋体" w:hint="default"/>
                <w:sz w:val="18"/>
                <w:szCs w:val="18"/>
              </w:rPr>
              <w:t>"</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20,903,564.95</w:t>
            </w: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-2,902,784.17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433" w:right="0"/>
              <w:jc w:val="left"/>
              <w:rPr>
                <w:rFonts w:ascii="宋体" w:hAnsi="宋体" w:cs="宋体" w:eastAsia="宋体" w:hint="default"/>
                <w:sz w:val="18"/>
                <w:szCs w:val="18"/>
              </w:rPr>
            </w:pPr>
            <w:r>
              <w:rPr>
                <w:rFonts w:ascii="宋体"/>
                <w:sz w:val="18"/>
              </w:rPr>
              <w:t>24,056.54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宋体" w:hAnsi="宋体" w:cs="宋体" w:eastAsia="宋体" w:hint="default"/>
                <w:sz w:val="18"/>
                <w:szCs w:val="18"/>
              </w:rPr>
            </w:pPr>
            <w:r>
              <w:rPr>
                <w:rFonts w:ascii="宋体"/>
                <w:sz w:val="18"/>
              </w:rPr>
              <w:t>18,024,837.32</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708"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10"/>
              <w:ind w:left="22" w:right="128"/>
              <w:jc w:val="both"/>
              <w:rPr>
                <w:rFonts w:ascii="宋体" w:hAnsi="宋体" w:cs="宋体" w:eastAsia="宋体" w:hint="default"/>
                <w:sz w:val="18"/>
                <w:szCs w:val="18"/>
              </w:rPr>
            </w:pPr>
            <w:r>
              <w:rPr>
                <w:rFonts w:ascii="宋体" w:hAnsi="宋体" w:cs="宋体" w:eastAsia="宋体" w:hint="default"/>
                <w:sz w:val="18"/>
                <w:szCs w:val="18"/>
              </w:rPr>
              <w:t>二十一 世纪晨 哨数据</w:t>
            </w:r>
          </w:p>
          <w:p>
            <w:pPr>
              <w:pStyle w:val="TableParagraph"/>
              <w:spacing w:line="316" w:lineRule="auto" w:before="17"/>
              <w:ind w:left="22" w:right="-52"/>
              <w:jc w:val="left"/>
              <w:rPr>
                <w:rFonts w:ascii="宋体" w:hAnsi="宋体" w:cs="宋体" w:eastAsia="宋体" w:hint="default"/>
                <w:sz w:val="18"/>
                <w:szCs w:val="18"/>
              </w:rPr>
            </w:pPr>
            <w:r>
              <w:rPr>
                <w:rFonts w:ascii="宋体" w:hAnsi="宋体" w:cs="宋体" w:eastAsia="宋体" w:hint="default"/>
                <w:sz w:val="18"/>
                <w:szCs w:val="18"/>
              </w:rPr>
              <w:t>（上海） 有限公</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司</w:t>
            </w:r>
          </w:p>
        </w:tc>
        <w:tc>
          <w:tcPr>
            <w:tcW w:w="156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23,928,750.66</w:t>
            </w: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-1,031,406.91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22,897,343.75</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50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33"/>
              <w:jc w:val="both"/>
              <w:rPr>
                <w:rFonts w:ascii="宋体" w:hAnsi="宋体" w:cs="宋体" w:eastAsia="宋体" w:hint="default"/>
                <w:sz w:val="18"/>
                <w:szCs w:val="18"/>
              </w:rPr>
            </w:pPr>
            <w:r>
              <w:rPr>
                <w:rFonts w:ascii="宋体" w:hAnsi="宋体" w:cs="宋体" w:eastAsia="宋体" w:hint="default"/>
                <w:sz w:val="18"/>
                <w:szCs w:val="18"/>
              </w:rPr>
              <w:t>上海奇 势信息 科技有 限公司</w:t>
            </w:r>
          </w:p>
          <w:p>
            <w:pPr>
              <w:pStyle w:val="TableParagraph"/>
              <w:spacing w:line="319" w:lineRule="auto" w:before="19"/>
              <w:ind w:left="22" w:right="43"/>
              <w:jc w:val="left"/>
              <w:rPr>
                <w:rFonts w:ascii="宋体" w:hAnsi="宋体" w:cs="宋体" w:eastAsia="宋体" w:hint="default"/>
                <w:sz w:val="18"/>
                <w:szCs w:val="18"/>
              </w:rPr>
            </w:pPr>
            <w:r>
              <w:rPr>
                <w:rFonts w:ascii="宋体" w:hAnsi="宋体" w:cs="宋体" w:eastAsia="宋体" w:hint="default"/>
                <w:sz w:val="18"/>
                <w:szCs w:val="18"/>
              </w:rPr>
              <w:t>（以下 简称为</w:t>
            </w:r>
            <w:r>
              <w:rPr>
                <w:rFonts w:ascii="宋体" w:hAnsi="宋体" w:cs="宋体" w:eastAsia="宋体" w:hint="default"/>
                <w:sz w:val="18"/>
                <w:szCs w:val="18"/>
              </w:rPr>
              <w:t>" </w:t>
            </w:r>
            <w:r>
              <w:rPr>
                <w:rFonts w:ascii="宋体" w:hAnsi="宋体" w:cs="宋体" w:eastAsia="宋体" w:hint="default"/>
                <w:sz w:val="18"/>
                <w:szCs w:val="18"/>
              </w:rPr>
              <w:t>上海奇 势</w:t>
            </w:r>
            <w:r>
              <w:rPr>
                <w:rFonts w:ascii="宋体" w:hAnsi="宋体" w:cs="宋体" w:eastAsia="宋体" w:hint="default"/>
                <w:sz w:val="18"/>
                <w:szCs w:val="18"/>
              </w:rPr>
              <w:t>"</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13,053,737.68</w:t>
            </w: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-472,416.40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宋体" w:hAnsi="宋体" w:cs="宋体" w:eastAsia="宋体" w:hint="default"/>
                <w:sz w:val="18"/>
                <w:szCs w:val="18"/>
              </w:rPr>
            </w:pPr>
            <w:r>
              <w:rPr>
                <w:rFonts w:ascii="宋体"/>
                <w:sz w:val="18"/>
              </w:rPr>
              <w:t>12,581,321.28</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18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0"/>
              <w:jc w:val="left"/>
              <w:rPr>
                <w:rFonts w:ascii="宋体" w:hAnsi="宋体" w:cs="宋体" w:eastAsia="宋体" w:hint="default"/>
                <w:sz w:val="18"/>
                <w:szCs w:val="18"/>
              </w:rPr>
            </w:pPr>
            <w:r>
              <w:rPr>
                <w:rFonts w:ascii="宋体" w:hAnsi="宋体" w:cs="宋体" w:eastAsia="宋体" w:hint="default"/>
                <w:sz w:val="18"/>
                <w:szCs w:val="18"/>
              </w:rPr>
              <w:t>东海证 券股份 有限公 </w:t>
            </w:r>
            <w:r>
              <w:rPr>
                <w:rFonts w:ascii="宋体" w:hAnsi="宋体" w:cs="宋体" w:eastAsia="宋体" w:hint="default"/>
                <w:spacing w:val="-17"/>
                <w:sz w:val="18"/>
                <w:szCs w:val="18"/>
              </w:rPr>
              <w:t>司（以下</w:t>
            </w:r>
            <w:r>
              <w:rPr>
                <w:rFonts w:ascii="宋体" w:hAnsi="宋体" w:cs="宋体" w:eastAsia="宋体" w:hint="default"/>
                <w:sz w:val="18"/>
                <w:szCs w:val="18"/>
              </w:rPr>
              <w:t> 简称为</w:t>
            </w:r>
            <w:r>
              <w:rPr>
                <w:rFonts w:ascii="宋体" w:hAnsi="宋体" w:cs="宋体" w:eastAsia="宋体" w:hint="default"/>
                <w:sz w:val="18"/>
                <w:szCs w:val="18"/>
              </w:rPr>
              <w:t>" </w:t>
            </w:r>
            <w:r>
              <w:rPr>
                <w:rFonts w:ascii="宋体" w:hAnsi="宋体" w:cs="宋体" w:eastAsia="宋体" w:hint="default"/>
                <w:sz w:val="18"/>
                <w:szCs w:val="18"/>
              </w:rPr>
              <w:t>东海证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2,257,847,351.07</w:t>
            </w: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8,042,349.27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sz w:val="18"/>
              </w:rPr>
              <w:t>-13,221,114.15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sz w:val="18"/>
              </w:rPr>
              <w:t>295,280.00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92" w:right="0"/>
              <w:jc w:val="left"/>
              <w:rPr>
                <w:rFonts w:ascii="宋体" w:hAnsi="宋体" w:cs="宋体" w:eastAsia="宋体" w:hint="default"/>
                <w:sz w:val="18"/>
                <w:szCs w:val="18"/>
              </w:rPr>
            </w:pPr>
            <w:r>
              <w:rPr>
                <w:rFonts w:ascii="宋体"/>
                <w:sz w:val="18"/>
              </w:rPr>
              <w:t>867,096,806.19</w:t>
            </w: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1,385,276,500.00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26" w:right="0"/>
              <w:jc w:val="left"/>
              <w:rPr>
                <w:rFonts w:ascii="宋体" w:hAnsi="宋体" w:cs="宋体" w:eastAsia="宋体" w:hint="default"/>
                <w:sz w:val="18"/>
                <w:szCs w:val="18"/>
              </w:rPr>
            </w:pPr>
            <w:r>
              <w:rPr>
                <w:rFonts w:ascii="宋体"/>
                <w:sz w:val="18"/>
              </w:rPr>
              <w:t>867,096,806.19</w:t>
            </w:r>
          </w:p>
        </w:tc>
      </w:tr>
    </w:tbl>
    <w:p>
      <w:pPr>
        <w:spacing w:after="0" w:line="240" w:lineRule="auto"/>
        <w:jc w:val="left"/>
        <w:rPr>
          <w:rFonts w:ascii="宋体" w:hAnsi="宋体" w:cs="宋体" w:eastAsia="宋体" w:hint="default"/>
          <w:sz w:val="18"/>
          <w:szCs w:val="18"/>
        </w:rPr>
        <w:sectPr>
          <w:footerReference w:type="default" r:id="rId47"/>
          <w:pgSz w:w="16840" w:h="11910" w:orient="landscape"/>
          <w:pgMar w:footer="979" w:header="867" w:top="1060" w:bottom="1160" w:left="40" w:right="100"/>
        </w:sectPr>
      </w:pPr>
    </w:p>
    <w:p>
      <w:pPr>
        <w:spacing w:line="240" w:lineRule="auto" w:before="4"/>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708"/>
        <w:gridCol w:w="1560"/>
        <w:gridCol w:w="1504"/>
        <w:gridCol w:w="1330"/>
        <w:gridCol w:w="1703"/>
        <w:gridCol w:w="1417"/>
        <w:gridCol w:w="1276"/>
        <w:gridCol w:w="1276"/>
        <w:gridCol w:w="1385"/>
        <w:gridCol w:w="1308"/>
        <w:gridCol w:w="1560"/>
        <w:gridCol w:w="1418"/>
      </w:tblGrid>
      <w:tr>
        <w:trPr>
          <w:trHeight w:val="33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券</w:t>
            </w:r>
            <w:r>
              <w:rPr>
                <w:rFonts w:ascii="宋体" w:hAnsi="宋体" w:cs="宋体" w:eastAsia="宋体" w:hint="default"/>
                <w:sz w:val="18"/>
                <w:szCs w:val="18"/>
              </w:rPr>
              <w:t>"</w:t>
            </w:r>
            <w:r>
              <w:rPr>
                <w:rFonts w:ascii="宋体" w:hAnsi="宋体" w:cs="宋体" w:eastAsia="宋体" w:hint="default"/>
                <w:sz w:val="18"/>
                <w:szCs w:val="18"/>
              </w:rPr>
              <w:t>）</w:t>
            </w:r>
          </w:p>
        </w:tc>
        <w:tc>
          <w:tcPr>
            <w:tcW w:w="1560" w:type="dxa"/>
            <w:tcBorders>
              <w:top w:val="single" w:sz="15" w:space="0" w:color="000000"/>
              <w:left w:val="single" w:sz="4" w:space="0" w:color="000000"/>
              <w:bottom w:val="single" w:sz="4" w:space="0" w:color="000000"/>
              <w:right w:val="single" w:sz="4" w:space="0" w:color="000000"/>
            </w:tcBorders>
          </w:tcPr>
          <w:p>
            <w:pPr/>
          </w:p>
        </w:tc>
        <w:tc>
          <w:tcPr>
            <w:tcW w:w="1504" w:type="dxa"/>
            <w:tcBorders>
              <w:top w:val="single" w:sz="15" w:space="0" w:color="000000"/>
              <w:left w:val="single" w:sz="4" w:space="0" w:color="000000"/>
              <w:bottom w:val="single" w:sz="4" w:space="0" w:color="000000"/>
              <w:right w:val="single" w:sz="4" w:space="0" w:color="000000"/>
            </w:tcBorders>
          </w:tcPr>
          <w:p>
            <w:pPr/>
          </w:p>
        </w:tc>
        <w:tc>
          <w:tcPr>
            <w:tcW w:w="1330" w:type="dxa"/>
            <w:tcBorders>
              <w:top w:val="single" w:sz="15" w:space="0" w:color="000000"/>
              <w:left w:val="single" w:sz="4" w:space="0" w:color="000000"/>
              <w:bottom w:val="single" w:sz="4" w:space="0" w:color="000000"/>
              <w:right w:val="single" w:sz="4" w:space="0" w:color="000000"/>
            </w:tcBorders>
          </w:tcPr>
          <w:p>
            <w:pPr/>
          </w:p>
        </w:tc>
        <w:tc>
          <w:tcPr>
            <w:tcW w:w="1703"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385" w:type="dxa"/>
            <w:tcBorders>
              <w:top w:val="single" w:sz="15" w:space="0" w:color="000000"/>
              <w:left w:val="single" w:sz="4" w:space="0" w:color="000000"/>
              <w:bottom w:val="single" w:sz="4" w:space="0" w:color="000000"/>
              <w:right w:val="single" w:sz="4" w:space="0" w:color="000000"/>
            </w:tcBorders>
          </w:tcPr>
          <w:p>
            <w:pPr/>
          </w:p>
        </w:tc>
        <w:tc>
          <w:tcPr>
            <w:tcW w:w="1308"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6" w:space="0" w:color="000000"/>
              <w:left w:val="single" w:sz="4" w:space="0" w:color="000000"/>
              <w:bottom w:val="single" w:sz="4" w:space="0" w:color="000000"/>
              <w:right w:val="single" w:sz="4" w:space="0" w:color="000000"/>
            </w:tcBorders>
          </w:tcPr>
          <w:p>
            <w:pPr/>
          </w:p>
        </w:tc>
      </w:tr>
      <w:tr>
        <w:trPr>
          <w:trHeight w:val="250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22" w:right="20"/>
              <w:jc w:val="left"/>
              <w:rPr>
                <w:rFonts w:ascii="宋体" w:hAnsi="宋体" w:cs="宋体" w:eastAsia="宋体" w:hint="default"/>
                <w:sz w:val="18"/>
                <w:szCs w:val="18"/>
              </w:rPr>
            </w:pPr>
            <w:r>
              <w:rPr>
                <w:rFonts w:ascii="宋体" w:hAnsi="宋体" w:cs="宋体" w:eastAsia="宋体" w:hint="default"/>
                <w:sz w:val="18"/>
                <w:szCs w:val="18"/>
              </w:rPr>
              <w:t>深圳爱 玩网络 科技股 份有限 </w:t>
            </w:r>
            <w:r>
              <w:rPr>
                <w:rFonts w:ascii="宋体" w:hAnsi="宋体" w:cs="宋体" w:eastAsia="宋体" w:hint="default"/>
                <w:spacing w:val="-17"/>
                <w:sz w:val="18"/>
                <w:szCs w:val="18"/>
              </w:rPr>
              <w:t>公司（以</w:t>
            </w:r>
            <w:r>
              <w:rPr>
                <w:rFonts w:ascii="宋体" w:hAnsi="宋体" w:cs="宋体" w:eastAsia="宋体" w:hint="default"/>
                <w:sz w:val="18"/>
                <w:szCs w:val="18"/>
              </w:rPr>
              <w:t> 下简称 为</w:t>
            </w:r>
            <w:r>
              <w:rPr>
                <w:rFonts w:ascii="宋体" w:hAnsi="宋体" w:cs="宋体" w:eastAsia="宋体" w:hint="default"/>
                <w:sz w:val="18"/>
                <w:szCs w:val="18"/>
              </w:rPr>
              <w:t>"</w:t>
            </w:r>
            <w:r>
              <w:rPr>
                <w:rFonts w:ascii="宋体" w:hAnsi="宋体" w:cs="宋体" w:eastAsia="宋体" w:hint="default"/>
                <w:sz w:val="18"/>
                <w:szCs w:val="18"/>
              </w:rPr>
              <w:t>爱玩 网络</w:t>
            </w:r>
            <w:r>
              <w:rPr>
                <w:rFonts w:ascii="宋体" w:hAnsi="宋体" w:cs="宋体" w:eastAsia="宋体" w:hint="default"/>
                <w:sz w:val="18"/>
                <w:szCs w:val="18"/>
              </w:rPr>
              <w:t>"</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176,544,716.79</w:t>
            </w: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169,528.05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140" w:right="0"/>
              <w:jc w:val="center"/>
              <w:rPr>
                <w:rFonts w:ascii="宋体" w:hAnsi="宋体" w:cs="宋体" w:eastAsia="宋体" w:hint="default"/>
                <w:sz w:val="18"/>
                <w:szCs w:val="18"/>
              </w:rPr>
            </w:pPr>
            <w:r>
              <w:rPr>
                <w:rFonts w:ascii="宋体"/>
                <w:sz w:val="18"/>
              </w:rPr>
              <w:t>1,600,000.01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175,114,244.83</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3"/>
              <w:jc w:val="both"/>
              <w:rPr>
                <w:rFonts w:ascii="宋体" w:hAnsi="宋体" w:cs="宋体" w:eastAsia="宋体" w:hint="default"/>
                <w:sz w:val="18"/>
                <w:szCs w:val="18"/>
              </w:rPr>
            </w:pPr>
            <w:r>
              <w:rPr>
                <w:rFonts w:ascii="宋体" w:hAnsi="宋体" w:cs="宋体" w:eastAsia="宋体" w:hint="default"/>
                <w:sz w:val="18"/>
                <w:szCs w:val="18"/>
              </w:rPr>
              <w:t>北京奇 临信息 科技有 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36,023,205.91</w:t>
            </w: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2" w:right="0"/>
              <w:jc w:val="center"/>
              <w:rPr>
                <w:rFonts w:ascii="宋体" w:hAnsi="宋体" w:cs="宋体" w:eastAsia="宋体" w:hint="default"/>
                <w:sz w:val="18"/>
                <w:szCs w:val="18"/>
              </w:rPr>
            </w:pPr>
            <w:r>
              <w:rPr>
                <w:rFonts w:ascii="宋体"/>
                <w:sz w:val="18"/>
              </w:rPr>
              <w:t>36,023,205.91</w:t>
            </w:r>
          </w:p>
        </w:tc>
        <w:tc>
          <w:tcPr>
            <w:tcW w:w="170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大连闻 音科技 有限公 </w:t>
            </w:r>
            <w:r>
              <w:rPr>
                <w:rFonts w:ascii="宋体" w:hAnsi="宋体" w:cs="宋体" w:eastAsia="宋体" w:hint="default"/>
                <w:spacing w:val="-17"/>
                <w:sz w:val="18"/>
                <w:szCs w:val="18"/>
              </w:rPr>
              <w:t>司（以下</w:t>
            </w:r>
            <w:r>
              <w:rPr>
                <w:rFonts w:ascii="宋体" w:hAnsi="宋体" w:cs="宋体" w:eastAsia="宋体" w:hint="default"/>
                <w:sz w:val="18"/>
                <w:szCs w:val="18"/>
              </w:rPr>
              <w:t> 简称为</w:t>
            </w:r>
            <w:r>
              <w:rPr>
                <w:rFonts w:ascii="宋体" w:hAnsi="宋体" w:cs="宋体" w:eastAsia="宋体" w:hint="default"/>
                <w:sz w:val="18"/>
                <w:szCs w:val="18"/>
              </w:rPr>
              <w:t>" </w:t>
            </w:r>
            <w:r>
              <w:rPr>
                <w:rFonts w:ascii="宋体" w:hAnsi="宋体" w:cs="宋体" w:eastAsia="宋体" w:hint="default"/>
                <w:sz w:val="18"/>
                <w:szCs w:val="18"/>
              </w:rPr>
              <w:t>大连闻 音</w:t>
            </w:r>
            <w:r>
              <w:rPr>
                <w:rFonts w:ascii="宋体" w:hAnsi="宋体" w:cs="宋体" w:eastAsia="宋体" w:hint="default"/>
                <w:sz w:val="18"/>
                <w:szCs w:val="18"/>
              </w:rPr>
              <w:t>"</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20"/>
              <w:jc w:val="right"/>
              <w:rPr>
                <w:rFonts w:ascii="宋体" w:hAnsi="宋体" w:cs="宋体" w:eastAsia="宋体" w:hint="default"/>
                <w:sz w:val="18"/>
                <w:szCs w:val="18"/>
              </w:rPr>
            </w:pPr>
            <w:r>
              <w:rPr>
                <w:rFonts w:ascii="宋体"/>
                <w:sz w:val="18"/>
              </w:rPr>
              <w:t>960,000.00</w:t>
            </w:r>
          </w:p>
        </w:tc>
      </w:tr>
      <w:tr>
        <w:trPr>
          <w:trHeight w:val="250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2" w:right="133"/>
              <w:jc w:val="both"/>
              <w:rPr>
                <w:rFonts w:ascii="宋体" w:hAnsi="宋体" w:cs="宋体" w:eastAsia="宋体" w:hint="default"/>
                <w:sz w:val="18"/>
                <w:szCs w:val="18"/>
              </w:rPr>
            </w:pPr>
            <w:r>
              <w:rPr>
                <w:rFonts w:ascii="宋体" w:hAnsi="宋体" w:cs="宋体" w:eastAsia="宋体" w:hint="default"/>
                <w:sz w:val="18"/>
                <w:szCs w:val="18"/>
              </w:rPr>
              <w:t>北京恒 丰保险 经纪有 限公司</w:t>
            </w:r>
          </w:p>
          <w:p>
            <w:pPr>
              <w:pStyle w:val="TableParagraph"/>
              <w:spacing w:line="316" w:lineRule="auto" w:before="17"/>
              <w:ind w:left="22" w:right="43"/>
              <w:jc w:val="left"/>
              <w:rPr>
                <w:rFonts w:ascii="宋体" w:hAnsi="宋体" w:cs="宋体" w:eastAsia="宋体" w:hint="default"/>
                <w:sz w:val="18"/>
                <w:szCs w:val="18"/>
              </w:rPr>
            </w:pPr>
            <w:r>
              <w:rPr>
                <w:rFonts w:ascii="宋体" w:hAnsi="宋体" w:cs="宋体" w:eastAsia="宋体" w:hint="default"/>
                <w:sz w:val="18"/>
                <w:szCs w:val="18"/>
              </w:rPr>
              <w:t>（以下 简称</w:t>
            </w:r>
            <w:r>
              <w:rPr>
                <w:rFonts w:ascii="宋体" w:hAnsi="宋体" w:cs="宋体" w:eastAsia="宋体" w:hint="default"/>
                <w:sz w:val="18"/>
                <w:szCs w:val="18"/>
              </w:rPr>
              <w:t>"</w:t>
            </w:r>
            <w:r>
              <w:rPr>
                <w:rFonts w:ascii="宋体" w:hAnsi="宋体" w:cs="宋体" w:eastAsia="宋体" w:hint="default"/>
                <w:sz w:val="18"/>
                <w:szCs w:val="18"/>
              </w:rPr>
              <w:t>北 京恒丰 保险</w:t>
            </w:r>
            <w:r>
              <w:rPr>
                <w:rFonts w:ascii="宋体" w:hAnsi="宋体" w:cs="宋体" w:eastAsia="宋体" w:hint="default"/>
                <w:sz w:val="18"/>
                <w:szCs w:val="18"/>
              </w:rPr>
              <w:t>"</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330,053.02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25,600,000.00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宋体" w:hAnsi="宋体" w:cs="宋体" w:eastAsia="宋体" w:hint="default"/>
                <w:sz w:val="18"/>
                <w:szCs w:val="18"/>
              </w:rPr>
            </w:pPr>
            <w:r>
              <w:rPr>
                <w:rFonts w:ascii="宋体"/>
                <w:sz w:val="18"/>
              </w:rPr>
              <w:t>25,930,053.02</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3,646,233,158.22</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636,499,998.00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sz w:val="18"/>
              </w:rPr>
              <w:t>155,683,909.61</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-1,028,057,020.03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-35,723,400.29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 w:right="0"/>
              <w:jc w:val="center"/>
              <w:rPr>
                <w:rFonts w:ascii="宋体" w:hAnsi="宋体" w:cs="宋体" w:eastAsia="宋体" w:hint="default"/>
                <w:sz w:val="18"/>
                <w:szCs w:val="18"/>
              </w:rPr>
            </w:pPr>
            <w:r>
              <w:rPr>
                <w:rFonts w:ascii="宋体"/>
                <w:sz w:val="18"/>
              </w:rPr>
              <w:t>-8,284,679.21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 w:right="0"/>
              <w:jc w:val="center"/>
              <w:rPr>
                <w:rFonts w:ascii="宋体" w:hAnsi="宋体" w:cs="宋体" w:eastAsia="宋体" w:hint="default"/>
                <w:sz w:val="18"/>
                <w:szCs w:val="18"/>
              </w:rPr>
            </w:pPr>
            <w:r>
              <w:rPr>
                <w:rFonts w:ascii="宋体"/>
                <w:sz w:val="18"/>
              </w:rPr>
              <w:t>10,317,459.01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877,990,143.44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25,505,029.44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2,192,181,574.07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878,950,143.44</w:t>
            </w:r>
          </w:p>
        </w:tc>
      </w:tr>
      <w:tr>
        <w:trPr>
          <w:trHeight w:val="32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3,646,233,158.22</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636,499,998.00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sz w:val="18"/>
              </w:rPr>
              <w:t>155,683,909.61</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-1,028,057,020.03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-35,723,400.29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 w:right="0"/>
              <w:jc w:val="center"/>
              <w:rPr>
                <w:rFonts w:ascii="宋体" w:hAnsi="宋体" w:cs="宋体" w:eastAsia="宋体" w:hint="default"/>
                <w:sz w:val="18"/>
                <w:szCs w:val="18"/>
              </w:rPr>
            </w:pPr>
            <w:r>
              <w:rPr>
                <w:rFonts w:ascii="宋体"/>
                <w:sz w:val="18"/>
              </w:rPr>
              <w:t>-8,284,679.21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 w:right="0"/>
              <w:jc w:val="center"/>
              <w:rPr>
                <w:rFonts w:ascii="宋体" w:hAnsi="宋体" w:cs="宋体" w:eastAsia="宋体" w:hint="default"/>
                <w:sz w:val="18"/>
                <w:szCs w:val="18"/>
              </w:rPr>
            </w:pPr>
            <w:r>
              <w:rPr>
                <w:rFonts w:ascii="宋体"/>
                <w:sz w:val="18"/>
              </w:rPr>
              <w:t>10,317,459.01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877,990,143.44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25,505,029.44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2,192,181,574.07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878,950,143.44</w:t>
            </w:r>
          </w:p>
        </w:tc>
      </w:tr>
    </w:tbl>
    <w:p>
      <w:pPr>
        <w:spacing w:after="0" w:line="240" w:lineRule="auto"/>
        <w:jc w:val="right"/>
        <w:rPr>
          <w:rFonts w:ascii="宋体" w:hAnsi="宋体" w:cs="宋体" w:eastAsia="宋体" w:hint="default"/>
          <w:sz w:val="18"/>
          <w:szCs w:val="18"/>
        </w:rPr>
        <w:sectPr>
          <w:footerReference w:type="default" r:id="rId48"/>
          <w:pgSz w:w="16840" w:h="11910" w:orient="landscape"/>
          <w:pgMar w:footer="979" w:header="867" w:top="1060" w:bottom="1160" w:left="40" w:right="100"/>
        </w:sectPr>
      </w:pPr>
    </w:p>
    <w:p>
      <w:pPr>
        <w:spacing w:line="240" w:lineRule="auto" w:before="6"/>
        <w:rPr>
          <w:rFonts w:ascii="Times New Roman" w:hAnsi="Times New Roman" w:cs="Times New Roman" w:eastAsia="Times New Roman" w:hint="default"/>
          <w:sz w:val="23"/>
          <w:szCs w:val="23"/>
        </w:rPr>
      </w:pPr>
    </w:p>
    <w:p>
      <w:pPr>
        <w:pStyle w:val="Heading4"/>
        <w:spacing w:line="240" w:lineRule="auto" w:before="35"/>
        <w:ind w:right="0"/>
        <w:jc w:val="left"/>
        <w:rPr>
          <w:b w:val="0"/>
          <w:bCs w:val="0"/>
        </w:rPr>
      </w:pPr>
      <w:bookmarkStart w:name="12、投资性房地产" w:id="249"/>
      <w:bookmarkEnd w:id="249"/>
      <w:r>
        <w:rPr>
          <w:b w:val="0"/>
          <w:bCs w:val="0"/>
        </w:rPr>
      </w:r>
      <w:r>
        <w:rPr>
          <w:rFonts w:ascii="宋体" w:hAnsi="宋体" w:cs="宋体" w:eastAsia="宋体" w:hint="default"/>
        </w:rPr>
        <w:t>12</w:t>
      </w:r>
      <w:r>
        <w:rPr/>
        <w:t>、投资性房地产</w:t>
      </w:r>
      <w:r>
        <w:rPr>
          <w:b w:val="0"/>
          <w:bCs w:val="0"/>
        </w:rPr>
      </w:r>
    </w:p>
    <w:p>
      <w:pPr>
        <w:pStyle w:val="Heading4"/>
        <w:spacing w:line="240" w:lineRule="auto" w:before="157"/>
        <w:ind w:right="0"/>
        <w:jc w:val="left"/>
        <w:rPr>
          <w:b w:val="0"/>
          <w:bCs w:val="0"/>
        </w:rPr>
      </w:pPr>
      <w:bookmarkStart w:name="（1）采用成本计量模式的投资性房地产" w:id="250"/>
      <w:bookmarkEnd w:id="250"/>
      <w:r>
        <w:rPr>
          <w:b w:val="0"/>
          <w:bCs w:val="0"/>
        </w:rPr>
      </w:r>
      <w:r>
        <w:rPr/>
        <w:t>（</w:t>
      </w:r>
      <w:r>
        <w:rPr>
          <w:rFonts w:ascii="宋体" w:hAnsi="宋体" w:cs="宋体" w:eastAsia="宋体" w:hint="default"/>
        </w:rPr>
        <w:t>1</w:t>
      </w:r>
      <w:r>
        <w:rPr/>
        <w:t>）采用成本计量模式的投资性房地产</w:t>
      </w:r>
      <w:r>
        <w:rPr>
          <w:b w:val="0"/>
          <w:bCs w:val="0"/>
        </w:rPr>
      </w:r>
    </w:p>
    <w:p>
      <w:pPr>
        <w:spacing w:line="240" w:lineRule="auto" w:before="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headerReference w:type="default" r:id="rId49"/>
          <w:footerReference w:type="default" r:id="rId50"/>
          <w:pgSz w:w="11910" w:h="16840"/>
          <w:pgMar w:header="877" w:footer="979" w:top="1100" w:bottom="1160" w:left="980" w:right="0"/>
          <w:pgNumType w:start="202"/>
        </w:sectPr>
      </w:pPr>
    </w:p>
    <w:p>
      <w:pPr>
        <w:pStyle w:val="BodyText"/>
        <w:spacing w:line="240" w:lineRule="auto" w:before="35"/>
        <w:ind w:right="-20"/>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before="152"/>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39" w:space="6890"/>
            <w:col w:w="2101"/>
          </w:cols>
        </w:sectPr>
      </w:pP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77,343,383.67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77,343,383.67</w:t>
            </w: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9,504,135.77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9,504,135.77</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22" w:right="7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）存货</w:t>
            </w:r>
            <w:r>
              <w:rPr>
                <w:rFonts w:ascii="宋体" w:hAnsi="宋体" w:cs="宋体" w:eastAsia="宋体" w:hint="default"/>
                <w:sz w:val="18"/>
                <w:szCs w:val="18"/>
              </w:rPr>
              <w:t>\</w:t>
            </w:r>
            <w:r>
              <w:rPr>
                <w:rFonts w:ascii="宋体" w:hAnsi="宋体" w:cs="宋体" w:eastAsia="宋体" w:hint="default"/>
                <w:sz w:val="18"/>
                <w:szCs w:val="18"/>
              </w:rPr>
              <w:t>固定资 产</w:t>
            </w:r>
            <w:r>
              <w:rPr>
                <w:rFonts w:ascii="宋体" w:hAnsi="宋体" w:cs="宋体" w:eastAsia="宋体"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9,504,135.77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9,504,135.77</w:t>
            </w: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3</w:t>
            </w:r>
            <w:r>
              <w:rPr>
                <w:rFonts w:ascii="宋体" w:hAnsi="宋体" w:cs="宋体" w:eastAsia="宋体" w:hint="default"/>
                <w:spacing w:val="-2"/>
                <w:sz w:val="18"/>
                <w:szCs w:val="18"/>
              </w:rPr>
              <w:t>）企业合并增加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22,665,666.71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22,665,666.71</w:t>
            </w: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3</w:t>
            </w:r>
            <w:r>
              <w:rPr>
                <w:rFonts w:ascii="宋体" w:hAnsi="宋体" w:cs="宋体" w:eastAsia="宋体" w:hint="default"/>
                <w:spacing w:val="-4"/>
                <w:sz w:val="18"/>
                <w:szCs w:val="18"/>
              </w:rPr>
              <w:t>）转入固定资产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22,665,666.71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22,665,666.71</w:t>
            </w: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64,181,852.73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64,181,852.73</w:t>
            </w:r>
          </w:p>
        </w:tc>
      </w:tr>
      <w:tr>
        <w:trPr>
          <w:trHeight w:val="635"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24,880,770.76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24,880,770.76</w:t>
            </w: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3,647,305.09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3,647,305.09</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3,647,305.09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3,647,305.09</w:t>
            </w: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3,222,235.33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3,222,235.33</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）转入固定资产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3,222,235.33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3,222,235.33</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25,305,840.52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25,305,840.52</w:t>
            </w: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38,876,012.21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38,876,012.21</w:t>
            </w: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52,462,612.91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52,462,612.91</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0"/>
          <w:szCs w:val="20"/>
        </w:rPr>
      </w:pPr>
    </w:p>
    <w:p>
      <w:pPr>
        <w:pStyle w:val="Heading4"/>
        <w:spacing w:line="535" w:lineRule="auto" w:before="35"/>
        <w:ind w:right="6750"/>
        <w:jc w:val="left"/>
        <w:rPr>
          <w:b w:val="0"/>
          <w:bCs w:val="0"/>
        </w:rPr>
      </w:pPr>
      <w:bookmarkStart w:name="（2） 无未办妥产权证书的投资性房地产。" w:id="251"/>
      <w:bookmarkEnd w:id="251"/>
      <w:r>
        <w:rPr>
          <w:b w:val="0"/>
          <w:bCs w:val="0"/>
        </w:rPr>
      </w:r>
      <w:r>
        <w:rPr/>
        <w:t>（</w:t>
      </w:r>
      <w:r>
        <w:rPr>
          <w:rFonts w:ascii="宋体" w:hAnsi="宋体" w:cs="宋体" w:eastAsia="宋体" w:hint="default"/>
        </w:rPr>
        <w:t>2</w:t>
      </w:r>
      <w:r>
        <w:rPr/>
        <w:t>）</w:t>
      </w:r>
      <w:r>
        <w:rPr>
          <w:spacing w:val="-4"/>
        </w:rPr>
        <w:t> </w:t>
      </w:r>
      <w:r>
        <w:rPr/>
        <w:t>无未办妥产权证书的投资性房地产。</w:t>
      </w:r>
      <w:r>
        <w:rPr>
          <w:w w:val="99"/>
        </w:rPr>
        <w:t> </w:t>
      </w:r>
      <w:bookmarkStart w:name="13、固定资产" w:id="252"/>
      <w:bookmarkEnd w:id="252"/>
      <w:r>
        <w:rPr>
          <w:w w:val="99"/>
        </w:rPr>
      </w:r>
      <w:r>
        <w:rPr>
          <w:rFonts w:ascii="宋体" w:hAnsi="宋体" w:cs="宋体" w:eastAsia="宋体" w:hint="default"/>
        </w:rPr>
        <w:t>13</w:t>
      </w:r>
      <w:r>
        <w:rPr/>
        <w:t>、固定资产</w:t>
      </w:r>
      <w:r>
        <w:rPr>
          <w:b w:val="0"/>
          <w:bCs w:val="0"/>
        </w:rPr>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32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99"/>
              <w:jc w:val="right"/>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581,948,916.78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615,348,885.22</w:t>
            </w:r>
          </w:p>
        </w:tc>
      </w:tr>
      <w:tr>
        <w:trPr>
          <w:trHeight w:val="32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99"/>
              <w:jc w:val="righ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581,948,916.78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615,348,885.22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固定资产情况" w:id="253"/>
      <w:bookmarkEnd w:id="253"/>
      <w:r>
        <w:rPr>
          <w:b w:val="0"/>
          <w:bCs w:val="0"/>
        </w:rPr>
      </w:r>
      <w:r>
        <w:rPr/>
        <w:t>（</w:t>
      </w:r>
      <w:r>
        <w:rPr>
          <w:rFonts w:ascii="宋体" w:hAnsi="宋体" w:cs="宋体" w:eastAsia="宋体" w:hint="default"/>
        </w:rPr>
        <w:t>1</w:t>
      </w:r>
      <w:r>
        <w:rPr/>
        <w:t>）固定资产情况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74"/>
        <w:gridCol w:w="1606"/>
        <w:gridCol w:w="1594"/>
        <w:gridCol w:w="1594"/>
        <w:gridCol w:w="1595"/>
        <w:gridCol w:w="1594"/>
      </w:tblGrid>
      <w:tr>
        <w:trPr>
          <w:trHeight w:val="32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6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600,236,714.47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352,798,498.93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97,237,329.16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125,872,736.39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1,176,145,278.95</w:t>
            </w:r>
          </w:p>
        </w:tc>
      </w:tr>
      <w:tr>
        <w:trPr>
          <w:trHeight w:val="32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36,869,284.86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631,100.19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9,347,784.22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38,633,770.63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85,481,939.90</w:t>
            </w:r>
          </w:p>
        </w:tc>
      </w:tr>
      <w:tr>
        <w:trPr>
          <w:trHeight w:val="32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10,376,591.12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231,180.48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7,639,037.58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13,193,898.26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31,440,707.44</w:t>
            </w:r>
          </w:p>
        </w:tc>
      </w:tr>
      <w:tr>
        <w:trPr>
          <w:trHeight w:val="323"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50"/>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3,827,027.03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176,697.85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4,003,724.88</w:t>
            </w:r>
          </w:p>
        </w:tc>
      </w:tr>
      <w:tr>
        <w:trPr>
          <w:trHeight w:val="32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50"/>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399,919.71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1,708,746.64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25,263,174.52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27,371,840.87</w:t>
            </w:r>
          </w:p>
        </w:tc>
      </w:tr>
      <w:tr>
        <w:trPr>
          <w:trHeight w:val="32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）投资性房地产转入</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22,665,666.71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22,665,666.71</w:t>
            </w:r>
          </w:p>
        </w:tc>
      </w:tr>
      <w:tr>
        <w:trPr>
          <w:trHeight w:val="323"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）企业合并增加</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399,919.71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1,708,746.64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25,263,174.52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27,371,840.87</w:t>
            </w:r>
          </w:p>
        </w:tc>
      </w:tr>
      <w:tr>
        <w:trPr>
          <w:trHeight w:val="32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19,935,897.82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10,316,628.61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20,869,844.21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30,127,430.61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81,249,801.25</w:t>
            </w:r>
          </w:p>
        </w:tc>
      </w:tr>
      <w:tr>
        <w:trPr>
          <w:trHeight w:val="32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2,644,896.42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10,316,628.61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19,264,437.79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21,129,103.52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53,355,066.34</w:t>
            </w:r>
          </w:p>
        </w:tc>
      </w:tr>
      <w:tr>
        <w:trPr>
          <w:trHeight w:val="323"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17,291,001.40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1,605,406.42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8,998,327.09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27,894,734.91</w:t>
            </w:r>
          </w:p>
        </w:tc>
      </w:tr>
      <w:tr>
        <w:trPr>
          <w:trHeight w:val="32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617,170,101.51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343,112,970.51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85,715,269.17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134,379,076.41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1,180,377,417.60</w:t>
            </w:r>
          </w:p>
        </w:tc>
      </w:tr>
      <w:tr>
        <w:trPr>
          <w:trHeight w:val="32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160,599,767.49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250,098,386.30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67,467,913.70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82,188,619.94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560,354,687.43</w:t>
            </w:r>
          </w:p>
        </w:tc>
      </w:tr>
      <w:tr>
        <w:trPr>
          <w:trHeight w:val="32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26,985,752.44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20,461,430.64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11,669,046.59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37,893,485.41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97,009,715.08</w:t>
            </w:r>
          </w:p>
        </w:tc>
      </w:tr>
      <w:tr>
        <w:trPr>
          <w:trHeight w:val="32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26,985,752.44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20,083,334.55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10,452,457.35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16,555,136.06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74,076,680.40</w:t>
            </w:r>
          </w:p>
        </w:tc>
      </w:tr>
      <w:tr>
        <w:trPr>
          <w:trHeight w:val="323"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514,807.94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514,807.94</w:t>
            </w:r>
          </w:p>
        </w:tc>
      </w:tr>
      <w:tr>
        <w:trPr>
          <w:trHeight w:val="32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378,096.09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1,216,589.24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20,823,541.41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22,418,226.74</w:t>
            </w:r>
          </w:p>
        </w:tc>
      </w:tr>
      <w:tr>
        <w:trPr>
          <w:trHeight w:val="32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8,118,196.47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10,002,430.23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14,935,167.61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26,321,813.68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59,377,607.99</w:t>
            </w:r>
          </w:p>
        </w:tc>
      </w:tr>
      <w:tr>
        <w:trPr>
          <w:trHeight w:val="323"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353,477.28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10,002,430.23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14,130,860.83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18,437,541.06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42,924,309.40</w:t>
            </w:r>
          </w:p>
        </w:tc>
      </w:tr>
      <w:tr>
        <w:trPr>
          <w:trHeight w:val="32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7,764,719.19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804,306.78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7,884,272.62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16,453,298.59</w:t>
            </w:r>
          </w:p>
        </w:tc>
      </w:tr>
      <w:tr>
        <w:trPr>
          <w:trHeight w:val="32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179,467,323.46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260,557,386.71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64,201,792.68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93,760,291.67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597,986,794.52</w:t>
            </w:r>
          </w:p>
        </w:tc>
      </w:tr>
      <w:tr>
        <w:trPr>
          <w:trHeight w:val="323"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441,706.30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441,706.30</w:t>
            </w:r>
          </w:p>
        </w:tc>
      </w:tr>
      <w:tr>
        <w:trPr>
          <w:trHeight w:val="32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74"/>
        <w:gridCol w:w="1606"/>
        <w:gridCol w:w="1594"/>
        <w:gridCol w:w="1594"/>
        <w:gridCol w:w="1595"/>
        <w:gridCol w:w="1594"/>
      </w:tblGrid>
      <w:tr>
        <w:trPr>
          <w:trHeight w:val="32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441,706.30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441,706.30</w:t>
            </w:r>
          </w:p>
        </w:tc>
      </w:tr>
      <w:tr>
        <w:trPr>
          <w:trHeight w:val="323"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49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437,261,071.75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82,555,583.80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21,513,476.49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40,618,784.74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581,948,916.78</w:t>
            </w:r>
          </w:p>
        </w:tc>
      </w:tr>
      <w:tr>
        <w:trPr>
          <w:trHeight w:val="323"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499"/>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439,195,240.68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102,700,112.63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29,769,415.46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43,684,116.45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615,348,885.22</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 无暂时闲置的固定资产。" w:id="254"/>
      <w:bookmarkEnd w:id="254"/>
      <w:r>
        <w:rPr>
          <w:b w:val="0"/>
          <w:bCs w:val="0"/>
        </w:rPr>
      </w:r>
      <w:r>
        <w:rPr/>
        <w:t>（</w:t>
      </w:r>
      <w:r>
        <w:rPr>
          <w:rFonts w:ascii="宋体" w:hAnsi="宋体" w:cs="宋体" w:eastAsia="宋体" w:hint="default"/>
        </w:rPr>
        <w:t>2</w:t>
      </w:r>
      <w:r>
        <w:rPr/>
        <w:t>）</w:t>
      </w:r>
      <w:r>
        <w:rPr>
          <w:spacing w:val="-3"/>
        </w:rPr>
        <w:t> </w:t>
      </w:r>
      <w:r>
        <w:rPr/>
        <w:t>无暂时闲置的固定资产。</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0"/>
        <w:jc w:val="left"/>
        <w:rPr>
          <w:b w:val="0"/>
          <w:bCs w:val="0"/>
        </w:rPr>
      </w:pPr>
      <w:bookmarkStart w:name="（3） 无通过融资租赁租入的固定资产情况。" w:id="255"/>
      <w:bookmarkEnd w:id="255"/>
      <w:r>
        <w:rPr>
          <w:b w:val="0"/>
          <w:bCs w:val="0"/>
        </w:rPr>
      </w:r>
      <w:r>
        <w:rPr/>
        <w:t>（</w:t>
      </w:r>
      <w:r>
        <w:rPr>
          <w:rFonts w:ascii="宋体" w:hAnsi="宋体" w:cs="宋体" w:eastAsia="宋体" w:hint="default"/>
        </w:rPr>
        <w:t>3</w:t>
      </w:r>
      <w:r>
        <w:rPr/>
        <w:t>）</w:t>
      </w:r>
      <w:r>
        <w:rPr>
          <w:spacing w:val="-5"/>
        </w:rPr>
        <w:t> </w:t>
      </w:r>
      <w:r>
        <w:rPr/>
        <w:t>无通过融资租赁租入的固定资产情况。</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0"/>
        <w:jc w:val="left"/>
        <w:rPr>
          <w:b w:val="0"/>
          <w:bCs w:val="0"/>
        </w:rPr>
      </w:pPr>
      <w:bookmarkStart w:name="（4）未办妥产权证书的固定资产情况" w:id="256"/>
      <w:bookmarkEnd w:id="256"/>
      <w:r>
        <w:rPr>
          <w:b w:val="0"/>
          <w:bCs w:val="0"/>
        </w:rPr>
      </w:r>
      <w:r>
        <w:rPr/>
        <w:t>（</w:t>
      </w:r>
      <w:r>
        <w:rPr>
          <w:rFonts w:ascii="宋体" w:hAnsi="宋体" w:cs="宋体" w:eastAsia="宋体" w:hint="default"/>
        </w:rPr>
        <w:t>4</w:t>
      </w:r>
      <w:r>
        <w:rPr/>
        <w:t>）未办妥产权证书的固定资产情况</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163,225,364.44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产权证正在办理中</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31,387,886.80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因历史遗留问题至今未能办理产权证</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194,613,251.24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4、在建工程" w:id="257"/>
      <w:bookmarkEnd w:id="257"/>
      <w:r>
        <w:rPr>
          <w:b w:val="0"/>
          <w:bCs w:val="0"/>
        </w:rPr>
      </w:r>
      <w:r>
        <w:rPr>
          <w:rFonts w:ascii="宋体" w:hAnsi="宋体" w:cs="宋体" w:eastAsia="宋体" w:hint="default"/>
        </w:rPr>
        <w:t>14</w:t>
      </w:r>
      <w:r>
        <w:rPr/>
        <w:t>、在建工程</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32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749"/>
              <w:jc w:val="right"/>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123,399,574.92</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94,479,408.44</w:t>
            </w:r>
          </w:p>
        </w:tc>
      </w:tr>
      <w:tr>
        <w:trPr>
          <w:trHeight w:val="32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749"/>
              <w:jc w:val="righ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123,399,574.92</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94,479,408.44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在建工程情况" w:id="258"/>
      <w:bookmarkEnd w:id="258"/>
      <w:r>
        <w:rPr>
          <w:b w:val="0"/>
          <w:bCs w:val="0"/>
        </w:rPr>
      </w:r>
      <w:r>
        <w:rPr/>
        <w:t>（</w:t>
      </w:r>
      <w:r>
        <w:rPr>
          <w:rFonts w:ascii="宋体" w:hAnsi="宋体" w:cs="宋体" w:eastAsia="宋体" w:hint="default"/>
        </w:rPr>
        <w:t>1</w:t>
      </w:r>
      <w:r>
        <w:rPr/>
        <w:t>）在建工程情况</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85"/>
        <w:gridCol w:w="1368"/>
        <w:gridCol w:w="1043"/>
        <w:gridCol w:w="1367"/>
        <w:gridCol w:w="1367"/>
        <w:gridCol w:w="1093"/>
        <w:gridCol w:w="1367"/>
      </w:tblGrid>
      <w:tr>
        <w:trPr>
          <w:trHeight w:val="322"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华商传媒文化中心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121,831,970.71</w:t>
            </w:r>
          </w:p>
        </w:tc>
        <w:tc>
          <w:tcPr>
            <w:tcW w:w="104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121,831,970.71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90,652,381.41</w:t>
            </w:r>
          </w:p>
        </w:tc>
        <w:tc>
          <w:tcPr>
            <w:tcW w:w="109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90,652,381.41</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手机电视系统技术开发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806,037.75</w:t>
            </w:r>
          </w:p>
        </w:tc>
        <w:tc>
          <w:tcPr>
            <w:tcW w:w="104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806,037.75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761,566.46</w:t>
            </w:r>
          </w:p>
        </w:tc>
        <w:tc>
          <w:tcPr>
            <w:tcW w:w="104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761,566.46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3,827,027.03</w:t>
            </w:r>
          </w:p>
        </w:tc>
        <w:tc>
          <w:tcPr>
            <w:tcW w:w="109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3,827,027.03</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123,399,574.92</w:t>
            </w:r>
          </w:p>
        </w:tc>
        <w:tc>
          <w:tcPr>
            <w:tcW w:w="104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123,399,574.92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94,479,408.44</w:t>
            </w:r>
          </w:p>
        </w:tc>
        <w:tc>
          <w:tcPr>
            <w:tcW w:w="109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94,479,408.44</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
          <w:szCs w:val="2"/>
        </w:rPr>
      </w:pPr>
    </w:p>
    <w:p>
      <w:pPr>
        <w:spacing w:line="20" w:lineRule="exact"/>
        <w:ind w:left="78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820" w:right="6835"/>
        <w:jc w:val="left"/>
        <w:rPr>
          <w:b w:val="0"/>
          <w:bCs w:val="0"/>
        </w:rPr>
      </w:pPr>
      <w:bookmarkStart w:name="（2）重要在建工程项目本期变动情况" w:id="259"/>
      <w:bookmarkEnd w:id="259"/>
      <w:r>
        <w:rPr>
          <w:b w:val="0"/>
          <w:bCs w:val="0"/>
        </w:rPr>
      </w:r>
      <w:r>
        <w:rPr/>
        <w:t>（</w:t>
      </w:r>
      <w:r>
        <w:rPr>
          <w:rFonts w:ascii="宋体" w:hAnsi="宋体" w:cs="宋体" w:eastAsia="宋体" w:hint="default"/>
        </w:rPr>
        <w:t>2</w:t>
      </w:r>
      <w:r>
        <w:rPr/>
        <w:t>）重要在建工程项目本期变动情况</w:t>
      </w:r>
      <w:r>
        <w:rPr>
          <w:b w:val="0"/>
          <w:bCs w:val="0"/>
        </w:rPr>
      </w:r>
    </w:p>
    <w:p>
      <w:pPr>
        <w:spacing w:line="240" w:lineRule="auto" w:before="5"/>
        <w:rPr>
          <w:rFonts w:ascii="宋体" w:hAnsi="宋体" w:cs="宋体" w:eastAsia="宋体" w:hint="default"/>
          <w:b/>
          <w:bCs/>
          <w:sz w:val="24"/>
          <w:szCs w:val="24"/>
        </w:rPr>
      </w:pPr>
    </w:p>
    <w:p>
      <w:pPr>
        <w:spacing w:before="44"/>
        <w:ind w:left="0" w:right="89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530" w:type="dxa"/>
        <w:tblLayout w:type="fixed"/>
        <w:tblCellMar>
          <w:top w:w="0" w:type="dxa"/>
          <w:left w:w="0" w:type="dxa"/>
          <w:bottom w:w="0" w:type="dxa"/>
          <w:right w:w="0" w:type="dxa"/>
        </w:tblCellMar>
        <w:tblLook w:val="01E0"/>
      </w:tblPr>
      <w:tblGrid>
        <w:gridCol w:w="2128"/>
        <w:gridCol w:w="1417"/>
        <w:gridCol w:w="1276"/>
        <w:gridCol w:w="1276"/>
        <w:gridCol w:w="1276"/>
        <w:gridCol w:w="992"/>
        <w:gridCol w:w="1560"/>
        <w:gridCol w:w="736"/>
        <w:gridCol w:w="736"/>
        <w:gridCol w:w="737"/>
        <w:gridCol w:w="911"/>
        <w:gridCol w:w="736"/>
        <w:gridCol w:w="856"/>
      </w:tblGrid>
      <w:tr>
        <w:trPr>
          <w:trHeight w:val="1258"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9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73" w:right="90" w:hanging="180"/>
              <w:jc w:val="left"/>
              <w:rPr>
                <w:rFonts w:ascii="宋体" w:hAnsi="宋体" w:cs="宋体" w:eastAsia="宋体" w:hint="default"/>
                <w:sz w:val="18"/>
                <w:szCs w:val="18"/>
              </w:rPr>
            </w:pPr>
            <w:r>
              <w:rPr>
                <w:rFonts w:ascii="宋体" w:hAnsi="宋体" w:cs="宋体" w:eastAsia="宋体" w:hint="default"/>
                <w:sz w:val="18"/>
                <w:szCs w:val="18"/>
              </w:rPr>
              <w:t>本期转入固定 资产金额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本期其他减 少金额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2" w:right="92"/>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21"/>
              <w:jc w:val="center"/>
              <w:rPr>
                <w:rFonts w:ascii="宋体" w:hAnsi="宋体" w:cs="宋体" w:eastAsia="宋体" w:hint="default"/>
                <w:sz w:val="18"/>
                <w:szCs w:val="18"/>
              </w:rPr>
            </w:pPr>
            <w:r>
              <w:rPr>
                <w:rFonts w:ascii="宋体" w:hAnsi="宋体" w:cs="宋体" w:eastAsia="宋体" w:hint="default"/>
                <w:spacing w:val="-9"/>
                <w:sz w:val="18"/>
                <w:szCs w:val="18"/>
              </w:rPr>
              <w:t>其中：本期</w:t>
            </w:r>
            <w:r>
              <w:rPr>
                <w:rFonts w:ascii="宋体" w:hAnsi="宋体" w:cs="宋体" w:eastAsia="宋体" w:hint="default"/>
                <w:sz w:val="18"/>
                <w:szCs w:val="18"/>
              </w:rPr>
              <w:t> 利息资本 化金额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华商传媒文化中心</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 w:right="0"/>
              <w:jc w:val="center"/>
              <w:rPr>
                <w:rFonts w:ascii="宋体" w:hAnsi="宋体" w:cs="宋体" w:eastAsia="宋体" w:hint="default"/>
                <w:sz w:val="18"/>
                <w:szCs w:val="18"/>
              </w:rPr>
            </w:pPr>
            <w:r>
              <w:rPr>
                <w:rFonts w:ascii="宋体"/>
                <w:sz w:val="18"/>
              </w:rPr>
              <w:t>90,652,381.41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3" w:right="0"/>
              <w:jc w:val="left"/>
              <w:rPr>
                <w:rFonts w:ascii="宋体" w:hAnsi="宋体" w:cs="宋体" w:eastAsia="宋体" w:hint="default"/>
                <w:sz w:val="18"/>
                <w:szCs w:val="18"/>
              </w:rPr>
            </w:pPr>
            <w:r>
              <w:rPr>
                <w:rFonts w:ascii="宋体"/>
                <w:sz w:val="18"/>
              </w:rPr>
              <w:t>31,179,589.30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121,831,970.71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8"/>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手机电视系统技术开发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1,780,000.00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806,037.75</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806,037.75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45.00%</w:t>
            </w:r>
          </w:p>
        </w:tc>
        <w:tc>
          <w:tcPr>
            <w:tcW w:w="737"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0" w:right="0"/>
              <w:jc w:val="center"/>
              <w:rPr>
                <w:rFonts w:ascii="宋体" w:hAnsi="宋体" w:cs="宋体" w:eastAsia="宋体" w:hint="default"/>
                <w:sz w:val="18"/>
                <w:szCs w:val="18"/>
              </w:rPr>
            </w:pPr>
            <w:r>
              <w:rPr>
                <w:rFonts w:ascii="宋体"/>
                <w:sz w:val="18"/>
              </w:rPr>
              <w:t>3,827,027.03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1,708,780.59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3,827,027.03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 w:right="0"/>
              <w:jc w:val="center"/>
              <w:rPr>
                <w:rFonts w:ascii="宋体" w:hAnsi="宋体" w:cs="宋体" w:eastAsia="宋体" w:hint="default"/>
                <w:sz w:val="18"/>
                <w:szCs w:val="18"/>
              </w:rPr>
            </w:pPr>
            <w:r>
              <w:rPr>
                <w:rFonts w:ascii="宋体"/>
                <w:sz w:val="18"/>
              </w:rPr>
              <w:t>947,214.13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761,566.46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8"/>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1,780,000.00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 w:right="0"/>
              <w:jc w:val="center"/>
              <w:rPr>
                <w:rFonts w:ascii="宋体" w:hAnsi="宋体" w:cs="宋体" w:eastAsia="宋体" w:hint="default"/>
                <w:sz w:val="18"/>
                <w:szCs w:val="18"/>
              </w:rPr>
            </w:pPr>
            <w:r>
              <w:rPr>
                <w:rFonts w:ascii="宋体"/>
                <w:sz w:val="18"/>
              </w:rPr>
              <w:t>94,479,408.44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3" w:right="0"/>
              <w:jc w:val="left"/>
              <w:rPr>
                <w:rFonts w:ascii="宋体" w:hAnsi="宋体" w:cs="宋体" w:eastAsia="宋体" w:hint="default"/>
                <w:sz w:val="18"/>
                <w:szCs w:val="18"/>
              </w:rPr>
            </w:pPr>
            <w:r>
              <w:rPr>
                <w:rFonts w:ascii="宋体"/>
                <w:sz w:val="18"/>
              </w:rPr>
              <w:t>33,694,407.64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3,827,027.03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7" w:right="0"/>
              <w:jc w:val="center"/>
              <w:rPr>
                <w:rFonts w:ascii="宋体" w:hAnsi="宋体" w:cs="宋体" w:eastAsia="宋体" w:hint="default"/>
                <w:sz w:val="18"/>
                <w:szCs w:val="18"/>
              </w:rPr>
            </w:pPr>
            <w:r>
              <w:rPr>
                <w:rFonts w:ascii="宋体"/>
                <w:sz w:val="18"/>
              </w:rPr>
              <w:t>947,214.13</w:t>
            </w:r>
          </w:p>
        </w:tc>
        <w:tc>
          <w:tcPr>
            <w:tcW w:w="156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1"/>
              <w:ind w:right="15"/>
              <w:jc w:val="right"/>
              <w:rPr>
                <w:rFonts w:ascii="宋体" w:hAnsi="宋体" w:cs="宋体" w:eastAsia="宋体" w:hint="default"/>
                <w:sz w:val="18"/>
                <w:szCs w:val="18"/>
              </w:rPr>
            </w:pPr>
            <w:r>
              <w:rPr>
                <w:rFonts w:ascii="宋体"/>
                <w:sz w:val="18"/>
              </w:rPr>
              <w:t>123,399,574.92</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737" w:type="dxa"/>
            <w:tcBorders>
              <w:top w:val="single" w:sz="4" w:space="0" w:color="000000"/>
              <w:left w:val="single" w:sz="13" w:space="0" w:color="D2D2D2"/>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9" w:space="0" w:color="D2D2D2"/>
            </w:tcBorders>
          </w:tcPr>
          <w:p>
            <w:pP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535" w:lineRule="auto" w:before="35"/>
        <w:ind w:left="820" w:right="6835"/>
        <w:jc w:val="left"/>
        <w:rPr>
          <w:b w:val="0"/>
          <w:bCs w:val="0"/>
        </w:rPr>
      </w:pPr>
      <w:bookmarkStart w:name="（3） 本公司估计在建工程的可收回金额高于账面价值，故未计提在建工程减值准备。" w:id="260"/>
      <w:bookmarkEnd w:id="260"/>
      <w:r>
        <w:rPr>
          <w:b w:val="0"/>
          <w:bCs w:val="0"/>
        </w:rPr>
      </w:r>
      <w:r>
        <w:rPr/>
        <w:t>（</w:t>
      </w:r>
      <w:r>
        <w:rPr>
          <w:rFonts w:ascii="宋体" w:hAnsi="宋体" w:cs="宋体" w:eastAsia="宋体" w:hint="default"/>
        </w:rPr>
        <w:t>3</w:t>
      </w:r>
      <w:r>
        <w:rPr/>
        <w:t>）</w:t>
      </w:r>
      <w:r>
        <w:rPr>
          <w:spacing w:val="-9"/>
        </w:rPr>
        <w:t> </w:t>
      </w:r>
      <w:r>
        <w:rPr/>
        <w:t>本公司估计在建工程的可收回金额高于账面价值，故未计提在建工程减值准备。</w:t>
      </w:r>
      <w:r>
        <w:rPr>
          <w:w w:val="99"/>
        </w:rPr>
        <w:t> </w:t>
      </w:r>
      <w:bookmarkStart w:name="15、无形资产" w:id="261"/>
      <w:bookmarkEnd w:id="261"/>
      <w:r>
        <w:rPr>
          <w:w w:val="99"/>
        </w:rPr>
      </w:r>
      <w:r>
        <w:rPr>
          <w:rFonts w:ascii="宋体" w:hAnsi="宋体" w:cs="宋体" w:eastAsia="宋体" w:hint="default"/>
        </w:rPr>
        <w:t>15</w:t>
      </w:r>
      <w:r>
        <w:rPr/>
        <w:t>、无形资产</w:t>
      </w:r>
      <w:r>
        <w:rPr>
          <w:b w:val="0"/>
          <w:bCs w:val="0"/>
        </w:rPr>
      </w:r>
    </w:p>
    <w:p>
      <w:pPr>
        <w:pStyle w:val="Heading4"/>
        <w:spacing w:line="240" w:lineRule="auto" w:before="80"/>
        <w:ind w:left="820" w:right="6835"/>
        <w:jc w:val="left"/>
        <w:rPr>
          <w:b w:val="0"/>
          <w:bCs w:val="0"/>
        </w:rPr>
      </w:pPr>
      <w:bookmarkStart w:name="（1）无形资产情况" w:id="262"/>
      <w:bookmarkEnd w:id="262"/>
      <w:r>
        <w:rPr>
          <w:b w:val="0"/>
          <w:bCs w:val="0"/>
        </w:rPr>
      </w:r>
      <w:r>
        <w:rPr/>
        <w:t>（</w:t>
      </w:r>
      <w:r>
        <w:rPr>
          <w:rFonts w:ascii="宋体" w:hAnsi="宋体" w:cs="宋体" w:eastAsia="宋体" w:hint="default"/>
        </w:rPr>
        <w:t>1</w:t>
      </w:r>
      <w:r>
        <w:rPr/>
        <w:t>）无形资产情况</w:t>
      </w:r>
      <w:r>
        <w:rPr>
          <w:b w:val="0"/>
          <w:bCs w:val="0"/>
        </w:rPr>
      </w:r>
    </w:p>
    <w:p>
      <w:pPr>
        <w:spacing w:line="240" w:lineRule="auto" w:before="4"/>
        <w:rPr>
          <w:rFonts w:ascii="宋体" w:hAnsi="宋体" w:cs="宋体" w:eastAsia="宋体" w:hint="default"/>
          <w:b/>
          <w:bCs/>
          <w:sz w:val="24"/>
          <w:szCs w:val="24"/>
        </w:rPr>
      </w:pPr>
    </w:p>
    <w:p>
      <w:pPr>
        <w:spacing w:before="44"/>
        <w:ind w:left="0" w:right="89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2105"/>
        <w:gridCol w:w="1429"/>
        <w:gridCol w:w="1417"/>
        <w:gridCol w:w="1134"/>
        <w:gridCol w:w="1277"/>
        <w:gridCol w:w="1559"/>
        <w:gridCol w:w="1276"/>
        <w:gridCol w:w="1276"/>
        <w:gridCol w:w="1277"/>
        <w:gridCol w:w="1275"/>
        <w:gridCol w:w="1418"/>
      </w:tblGrid>
      <w:tr>
        <w:trPr>
          <w:trHeight w:val="323"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3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1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广告经营权</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14" w:right="0"/>
              <w:jc w:val="left"/>
              <w:rPr>
                <w:rFonts w:ascii="宋体" w:hAnsi="宋体" w:cs="宋体" w:eastAsia="宋体" w:hint="default"/>
                <w:sz w:val="18"/>
                <w:szCs w:val="18"/>
              </w:rPr>
            </w:pPr>
            <w:r>
              <w:rPr>
                <w:rFonts w:ascii="宋体" w:hAnsi="宋体" w:cs="宋体" w:eastAsia="宋体" w:hint="default"/>
                <w:sz w:val="18"/>
                <w:szCs w:val="18"/>
              </w:rPr>
              <w:t>系统软件</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91"/>
              <w:jc w:val="right"/>
              <w:rPr>
                <w:rFonts w:ascii="宋体" w:hAnsi="宋体" w:cs="宋体" w:eastAsia="宋体" w:hint="default"/>
                <w:sz w:val="18"/>
                <w:szCs w:val="18"/>
              </w:rPr>
            </w:pPr>
            <w:r>
              <w:rPr>
                <w:rFonts w:ascii="宋体" w:hAnsi="宋体" w:cs="宋体" w:eastAsia="宋体" w:hint="default"/>
                <w:sz w:val="18"/>
                <w:szCs w:val="18"/>
              </w:rPr>
              <w:t>报刊亭使用权</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影视版权</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63"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6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29" w:type="dxa"/>
            <w:tcBorders>
              <w:top w:val="single" w:sz="4" w:space="0" w:color="000000"/>
              <w:left w:val="single" w:sz="13" w:space="0" w:color="D9D9D9"/>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
              <w:ind w:left="102" w:right="0"/>
              <w:jc w:val="center"/>
              <w:rPr>
                <w:rFonts w:ascii="宋体" w:hAnsi="宋体" w:cs="宋体" w:eastAsia="宋体" w:hint="default"/>
                <w:sz w:val="18"/>
                <w:szCs w:val="18"/>
              </w:rPr>
            </w:pPr>
            <w:r>
              <w:rPr>
                <w:rFonts w:ascii="宋体"/>
                <w:sz w:val="18"/>
              </w:rPr>
              <w:t>123,677,839.00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37,238,201.00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 w:right="0"/>
              <w:jc w:val="center"/>
              <w:rPr>
                <w:rFonts w:ascii="宋体" w:hAnsi="宋体" w:cs="宋体" w:eastAsia="宋体" w:hint="default"/>
                <w:sz w:val="18"/>
                <w:szCs w:val="18"/>
              </w:rPr>
            </w:pPr>
            <w:r>
              <w:rPr>
                <w:rFonts w:ascii="宋体"/>
                <w:sz w:val="18"/>
              </w:rPr>
              <w:t>15,000,000.00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118,732,267.31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270,750.00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 w:right="0"/>
              <w:jc w:val="center"/>
              <w:rPr>
                <w:rFonts w:ascii="宋体" w:hAnsi="宋体" w:cs="宋体" w:eastAsia="宋体" w:hint="default"/>
                <w:sz w:val="18"/>
                <w:szCs w:val="18"/>
              </w:rPr>
            </w:pPr>
            <w:r>
              <w:rPr>
                <w:rFonts w:ascii="宋体"/>
                <w:sz w:val="18"/>
              </w:rPr>
              <w:t>12,000,000.00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35,074,291.33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22,829,047.02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364,822,395.66</w:t>
            </w:r>
          </w:p>
        </w:tc>
      </w:tr>
      <w:tr>
        <w:trPr>
          <w:trHeight w:val="323"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left="37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29" w:type="dxa"/>
            <w:tcBorders>
              <w:top w:val="single" w:sz="4" w:space="0" w:color="000000"/>
              <w:left w:val="single" w:sz="13" w:space="0" w:color="D9D9D9"/>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1,168,128.23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40" w:right="0"/>
              <w:jc w:val="center"/>
              <w:rPr>
                <w:rFonts w:ascii="宋体" w:hAnsi="宋体" w:cs="宋体" w:eastAsia="宋体" w:hint="default"/>
                <w:sz w:val="18"/>
                <w:szCs w:val="18"/>
              </w:rPr>
            </w:pPr>
            <w:r>
              <w:rPr>
                <w:rFonts w:ascii="宋体"/>
                <w:sz w:val="18"/>
              </w:rPr>
              <w:t>3,031,120.20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246,834.70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18"/>
                <w:szCs w:val="18"/>
              </w:rPr>
            </w:pPr>
            <w:r>
              <w:rPr>
                <w:rFonts w:ascii="宋体"/>
                <w:sz w:val="18"/>
              </w:rPr>
              <w:t>3,676,910.23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8,122,993.36</w:t>
            </w:r>
          </w:p>
        </w:tc>
      </w:tr>
      <w:tr>
        <w:trPr>
          <w:trHeight w:val="32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429" w:type="dxa"/>
            <w:tcBorders>
              <w:top w:val="single" w:sz="4" w:space="0" w:color="000000"/>
              <w:left w:val="single" w:sz="13" w:space="0" w:color="D9D9D9"/>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432,237.36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9,480.00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441,717.36</w:t>
            </w:r>
          </w:p>
        </w:tc>
      </w:tr>
      <w:tr>
        <w:trPr>
          <w:trHeight w:val="32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）内部研发</w:t>
            </w:r>
          </w:p>
        </w:tc>
        <w:tc>
          <w:tcPr>
            <w:tcW w:w="1429" w:type="dxa"/>
            <w:tcBorders>
              <w:top w:val="single" w:sz="4" w:space="0" w:color="000000"/>
              <w:left w:val="single" w:sz="13" w:space="0" w:color="D9D9D9"/>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851,618.56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851,618.56</w:t>
            </w:r>
          </w:p>
        </w:tc>
      </w:tr>
      <w:tr>
        <w:trPr>
          <w:trHeight w:val="323"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429" w:type="dxa"/>
            <w:tcBorders>
              <w:top w:val="single" w:sz="4" w:space="0" w:color="000000"/>
              <w:left w:val="single" w:sz="13" w:space="0" w:color="D9D9D9"/>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6,586,713.11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80,188.68</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6,666,901.79</w:t>
            </w:r>
          </w:p>
        </w:tc>
      </w:tr>
      <w:tr>
        <w:trPr>
          <w:trHeight w:val="32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3" w:space="0" w:color="D9D9D9"/>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-5,850,822.24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0" w:right="0"/>
              <w:jc w:val="center"/>
              <w:rPr>
                <w:rFonts w:ascii="宋体" w:hAnsi="宋体" w:cs="宋体" w:eastAsia="宋体" w:hint="default"/>
                <w:sz w:val="18"/>
                <w:szCs w:val="18"/>
              </w:rPr>
            </w:pPr>
            <w:r>
              <w:rPr>
                <w:rFonts w:ascii="宋体"/>
                <w:sz w:val="18"/>
              </w:rPr>
              <w:t>3,031,120.20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157,166.02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2,825,291.67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162,755.65</w:t>
            </w:r>
          </w:p>
        </w:tc>
      </w:tr>
      <w:tr>
        <w:trPr>
          <w:trHeight w:val="32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29" w:type="dxa"/>
            <w:tcBorders>
              <w:top w:val="single" w:sz="4" w:space="0" w:color="000000"/>
              <w:left w:val="single" w:sz="13" w:space="0" w:color="D9D9D9"/>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34,396,062.78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 w:right="0"/>
              <w:jc w:val="center"/>
              <w:rPr>
                <w:rFonts w:ascii="宋体" w:hAnsi="宋体" w:cs="宋体" w:eastAsia="宋体" w:hint="default"/>
                <w:sz w:val="18"/>
                <w:szCs w:val="18"/>
              </w:rPr>
            </w:pPr>
            <w:r>
              <w:rPr>
                <w:rFonts w:ascii="宋体"/>
                <w:sz w:val="18"/>
              </w:rPr>
              <w:t>15,000,000.00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2,515,660.79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108,300.00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5,799,435.24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14,844,107.44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72,663,566.25</w:t>
            </w:r>
          </w:p>
        </w:tc>
      </w:tr>
      <w:tr>
        <w:trPr>
          <w:trHeight w:val="323"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429" w:type="dxa"/>
            <w:tcBorders>
              <w:top w:val="single" w:sz="4" w:space="0" w:color="000000"/>
              <w:left w:val="single" w:sz="13" w:space="0" w:color="D9D9D9"/>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2,161,708.63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108,300.00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2,270,008.63</w:t>
            </w:r>
          </w:p>
        </w:tc>
      </w:tr>
      <w:tr>
        <w:trPr>
          <w:trHeight w:val="322" w:hRule="exact"/>
        </w:trPr>
        <w:tc>
          <w:tcPr>
            <w:tcW w:w="2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）处置子公司</w:t>
            </w:r>
          </w:p>
        </w:tc>
        <w:tc>
          <w:tcPr>
            <w:tcW w:w="1429" w:type="dxa"/>
            <w:tcBorders>
              <w:top w:val="single" w:sz="4" w:space="0" w:color="000000"/>
              <w:left w:val="single" w:sz="13" w:space="0" w:color="D9D9D9"/>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34,396,062.78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 w:right="0"/>
              <w:jc w:val="center"/>
              <w:rPr>
                <w:rFonts w:ascii="宋体" w:hAnsi="宋体" w:cs="宋体" w:eastAsia="宋体" w:hint="default"/>
                <w:sz w:val="18"/>
                <w:szCs w:val="18"/>
              </w:rPr>
            </w:pPr>
            <w:r>
              <w:rPr>
                <w:rFonts w:ascii="宋体"/>
                <w:sz w:val="18"/>
              </w:rPr>
              <w:t>15,000,000.00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353,952.16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5,799,435.24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14,844,107.44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70,393,557.62</w:t>
            </w:r>
          </w:p>
        </w:tc>
      </w:tr>
    </w:tbl>
    <w:p>
      <w:pPr>
        <w:spacing w:after="0" w:line="240" w:lineRule="auto"/>
        <w:jc w:val="right"/>
        <w:rPr>
          <w:rFonts w:ascii="宋体" w:hAnsi="宋体" w:cs="宋体" w:eastAsia="宋体" w:hint="default"/>
          <w:sz w:val="18"/>
          <w:szCs w:val="18"/>
        </w:rPr>
        <w:sectPr>
          <w:headerReference w:type="default" r:id="rId51"/>
          <w:footerReference w:type="default" r:id="rId52"/>
          <w:pgSz w:w="16840" w:h="11910" w:orient="landscape"/>
          <w:pgMar w:header="867" w:footer="979" w:top="1060" w:bottom="1160" w:left="620" w:right="540"/>
          <w:pgNumType w:start="205"/>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128"/>
        <w:gridCol w:w="1417"/>
        <w:gridCol w:w="1417"/>
        <w:gridCol w:w="1134"/>
        <w:gridCol w:w="1277"/>
        <w:gridCol w:w="1559"/>
        <w:gridCol w:w="1276"/>
        <w:gridCol w:w="1276"/>
        <w:gridCol w:w="1277"/>
        <w:gridCol w:w="1275"/>
        <w:gridCol w:w="1418"/>
      </w:tblGrid>
      <w:tr>
        <w:trPr>
          <w:trHeight w:val="336" w:hRule="exact"/>
        </w:trPr>
        <w:tc>
          <w:tcPr>
            <w:tcW w:w="2128" w:type="dxa"/>
            <w:tcBorders>
              <w:top w:val="single" w:sz="15"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123,677,839.00</w:t>
            </w:r>
          </w:p>
        </w:tc>
        <w:tc>
          <w:tcPr>
            <w:tcW w:w="14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2,842,138.22</w:t>
            </w:r>
          </w:p>
        </w:tc>
        <w:tc>
          <w:tcPr>
            <w:tcW w:w="1134"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117,384,734.75</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162,450.00</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50" w:right="0"/>
              <w:jc w:val="center"/>
              <w:rPr>
                <w:rFonts w:ascii="宋体" w:hAnsi="宋体" w:cs="宋体" w:eastAsia="宋体" w:hint="default"/>
                <w:sz w:val="18"/>
                <w:szCs w:val="18"/>
              </w:rPr>
            </w:pPr>
            <w:r>
              <w:rPr>
                <w:rFonts w:ascii="宋体"/>
                <w:sz w:val="18"/>
              </w:rPr>
              <w:t>15,031,120.20</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29,521,690.79</w:t>
            </w:r>
          </w:p>
        </w:tc>
        <w:tc>
          <w:tcPr>
            <w:tcW w:w="127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11,661,849.81</w:t>
            </w: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300,281,822.77</w:t>
            </w: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15,176,859.21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11,792,096.98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40,969,768.84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270,750.00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0" w:right="0"/>
              <w:jc w:val="center"/>
              <w:rPr>
                <w:rFonts w:ascii="宋体" w:hAnsi="宋体" w:cs="宋体" w:eastAsia="宋体" w:hint="default"/>
                <w:sz w:val="18"/>
                <w:szCs w:val="18"/>
              </w:rPr>
            </w:pPr>
            <w:r>
              <w:rPr>
                <w:rFonts w:ascii="宋体"/>
                <w:sz w:val="18"/>
              </w:rPr>
              <w:t>4,286,161.88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11,157,011.37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19,085,724.65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117,738,372.93</w:t>
            </w: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47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2,398,451.38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2,004,016.86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17,048,799.24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0" w:right="0"/>
              <w:jc w:val="center"/>
              <w:rPr>
                <w:rFonts w:ascii="宋体" w:hAnsi="宋体" w:cs="宋体" w:eastAsia="宋体" w:hint="default"/>
                <w:sz w:val="18"/>
                <w:szCs w:val="18"/>
              </w:rPr>
            </w:pPr>
            <w:r>
              <w:rPr>
                <w:rFonts w:ascii="宋体"/>
                <w:sz w:val="18"/>
              </w:rPr>
              <w:t>2,703,147.84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3,270,170.28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520,036.88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27,944,622.48</w:t>
            </w: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2,398,451.40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2,004,016.86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12,842,585.08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0" w:right="0"/>
              <w:jc w:val="center"/>
              <w:rPr>
                <w:rFonts w:ascii="宋体" w:hAnsi="宋体" w:cs="宋体" w:eastAsia="宋体" w:hint="default"/>
                <w:sz w:val="18"/>
                <w:szCs w:val="18"/>
              </w:rPr>
            </w:pPr>
            <w:r>
              <w:rPr>
                <w:rFonts w:ascii="宋体"/>
                <w:sz w:val="18"/>
              </w:rPr>
              <w:t>2,703,147.84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3,238,094.89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507,659.97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23,693,956.04</w:t>
            </w: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150,378.75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12,376.91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162,755.64</w:t>
            </w: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4,055,835.41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32,075.39</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4,087,910.80</w:t>
            </w: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47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12,611,889.64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1,665,131.60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108,300.00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2,126,459.55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8,030,701.41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39,542,482.20</w:t>
            </w: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161,411.89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108,300.00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269,711.89</w:t>
            </w: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）处置子公司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12,611,889.64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1,503,719.71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2,126,459.55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8,030,701.41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39,272,770.31</w:t>
            </w: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17,575,310.59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1,184,224.20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56,353,436.48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162,450.00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0" w:right="0"/>
              <w:jc w:val="center"/>
              <w:rPr>
                <w:rFonts w:ascii="宋体" w:hAnsi="宋体" w:cs="宋体" w:eastAsia="宋体" w:hint="default"/>
                <w:sz w:val="18"/>
                <w:szCs w:val="18"/>
              </w:rPr>
            </w:pPr>
            <w:r>
              <w:rPr>
                <w:rFonts w:ascii="宋体"/>
                <w:sz w:val="18"/>
              </w:rPr>
              <w:t>6,989,309.72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12,300,722.10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11,575,060.12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106,140,513.21</w:t>
            </w: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4,198,795.18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278,641.97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4,477,437.15</w:t>
            </w: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47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1,657,914.02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6,270.78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0" w:right="0"/>
              <w:jc w:val="center"/>
              <w:rPr>
                <w:rFonts w:ascii="宋体" w:hAnsi="宋体" w:cs="宋体" w:eastAsia="宋体" w:hint="default"/>
                <w:sz w:val="18"/>
                <w:szCs w:val="18"/>
              </w:rPr>
            </w:pPr>
            <w:r>
              <w:rPr>
                <w:rFonts w:ascii="宋体"/>
                <w:sz w:val="18"/>
              </w:rPr>
              <w:t>8,041,810.48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17,159,346.32</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26,865,341.60</w:t>
            </w: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1,657,914.02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6,270.78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0" w:right="0"/>
              <w:jc w:val="center"/>
              <w:rPr>
                <w:rFonts w:ascii="宋体" w:hAnsi="宋体" w:cs="宋体" w:eastAsia="宋体" w:hint="default"/>
                <w:sz w:val="18"/>
                <w:szCs w:val="18"/>
              </w:rPr>
            </w:pPr>
            <w:r>
              <w:rPr>
                <w:rFonts w:ascii="宋体"/>
                <w:sz w:val="18"/>
              </w:rPr>
              <w:t>8,041,810.48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17,159,346.32</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26,865,341.60</w:t>
            </w: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47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4,198,795.18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1,657,914.02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284,912.75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0" w:right="0"/>
              <w:jc w:val="center"/>
              <w:rPr>
                <w:rFonts w:ascii="宋体" w:hAnsi="宋体" w:cs="宋体" w:eastAsia="宋体" w:hint="default"/>
                <w:sz w:val="18"/>
                <w:szCs w:val="18"/>
              </w:rPr>
            </w:pPr>
            <w:r>
              <w:rPr>
                <w:rFonts w:ascii="宋体"/>
                <w:sz w:val="18"/>
              </w:rPr>
              <w:t>8,041,810.48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17,159,346.32</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31,342,778.75</w:t>
            </w: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47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101,903,733.23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60,746,385.52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61,622.37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86,789.69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162,798,530.81</w:t>
            </w: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47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104,302,184.61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25,446,104.02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77,483,856.50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0" w:right="0"/>
              <w:jc w:val="center"/>
              <w:rPr>
                <w:rFonts w:ascii="宋体" w:hAnsi="宋体" w:cs="宋体" w:eastAsia="宋体" w:hint="default"/>
                <w:sz w:val="18"/>
                <w:szCs w:val="18"/>
              </w:rPr>
            </w:pPr>
            <w:r>
              <w:rPr>
                <w:rFonts w:ascii="宋体"/>
                <w:sz w:val="18"/>
              </w:rPr>
              <w:t>7,713,838.12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23,917,279.96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3,743,322.37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242,606,585.58</w:t>
            </w:r>
          </w:p>
        </w:tc>
      </w:tr>
    </w:tbl>
    <w:p>
      <w:pPr>
        <w:pStyle w:val="BodyText"/>
        <w:spacing w:line="260" w:lineRule="exact"/>
        <w:ind w:left="820" w:right="6835"/>
        <w:jc w:val="left"/>
      </w:pPr>
      <w:r>
        <w:rPr/>
        <w:t>本期末通过公司内部研发形成的无形资产占无形资产余额的比例</w:t>
      </w:r>
      <w:r>
        <w:rPr>
          <w:spacing w:val="-53"/>
        </w:rPr>
        <w:t> </w:t>
      </w:r>
      <w:r>
        <w:rPr>
          <w:rFonts w:ascii="宋体" w:hAnsi="宋体" w:cs="宋体" w:eastAsia="宋体" w:hint="default"/>
        </w:rPr>
        <w:t>28.06%</w:t>
      </w:r>
      <w:r>
        <w:rPr/>
        <w:t>。</w:t>
      </w:r>
    </w:p>
    <w:p>
      <w:pPr>
        <w:spacing w:after="0" w:line="260" w:lineRule="exact"/>
        <w:jc w:val="left"/>
        <w:sectPr>
          <w:pgSz w:w="16840" w:h="11910" w:orient="landscape"/>
          <w:pgMar w:header="867" w:footer="979" w:top="1060" w:bottom="1160" w:left="620" w:right="540"/>
        </w:sectPr>
      </w:pPr>
    </w:p>
    <w:p>
      <w:pPr>
        <w:spacing w:line="240" w:lineRule="auto" w:before="10"/>
        <w:rPr>
          <w:rFonts w:ascii="宋体" w:hAnsi="宋体" w:cs="宋体" w:eastAsia="宋体" w:hint="default"/>
          <w:sz w:val="20"/>
          <w:szCs w:val="20"/>
        </w:rPr>
      </w:pPr>
    </w:p>
    <w:p>
      <w:pPr>
        <w:pStyle w:val="Heading4"/>
        <w:spacing w:line="535" w:lineRule="auto" w:before="35"/>
        <w:ind w:left="254" w:right="5696"/>
        <w:jc w:val="left"/>
        <w:rPr>
          <w:b w:val="0"/>
          <w:bCs w:val="0"/>
        </w:rPr>
      </w:pPr>
      <w:bookmarkStart w:name="（2） 期末不存在未办妥产权证书的土地使用权情况。" w:id="263"/>
      <w:bookmarkEnd w:id="263"/>
      <w:r>
        <w:rPr>
          <w:b w:val="0"/>
          <w:bCs w:val="0"/>
        </w:rPr>
      </w:r>
      <w:r>
        <w:rPr/>
        <w:t>（</w:t>
      </w:r>
      <w:r>
        <w:rPr>
          <w:rFonts w:ascii="宋体" w:hAnsi="宋体" w:cs="宋体" w:eastAsia="宋体" w:hint="default"/>
        </w:rPr>
        <w:t>2</w:t>
      </w:r>
      <w:r>
        <w:rPr/>
        <w:t>）</w:t>
      </w:r>
      <w:r>
        <w:rPr>
          <w:spacing w:val="-5"/>
        </w:rPr>
        <w:t> </w:t>
      </w:r>
      <w:r>
        <w:rPr/>
        <w:t>期末不存在未办妥产权证书的土地使用权情况。</w:t>
      </w:r>
      <w:r>
        <w:rPr>
          <w:w w:val="99"/>
        </w:rPr>
        <w:t> </w:t>
      </w:r>
      <w:bookmarkStart w:name="16、开发支出" w:id="264"/>
      <w:bookmarkEnd w:id="264"/>
      <w:r>
        <w:rPr>
          <w:w w:val="99"/>
        </w:rPr>
      </w:r>
      <w:r>
        <w:rPr>
          <w:rFonts w:ascii="宋体" w:hAnsi="宋体" w:cs="宋体" w:eastAsia="宋体" w:hint="default"/>
        </w:rPr>
        <w:t>16</w:t>
      </w:r>
      <w:r>
        <w:rPr/>
        <w:t>、开发支出</w:t>
      </w:r>
      <w:r>
        <w:rPr>
          <w:b w:val="0"/>
          <w:bCs w:val="0"/>
        </w:rPr>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249" w:type="dxa"/>
        <w:tblLayout w:type="fixed"/>
        <w:tblCellMar>
          <w:top w:w="0" w:type="dxa"/>
          <w:left w:w="0" w:type="dxa"/>
          <w:bottom w:w="0" w:type="dxa"/>
          <w:right w:w="0" w:type="dxa"/>
        </w:tblCellMar>
        <w:tblLook w:val="01E0"/>
      </w:tblPr>
      <w:tblGrid>
        <w:gridCol w:w="1419"/>
        <w:gridCol w:w="1489"/>
        <w:gridCol w:w="708"/>
        <w:gridCol w:w="568"/>
        <w:gridCol w:w="425"/>
        <w:gridCol w:w="1418"/>
        <w:gridCol w:w="708"/>
        <w:gridCol w:w="1275"/>
        <w:gridCol w:w="1277"/>
      </w:tblGrid>
      <w:tr>
        <w:trPr>
          <w:trHeight w:val="323" w:hRule="exact"/>
        </w:trPr>
        <w:tc>
          <w:tcPr>
            <w:tcW w:w="1419" w:type="dxa"/>
            <w:tcBorders>
              <w:top w:val="single" w:sz="4" w:space="0" w:color="000000"/>
              <w:left w:val="single" w:sz="4" w:space="0" w:color="000000"/>
              <w:bottom w:val="nil" w:sz="6" w:space="0" w:color="auto"/>
              <w:right w:val="single" w:sz="4" w:space="0" w:color="000000"/>
            </w:tcBorders>
            <w:shd w:val="clear" w:color="auto" w:fill="D9D9D9"/>
          </w:tcPr>
          <w:p>
            <w:pPr/>
          </w:p>
        </w:tc>
        <w:tc>
          <w:tcPr>
            <w:tcW w:w="1489" w:type="dxa"/>
            <w:tcBorders>
              <w:top w:val="single" w:sz="4" w:space="0" w:color="000000"/>
              <w:left w:val="single" w:sz="4" w:space="0" w:color="000000"/>
              <w:bottom w:val="nil" w:sz="6" w:space="0" w:color="auto"/>
              <w:right w:val="single" w:sz="4" w:space="0" w:color="000000"/>
            </w:tcBorders>
            <w:shd w:val="clear" w:color="auto" w:fill="D9D9D9"/>
          </w:tcPr>
          <w:p>
            <w:pPr/>
          </w:p>
        </w:tc>
        <w:tc>
          <w:tcPr>
            <w:tcW w:w="170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0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40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277" w:type="dxa"/>
            <w:tcBorders>
              <w:top w:val="single" w:sz="4" w:space="0" w:color="000000"/>
              <w:left w:val="single" w:sz="4" w:space="0" w:color="000000"/>
              <w:bottom w:val="nil" w:sz="6" w:space="0" w:color="auto"/>
              <w:right w:val="single" w:sz="4" w:space="0" w:color="000000"/>
            </w:tcBorders>
            <w:shd w:val="clear" w:color="auto" w:fill="D9D9D9"/>
          </w:tcPr>
          <w:p>
            <w:pPr/>
          </w:p>
        </w:tc>
      </w:tr>
      <w:tr>
        <w:trPr>
          <w:trHeight w:val="161" w:hRule="exact"/>
        </w:trPr>
        <w:tc>
          <w:tcPr>
            <w:tcW w:w="1419"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89"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0"/>
              <w:ind w:left="37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08" w:type="dxa"/>
            <w:vMerge w:val="restart"/>
            <w:tcBorders>
              <w:top w:val="single" w:sz="4" w:space="0" w:color="000000"/>
              <w:left w:val="single" w:sz="9" w:space="0" w:color="D9D9D9"/>
              <w:right w:val="single" w:sz="4" w:space="0" w:color="000000"/>
            </w:tcBorders>
            <w:shd w:val="clear" w:color="auto" w:fill="D2D2D2"/>
          </w:tcPr>
          <w:p>
            <w:pPr>
              <w:pStyle w:val="TableParagraph"/>
              <w:spacing w:line="316" w:lineRule="auto" w:before="10"/>
              <w:ind w:left="72" w:right="77"/>
              <w:jc w:val="left"/>
              <w:rPr>
                <w:rFonts w:ascii="宋体" w:hAnsi="宋体" w:cs="宋体" w:eastAsia="宋体" w:hint="default"/>
                <w:sz w:val="18"/>
                <w:szCs w:val="18"/>
              </w:rPr>
            </w:pPr>
            <w:r>
              <w:rPr>
                <w:rFonts w:ascii="宋体" w:hAnsi="宋体" w:cs="宋体" w:eastAsia="宋体" w:hint="default"/>
                <w:sz w:val="18"/>
                <w:szCs w:val="18"/>
              </w:rPr>
              <w:t>内部开 发支出</w:t>
            </w:r>
          </w:p>
        </w:tc>
        <w:tc>
          <w:tcPr>
            <w:tcW w:w="568" w:type="dxa"/>
            <w:vMerge w:val="restart"/>
            <w:tcBorders>
              <w:top w:val="single" w:sz="4" w:space="0" w:color="000000"/>
              <w:left w:val="single" w:sz="4" w:space="0" w:color="000000"/>
              <w:right w:val="single" w:sz="13" w:space="0" w:color="D9D9D9"/>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25"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10"/>
              <w:ind w:left="26" w:right="26"/>
              <w:jc w:val="left"/>
              <w:rPr>
                <w:rFonts w:ascii="宋体" w:hAnsi="宋体" w:cs="宋体" w:eastAsia="宋体" w:hint="default"/>
                <w:sz w:val="18"/>
                <w:szCs w:val="18"/>
              </w:rPr>
            </w:pPr>
            <w:r>
              <w:rPr>
                <w:rFonts w:ascii="宋体" w:hAnsi="宋体" w:cs="宋体" w:eastAsia="宋体" w:hint="default"/>
                <w:sz w:val="18"/>
                <w:szCs w:val="18"/>
              </w:rPr>
              <w:t>企业 合并</w:t>
            </w:r>
          </w:p>
        </w:tc>
        <w:tc>
          <w:tcPr>
            <w:tcW w:w="1418" w:type="dxa"/>
            <w:tcBorders>
              <w:top w:val="single" w:sz="4" w:space="0" w:color="000000"/>
              <w:left w:val="single" w:sz="4" w:space="0" w:color="000000"/>
              <w:bottom w:val="nil" w:sz="6" w:space="0" w:color="auto"/>
              <w:right w:val="single" w:sz="4" w:space="0" w:color="000000"/>
            </w:tcBorders>
            <w:shd w:val="clear" w:color="auto" w:fill="D9D9D9"/>
          </w:tcPr>
          <w:p>
            <w:pPr/>
          </w:p>
        </w:tc>
        <w:tc>
          <w:tcPr>
            <w:tcW w:w="708"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10"/>
              <w:ind w:left="77" w:right="78"/>
              <w:jc w:val="left"/>
              <w:rPr>
                <w:rFonts w:ascii="宋体" w:hAnsi="宋体" w:cs="宋体" w:eastAsia="宋体" w:hint="default"/>
                <w:sz w:val="18"/>
                <w:szCs w:val="18"/>
              </w:rPr>
            </w:pPr>
            <w:r>
              <w:rPr>
                <w:rFonts w:ascii="宋体" w:hAnsi="宋体" w:cs="宋体" w:eastAsia="宋体" w:hint="default"/>
                <w:sz w:val="18"/>
                <w:szCs w:val="18"/>
              </w:rPr>
              <w:t>转入当 期损益</w:t>
            </w:r>
          </w:p>
        </w:tc>
        <w:tc>
          <w:tcPr>
            <w:tcW w:w="1275" w:type="dxa"/>
            <w:tcBorders>
              <w:top w:val="single" w:sz="4" w:space="0" w:color="000000"/>
              <w:left w:val="single" w:sz="4" w:space="0" w:color="000000"/>
              <w:bottom w:val="nil" w:sz="6" w:space="0" w:color="auto"/>
              <w:right w:val="single" w:sz="4" w:space="0" w:color="000000"/>
            </w:tcBorders>
            <w:shd w:val="clear" w:color="auto" w:fill="D9D9D9"/>
          </w:tcPr>
          <w:p>
            <w:pPr/>
          </w:p>
        </w:tc>
        <w:tc>
          <w:tcPr>
            <w:tcW w:w="1277"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1" w:hRule="exact"/>
        </w:trPr>
        <w:tc>
          <w:tcPr>
            <w:tcW w:w="1419" w:type="dxa"/>
            <w:vMerge/>
            <w:tcBorders>
              <w:left w:val="single" w:sz="4" w:space="0" w:color="000000"/>
              <w:bottom w:val="nil" w:sz="6" w:space="0" w:color="auto"/>
              <w:right w:val="single" w:sz="4" w:space="0" w:color="000000"/>
            </w:tcBorders>
            <w:shd w:val="clear" w:color="auto" w:fill="D9D9D9"/>
          </w:tcPr>
          <w:p>
            <w:pPr/>
          </w:p>
        </w:tc>
        <w:tc>
          <w:tcPr>
            <w:tcW w:w="1489" w:type="dxa"/>
            <w:vMerge/>
            <w:tcBorders>
              <w:left w:val="single" w:sz="4" w:space="0" w:color="000000"/>
              <w:bottom w:val="nil" w:sz="6" w:space="0" w:color="auto"/>
              <w:right w:val="single" w:sz="4" w:space="0" w:color="000000"/>
            </w:tcBorders>
            <w:shd w:val="clear" w:color="auto" w:fill="D9D9D9"/>
          </w:tcPr>
          <w:p>
            <w:pPr/>
          </w:p>
        </w:tc>
        <w:tc>
          <w:tcPr>
            <w:tcW w:w="708" w:type="dxa"/>
            <w:vMerge/>
            <w:tcBorders>
              <w:left w:val="single" w:sz="9" w:space="0" w:color="D9D9D9"/>
              <w:right w:val="single" w:sz="4" w:space="0" w:color="000000"/>
            </w:tcBorders>
            <w:shd w:val="clear" w:color="auto" w:fill="D2D2D2"/>
          </w:tcPr>
          <w:p>
            <w:pPr/>
          </w:p>
        </w:tc>
        <w:tc>
          <w:tcPr>
            <w:tcW w:w="568" w:type="dxa"/>
            <w:vMerge/>
            <w:tcBorders>
              <w:left w:val="single" w:sz="4" w:space="0" w:color="000000"/>
              <w:right w:val="single" w:sz="13" w:space="0" w:color="D9D9D9"/>
            </w:tcBorders>
            <w:shd w:val="clear" w:color="auto" w:fill="D2D2D2"/>
          </w:tcPr>
          <w:p>
            <w:pPr/>
          </w:p>
        </w:tc>
        <w:tc>
          <w:tcPr>
            <w:tcW w:w="425" w:type="dxa"/>
            <w:vMerge/>
            <w:tcBorders>
              <w:left w:val="single" w:sz="4" w:space="0" w:color="000000"/>
              <w:right w:val="single" w:sz="4" w:space="0" w:color="000000"/>
            </w:tcBorders>
            <w:shd w:val="clear" w:color="auto" w:fill="D9D9D9"/>
          </w:tcPr>
          <w:p>
            <w:pPr/>
          </w:p>
        </w:tc>
        <w:tc>
          <w:tcPr>
            <w:tcW w:w="1418" w:type="dxa"/>
            <w:vMerge w:val="restart"/>
            <w:tcBorders>
              <w:top w:val="nil" w:sz="6" w:space="0" w:color="auto"/>
              <w:left w:val="single" w:sz="22" w:space="0" w:color="D9D9D9"/>
              <w:right w:val="single" w:sz="23" w:space="0" w:color="D9D9D9"/>
            </w:tcBorders>
          </w:tcPr>
          <w:p>
            <w:pPr>
              <w:pStyle w:val="TableParagraph"/>
              <w:spacing w:line="240" w:lineRule="auto" w:before="1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5"/>
                <w:sz w:val="18"/>
                <w:szCs w:val="18"/>
                <w:shd w:fill="D9D9D9" w:color="auto" w:val="clear"/>
              </w:rPr>
              <w:t> </w:t>
            </w:r>
            <w:r>
              <w:rPr>
                <w:rFonts w:ascii="宋体" w:hAnsi="宋体" w:cs="宋体" w:eastAsia="宋体" w:hint="default"/>
                <w:sz w:val="18"/>
                <w:szCs w:val="18"/>
                <w:shd w:fill="D9D9D9" w:color="auto" w:val="clear"/>
              </w:rPr>
              <w:t>确认为无形资产</w:t>
            </w:r>
            <w:r>
              <w:rPr>
                <w:rFonts w:ascii="宋体" w:hAnsi="宋体" w:cs="宋体" w:eastAsia="宋体" w:hint="default"/>
                <w:sz w:val="18"/>
                <w:szCs w:val="18"/>
              </w:rPr>
            </w:r>
          </w:p>
        </w:tc>
        <w:tc>
          <w:tcPr>
            <w:tcW w:w="708" w:type="dxa"/>
            <w:vMerge/>
            <w:tcBorders>
              <w:left w:val="single" w:sz="4" w:space="0" w:color="000000"/>
              <w:right w:val="single" w:sz="4" w:space="0" w:color="000000"/>
            </w:tcBorders>
            <w:shd w:val="clear" w:color="auto" w:fill="D9D9D9"/>
          </w:tcPr>
          <w:p>
            <w:pPr/>
          </w:p>
        </w:tc>
        <w:tc>
          <w:tcPr>
            <w:tcW w:w="1275"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77" w:type="dxa"/>
            <w:vMerge/>
            <w:tcBorders>
              <w:left w:val="single" w:sz="4" w:space="0" w:color="000000"/>
              <w:bottom w:val="nil" w:sz="6" w:space="0" w:color="auto"/>
              <w:right w:val="single" w:sz="4" w:space="0" w:color="000000"/>
            </w:tcBorders>
            <w:shd w:val="clear" w:color="auto" w:fill="D9D9D9"/>
          </w:tcPr>
          <w:p>
            <w:pPr/>
          </w:p>
        </w:tc>
      </w:tr>
      <w:tr>
        <w:trPr>
          <w:trHeight w:val="161" w:hRule="exact"/>
        </w:trPr>
        <w:tc>
          <w:tcPr>
            <w:tcW w:w="1419" w:type="dxa"/>
            <w:vMerge w:val="restart"/>
            <w:tcBorders>
              <w:top w:val="nil" w:sz="6" w:space="0" w:color="auto"/>
              <w:left w:val="single" w:sz="4" w:space="0" w:color="000000"/>
              <w:right w:val="single" w:sz="4" w:space="0" w:color="000000"/>
            </w:tcBorders>
            <w:shd w:val="clear" w:color="auto" w:fill="D9D9D9"/>
          </w:tcPr>
          <w:p>
            <w:pPr/>
          </w:p>
        </w:tc>
        <w:tc>
          <w:tcPr>
            <w:tcW w:w="1489" w:type="dxa"/>
            <w:vMerge w:val="restart"/>
            <w:tcBorders>
              <w:top w:val="nil" w:sz="6" w:space="0" w:color="auto"/>
              <w:left w:val="single" w:sz="4" w:space="0" w:color="000000"/>
              <w:right w:val="single" w:sz="4" w:space="0" w:color="000000"/>
            </w:tcBorders>
            <w:shd w:val="clear" w:color="auto" w:fill="D9D9D9"/>
          </w:tcPr>
          <w:p>
            <w:pPr/>
          </w:p>
        </w:tc>
        <w:tc>
          <w:tcPr>
            <w:tcW w:w="708" w:type="dxa"/>
            <w:vMerge/>
            <w:tcBorders>
              <w:left w:val="single" w:sz="9" w:space="0" w:color="D9D9D9"/>
              <w:right w:val="single" w:sz="4" w:space="0" w:color="000000"/>
            </w:tcBorders>
            <w:shd w:val="clear" w:color="auto" w:fill="D2D2D2"/>
          </w:tcPr>
          <w:p>
            <w:pPr/>
          </w:p>
        </w:tc>
        <w:tc>
          <w:tcPr>
            <w:tcW w:w="568" w:type="dxa"/>
            <w:vMerge/>
            <w:tcBorders>
              <w:left w:val="single" w:sz="4" w:space="0" w:color="000000"/>
              <w:right w:val="single" w:sz="13" w:space="0" w:color="D9D9D9"/>
            </w:tcBorders>
            <w:shd w:val="clear" w:color="auto" w:fill="D2D2D2"/>
          </w:tcPr>
          <w:p>
            <w:pPr/>
          </w:p>
        </w:tc>
        <w:tc>
          <w:tcPr>
            <w:tcW w:w="425" w:type="dxa"/>
            <w:vMerge/>
            <w:tcBorders>
              <w:left w:val="single" w:sz="4" w:space="0" w:color="000000"/>
              <w:right w:val="single" w:sz="4" w:space="0" w:color="000000"/>
            </w:tcBorders>
            <w:shd w:val="clear" w:color="auto" w:fill="D9D9D9"/>
          </w:tcPr>
          <w:p>
            <w:pPr/>
          </w:p>
        </w:tc>
        <w:tc>
          <w:tcPr>
            <w:tcW w:w="1418" w:type="dxa"/>
            <w:vMerge/>
            <w:tcBorders>
              <w:left w:val="single" w:sz="22" w:space="0" w:color="D9D9D9"/>
              <w:bottom w:val="nil" w:sz="6" w:space="0" w:color="auto"/>
              <w:right w:val="single" w:sz="23" w:space="0" w:color="D9D9D9"/>
            </w:tcBorders>
          </w:tcPr>
          <w:p>
            <w:pPr/>
          </w:p>
        </w:tc>
        <w:tc>
          <w:tcPr>
            <w:tcW w:w="708" w:type="dxa"/>
            <w:vMerge/>
            <w:tcBorders>
              <w:left w:val="single" w:sz="4" w:space="0" w:color="000000"/>
              <w:right w:val="single" w:sz="4" w:space="0" w:color="000000"/>
            </w:tcBorders>
            <w:shd w:val="clear" w:color="auto" w:fill="D9D9D9"/>
          </w:tcPr>
          <w:p>
            <w:pPr/>
          </w:p>
        </w:tc>
        <w:tc>
          <w:tcPr>
            <w:tcW w:w="1275" w:type="dxa"/>
            <w:vMerge/>
            <w:tcBorders>
              <w:left w:val="single" w:sz="4" w:space="0" w:color="000000"/>
              <w:bottom w:val="nil" w:sz="6" w:space="0" w:color="auto"/>
              <w:right w:val="single" w:sz="4" w:space="0" w:color="000000"/>
            </w:tcBorders>
            <w:shd w:val="clear" w:color="auto" w:fill="D9D9D9"/>
          </w:tcPr>
          <w:p>
            <w:pPr/>
          </w:p>
        </w:tc>
        <w:tc>
          <w:tcPr>
            <w:tcW w:w="1277" w:type="dxa"/>
            <w:vMerge w:val="restart"/>
            <w:tcBorders>
              <w:top w:val="nil" w:sz="6" w:space="0" w:color="auto"/>
              <w:left w:val="single" w:sz="4" w:space="0" w:color="000000"/>
              <w:right w:val="single" w:sz="4" w:space="0" w:color="000000"/>
            </w:tcBorders>
            <w:shd w:val="clear" w:color="auto" w:fill="D9D9D9"/>
          </w:tcPr>
          <w:p>
            <w:pPr/>
          </w:p>
        </w:tc>
      </w:tr>
      <w:tr>
        <w:trPr>
          <w:trHeight w:val="161" w:hRule="exact"/>
        </w:trPr>
        <w:tc>
          <w:tcPr>
            <w:tcW w:w="1419" w:type="dxa"/>
            <w:vMerge/>
            <w:tcBorders>
              <w:left w:val="single" w:sz="4" w:space="0" w:color="000000"/>
              <w:bottom w:val="single" w:sz="4" w:space="0" w:color="000000"/>
              <w:right w:val="single" w:sz="4" w:space="0" w:color="000000"/>
            </w:tcBorders>
            <w:shd w:val="clear" w:color="auto" w:fill="D9D9D9"/>
          </w:tcPr>
          <w:p>
            <w:pPr/>
          </w:p>
        </w:tc>
        <w:tc>
          <w:tcPr>
            <w:tcW w:w="1489" w:type="dxa"/>
            <w:vMerge/>
            <w:tcBorders>
              <w:left w:val="single" w:sz="4" w:space="0" w:color="000000"/>
              <w:bottom w:val="single" w:sz="4" w:space="0" w:color="000000"/>
              <w:right w:val="single" w:sz="4" w:space="0" w:color="000000"/>
            </w:tcBorders>
            <w:shd w:val="clear" w:color="auto" w:fill="D9D9D9"/>
          </w:tcPr>
          <w:p>
            <w:pPr/>
          </w:p>
        </w:tc>
        <w:tc>
          <w:tcPr>
            <w:tcW w:w="708" w:type="dxa"/>
            <w:vMerge/>
            <w:tcBorders>
              <w:left w:val="single" w:sz="9" w:space="0" w:color="D9D9D9"/>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13" w:space="0" w:color="D9D9D9"/>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9D9D9"/>
          </w:tcPr>
          <w:p>
            <w:pPr/>
          </w:p>
        </w:tc>
        <w:tc>
          <w:tcPr>
            <w:tcW w:w="1418" w:type="dxa"/>
            <w:tcBorders>
              <w:top w:val="nil" w:sz="6" w:space="0" w:color="auto"/>
              <w:left w:val="single" w:sz="4" w:space="0" w:color="000000"/>
              <w:bottom w:val="single" w:sz="4" w:space="0" w:color="000000"/>
              <w:right w:val="single" w:sz="4" w:space="0" w:color="000000"/>
            </w:tcBorders>
            <w:shd w:val="clear" w:color="auto" w:fill="D9D9D9"/>
          </w:tcPr>
          <w:p>
            <w:pPr/>
          </w:p>
        </w:tc>
        <w:tc>
          <w:tcPr>
            <w:tcW w:w="708" w:type="dxa"/>
            <w:vMerge/>
            <w:tcBorders>
              <w:left w:val="single" w:sz="4" w:space="0" w:color="000000"/>
              <w:bottom w:val="single" w:sz="4" w:space="0" w:color="000000"/>
              <w:right w:val="single" w:sz="4" w:space="0" w:color="000000"/>
            </w:tcBorders>
            <w:shd w:val="clear" w:color="auto" w:fill="D9D9D9"/>
          </w:tcPr>
          <w:p>
            <w:pPr/>
          </w:p>
        </w:tc>
        <w:tc>
          <w:tcPr>
            <w:tcW w:w="1275" w:type="dxa"/>
            <w:tcBorders>
              <w:top w:val="nil" w:sz="6" w:space="0" w:color="auto"/>
              <w:left w:val="single" w:sz="4" w:space="0" w:color="000000"/>
              <w:bottom w:val="single" w:sz="4" w:space="0" w:color="000000"/>
              <w:right w:val="single" w:sz="4" w:space="0" w:color="000000"/>
            </w:tcBorders>
            <w:shd w:val="clear" w:color="auto" w:fill="D9D9D9"/>
          </w:tcPr>
          <w:p>
            <w:pPr/>
          </w:p>
        </w:tc>
        <w:tc>
          <w:tcPr>
            <w:tcW w:w="1277" w:type="dxa"/>
            <w:vMerge/>
            <w:tcBorders>
              <w:left w:val="single" w:sz="4" w:space="0" w:color="000000"/>
              <w:bottom w:val="single" w:sz="4" w:space="0" w:color="000000"/>
              <w:right w:val="single" w:sz="4" w:space="0" w:color="000000"/>
            </w:tcBorders>
            <w:shd w:val="clear" w:color="auto" w:fill="D9D9D9"/>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148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957,344.37</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851,618.56</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105,725.81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0.00</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太傻留学连连看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11,203,662.84</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11,203,662.84</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12,161,007.21</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851,618.56</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11,309,388.65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254" w:right="1023"/>
        <w:jc w:val="left"/>
        <w:rPr>
          <w:b w:val="0"/>
          <w:bCs w:val="0"/>
        </w:rPr>
      </w:pPr>
      <w:bookmarkStart w:name="17、商誉" w:id="265"/>
      <w:bookmarkEnd w:id="265"/>
      <w:r>
        <w:rPr>
          <w:b w:val="0"/>
          <w:bCs w:val="0"/>
        </w:rPr>
      </w:r>
      <w:r>
        <w:rPr>
          <w:rFonts w:ascii="宋体" w:hAnsi="宋体" w:cs="宋体" w:eastAsia="宋体" w:hint="default"/>
        </w:rPr>
        <w:t>17</w:t>
      </w:r>
      <w:r>
        <w:rPr/>
        <w:t>、商誉</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254" w:right="1023"/>
        <w:jc w:val="left"/>
        <w:rPr>
          <w:b w:val="0"/>
          <w:bCs w:val="0"/>
        </w:rPr>
      </w:pPr>
      <w:bookmarkStart w:name="（1）商誉情况" w:id="266"/>
      <w:bookmarkEnd w:id="266"/>
      <w:r>
        <w:rPr>
          <w:b w:val="0"/>
          <w:bCs w:val="0"/>
        </w:rPr>
      </w:r>
      <w:r>
        <w:rPr/>
        <w:t>（</w:t>
      </w:r>
      <w:r>
        <w:rPr>
          <w:rFonts w:ascii="宋体" w:hAnsi="宋体" w:cs="宋体" w:eastAsia="宋体" w:hint="default"/>
        </w:rPr>
        <w:t>1</w:t>
      </w:r>
      <w:r>
        <w:rPr/>
        <w:t>）商誉情况</w:t>
      </w:r>
      <w:r>
        <w:rPr>
          <w:b w:val="0"/>
          <w:bCs w:val="0"/>
        </w:rPr>
      </w:r>
    </w:p>
    <w:p>
      <w:pPr>
        <w:spacing w:line="240" w:lineRule="auto" w:before="12"/>
        <w:rPr>
          <w:rFonts w:ascii="宋体" w:hAnsi="宋体" w:cs="宋体" w:eastAsia="宋体" w:hint="default"/>
          <w:b/>
          <w:bCs/>
          <w:sz w:val="26"/>
          <w:szCs w:val="26"/>
        </w:rPr>
      </w:pPr>
    </w:p>
    <w:tbl>
      <w:tblPr>
        <w:tblW w:w="0" w:type="auto"/>
        <w:jc w:val="left"/>
        <w:tblInd w:w="249" w:type="dxa"/>
        <w:tblLayout w:type="fixed"/>
        <w:tblCellMar>
          <w:top w:w="0" w:type="dxa"/>
          <w:left w:w="0" w:type="dxa"/>
          <w:bottom w:w="0" w:type="dxa"/>
          <w:right w:w="0" w:type="dxa"/>
        </w:tblCellMar>
        <w:tblLook w:val="01E0"/>
      </w:tblPr>
      <w:tblGrid>
        <w:gridCol w:w="2302"/>
        <w:gridCol w:w="3028"/>
        <w:gridCol w:w="3363"/>
      </w:tblGrid>
      <w:tr>
        <w:trPr>
          <w:trHeight w:val="530" w:hRule="exact"/>
        </w:trPr>
        <w:tc>
          <w:tcPr>
            <w:tcW w:w="2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30" w:hRule="exact"/>
        </w:trPr>
        <w:tc>
          <w:tcPr>
            <w:tcW w:w="2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商誉账面原值</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3,976,742,329.96</w:t>
            </w:r>
          </w:p>
        </w:tc>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宋体" w:hAnsi="宋体" w:cs="宋体" w:eastAsia="宋体" w:hint="default"/>
                <w:sz w:val="18"/>
                <w:szCs w:val="18"/>
              </w:rPr>
            </w:pPr>
            <w:r>
              <w:rPr>
                <w:rFonts w:ascii="宋体"/>
                <w:sz w:val="18"/>
              </w:rPr>
              <w:t>2,830,832,198.24</w:t>
            </w:r>
          </w:p>
        </w:tc>
      </w:tr>
      <w:tr>
        <w:trPr>
          <w:trHeight w:val="529" w:hRule="exact"/>
        </w:trPr>
        <w:tc>
          <w:tcPr>
            <w:tcW w:w="2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减：商誉减值准备</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2,229,505,909.34</w:t>
            </w:r>
          </w:p>
        </w:tc>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宋体" w:hAnsi="宋体" w:cs="宋体" w:eastAsia="宋体" w:hint="default"/>
                <w:sz w:val="18"/>
                <w:szCs w:val="18"/>
              </w:rPr>
            </w:pPr>
            <w:r>
              <w:rPr>
                <w:rFonts w:ascii="宋体"/>
                <w:sz w:val="18"/>
              </w:rPr>
              <w:t>869,101,101.90</w:t>
            </w:r>
          </w:p>
        </w:tc>
      </w:tr>
      <w:tr>
        <w:trPr>
          <w:trHeight w:val="531" w:hRule="exact"/>
        </w:trPr>
        <w:tc>
          <w:tcPr>
            <w:tcW w:w="2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5"/>
              <w:ind w:left="46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1,747,236,420.62</w:t>
            </w:r>
          </w:p>
        </w:tc>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宋体" w:hAnsi="宋体" w:cs="宋体" w:eastAsia="宋体" w:hint="default"/>
                <w:sz w:val="18"/>
                <w:szCs w:val="18"/>
              </w:rPr>
            </w:pPr>
            <w:r>
              <w:rPr>
                <w:rFonts w:ascii="宋体"/>
                <w:sz w:val="18"/>
              </w:rPr>
              <w:t>1,961,731,096.34</w:t>
            </w:r>
          </w:p>
        </w:tc>
      </w:tr>
    </w:tbl>
    <w:p>
      <w:pPr>
        <w:spacing w:line="240" w:lineRule="auto" w:before="2"/>
        <w:rPr>
          <w:rFonts w:ascii="宋体" w:hAnsi="宋体" w:cs="宋体" w:eastAsia="宋体" w:hint="default"/>
          <w:b/>
          <w:bCs/>
          <w:sz w:val="19"/>
          <w:szCs w:val="19"/>
        </w:rPr>
      </w:pPr>
    </w:p>
    <w:p>
      <w:pPr>
        <w:pStyle w:val="Heading4"/>
        <w:spacing w:line="240" w:lineRule="auto" w:before="35"/>
        <w:ind w:left="254" w:right="1023"/>
        <w:jc w:val="left"/>
        <w:rPr>
          <w:b w:val="0"/>
          <w:bCs w:val="0"/>
        </w:rPr>
      </w:pPr>
      <w:bookmarkStart w:name="（2）商誉账面原值" w:id="267"/>
      <w:bookmarkEnd w:id="267"/>
      <w:r>
        <w:rPr>
          <w:b w:val="0"/>
          <w:bCs w:val="0"/>
        </w:rPr>
      </w:r>
      <w:r>
        <w:rPr/>
        <w:t>（</w:t>
      </w:r>
      <w:r>
        <w:rPr>
          <w:rFonts w:ascii="宋体" w:hAnsi="宋体" w:cs="宋体" w:eastAsia="宋体" w:hint="default"/>
        </w:rPr>
        <w:t>2</w:t>
      </w:r>
      <w:r>
        <w:rPr/>
        <w:t>）商誉账面原值</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843"/>
        <w:gridCol w:w="1843"/>
        <w:gridCol w:w="1702"/>
        <w:gridCol w:w="1844"/>
        <w:gridCol w:w="1984"/>
      </w:tblGrid>
      <w:tr>
        <w:trPr>
          <w:trHeight w:val="328" w:hRule="exact"/>
        </w:trPr>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22"/>
              <w:ind w:left="375" w:right="105" w:hanging="270"/>
              <w:jc w:val="left"/>
              <w:rPr>
                <w:rFonts w:ascii="宋体" w:hAnsi="宋体" w:cs="宋体" w:eastAsia="宋体" w:hint="default"/>
                <w:sz w:val="18"/>
                <w:szCs w:val="18"/>
              </w:rPr>
            </w:pPr>
            <w:r>
              <w:rPr>
                <w:rFonts w:ascii="宋体" w:hAnsi="宋体" w:cs="宋体" w:eastAsia="宋体" w:hint="default"/>
                <w:sz w:val="18"/>
                <w:szCs w:val="18"/>
              </w:rPr>
              <w:t>被投资单位名称或形 成商誉的事项</w:t>
            </w:r>
          </w:p>
        </w:tc>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6" w:space="0" w:color="000000"/>
            </w:tcBorders>
            <w:shd w:val="clear" w:color="auto" w:fill="D2D2D2"/>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55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84" w:type="dxa"/>
            <w:vMerge w:val="restart"/>
            <w:tcBorders>
              <w:top w:val="single" w:sz="4" w:space="0" w:color="000000"/>
              <w:left w:val="single" w:sz="6"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843" w:type="dxa"/>
            <w:vMerge/>
            <w:tcBorders>
              <w:left w:val="single" w:sz="4" w:space="0" w:color="000000"/>
              <w:bottom w:val="single" w:sz="6"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6" w:space="0" w:color="000000"/>
            </w:tcBorders>
            <w:shd w:val="clear" w:color="auto" w:fill="D2D2D2"/>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企业合并形成的</w:t>
            </w:r>
          </w:p>
        </w:tc>
        <w:tc>
          <w:tcPr>
            <w:tcW w:w="18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984" w:type="dxa"/>
            <w:vMerge/>
            <w:tcBorders>
              <w:left w:val="single" w:sz="6" w:space="0" w:color="000000"/>
              <w:bottom w:val="single" w:sz="4" w:space="0" w:color="000000"/>
              <w:right w:val="single" w:sz="4" w:space="0" w:color="000000"/>
            </w:tcBorders>
            <w:shd w:val="clear" w:color="auto" w:fill="D2D2D2"/>
          </w:tcPr>
          <w:p>
            <w:pPr/>
          </w:p>
        </w:tc>
      </w:tr>
      <w:tr>
        <w:trPr>
          <w:trHeight w:val="332" w:hRule="exact"/>
        </w:trPr>
        <w:tc>
          <w:tcPr>
            <w:tcW w:w="1843"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sz w:val="18"/>
              </w:rPr>
              <w:t>1,570,177.14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6"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sz w:val="18"/>
              </w:rPr>
              <w:t>1,570,177.14</w:t>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长春华锐营销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446,659.70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446,659.70</w:t>
            </w:r>
          </w:p>
        </w:tc>
      </w:tr>
      <w:tr>
        <w:trPr>
          <w:trHeight w:val="323"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沈阳北联</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62,181.02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62,181.02</w:t>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沈阳辽一网络</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1,413,262.27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1,413,262.27</w:t>
            </w: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华闻影视</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167,460.42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167,460.42</w:t>
            </w:r>
          </w:p>
        </w:tc>
      </w:tr>
      <w:tr>
        <w:trPr>
          <w:trHeight w:val="323"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新海岸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6,678,627.93</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6,678,627.93</w:t>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565,907,679.44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565,907,679.44</w:t>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成功启航</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6,684,588.79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6,684,588.79</w:t>
            </w:r>
          </w:p>
        </w:tc>
      </w:tr>
      <w:tr>
        <w:trPr>
          <w:trHeight w:val="323"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1,092,989,827.09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1,092,989,827.09</w:t>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593,984,235.72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593,984,235.72</w:t>
            </w: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204,095,282.50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204,095,282.50</w:t>
            </w:r>
          </w:p>
        </w:tc>
      </w:tr>
      <w:tr>
        <w:trPr>
          <w:trHeight w:val="323"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355,287,538.60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355,287,538.60</w:t>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国广华屏</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337,138.07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337,138.07</w:t>
            </w:r>
          </w:p>
        </w:tc>
      </w:tr>
      <w:tr>
        <w:trPr>
          <w:trHeight w:val="323"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瀚祥拓睿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1,207,539.55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1,207,539.55</w:t>
            </w:r>
          </w:p>
        </w:tc>
      </w:tr>
    </w:tbl>
    <w:p>
      <w:pPr>
        <w:spacing w:after="0" w:line="240" w:lineRule="auto"/>
        <w:jc w:val="right"/>
        <w:rPr>
          <w:rFonts w:ascii="宋体" w:hAnsi="宋体" w:cs="宋体" w:eastAsia="宋体" w:hint="default"/>
          <w:sz w:val="18"/>
          <w:szCs w:val="18"/>
        </w:rPr>
        <w:sectPr>
          <w:headerReference w:type="default" r:id="rId53"/>
          <w:footerReference w:type="default" r:id="rId54"/>
          <w:pgSz w:w="11910" w:h="16840"/>
          <w:pgMar w:header="877" w:footer="979" w:top="1100" w:bottom="1160" w:left="880" w:right="0"/>
          <w:pgNumType w:start="207"/>
        </w:sectPr>
      </w:pPr>
    </w:p>
    <w:p>
      <w:pPr>
        <w:spacing w:line="240" w:lineRule="auto" w:before="6"/>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843"/>
        <w:gridCol w:w="1843"/>
        <w:gridCol w:w="1702"/>
        <w:gridCol w:w="1844"/>
        <w:gridCol w:w="1984"/>
      </w:tblGrid>
      <w:tr>
        <w:trPr>
          <w:trHeight w:val="322"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北京亚越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733,384.96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733,384.96</w:t>
            </w:r>
          </w:p>
        </w:tc>
      </w:tr>
      <w:tr>
        <w:trPr>
          <w:trHeight w:val="323"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广州粤瑛玮</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851,277.49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851,277.49</w:t>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上海祥隆</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70,767,298.81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70,767,298.81</w:t>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成都融智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852,600.07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852,600.07</w:t>
            </w:r>
          </w:p>
        </w:tc>
      </w:tr>
      <w:tr>
        <w:trPr>
          <w:trHeight w:val="323"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四川融智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700,000.00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700,000.00</w:t>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深圳麦游</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161,624,939.01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161,624,939.01</w:t>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1,505,778,129.37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1,505,778,129.37</w:t>
            </w:r>
          </w:p>
        </w:tc>
      </w:tr>
      <w:tr>
        <w:trPr>
          <w:trHeight w:val="323"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70" w:right="0"/>
              <w:jc w:val="left"/>
              <w:rPr>
                <w:rFonts w:ascii="宋体" w:hAnsi="宋体" w:cs="宋体" w:eastAsia="宋体" w:hint="default"/>
                <w:sz w:val="18"/>
                <w:szCs w:val="18"/>
              </w:rPr>
            </w:pPr>
            <w:r>
              <w:rPr>
                <w:rFonts w:ascii="宋体"/>
                <w:sz w:val="18"/>
              </w:rPr>
              <w:t>2,830,832,198.24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1,741,307,629.71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49" w:right="0"/>
              <w:jc w:val="left"/>
              <w:rPr>
                <w:rFonts w:ascii="宋体" w:hAnsi="宋体" w:cs="宋体" w:eastAsia="宋体" w:hint="default"/>
                <w:sz w:val="18"/>
                <w:szCs w:val="18"/>
              </w:rPr>
            </w:pPr>
            <w:r>
              <w:rPr>
                <w:rFonts w:ascii="宋体"/>
                <w:sz w:val="18"/>
              </w:rPr>
              <w:t>595,397,497.99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3,976,742,329.96</w:t>
            </w:r>
          </w:p>
        </w:tc>
      </w:tr>
    </w:tbl>
    <w:p>
      <w:pPr>
        <w:spacing w:line="240" w:lineRule="auto" w:before="2"/>
        <w:rPr>
          <w:rFonts w:ascii="宋体" w:hAnsi="宋体" w:cs="宋体" w:eastAsia="宋体" w:hint="default"/>
          <w:sz w:val="19"/>
          <w:szCs w:val="19"/>
        </w:rPr>
      </w:pPr>
    </w:p>
    <w:p>
      <w:pPr>
        <w:pStyle w:val="Heading4"/>
        <w:spacing w:line="240" w:lineRule="auto" w:before="35"/>
        <w:ind w:left="254" w:right="1023"/>
        <w:jc w:val="left"/>
        <w:rPr>
          <w:b w:val="0"/>
          <w:bCs w:val="0"/>
        </w:rPr>
      </w:pPr>
      <w:bookmarkStart w:name="（3）商誉减值准备" w:id="268"/>
      <w:bookmarkEnd w:id="268"/>
      <w:r>
        <w:rPr>
          <w:b w:val="0"/>
          <w:bCs w:val="0"/>
        </w:rPr>
      </w:r>
      <w:r>
        <w:rPr/>
        <w:t>（</w:t>
      </w:r>
      <w:r>
        <w:rPr>
          <w:rFonts w:ascii="宋体" w:hAnsi="宋体" w:cs="宋体" w:eastAsia="宋体" w:hint="default"/>
        </w:rPr>
        <w:t>3</w:t>
      </w:r>
      <w:r>
        <w:rPr/>
        <w:t>）商誉减值准备</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249" w:type="dxa"/>
        <w:tblLayout w:type="fixed"/>
        <w:tblCellMar>
          <w:top w:w="0" w:type="dxa"/>
          <w:left w:w="0" w:type="dxa"/>
          <w:bottom w:w="0" w:type="dxa"/>
          <w:right w:w="0" w:type="dxa"/>
        </w:tblCellMar>
        <w:tblLook w:val="01E0"/>
      </w:tblPr>
      <w:tblGrid>
        <w:gridCol w:w="1701"/>
        <w:gridCol w:w="1843"/>
        <w:gridCol w:w="1702"/>
        <w:gridCol w:w="1842"/>
        <w:gridCol w:w="1985"/>
      </w:tblGrid>
      <w:tr>
        <w:trPr>
          <w:trHeight w:val="328"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21"/>
              <w:ind w:left="304" w:right="36" w:hanging="270"/>
              <w:jc w:val="left"/>
              <w:rPr>
                <w:rFonts w:ascii="宋体" w:hAnsi="宋体" w:cs="宋体" w:eastAsia="宋体" w:hint="default"/>
                <w:sz w:val="18"/>
                <w:szCs w:val="18"/>
              </w:rPr>
            </w:pPr>
            <w:r>
              <w:rPr>
                <w:rFonts w:ascii="宋体" w:hAnsi="宋体" w:cs="宋体" w:eastAsia="宋体" w:hint="default"/>
                <w:sz w:val="18"/>
                <w:szCs w:val="18"/>
              </w:rPr>
              <w:t>被投资单位名称或形 成商誉的事项</w:t>
            </w:r>
          </w:p>
        </w:tc>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6" w:space="0" w:color="000000"/>
            </w:tcBorders>
            <w:shd w:val="clear" w:color="auto" w:fill="D2D2D2"/>
          </w:tcPr>
          <w:p>
            <w:pPr>
              <w:pStyle w:val="TableParagraph"/>
              <w:spacing w:line="240" w:lineRule="auto" w:before="13"/>
              <w:ind w:left="48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55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85" w:type="dxa"/>
            <w:vMerge w:val="restart"/>
            <w:tcBorders>
              <w:top w:val="single" w:sz="4" w:space="0" w:color="000000"/>
              <w:left w:val="single" w:sz="6"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701" w:type="dxa"/>
            <w:vMerge/>
            <w:tcBorders>
              <w:left w:val="single" w:sz="4" w:space="0" w:color="000000"/>
              <w:bottom w:val="single" w:sz="6"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6" w:space="0" w:color="000000"/>
            </w:tcBorders>
            <w:shd w:val="clear" w:color="auto" w:fill="D2D2D2"/>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8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985" w:type="dxa"/>
            <w:vMerge/>
            <w:tcBorders>
              <w:left w:val="single" w:sz="6" w:space="0" w:color="000000"/>
              <w:bottom w:val="single" w:sz="4" w:space="0" w:color="000000"/>
              <w:right w:val="single" w:sz="4" w:space="0" w:color="000000"/>
            </w:tcBorders>
            <w:shd w:val="clear" w:color="auto" w:fill="D2D2D2"/>
          </w:tcPr>
          <w:p>
            <w:pPr/>
          </w:p>
        </w:tc>
      </w:tr>
      <w:tr>
        <w:trPr>
          <w:trHeight w:val="33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长春华锐营销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sz w:val="18"/>
              </w:rPr>
              <w:t>446,659.70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6"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3"/>
              <w:jc w:val="right"/>
              <w:rPr>
                <w:rFonts w:ascii="宋体" w:hAnsi="宋体" w:cs="宋体" w:eastAsia="宋体" w:hint="default"/>
                <w:sz w:val="18"/>
                <w:szCs w:val="18"/>
              </w:rPr>
            </w:pPr>
            <w:r>
              <w:rPr>
                <w:rFonts w:ascii="宋体"/>
                <w:sz w:val="18"/>
              </w:rPr>
              <w:t>446,659.70</w:t>
            </w:r>
          </w:p>
        </w:tc>
      </w:tr>
      <w:tr>
        <w:trPr>
          <w:trHeight w:val="32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204,095,282.50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204,095,282.50</w:t>
            </w:r>
          </w:p>
        </w:tc>
      </w:tr>
      <w:tr>
        <w:trPr>
          <w:trHeight w:val="32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593,984,235.72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593,984,235.72</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69,161,661.71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286,125,876.89</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355,287,538.60</w:t>
            </w:r>
          </w:p>
        </w:tc>
      </w:tr>
      <w:tr>
        <w:trPr>
          <w:trHeight w:val="32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沈阳辽一网络</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1,413,262.27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1,413,262.27</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565,907,679.44</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565,907,679.44</w:t>
            </w:r>
          </w:p>
        </w:tc>
      </w:tr>
      <w:tr>
        <w:trPr>
          <w:trHeight w:val="323"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成功启航</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6,684,588.79</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6,684,588.79</w:t>
            </w:r>
          </w:p>
        </w:tc>
      </w:tr>
      <w:tr>
        <w:trPr>
          <w:trHeight w:val="32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瀚祥拓睿</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1,207,539.55</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1,207,539.55</w:t>
            </w:r>
          </w:p>
        </w:tc>
      </w:tr>
      <w:tr>
        <w:trPr>
          <w:trHeight w:val="32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1,092,989,827.09</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1,092,989,827.09</w:t>
            </w:r>
          </w:p>
        </w:tc>
      </w:tr>
      <w:tr>
        <w:trPr>
          <w:trHeight w:val="323"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1,570,177.14</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1,570,177.14</w:t>
            </w:r>
          </w:p>
        </w:tc>
      </w:tr>
      <w:tr>
        <w:trPr>
          <w:trHeight w:val="32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沈阳北联</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62,181.02</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62,181.02</w:t>
            </w:r>
          </w:p>
        </w:tc>
      </w:tr>
      <w:tr>
        <w:trPr>
          <w:trHeight w:val="32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国广华屏</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337,138.07</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337,138.07</w:t>
            </w:r>
          </w:p>
        </w:tc>
      </w:tr>
      <w:tr>
        <w:trPr>
          <w:trHeight w:val="323"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北京亚越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200,358.37</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200,358.37</w:t>
            </w:r>
          </w:p>
        </w:tc>
      </w:tr>
      <w:tr>
        <w:trPr>
          <w:trHeight w:val="32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广州粤瑛玮</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716,939.07</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716,939.07</w:t>
            </w:r>
          </w:p>
        </w:tc>
      </w:tr>
      <w:tr>
        <w:trPr>
          <w:trHeight w:val="32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869,101,101.90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1,955,802,305.43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595,397,497.99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2,229,505,909.34</w:t>
            </w:r>
          </w:p>
        </w:tc>
      </w:tr>
    </w:tbl>
    <w:p>
      <w:pPr>
        <w:spacing w:line="240" w:lineRule="auto" w:before="12"/>
        <w:rPr>
          <w:rFonts w:ascii="宋体" w:hAnsi="宋体" w:cs="宋体" w:eastAsia="宋体" w:hint="default"/>
          <w:sz w:val="7"/>
          <w:szCs w:val="7"/>
        </w:rPr>
      </w:pPr>
    </w:p>
    <w:p>
      <w:pPr>
        <w:pStyle w:val="BodyText"/>
        <w:spacing w:line="420" w:lineRule="auto" w:before="35"/>
        <w:ind w:left="254" w:right="1023"/>
        <w:jc w:val="left"/>
      </w:pPr>
      <w:r>
        <w:rPr/>
        <w:t>商誉所在资产组或资产组组合的相关信息 </w:t>
      </w:r>
      <w:r>
        <w:rPr>
          <w:spacing w:val="-3"/>
        </w:rPr>
        <w:t>说明商誉减值测试过程、关键参数（如预计未来现金流量现值时的预测期增长率、稳定期增长率、利润率、</w:t>
      </w:r>
      <w:r>
        <w:rPr>
          <w:spacing w:val="-95"/>
        </w:rPr>
        <w:t> </w:t>
      </w:r>
      <w:r>
        <w:rPr>
          <w:spacing w:val="-95"/>
        </w:rPr>
      </w:r>
      <w:r>
        <w:rPr/>
        <w:t>折现率、预测期等）及商誉减值损失的确认方法：</w:t>
      </w:r>
    </w:p>
    <w:p>
      <w:pPr>
        <w:pStyle w:val="BodyText"/>
        <w:spacing w:line="420" w:lineRule="auto" w:before="47"/>
        <w:ind w:left="254" w:right="1131" w:firstLine="420"/>
        <w:jc w:val="left"/>
      </w:pPr>
      <w:r>
        <w:rPr>
          <w:spacing w:val="-1"/>
        </w:rPr>
        <w:t>本公司聘请亚洲（北京）资产评估有限公司对</w:t>
      </w:r>
      <w:r>
        <w:rPr>
          <w:rFonts w:ascii="宋体" w:hAnsi="宋体" w:cs="宋体" w:eastAsia="宋体" w:hint="default"/>
          <w:spacing w:val="-1"/>
        </w:rPr>
        <w:t>2013</w:t>
      </w:r>
      <w:r>
        <w:rPr>
          <w:spacing w:val="-1"/>
        </w:rPr>
        <w:t>年收购的澄怀科技，</w:t>
      </w:r>
      <w:r>
        <w:rPr>
          <w:rFonts w:ascii="宋体" w:hAnsi="宋体" w:cs="宋体" w:eastAsia="宋体" w:hint="default"/>
          <w:spacing w:val="-1"/>
        </w:rPr>
        <w:t>2014</w:t>
      </w:r>
      <w:r>
        <w:rPr>
          <w:spacing w:val="-1"/>
        </w:rPr>
        <w:t>年收购的精视文化、掌视</w:t>
      </w:r>
      <w:r>
        <w:rPr/>
        <w:t> </w:t>
      </w:r>
      <w:r>
        <w:rPr>
          <w:spacing w:val="-1"/>
        </w:rPr>
        <w:t>亿通，以及</w:t>
      </w:r>
      <w:r>
        <w:rPr>
          <w:rFonts w:ascii="宋体" w:hAnsi="宋体" w:cs="宋体" w:eastAsia="宋体" w:hint="default"/>
          <w:spacing w:val="-1"/>
        </w:rPr>
        <w:t>2018</w:t>
      </w:r>
      <w:r>
        <w:rPr>
          <w:spacing w:val="-1"/>
        </w:rPr>
        <w:t>年收购的麦游互动、车音智能产生的商誉进行减值测试。掌视亿通、麦游互动、车音智能</w:t>
      </w:r>
      <w:r>
        <w:rPr>
          <w:spacing w:val="-82"/>
        </w:rPr>
        <w:t> </w:t>
      </w:r>
      <w:r>
        <w:rPr>
          <w:spacing w:val="-82"/>
        </w:rPr>
      </w:r>
      <w:r>
        <w:rPr/>
        <w:t>减值测试系根据管理层批准的五年期（</w:t>
      </w:r>
      <w:r>
        <w:rPr>
          <w:rFonts w:ascii="宋体" w:hAnsi="宋体" w:cs="宋体" w:eastAsia="宋体" w:hint="default"/>
        </w:rPr>
        <w:t>2019</w:t>
      </w:r>
      <w:r>
        <w:rPr/>
        <w:t>年</w:t>
      </w:r>
      <w:r>
        <w:rPr>
          <w:rFonts w:ascii="宋体" w:hAnsi="宋体" w:cs="宋体" w:eastAsia="宋体" w:hint="default"/>
        </w:rPr>
        <w:t>-2023</w:t>
      </w:r>
      <w:r>
        <w:rPr/>
        <w:t>年）预算，采用现金流量预测法对资产组的可收回金 </w:t>
      </w:r>
      <w:r>
        <w:rPr>
          <w:spacing w:val="-1"/>
        </w:rPr>
        <w:t>额进行评估，假设永续年（自</w:t>
      </w:r>
      <w:r>
        <w:rPr>
          <w:rFonts w:ascii="宋体" w:hAnsi="宋体" w:cs="宋体" w:eastAsia="宋体" w:hint="default"/>
          <w:spacing w:val="-1"/>
        </w:rPr>
        <w:t>2024</w:t>
      </w:r>
      <w:r>
        <w:rPr>
          <w:spacing w:val="-1"/>
        </w:rPr>
        <w:t>年起）已达到稳定状态，故在永续年期间未考虑营运资金增加额。减值</w:t>
      </w:r>
      <w:r>
        <w:rPr>
          <w:spacing w:val="-82"/>
        </w:rPr>
        <w:t> </w:t>
      </w:r>
      <w:r>
        <w:rPr>
          <w:spacing w:val="-82"/>
        </w:rPr>
      </w:r>
      <w:r>
        <w:rPr>
          <w:spacing w:val="-1"/>
        </w:rPr>
        <w:t>测试中采用的关键假设包括：各业务类型增长率、毛利率及其他相关费用，管理层根据历史经验及对市场</w:t>
      </w:r>
      <w:r>
        <w:rPr>
          <w:spacing w:val="-83"/>
        </w:rPr>
        <w:t> </w:t>
      </w:r>
      <w:r>
        <w:rPr>
          <w:spacing w:val="-83"/>
        </w:rPr>
      </w:r>
      <w:r>
        <w:rPr>
          <w:spacing w:val="-1"/>
        </w:rPr>
        <w:t>发展的预测确定相关关键假设。本次商誉减值测试采用反映相关资产组特定风险的息税前加权平均资本成</w:t>
      </w:r>
    </w:p>
    <w:p>
      <w:pPr>
        <w:spacing w:after="0" w:line="420" w:lineRule="auto"/>
        <w:jc w:val="left"/>
        <w:sectPr>
          <w:pgSz w:w="11910" w:h="16840"/>
          <w:pgMar w:header="877" w:footer="979" w:top="1100" w:bottom="1160" w:left="8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0"/>
        <w:jc w:val="left"/>
      </w:pPr>
      <w:r>
        <w:rPr/>
        <w:t>本</w:t>
      </w:r>
      <w:r>
        <w:rPr>
          <w:rFonts w:ascii="宋体" w:hAnsi="宋体" w:cs="宋体" w:eastAsia="宋体" w:hint="default"/>
        </w:rPr>
        <w:t>14.70%-16.96%</w:t>
      </w:r>
      <w:r>
        <w:rPr/>
        <w:t>为折现率。精视文化、澄怀科技采用资产基础法进行减值测试。根据上述评估，收购麦 </w:t>
      </w:r>
      <w:r>
        <w:rPr>
          <w:spacing w:val="-1"/>
        </w:rPr>
        <w:t>游互动、车音智能产生的商誉未发生减值，收购精视文化、澄怀科技、掌视亿通产生的商誉发生减值，减</w:t>
      </w:r>
      <w:r>
        <w:rPr>
          <w:spacing w:val="-82"/>
        </w:rPr>
        <w:t> </w:t>
      </w:r>
      <w:r>
        <w:rPr>
          <w:spacing w:val="-82"/>
        </w:rPr>
      </w:r>
      <w:r>
        <w:rPr/>
        <w:t>值金额为</w:t>
      </w:r>
      <w:r>
        <w:rPr>
          <w:rFonts w:ascii="宋体" w:hAnsi="宋体" w:cs="宋体" w:eastAsia="宋体" w:hint="default"/>
        </w:rPr>
        <w:t>1,945,023,383.42</w:t>
      </w:r>
      <w:r>
        <w:rPr/>
        <w:t>元。</w:t>
      </w:r>
    </w:p>
    <w:p>
      <w:pPr>
        <w:spacing w:line="240" w:lineRule="auto" w:before="12"/>
        <w:rPr>
          <w:rFonts w:ascii="宋体" w:hAnsi="宋体" w:cs="宋体" w:eastAsia="宋体" w:hint="default"/>
          <w:sz w:val="14"/>
          <w:szCs w:val="14"/>
        </w:rPr>
      </w:pPr>
    </w:p>
    <w:p>
      <w:pPr>
        <w:pStyle w:val="Heading4"/>
        <w:spacing w:line="240" w:lineRule="auto"/>
        <w:ind w:right="0"/>
        <w:jc w:val="left"/>
        <w:rPr>
          <w:b w:val="0"/>
          <w:bCs w:val="0"/>
        </w:rPr>
      </w:pPr>
      <w:bookmarkStart w:name="18、长期待摊费用" w:id="269"/>
      <w:bookmarkEnd w:id="269"/>
      <w:r>
        <w:rPr>
          <w:b w:val="0"/>
          <w:bCs w:val="0"/>
        </w:rPr>
      </w:r>
      <w:r>
        <w:rPr>
          <w:rFonts w:ascii="宋体" w:hAnsi="宋体" w:cs="宋体" w:eastAsia="宋体" w:hint="default"/>
        </w:rPr>
        <w:t>18</w:t>
      </w:r>
      <w:r>
        <w:rPr/>
        <w:t>、长期待摊费用</w:t>
      </w:r>
      <w:r>
        <w:rPr>
          <w:b w:val="0"/>
          <w:bCs w:val="0"/>
        </w:rPr>
      </w:r>
    </w:p>
    <w:p>
      <w:pPr>
        <w:spacing w:line="240" w:lineRule="auto" w:before="9"/>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702"/>
        <w:gridCol w:w="1277"/>
      </w:tblGrid>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05"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3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19"/>
              <w:jc w:val="left"/>
              <w:rPr>
                <w:rFonts w:ascii="宋体" w:hAnsi="宋体" w:cs="宋体" w:eastAsia="宋体" w:hint="default"/>
                <w:sz w:val="18"/>
                <w:szCs w:val="18"/>
              </w:rPr>
            </w:pPr>
            <w:r>
              <w:rPr>
                <w:rFonts w:ascii="宋体" w:hAnsi="宋体" w:cs="宋体" w:eastAsia="宋体" w:hint="default"/>
                <w:sz w:val="18"/>
                <w:szCs w:val="18"/>
              </w:rPr>
              <w:t>经营租入固定资产 改良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6,857,217.87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582,703.82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1,797,710.92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5,642,210.77</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金鹿卡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654,944.44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624,944.44</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环境修缮费用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659,048.30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7,000,944.15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1,338,875.28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1,257,417.36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5,063,699.81</w:t>
            </w:r>
          </w:p>
        </w:tc>
      </w:tr>
      <w:tr>
        <w:trPr>
          <w:trHeight w:val="32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服务器托管费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1,941,166.79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337,970.27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1,064,514.36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1,214,622.70</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影片版权费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18,314,219.62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3,125,537.03</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15,188,682.59</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流量业务费用</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29,461,609.46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29,280,712.54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180,896.92</w:t>
            </w:r>
          </w:p>
        </w:tc>
      </w:tr>
      <w:tr>
        <w:trPr>
          <w:trHeight w:val="32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12,545,432.76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2,250,253.43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6,022,920.01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2,400,066.08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6,372,700.10</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22,657,810.16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57,947,700.75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42,660,270.14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4,872,106.14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33,073,134.63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9、递延所得税资产/递延所得税负债" w:id="270"/>
      <w:bookmarkEnd w:id="270"/>
      <w:r>
        <w:rPr>
          <w:b w:val="0"/>
          <w:bCs w:val="0"/>
        </w:rPr>
      </w:r>
      <w:r>
        <w:rPr>
          <w:rFonts w:ascii="宋体" w:hAnsi="宋体" w:cs="宋体" w:eastAsia="宋体" w:hint="default"/>
        </w:rPr>
        <w:t>19</w:t>
      </w:r>
      <w:r>
        <w:rPr/>
        <w:t>、递延所得税资产</w:t>
      </w:r>
      <w:r>
        <w:rPr>
          <w:rFonts w:ascii="宋体" w:hAnsi="宋体" w:cs="宋体" w:eastAsia="宋体" w:hint="default"/>
        </w:rPr>
        <w:t>/</w:t>
      </w:r>
      <w:r>
        <w:rPr/>
        <w:t>递延所得税负债</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bookmarkStart w:name="（1）未经抵销的递延所得税资产" w:id="271"/>
      <w:bookmarkEnd w:id="271"/>
      <w:r>
        <w:rPr>
          <w:b w:val="0"/>
          <w:bCs w:val="0"/>
        </w:rPr>
      </w:r>
      <w:r>
        <w:rPr/>
        <w:t>（</w:t>
      </w:r>
      <w:r>
        <w:rPr>
          <w:rFonts w:ascii="宋体" w:hAnsi="宋体" w:cs="宋体" w:eastAsia="宋体" w:hint="default"/>
        </w:rPr>
        <w:t>1</w:t>
      </w:r>
      <w:r>
        <w:rPr/>
        <w:t>）未经抵销的递延所得税资产</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16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244,355,321.24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48,496,143.91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157,435,294.30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37,039,094.34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42,603,617.52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10,650,904.39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66,583,738.90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16,645,934.75</w:t>
            </w:r>
          </w:p>
        </w:tc>
      </w:tr>
      <w:tr>
        <w:trPr>
          <w:trHeight w:val="635" w:hRule="exact"/>
        </w:trPr>
        <w:tc>
          <w:tcPr>
            <w:tcW w:w="1912" w:type="dxa"/>
            <w:tcBorders>
              <w:top w:val="single" w:sz="20" w:space="0" w:color="D2D2D2"/>
              <w:left w:val="single" w:sz="4" w:space="0" w:color="000000"/>
              <w:bottom w:val="single" w:sz="4" w:space="0" w:color="000000"/>
              <w:right w:val="single" w:sz="4" w:space="0" w:color="000000"/>
            </w:tcBorders>
            <w:shd w:val="clear" w:color="auto" w:fill="D9D9D9"/>
          </w:tcPr>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pacing w:val="4"/>
                <w:sz w:val="18"/>
                <w:szCs w:val="18"/>
              </w:rPr>
              <w:t>交易性金融工具、衍生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金融工具的估值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30,041,720.93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7,461,709.52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13,164,829.88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3,291,207.47</w:t>
            </w:r>
          </w:p>
        </w:tc>
      </w:tr>
      <w:tr>
        <w:trPr>
          <w:trHeight w:val="322" w:hRule="exact"/>
        </w:trPr>
        <w:tc>
          <w:tcPr>
            <w:tcW w:w="1912"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290,292.43</w:t>
            </w:r>
          </w:p>
        </w:tc>
        <w:tc>
          <w:tcPr>
            <w:tcW w:w="191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52,573.10</w:t>
            </w:r>
          </w:p>
        </w:tc>
        <w:tc>
          <w:tcPr>
            <w:tcW w:w="191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5,323,731.23</w:t>
            </w:r>
          </w:p>
        </w:tc>
        <w:tc>
          <w:tcPr>
            <w:tcW w:w="191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1,104,932.80</w:t>
            </w:r>
          </w:p>
        </w:tc>
      </w:tr>
      <w:tr>
        <w:trPr>
          <w:trHeight w:val="402" w:hRule="exact"/>
        </w:trPr>
        <w:tc>
          <w:tcPr>
            <w:tcW w:w="191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317,290,952.12</w:t>
            </w:r>
          </w:p>
        </w:tc>
        <w:tc>
          <w:tcPr>
            <w:tcW w:w="19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66,661,330.92</w:t>
            </w:r>
          </w:p>
        </w:tc>
        <w:tc>
          <w:tcPr>
            <w:tcW w:w="19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242,507,594.31</w:t>
            </w:r>
          </w:p>
        </w:tc>
        <w:tc>
          <w:tcPr>
            <w:tcW w:w="19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58,081,169.36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272"/>
      <w:bookmarkEnd w:id="272"/>
      <w:r>
        <w:rPr>
          <w:b w:val="0"/>
          <w:bCs w:val="0"/>
        </w:rPr>
      </w:r>
      <w:r>
        <w:rPr/>
        <w:t>（</w:t>
      </w:r>
      <w:r>
        <w:rPr>
          <w:rFonts w:ascii="宋体" w:hAnsi="宋体" w:cs="宋体" w:eastAsia="宋体" w:hint="default"/>
        </w:rPr>
        <w:t>2</w:t>
      </w:r>
      <w:r>
        <w:rPr/>
        <w:t>）未经抵销的递延所得税负债</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167"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16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63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13"/>
              <w:jc w:val="left"/>
              <w:rPr>
                <w:rFonts w:ascii="宋体" w:hAnsi="宋体" w:cs="宋体" w:eastAsia="宋体" w:hint="default"/>
                <w:sz w:val="18"/>
                <w:szCs w:val="18"/>
              </w:rPr>
            </w:pPr>
            <w:r>
              <w:rPr>
                <w:rFonts w:ascii="宋体" w:hAnsi="宋体" w:cs="宋体" w:eastAsia="宋体" w:hint="default"/>
                <w:spacing w:val="4"/>
                <w:sz w:val="18"/>
                <w:szCs w:val="18"/>
              </w:rPr>
              <w:t>可供出售金融资产公允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价值变动</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13,392,000.00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3,348,000.00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36,403,895.99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9,100,974.00</w:t>
            </w:r>
          </w:p>
        </w:tc>
      </w:tr>
      <w:tr>
        <w:trPr>
          <w:trHeight w:val="635"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1"/>
              <w:ind w:left="11" w:right="13"/>
              <w:jc w:val="left"/>
              <w:rPr>
                <w:rFonts w:ascii="宋体" w:hAnsi="宋体" w:cs="宋体" w:eastAsia="宋体" w:hint="default"/>
                <w:sz w:val="18"/>
                <w:szCs w:val="18"/>
              </w:rPr>
            </w:pPr>
            <w:r>
              <w:rPr>
                <w:rFonts w:ascii="宋体" w:hAnsi="宋体" w:cs="宋体" w:eastAsia="宋体" w:hint="default"/>
                <w:spacing w:val="4"/>
                <w:sz w:val="18"/>
                <w:szCs w:val="18"/>
              </w:rPr>
              <w:t>交易性金融工具、衍生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金融工具的估值</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39,992.16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9,998.04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181,864.80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45,466.20</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219,825.60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54,956.40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219,825.60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54,956.40</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13,651,817.76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3,412,954.44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36,805,586.39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9,201,396.60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未确认递延所得税资产明细" w:id="273"/>
      <w:bookmarkEnd w:id="273"/>
      <w:r>
        <w:rPr>
          <w:b w:val="0"/>
          <w:bCs w:val="0"/>
        </w:rPr>
      </w:r>
      <w:r>
        <w:rPr/>
        <w:t>（</w:t>
      </w:r>
      <w:r>
        <w:rPr>
          <w:rFonts w:ascii="宋体" w:hAnsi="宋体" w:cs="宋体" w:eastAsia="宋体" w:hint="default"/>
        </w:rPr>
        <w:t>3</w:t>
      </w:r>
      <w:r>
        <w:rPr/>
        <w:t>）未确认递延所得税资产明细</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20" w:space="0" w:color="D9D9D9"/>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731,609,876.71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260,419,711.43</w:t>
            </w:r>
          </w:p>
        </w:tc>
      </w:tr>
      <w:tr>
        <w:trPr>
          <w:trHeight w:val="402" w:hRule="exact"/>
        </w:trPr>
        <w:tc>
          <w:tcPr>
            <w:tcW w:w="3188" w:type="dxa"/>
            <w:tcBorders>
              <w:top w:val="single" w:sz="4" w:space="0" w:color="000000"/>
              <w:left w:val="single" w:sz="4" w:space="0" w:color="000000"/>
              <w:bottom w:val="single" w:sz="20" w:space="0" w:color="D2D2D2"/>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4,202,451,760.25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918,230,250.58</w:t>
            </w:r>
          </w:p>
        </w:tc>
      </w:tr>
      <w:tr>
        <w:trPr>
          <w:trHeight w:val="403" w:hRule="exact"/>
        </w:trPr>
        <w:tc>
          <w:tcPr>
            <w:tcW w:w="3188" w:type="dxa"/>
            <w:tcBorders>
              <w:top w:val="single" w:sz="20" w:space="0" w:color="D9D9D9"/>
              <w:left w:val="single" w:sz="4" w:space="0" w:color="000000"/>
              <w:bottom w:val="single" w:sz="4" w:space="0" w:color="000000"/>
              <w:right w:val="single" w:sz="4" w:space="0" w:color="000000"/>
            </w:tcBorders>
            <w:shd w:val="clear" w:color="auto" w:fill="D2D2D2"/>
          </w:tcPr>
          <w:p>
            <w:pPr>
              <w:pStyle w:val="TableParagraph"/>
              <w:spacing w:line="240" w:lineRule="auto" w:before="3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4,934,061,636.96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1,178,649,962.01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的可抵扣亏损将于以下年度到期" w:id="274"/>
      <w:bookmarkEnd w:id="274"/>
      <w:r>
        <w:rPr>
          <w:b w:val="0"/>
          <w:bCs w:val="0"/>
        </w:rPr>
      </w:r>
      <w:r>
        <w:rPr/>
        <w:t>（</w:t>
      </w:r>
      <w:r>
        <w:rPr>
          <w:rFonts w:ascii="宋体" w:hAnsi="宋体" w:cs="宋体" w:eastAsia="宋体" w:hint="default"/>
        </w:rPr>
        <w:t>4</w:t>
      </w:r>
      <w:r>
        <w:rPr/>
        <w:t>）未确认递延所得税资产的可抵扣亏损将于以下年度到期</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2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008"/>
              <w:jc w:val="right"/>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2018</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11,434,246.58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年度未弥补亏损</w:t>
            </w: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16,301,811.42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10,459,634.06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年度未弥补亏损</w:t>
            </w:r>
          </w:p>
        </w:tc>
      </w:tr>
      <w:tr>
        <w:trPr>
          <w:trHeight w:val="32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63,671,574.43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53,449,726.85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年度未弥补亏损</w:t>
            </w:r>
          </w:p>
        </w:tc>
      </w:tr>
      <w:tr>
        <w:trPr>
          <w:trHeight w:val="32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60,287,921.47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52,168,337.15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年度未弥补亏损</w:t>
            </w: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124,816,616.57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132,907,766.79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年度未弥补亏损</w:t>
            </w:r>
          </w:p>
        </w:tc>
      </w:tr>
      <w:tr>
        <w:trPr>
          <w:trHeight w:val="32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466,531,952.82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年度未弥补亏损</w:t>
            </w: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008"/>
              <w:jc w:val="righ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731,609,876.71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260,419,711.43</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0、其他非流动资产" w:id="275"/>
      <w:bookmarkEnd w:id="275"/>
      <w:r>
        <w:rPr>
          <w:b w:val="0"/>
          <w:bCs w:val="0"/>
        </w:rPr>
      </w:r>
      <w:r>
        <w:rPr>
          <w:rFonts w:ascii="宋体" w:hAnsi="宋体" w:cs="宋体" w:eastAsia="宋体" w:hint="default"/>
        </w:rPr>
        <w:t>20</w:t>
      </w:r>
      <w:r>
        <w:rPr/>
        <w:t>、其他非流动资产</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宋体" w:hAnsi="宋体" w:cs="宋体" w:eastAsia="宋体"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590,932,223.54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595,480,000.00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土地款</w:t>
            </w:r>
            <w:r>
              <w:rPr>
                <w:rFonts w:ascii="宋体" w:hAnsi="宋体" w:cs="宋体" w:eastAsia="宋体" w:hint="default"/>
                <w:sz w:val="18"/>
                <w:szCs w:val="18"/>
              </w:rPr>
              <w:t>*2</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61,150,649.00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预付长期资产款</w:t>
            </w:r>
            <w:r>
              <w:rPr>
                <w:rFonts w:ascii="宋体" w:hAnsi="宋体" w:cs="宋体" w:eastAsia="宋体" w:hint="default"/>
                <w:sz w:val="18"/>
                <w:szCs w:val="18"/>
              </w:rPr>
              <w:t>*3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781,590,345.51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15,800,865.55</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投资款</w:t>
            </w:r>
            <w:r>
              <w:rPr>
                <w:rFonts w:ascii="宋体" w:hAnsi="宋体" w:cs="宋体" w:eastAsia="宋体" w:hint="default"/>
                <w:sz w:val="18"/>
                <w:szCs w:val="18"/>
              </w:rPr>
              <w:t>*4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467,000,000.00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514,081,000.00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1,839,522,569.05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1,186,512,514.55</w:t>
            </w:r>
          </w:p>
        </w:tc>
      </w:tr>
    </w:tbl>
    <w:p>
      <w:pPr>
        <w:spacing w:line="240" w:lineRule="auto" w:before="12"/>
        <w:rPr>
          <w:rFonts w:ascii="宋体" w:hAnsi="宋体" w:cs="宋体" w:eastAsia="宋体" w:hint="default"/>
          <w:sz w:val="7"/>
          <w:szCs w:val="7"/>
        </w:rPr>
      </w:pPr>
    </w:p>
    <w:p>
      <w:pPr>
        <w:pStyle w:val="BodyText"/>
        <w:spacing w:line="240" w:lineRule="auto" w:before="35"/>
        <w:ind w:right="0"/>
        <w:jc w:val="left"/>
      </w:pPr>
      <w:r>
        <w:rPr/>
        <w:t>其他说明：</w:t>
      </w:r>
    </w:p>
    <w:p>
      <w:pPr>
        <w:spacing w:line="240" w:lineRule="auto" w:before="9"/>
        <w:rPr>
          <w:rFonts w:ascii="宋体" w:hAnsi="宋体" w:cs="宋体" w:eastAsia="宋体" w:hint="default"/>
          <w:sz w:val="15"/>
          <w:szCs w:val="15"/>
        </w:rPr>
      </w:pPr>
    </w:p>
    <w:p>
      <w:pPr>
        <w:pStyle w:val="BodyText"/>
        <w:spacing w:line="420" w:lineRule="auto"/>
        <w:ind w:right="0"/>
        <w:jc w:val="left"/>
      </w:pPr>
      <w:r>
        <w:rPr>
          <w:rFonts w:ascii="宋体" w:hAnsi="宋体" w:cs="宋体" w:eastAsia="宋体" w:hint="default"/>
        </w:rPr>
        <w:t>*1</w:t>
      </w:r>
      <w:r>
        <w:rPr/>
        <w:t>包含保证金：（</w:t>
      </w:r>
      <w:r>
        <w:rPr>
          <w:rFonts w:ascii="宋体" w:hAnsi="宋体" w:cs="宋体" w:eastAsia="宋体" w:hint="default"/>
        </w:rPr>
        <w:t>1</w:t>
      </w:r>
      <w:r>
        <w:rPr/>
        <w:t>）本公司之子公司华商数码与《华商报》社签订的印刷合同而支付给《华商报》社的 保证金人民币</w:t>
      </w:r>
      <w:r>
        <w:rPr>
          <w:rFonts w:ascii="宋体" w:hAnsi="宋体" w:cs="宋体" w:eastAsia="宋体" w:hint="default"/>
        </w:rPr>
        <w:t>500,000.00</w:t>
      </w:r>
      <w:r>
        <w:rPr/>
        <w:t>元；（</w:t>
      </w:r>
      <w:r>
        <w:rPr>
          <w:rFonts w:ascii="宋体" w:hAnsi="宋体" w:cs="宋体" w:eastAsia="宋体" w:hint="default"/>
        </w:rPr>
        <w:t>2</w:t>
      </w:r>
      <w:r>
        <w:rPr/>
        <w:t>）本公司之子公司西安华商广告与《华商报》社签订的经营业务授权协 </w:t>
      </w:r>
      <w:r>
        <w:rPr>
          <w:spacing w:val="-1"/>
        </w:rPr>
        <w:t>议而支付给《华商报》社的保证金人民币</w:t>
      </w:r>
      <w:r>
        <w:rPr>
          <w:rFonts w:ascii="宋体" w:hAnsi="宋体" w:cs="宋体" w:eastAsia="宋体" w:hint="default"/>
          <w:spacing w:val="-1"/>
        </w:rPr>
        <w:t>5,000,000.00</w:t>
      </w:r>
      <w:r>
        <w:rPr>
          <w:spacing w:val="-1"/>
        </w:rPr>
        <w:t>元；（</w:t>
      </w:r>
      <w:r>
        <w:rPr>
          <w:rFonts w:ascii="宋体" w:hAnsi="宋体" w:cs="宋体" w:eastAsia="宋体" w:hint="default"/>
          <w:spacing w:val="-1"/>
        </w:rPr>
        <w:t>3</w:t>
      </w:r>
      <w:r>
        <w:rPr>
          <w:spacing w:val="-1"/>
        </w:rPr>
        <w:t>）本公司之子公司陕西黄马甲与《华商报》</w:t>
      </w:r>
      <w:r>
        <w:rPr>
          <w:spacing w:val="-78"/>
        </w:rPr>
        <w:t> </w:t>
      </w:r>
      <w:r>
        <w:rPr>
          <w:spacing w:val="-78"/>
        </w:rPr>
      </w:r>
      <w:r>
        <w:rPr/>
        <w:t>社签订的发行合同而支付给《华商报》社的保证金人民币</w:t>
      </w:r>
      <w:r>
        <w:rPr>
          <w:rFonts w:ascii="宋体" w:hAnsi="宋体" w:cs="宋体" w:eastAsia="宋体" w:hint="default"/>
        </w:rPr>
        <w:t>500,000.00</w:t>
      </w:r>
      <w:r>
        <w:rPr/>
        <w:t>元；（</w:t>
      </w:r>
      <w:r>
        <w:rPr>
          <w:rFonts w:ascii="宋体" w:hAnsi="宋体" w:cs="宋体" w:eastAsia="宋体" w:hint="default"/>
        </w:rPr>
        <w:t>4</w:t>
      </w:r>
      <w:r>
        <w:rPr/>
        <w:t>）本公司之子公司重庆华博 与重庆时报社签订的经营业务授权协议而支付给重庆时报社的保证金人民币</w:t>
      </w:r>
      <w:r>
        <w:rPr>
          <w:rFonts w:ascii="宋体" w:hAnsi="宋体" w:cs="宋体" w:eastAsia="宋体" w:hint="default"/>
        </w:rPr>
        <w:t>5,000,000.00</w:t>
      </w:r>
      <w:r>
        <w:rPr/>
        <w:t>元；（</w:t>
      </w:r>
      <w:r>
        <w:rPr>
          <w:rFonts w:ascii="宋体" w:hAnsi="宋体" w:cs="宋体" w:eastAsia="宋体" w:hint="default"/>
        </w:rPr>
        <w:t>5</w:t>
      </w:r>
      <w:r>
        <w:rPr/>
        <w:t>）本公 司之子公司西安华商广告与消费者导报社签订的经营业务授权协议而支付给消费者导报社的保证金人民</w:t>
      </w:r>
    </w:p>
    <w:p>
      <w:pPr>
        <w:spacing w:after="0" w:line="42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023"/>
        <w:jc w:val="left"/>
      </w:pPr>
      <w:r>
        <w:rPr/>
        <w:t>币</w:t>
      </w:r>
      <w:r>
        <w:rPr>
          <w:rFonts w:ascii="宋体" w:hAnsi="宋体" w:cs="宋体" w:eastAsia="宋体" w:hint="default"/>
        </w:rPr>
        <w:t>4,480,000.00</w:t>
      </w:r>
      <w:r>
        <w:rPr/>
        <w:t>元；（</w:t>
      </w:r>
      <w:r>
        <w:rPr>
          <w:rFonts w:ascii="宋体" w:hAnsi="宋体" w:cs="宋体" w:eastAsia="宋体" w:hint="default"/>
        </w:rPr>
        <w:t>6</w:t>
      </w:r>
      <w:r>
        <w:rPr/>
        <w:t>）本公司之子公司吉林传媒与新文化报社签订的经营业务授权协议而支付的保证 </w:t>
      </w:r>
      <w:r>
        <w:rPr>
          <w:spacing w:val="-5"/>
        </w:rPr>
        <w:t>金</w:t>
      </w:r>
      <w:r>
        <w:rPr>
          <w:rFonts w:ascii="宋体" w:hAnsi="宋体" w:cs="宋体" w:eastAsia="宋体" w:hint="default"/>
          <w:spacing w:val="-5"/>
        </w:rPr>
        <w:t>5,000,000.00</w:t>
      </w:r>
      <w:r>
        <w:rPr>
          <w:spacing w:val="-5"/>
        </w:rPr>
        <w:t>元；（</w:t>
      </w:r>
      <w:r>
        <w:rPr>
          <w:rFonts w:ascii="宋体" w:hAnsi="宋体" w:cs="宋体" w:eastAsia="宋体" w:hint="default"/>
          <w:spacing w:val="-5"/>
        </w:rPr>
        <w:t>7</w:t>
      </w:r>
      <w:r>
        <w:rPr>
          <w:spacing w:val="-5"/>
        </w:rPr>
        <w:t>）本公司之子公司时报传媒与深圳证券时报社有限公司（以下简称“证券时报社”）</w:t>
      </w:r>
      <w:r>
        <w:rPr>
          <w:spacing w:val="-70"/>
        </w:rPr>
        <w:t> </w:t>
      </w:r>
      <w:r>
        <w:rPr>
          <w:spacing w:val="-70"/>
        </w:rPr>
      </w:r>
      <w:r>
        <w:rPr/>
        <w:t>签订经营业务授权协议，证券时报社授予时报传媒有关《证券时报》的商业广告、财经信息的咨询策划、 </w:t>
      </w:r>
      <w:r>
        <w:rPr>
          <w:spacing w:val="-3"/>
        </w:rPr>
        <w:t>设计制作与代理发布等相关业务的独家经营权，同时授予时报传媒在经营上述业务时可以使用《证券时报》</w:t>
      </w:r>
      <w:r>
        <w:rPr>
          <w:spacing w:val="-92"/>
        </w:rPr>
        <w:t> </w:t>
      </w:r>
      <w:r>
        <w:rPr>
          <w:spacing w:val="-92"/>
        </w:rPr>
      </w:r>
      <w:r>
        <w:rPr/>
        <w:t>的商标和商誉的权利而支付给证券时报社的保证金人民币</w:t>
      </w:r>
      <w:r>
        <w:rPr>
          <w:rFonts w:ascii="宋体" w:hAnsi="宋体" w:cs="宋体" w:eastAsia="宋体" w:hint="default"/>
        </w:rPr>
        <w:t>480,000,000.00</w:t>
      </w:r>
      <w:r>
        <w:rPr/>
        <w:t>元；（</w:t>
      </w:r>
      <w:r>
        <w:rPr>
          <w:rFonts w:ascii="宋体" w:hAnsi="宋体" w:cs="宋体" w:eastAsia="宋体" w:hint="default"/>
        </w:rPr>
        <w:t>8</w:t>
      </w:r>
      <w:r>
        <w:rPr/>
        <w:t>）本公司之子公司国广 光荣支付给国广控股的经营业务授权履约保证金</w:t>
      </w:r>
      <w:r>
        <w:rPr>
          <w:rFonts w:ascii="宋体" w:hAnsi="宋体" w:cs="宋体" w:eastAsia="宋体" w:hint="default"/>
        </w:rPr>
        <w:t>90,000,000.00</w:t>
      </w:r>
      <w:r>
        <w:rPr/>
        <w:t>元；（</w:t>
      </w:r>
      <w:r>
        <w:rPr>
          <w:rFonts w:ascii="宋体" w:hAnsi="宋体" w:cs="宋体" w:eastAsia="宋体" w:hint="default"/>
        </w:rPr>
        <w:t>9</w:t>
      </w:r>
      <w:r>
        <w:rPr/>
        <w:t>）本公司之子公司车音智能根据保 监会《保险专业代理机构监管规定》及《中国保监会关于做好保险专业中介业务许可工作的通知》，保险 专业代理机构应当按照注册资本一定比例缴存保证金</w:t>
      </w:r>
      <w:r>
        <w:rPr>
          <w:rFonts w:ascii="宋体" w:hAnsi="宋体" w:cs="宋体" w:eastAsia="宋体" w:hint="default"/>
        </w:rPr>
        <w:t>452,223.54</w:t>
      </w:r>
      <w:r>
        <w:rPr/>
        <w:t>元。</w:t>
      </w:r>
    </w:p>
    <w:p>
      <w:pPr>
        <w:pStyle w:val="BodyText"/>
        <w:spacing w:line="240" w:lineRule="auto" w:before="47"/>
        <w:ind w:right="0"/>
        <w:jc w:val="left"/>
      </w:pPr>
      <w:r>
        <w:rPr>
          <w:rFonts w:ascii="宋体" w:hAnsi="宋体" w:cs="宋体" w:eastAsia="宋体" w:hint="default"/>
        </w:rPr>
        <w:t>*2</w:t>
      </w:r>
      <w:r>
        <w:rPr/>
        <w:t>土地款为本公司之子公司华商传媒预付购地款，本报告期已处置。</w:t>
      </w:r>
    </w:p>
    <w:p>
      <w:pPr>
        <w:spacing w:line="240" w:lineRule="auto" w:before="9"/>
        <w:rPr>
          <w:rFonts w:ascii="宋体" w:hAnsi="宋体" w:cs="宋体" w:eastAsia="宋体" w:hint="default"/>
          <w:sz w:val="15"/>
          <w:szCs w:val="15"/>
        </w:rPr>
      </w:pPr>
    </w:p>
    <w:p>
      <w:pPr>
        <w:pStyle w:val="BodyText"/>
        <w:spacing w:line="420" w:lineRule="auto"/>
        <w:ind w:right="1302"/>
        <w:jc w:val="left"/>
      </w:pPr>
      <w:r>
        <w:rPr>
          <w:rFonts w:ascii="宋体" w:hAnsi="宋体" w:cs="宋体" w:eastAsia="宋体" w:hint="default"/>
        </w:rPr>
        <w:t>*3</w:t>
      </w:r>
      <w:r>
        <w:rPr/>
        <w:t>预付长期资产款中主要为本公司系子公司文创旅游及其子公司向海南海岛临空产业集团有限公司购买 双创大厦预付的</w:t>
      </w:r>
      <w:r>
        <w:rPr>
          <w:rFonts w:ascii="宋体" w:hAnsi="宋体" w:cs="宋体" w:eastAsia="宋体" w:hint="default"/>
        </w:rPr>
        <w:t>780,000,000.00</w:t>
      </w:r>
      <w:r>
        <w:rPr/>
        <w:t>元。</w:t>
      </w:r>
    </w:p>
    <w:p>
      <w:pPr>
        <w:pStyle w:val="BodyText"/>
        <w:spacing w:line="420" w:lineRule="auto" w:before="47"/>
        <w:ind w:right="0"/>
        <w:jc w:val="left"/>
      </w:pPr>
      <w:r>
        <w:rPr>
          <w:rFonts w:ascii="宋体" w:hAnsi="宋体" w:cs="宋体" w:eastAsia="宋体" w:hint="default"/>
          <w:spacing w:val="-1"/>
          <w:sz w:val="18"/>
          <w:szCs w:val="18"/>
        </w:rPr>
        <w:t>*</w:t>
      </w:r>
      <w:r>
        <w:rPr>
          <w:rFonts w:ascii="宋体" w:hAnsi="宋体" w:cs="宋体" w:eastAsia="宋体" w:hint="default"/>
          <w:spacing w:val="-1"/>
        </w:rPr>
        <w:t>4</w:t>
      </w:r>
      <w:r>
        <w:rPr>
          <w:spacing w:val="-1"/>
        </w:rPr>
        <w:t>投资款：（</w:t>
      </w:r>
      <w:r>
        <w:rPr>
          <w:rFonts w:ascii="宋体" w:hAnsi="宋体" w:cs="宋体" w:eastAsia="宋体" w:hint="default"/>
          <w:spacing w:val="-1"/>
        </w:rPr>
        <w:t>1</w:t>
      </w:r>
      <w:r>
        <w:rPr>
          <w:spacing w:val="-1"/>
        </w:rPr>
        <w:t>）国视上海分别于</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9</w:t>
      </w:r>
      <w:r>
        <w:rPr>
          <w:spacing w:val="-1"/>
        </w:rPr>
        <w:t>月认购建信信托</w:t>
      </w:r>
      <w:r>
        <w:rPr>
          <w:rFonts w:ascii="宋体" w:hAnsi="宋体" w:cs="宋体" w:eastAsia="宋体" w:hint="default"/>
          <w:spacing w:val="-1"/>
        </w:rPr>
        <w:t>-</w:t>
      </w:r>
      <w:r>
        <w:rPr>
          <w:spacing w:val="-1"/>
        </w:rPr>
        <w:t>山南华闻股权收益权投资集合资金信托计</w:t>
      </w:r>
      <w:r>
        <w:rPr>
          <w:spacing w:val="-68"/>
        </w:rPr>
        <w:t> </w:t>
      </w:r>
      <w:r>
        <w:rPr>
          <w:spacing w:val="-68"/>
        </w:rPr>
      </w:r>
      <w:r>
        <w:rPr/>
        <w:t>划劣后级信托资金，认购金额分别为</w:t>
      </w:r>
      <w:r>
        <w:rPr>
          <w:rFonts w:ascii="宋体" w:hAnsi="宋体" w:cs="宋体" w:eastAsia="宋体" w:hint="default"/>
        </w:rPr>
        <w:t>300,000,000.00</w:t>
      </w:r>
      <w:r>
        <w:rPr/>
        <w:t>元、</w:t>
      </w:r>
      <w:r>
        <w:rPr>
          <w:rFonts w:ascii="宋体" w:hAnsi="宋体" w:cs="宋体" w:eastAsia="宋体" w:hint="default"/>
        </w:rPr>
        <w:t>167,000,000.00</w:t>
      </w:r>
      <w:r>
        <w:rPr/>
        <w:t>元。</w:t>
      </w:r>
    </w:p>
    <w:p>
      <w:pPr>
        <w:spacing w:line="240" w:lineRule="auto" w:before="12"/>
        <w:rPr>
          <w:rFonts w:ascii="宋体" w:hAnsi="宋体" w:cs="宋体" w:eastAsia="宋体" w:hint="default"/>
          <w:sz w:val="14"/>
          <w:szCs w:val="14"/>
        </w:rPr>
      </w:pPr>
    </w:p>
    <w:p>
      <w:pPr>
        <w:pStyle w:val="Heading4"/>
        <w:spacing w:line="240" w:lineRule="auto"/>
        <w:ind w:right="0"/>
        <w:jc w:val="left"/>
        <w:rPr>
          <w:b w:val="0"/>
          <w:bCs w:val="0"/>
        </w:rPr>
      </w:pPr>
      <w:bookmarkStart w:name="21、短期借款" w:id="276"/>
      <w:bookmarkEnd w:id="276"/>
      <w:r>
        <w:rPr>
          <w:b w:val="0"/>
          <w:bCs w:val="0"/>
        </w:rPr>
      </w:r>
      <w:r>
        <w:rPr>
          <w:rFonts w:ascii="宋体" w:hAnsi="宋体" w:cs="宋体" w:eastAsia="宋体" w:hint="default"/>
        </w:rPr>
        <w:t>21</w:t>
      </w:r>
      <w:r>
        <w:rPr/>
        <w:t>、短期借款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bookmarkStart w:name="（1）短期借款分类" w:id="277"/>
      <w:bookmarkEnd w:id="277"/>
      <w:r>
        <w:rPr>
          <w:b w:val="0"/>
          <w:bCs w:val="0"/>
        </w:rPr>
      </w:r>
      <w:r>
        <w:rPr/>
        <w:t>（</w:t>
      </w:r>
      <w:r>
        <w:rPr>
          <w:rFonts w:ascii="宋体" w:hAnsi="宋体" w:cs="宋体" w:eastAsia="宋体" w:hint="default"/>
        </w:rPr>
        <w:t>1</w:t>
      </w:r>
      <w:r>
        <w:rPr/>
        <w:t>）短期借款分类</w:t>
      </w:r>
      <w:r>
        <w:rPr>
          <w:b w:val="0"/>
          <w:bCs w:val="0"/>
        </w:rPr>
      </w:r>
    </w:p>
    <w:p>
      <w:pPr>
        <w:spacing w:line="240" w:lineRule="auto" w:before="9"/>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123,200,000.00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129,000,000.00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342,200,000.00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535" w:lineRule="auto" w:before="35"/>
        <w:ind w:right="6750"/>
        <w:jc w:val="left"/>
        <w:rPr>
          <w:b w:val="0"/>
          <w:bCs w:val="0"/>
        </w:rPr>
      </w:pPr>
      <w:bookmarkStart w:name="（2） 本期末无已逾期未偿还的短期借款。" w:id="278"/>
      <w:bookmarkEnd w:id="278"/>
      <w:r>
        <w:rPr>
          <w:b w:val="0"/>
          <w:bCs w:val="0"/>
        </w:rPr>
      </w:r>
      <w:r>
        <w:rPr/>
        <w:t>（</w:t>
      </w:r>
      <w:r>
        <w:rPr>
          <w:rFonts w:ascii="宋体" w:hAnsi="宋体" w:cs="宋体" w:eastAsia="宋体" w:hint="default"/>
        </w:rPr>
        <w:t>2</w:t>
      </w:r>
      <w:r>
        <w:rPr/>
        <w:t>）</w:t>
      </w:r>
      <w:r>
        <w:rPr>
          <w:spacing w:val="-4"/>
        </w:rPr>
        <w:t> </w:t>
      </w:r>
      <w:r>
        <w:rPr/>
        <w:t>本期末无已逾期未偿还的短期借款。</w:t>
      </w:r>
      <w:r>
        <w:rPr>
          <w:w w:val="99"/>
        </w:rPr>
        <w:t> </w:t>
      </w:r>
      <w:bookmarkStart w:name="22、应付票据及应付账款" w:id="279"/>
      <w:bookmarkEnd w:id="279"/>
      <w:r>
        <w:rPr>
          <w:w w:val="99"/>
        </w:rPr>
      </w:r>
      <w:r>
        <w:rPr>
          <w:rFonts w:ascii="宋体" w:hAnsi="宋体" w:cs="宋体" w:eastAsia="宋体" w:hint="default"/>
        </w:rPr>
        <w:t>22</w:t>
      </w:r>
      <w:r>
        <w:rPr/>
        <w:t>、应付票据及应付账款</w:t>
      </w:r>
      <w:r>
        <w:rPr>
          <w:b w:val="0"/>
          <w:bCs w:val="0"/>
        </w:rPr>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6,414,238.25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8,261,438.29</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462,305,630.72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301,308,030.49</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468,719,868.97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309,569,468.78</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1）应付票据分类列示" w:id="280"/>
      <w:bookmarkEnd w:id="280"/>
      <w:r>
        <w:rPr>
          <w:b w:val="0"/>
          <w:bCs w:val="0"/>
        </w:rPr>
      </w:r>
      <w:r>
        <w:rPr/>
        <w:t>（</w:t>
      </w:r>
      <w:r>
        <w:rPr>
          <w:rFonts w:ascii="宋体" w:hAnsi="宋体" w:cs="宋体" w:eastAsia="宋体" w:hint="default"/>
        </w:rPr>
        <w:t>1</w:t>
      </w:r>
      <w:r>
        <w:rPr/>
        <w:t>）应付票据分类列示</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97"/>
              <w:jc w:val="right"/>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6,414,238.25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8,261,438.29</w:t>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6,414,238.25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8,261,438.29</w:t>
            </w:r>
          </w:p>
        </w:tc>
      </w:tr>
    </w:tbl>
    <w:p>
      <w:pPr>
        <w:spacing w:line="240" w:lineRule="auto" w:before="12"/>
        <w:rPr>
          <w:rFonts w:ascii="宋体" w:hAnsi="宋体" w:cs="宋体" w:eastAsia="宋体" w:hint="default"/>
          <w:sz w:val="7"/>
          <w:szCs w:val="7"/>
        </w:rPr>
      </w:pPr>
    </w:p>
    <w:p>
      <w:pPr>
        <w:pStyle w:val="BodyText"/>
        <w:spacing w:line="240" w:lineRule="auto" w:before="35"/>
        <w:ind w:right="0"/>
        <w:jc w:val="left"/>
      </w:pPr>
      <w:r>
        <w:rPr/>
        <w:t>本期末已到期未支付的应付票据总额为</w:t>
      </w:r>
      <w:r>
        <w:rPr>
          <w:spacing w:val="-54"/>
        </w:rPr>
        <w:t>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13"/>
        <w:rPr>
          <w:rFonts w:ascii="宋体" w:hAnsi="宋体" w:cs="宋体" w:eastAsia="宋体" w:hint="default"/>
          <w:sz w:val="26"/>
          <w:szCs w:val="26"/>
        </w:rPr>
      </w:pPr>
    </w:p>
    <w:p>
      <w:pPr>
        <w:pStyle w:val="Heading4"/>
        <w:spacing w:line="240" w:lineRule="auto"/>
        <w:ind w:right="0"/>
        <w:jc w:val="left"/>
        <w:rPr>
          <w:b w:val="0"/>
          <w:bCs w:val="0"/>
        </w:rPr>
      </w:pPr>
      <w:bookmarkStart w:name="（2） 期末余额中无欠持本公司5%以上（含5%）表决权股份的股东票据金额。" w:id="281"/>
      <w:bookmarkEnd w:id="281"/>
      <w:r>
        <w:rPr>
          <w:b w:val="0"/>
          <w:bCs w:val="0"/>
        </w:rPr>
      </w:r>
      <w:r>
        <w:rPr/>
        <w:t>（</w:t>
      </w:r>
      <w:r>
        <w:rPr>
          <w:rFonts w:ascii="宋体" w:hAnsi="宋体" w:cs="宋体" w:eastAsia="宋体" w:hint="default"/>
        </w:rPr>
        <w:t>2</w:t>
      </w:r>
      <w:r>
        <w:rPr/>
        <w:t>）</w:t>
      </w:r>
      <w:r>
        <w:rPr>
          <w:spacing w:val="-5"/>
        </w:rPr>
        <w:t> </w:t>
      </w:r>
      <w:r>
        <w:rPr/>
        <w:t>期末余额中无欠持本公司</w:t>
      </w:r>
      <w:r>
        <w:rPr>
          <w:spacing w:val="-55"/>
        </w:rPr>
        <w:t> </w:t>
      </w:r>
      <w:r>
        <w:rPr>
          <w:rFonts w:ascii="宋体" w:hAnsi="宋体" w:cs="宋体" w:eastAsia="宋体" w:hint="default"/>
        </w:rPr>
        <w:t>5%</w:t>
      </w:r>
      <w:r>
        <w:rPr/>
        <w:t>以上（含</w:t>
      </w:r>
      <w:r>
        <w:rPr>
          <w:spacing w:val="-56"/>
        </w:rPr>
        <w:t> </w:t>
      </w:r>
      <w:r>
        <w:rPr>
          <w:rFonts w:ascii="宋体" w:hAnsi="宋体" w:cs="宋体" w:eastAsia="宋体" w:hint="default"/>
        </w:rPr>
        <w:t>5%</w:t>
      </w:r>
      <w:r>
        <w:rPr/>
        <w:t>）表决权股份的股东票据金额。</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0"/>
        <w:jc w:val="left"/>
        <w:rPr>
          <w:b w:val="0"/>
          <w:bCs w:val="0"/>
        </w:rPr>
      </w:pPr>
      <w:bookmarkStart w:name="（3）应付账款列示" w:id="282"/>
      <w:bookmarkEnd w:id="282"/>
      <w:r>
        <w:rPr>
          <w:b w:val="0"/>
          <w:bCs w:val="0"/>
        </w:rPr>
      </w:r>
      <w:r>
        <w:rPr/>
        <w:t>（</w:t>
      </w:r>
      <w:r>
        <w:rPr>
          <w:rFonts w:ascii="宋体" w:hAnsi="宋体" w:cs="宋体" w:eastAsia="宋体" w:hint="default"/>
        </w:rPr>
        <w:t>3</w:t>
      </w:r>
      <w:r>
        <w:rPr/>
        <w:t>）应付账款列示</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397,421,189.03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262,905,318.09</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34,103,674.70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22,834,539.03</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24,706,220.25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6,402,768.86</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6,074,546.74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9,165,404.51</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462,305,630.72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301,308,030.49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账龄超过1年的重要应付账款" w:id="283"/>
      <w:bookmarkEnd w:id="283"/>
      <w:r>
        <w:rPr>
          <w:b w:val="0"/>
          <w:bCs w:val="0"/>
        </w:rPr>
      </w:r>
      <w:r>
        <w:rPr/>
        <w:t>（</w:t>
      </w:r>
      <w:r>
        <w:rPr>
          <w:rFonts w:ascii="宋体" w:hAnsi="宋体" w:cs="宋体" w:eastAsia="宋体" w:hint="default"/>
        </w:rPr>
        <w:t>4</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年的重要应付账款</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广东远峰汽车电子有限公司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15,154,600.00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采购款，合作不畅未结清</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联通智网科技有限公司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6,803,814.15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采购款，合作不畅未结清</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5,686,620.00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辉山乳业（沈阳）销售有限公司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1,115,393.98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28,760,428.13</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pStyle w:val="Heading4"/>
        <w:spacing w:line="420" w:lineRule="auto" w:before="177"/>
        <w:ind w:right="1123"/>
        <w:jc w:val="left"/>
        <w:rPr>
          <w:rFonts w:ascii="宋体" w:hAnsi="宋体" w:cs="宋体" w:eastAsia="宋体" w:hint="default"/>
          <w:b w:val="0"/>
          <w:bCs w:val="0"/>
        </w:rPr>
      </w:pPr>
      <w:bookmarkStart w:name="（5） 期末数中无欠持本公司5％以上（含5％）表决权股份的股东单位款项；期末数中" w:id="284"/>
      <w:bookmarkEnd w:id="284"/>
      <w:r>
        <w:rPr>
          <w:b w:val="0"/>
          <w:bCs w:val="0"/>
        </w:rPr>
      </w:r>
      <w:r>
        <w:rPr/>
        <w:t>（</w:t>
      </w:r>
      <w:r>
        <w:rPr>
          <w:rFonts w:ascii="宋体" w:hAnsi="宋体" w:cs="宋体" w:eastAsia="宋体" w:hint="default"/>
        </w:rPr>
        <w:t>5</w:t>
      </w:r>
      <w:r>
        <w:rPr/>
        <w:t>） 期末数中无欠持本公司 </w:t>
      </w:r>
      <w:r>
        <w:rPr>
          <w:rFonts w:ascii="宋体" w:hAnsi="宋体" w:cs="宋体" w:eastAsia="宋体" w:hint="default"/>
        </w:rPr>
        <w:t>5</w:t>
      </w:r>
      <w:r>
        <w:rPr/>
        <w:t>％以上（含</w:t>
      </w:r>
      <w:r>
        <w:rPr>
          <w:spacing w:val="-71"/>
        </w:rPr>
        <w:t> </w:t>
      </w:r>
      <w:r>
        <w:rPr>
          <w:rFonts w:ascii="宋体" w:hAnsi="宋体" w:cs="宋体" w:eastAsia="宋体" w:hint="default"/>
        </w:rPr>
        <w:t>5</w:t>
      </w:r>
      <w:r>
        <w:rPr/>
        <w:t>％）表决权股份的股东单位款项；期末数中欠其他关联方款</w:t>
      </w:r>
      <w:r>
        <w:rPr>
          <w:w w:val="99"/>
        </w:rPr>
        <w:t> </w:t>
      </w:r>
      <w:r>
        <w:rPr/>
        <w:t>项情况详见附注十二、</w:t>
      </w:r>
      <w:r>
        <w:rPr>
          <w:rFonts w:ascii="宋体" w:hAnsi="宋体" w:cs="宋体" w:eastAsia="宋体" w:hint="default"/>
        </w:rPr>
        <w:t>7</w:t>
      </w:r>
      <w:r>
        <w:rPr>
          <w:rFonts w:ascii="宋体" w:hAnsi="宋体" w:cs="宋体" w:eastAsia="宋体" w:hint="default"/>
          <w:b w:val="0"/>
          <w:bCs w:val="0"/>
        </w:rPr>
      </w:r>
    </w:p>
    <w:p>
      <w:pPr>
        <w:spacing w:line="240" w:lineRule="auto" w:before="12"/>
        <w:rPr>
          <w:rFonts w:ascii="宋体" w:hAnsi="宋体" w:cs="宋体" w:eastAsia="宋体" w:hint="default"/>
          <w:b/>
          <w:bCs/>
          <w:sz w:val="14"/>
          <w:szCs w:val="14"/>
        </w:rPr>
      </w:pPr>
    </w:p>
    <w:p>
      <w:pPr>
        <w:pStyle w:val="Heading4"/>
        <w:spacing w:line="240" w:lineRule="auto"/>
        <w:ind w:right="0"/>
        <w:jc w:val="left"/>
        <w:rPr>
          <w:b w:val="0"/>
          <w:bCs w:val="0"/>
        </w:rPr>
      </w:pPr>
      <w:bookmarkStart w:name="23、预收款项" w:id="285"/>
      <w:bookmarkEnd w:id="285"/>
      <w:r>
        <w:rPr>
          <w:b w:val="0"/>
          <w:bCs w:val="0"/>
        </w:rPr>
      </w:r>
      <w:r>
        <w:rPr>
          <w:rFonts w:ascii="宋体" w:hAnsi="宋体" w:cs="宋体" w:eastAsia="宋体" w:hint="default"/>
        </w:rPr>
        <w:t>23</w:t>
      </w:r>
      <w:r>
        <w:rPr/>
        <w:t>、预收款项</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0"/>
        <w:jc w:val="left"/>
        <w:rPr>
          <w:b w:val="0"/>
          <w:bCs w:val="0"/>
        </w:rPr>
      </w:pPr>
      <w:bookmarkStart w:name="（1）预收款项列示" w:id="286"/>
      <w:bookmarkEnd w:id="286"/>
      <w:r>
        <w:rPr>
          <w:b w:val="0"/>
          <w:bCs w:val="0"/>
        </w:rPr>
      </w:r>
      <w:r>
        <w:rPr/>
        <w:t>（</w:t>
      </w:r>
      <w:r>
        <w:rPr>
          <w:rFonts w:ascii="宋体" w:hAnsi="宋体" w:cs="宋体" w:eastAsia="宋体" w:hint="default"/>
        </w:rPr>
        <w:t>1</w:t>
      </w:r>
      <w:r>
        <w:rPr/>
        <w:t>）预收款项列示</w:t>
      </w:r>
      <w:r>
        <w:rPr>
          <w:b w:val="0"/>
          <w:bCs w:val="0"/>
        </w:rPr>
      </w:r>
    </w:p>
    <w:p>
      <w:pPr>
        <w:spacing w:line="240" w:lineRule="auto" w:before="9"/>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168,440,717.22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264,632,497.02</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81,311,072.40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47,421,447.17</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21,945,770.55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21,904,965.65</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9,933,339.17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6,204,302.80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281,630,899.34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340,163,212.64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 w:id="287"/>
      <w:bookmarkEnd w:id="287"/>
      <w:r>
        <w:rPr>
          <w:b w:val="0"/>
          <w:bCs w:val="0"/>
        </w:rPr>
      </w: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年的重要预收款项</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韩乐泉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2,646,203.00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王敏</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范春燕</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2,326,203.00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7,472,406.00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4、应付职工薪酬" w:id="288"/>
      <w:bookmarkEnd w:id="288"/>
      <w:r>
        <w:rPr>
          <w:b w:val="0"/>
          <w:bCs w:val="0"/>
        </w:rPr>
      </w:r>
      <w:r>
        <w:rPr>
          <w:rFonts w:ascii="宋体" w:hAnsi="宋体" w:cs="宋体" w:eastAsia="宋体" w:hint="default"/>
        </w:rPr>
        <w:t>24</w:t>
      </w:r>
      <w:r>
        <w:rPr/>
        <w:t>、应付职工薪酬</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0"/>
        <w:jc w:val="left"/>
        <w:rPr>
          <w:b w:val="0"/>
          <w:bCs w:val="0"/>
        </w:rPr>
      </w:pPr>
      <w:bookmarkStart w:name="（1）应付职工薪酬列示" w:id="289"/>
      <w:bookmarkEnd w:id="289"/>
      <w:r>
        <w:rPr>
          <w:b w:val="0"/>
          <w:bCs w:val="0"/>
        </w:rPr>
      </w:r>
      <w:r>
        <w:rPr/>
        <w:t>（</w:t>
      </w:r>
      <w:r>
        <w:rPr>
          <w:rFonts w:ascii="宋体" w:hAnsi="宋体" w:cs="宋体" w:eastAsia="宋体" w:hint="default"/>
        </w:rPr>
        <w:t>1</w:t>
      </w:r>
      <w:r>
        <w:rPr/>
        <w:t>）应付职工薪酬列示</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786"/>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136,561,311.00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638,670,214.64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629,098,201.55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146,133,324.09</w:t>
            </w:r>
          </w:p>
        </w:tc>
      </w:tr>
      <w:tr>
        <w:trPr>
          <w:trHeight w:val="63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9"/>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w:t>
            </w:r>
            <w:r>
              <w:rPr>
                <w:rFonts w:ascii="宋体" w:hAnsi="宋体" w:cs="宋体" w:eastAsia="宋体" w:hint="default"/>
                <w:spacing w:val="-80"/>
                <w:sz w:val="18"/>
                <w:szCs w:val="18"/>
              </w:rPr>
              <w:t> </w:t>
            </w:r>
            <w:r>
              <w:rPr>
                <w:rFonts w:ascii="宋体" w:hAnsi="宋体" w:cs="宋体" w:eastAsia="宋体" w:hint="default"/>
                <w:sz w:val="18"/>
                <w:szCs w:val="18"/>
              </w:rPr>
              <w:t>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923,575.83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60,536,123.46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60,524,508.09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935,191.20</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786"/>
              <w:jc w:val="righ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880,723.69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16,148,961.14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14,731,335.83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2,298,349.00</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758"/>
              <w:jc w:val="righ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138,365,610.52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715,355,299.24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704,354,045.47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149,366,864.29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290"/>
      <w:bookmarkEnd w:id="290"/>
      <w:r>
        <w:rPr>
          <w:b w:val="0"/>
          <w:bCs w:val="0"/>
        </w:rPr>
      </w:r>
      <w:r>
        <w:rPr/>
        <w:t>（</w:t>
      </w:r>
      <w:r>
        <w:rPr>
          <w:rFonts w:ascii="宋体" w:hAnsi="宋体" w:cs="宋体" w:eastAsia="宋体" w:hint="default"/>
        </w:rPr>
        <w:t>2</w:t>
      </w:r>
      <w:r>
        <w:rPr/>
        <w:t>）短期薪酬列示</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3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9"/>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102,085,683.84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562,782,209.44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552,185,434.82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112,682,458.46</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21,496,929.88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21,453,090.19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43,839.69</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733,836.02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23,447,728.68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23,442,678.82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738,885.88</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711,271.34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21,011,727.38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21,015,355.89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707,642.83</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325.10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857,604.39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850,891.33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7,038.16</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22,239.58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1,578,396.91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1,576,431.60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24,204.89</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298,864.23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24,119,213.64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24,106,872.36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311,205.51</w:t>
            </w:r>
          </w:p>
        </w:tc>
      </w:tr>
      <w:tr>
        <w:trPr>
          <w:trHeight w:val="63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9"/>
              <w:jc w:val="left"/>
              <w:rPr>
                <w:rFonts w:ascii="宋体" w:hAnsi="宋体" w:cs="宋体" w:eastAsia="宋体" w:hint="default"/>
                <w:sz w:val="18"/>
                <w:szCs w:val="18"/>
              </w:rPr>
            </w:pPr>
            <w:r>
              <w:rPr>
                <w:rFonts w:ascii="宋体" w:hAnsi="宋体" w:cs="宋体" w:eastAsia="宋体"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33,388,219.41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5,877,605.25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6,931,040.11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32,334,784.55</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54,707.50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946,527.75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979,085.25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22,150.00</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136,561,311.00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638,670,214.64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629,098,201.55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146,133,324.09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291"/>
      <w:bookmarkEnd w:id="291"/>
      <w:r>
        <w:rPr>
          <w:b w:val="0"/>
          <w:bCs w:val="0"/>
        </w:rPr>
      </w:r>
      <w:r>
        <w:rPr/>
        <w:t>（</w:t>
      </w:r>
      <w:r>
        <w:rPr>
          <w:rFonts w:ascii="宋体" w:hAnsi="宋体" w:cs="宋体" w:eastAsia="宋体" w:hint="default"/>
        </w:rPr>
        <w:t>3</w:t>
      </w:r>
      <w:r>
        <w:rPr/>
        <w:t>）设定提存计划列示</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872,216.47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49,956,436.48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49,943,107.76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885,545.19</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51,359.36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1,516,287.01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1,518,000.36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49,646.01</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9,063,399.97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9,063,399.97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18"/>
                <w:szCs w:val="18"/>
              </w:rPr>
            </w:pPr>
            <w:r>
              <w:rPr>
                <w:rFonts w:ascii="宋体"/>
                <w:sz w:val="18"/>
              </w:rPr>
              <w:t>923,575.83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60,536,123.46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宋体" w:hAnsi="宋体" w:cs="宋体" w:eastAsia="宋体" w:hint="default"/>
                <w:sz w:val="18"/>
                <w:szCs w:val="18"/>
              </w:rPr>
            </w:pPr>
            <w:r>
              <w:rPr>
                <w:rFonts w:ascii="宋体"/>
                <w:sz w:val="18"/>
              </w:rPr>
              <w:t>60,524,508.09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935,191.20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5、应交税费" w:id="292"/>
      <w:bookmarkEnd w:id="292"/>
      <w:r>
        <w:rPr>
          <w:b w:val="0"/>
          <w:bCs w:val="0"/>
        </w:rPr>
      </w:r>
      <w:r>
        <w:rPr>
          <w:rFonts w:ascii="宋体" w:hAnsi="宋体" w:cs="宋体" w:eastAsia="宋体" w:hint="default"/>
        </w:rPr>
        <w:t>25</w:t>
      </w:r>
      <w:r>
        <w:rPr/>
        <w:t>、应交税费</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30,815,306.85</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36,017,845.88</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38,562,040.02</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52,654,314.85</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3,363,846.26</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3,483,389.90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2,470,574.05</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2,502,764.14</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523,795.45</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1,099,349.70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1,702,891.96</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1,804,445.71</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405,881.95</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403,236.31</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1,139,731.92</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1,842,438.50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70,588,069.48</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71,322,587.28</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78,550.60</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125,399.93</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116,391.44</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15,820.16</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149,767,079.98</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171,271,592.36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6、其他应付款" w:id="293"/>
      <w:bookmarkEnd w:id="293"/>
      <w:r>
        <w:rPr>
          <w:b w:val="0"/>
          <w:bCs w:val="0"/>
        </w:rPr>
      </w:r>
      <w:r>
        <w:rPr>
          <w:rFonts w:ascii="宋体" w:hAnsi="宋体" w:cs="宋体" w:eastAsia="宋体" w:hint="default"/>
        </w:rPr>
        <w:t>26</w:t>
      </w:r>
      <w:r>
        <w:rPr/>
        <w:t>、其他应付款</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91,690,206.13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54,656,348.43</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11,581,131.52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22,414,602.62</w:t>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535,217,689.77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166,306,947.54</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638,489,027.42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243,377,898.59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利息" w:id="294"/>
      <w:bookmarkEnd w:id="294"/>
      <w:r>
        <w:rPr>
          <w:b w:val="0"/>
          <w:bCs w:val="0"/>
        </w:rPr>
      </w:r>
      <w:r>
        <w:rPr/>
        <w:t>（</w:t>
      </w:r>
      <w:r>
        <w:rPr>
          <w:rFonts w:ascii="宋体" w:hAnsi="宋体" w:cs="宋体" w:eastAsia="宋体" w:hint="default"/>
        </w:rPr>
        <w:t>1</w:t>
      </w:r>
      <w:r>
        <w:rPr/>
        <w:t>）应付利息</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84,375,541.09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51,756,313.70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297,520.67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2,856,661.10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2,900,034.73</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4,160,483.27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91,690,206.13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54,656,348.43</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2）应付股利" w:id="295"/>
      <w:bookmarkEnd w:id="295"/>
      <w:r>
        <w:rPr>
          <w:b w:val="0"/>
          <w:bCs w:val="0"/>
        </w:rPr>
      </w:r>
      <w:r>
        <w:rPr/>
        <w:t>（</w:t>
      </w:r>
      <w:r>
        <w:rPr>
          <w:rFonts w:ascii="宋体" w:hAnsi="宋体" w:cs="宋体" w:eastAsia="宋体" w:hint="default"/>
        </w:rPr>
        <w:t>2</w:t>
      </w:r>
      <w:r>
        <w:rPr/>
        <w:t>）应付股利</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4,656,370.37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8,308,841.47</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应付子公司少数股东股利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6,924,761.15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14,105,761.15</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11,581,131.52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22,414,602.62</w:t>
            </w:r>
          </w:p>
        </w:tc>
      </w:tr>
    </w:tbl>
    <w:p>
      <w:pPr>
        <w:spacing w:line="240" w:lineRule="auto" w:before="12"/>
        <w:rPr>
          <w:rFonts w:ascii="宋体" w:hAnsi="宋体" w:cs="宋体" w:eastAsia="宋体" w:hint="default"/>
          <w:sz w:val="7"/>
          <w:szCs w:val="7"/>
        </w:rPr>
      </w:pPr>
    </w:p>
    <w:p>
      <w:pPr>
        <w:pStyle w:val="BodyText"/>
        <w:spacing w:line="240" w:lineRule="auto" w:before="35"/>
        <w:ind w:right="0"/>
        <w:jc w:val="left"/>
      </w:pPr>
      <w:r>
        <w:rPr/>
        <w:t>其他说明，包括重要的超过</w:t>
      </w:r>
      <w:r>
        <w:rPr>
          <w:spacing w:val="-53"/>
        </w:rPr>
        <w:t> </w:t>
      </w:r>
      <w:r>
        <w:rPr>
          <w:rFonts w:ascii="宋体" w:hAnsi="宋体" w:cs="宋体" w:eastAsia="宋体" w:hint="default"/>
        </w:rPr>
        <w:t>1</w:t>
      </w:r>
      <w:r>
        <w:rPr>
          <w:rFonts w:ascii="宋体" w:hAnsi="宋体" w:cs="宋体" w:eastAsia="宋体" w:hint="default"/>
          <w:spacing w:val="-53"/>
        </w:rPr>
        <w:t> </w:t>
      </w:r>
      <w:r>
        <w:rPr/>
        <w:t>年未支付的应付股利，应披露未支付原因：</w:t>
      </w:r>
    </w:p>
    <w:p>
      <w:pPr>
        <w:spacing w:line="240" w:lineRule="auto" w:before="1"/>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687"/>
        <w:gridCol w:w="1844"/>
        <w:gridCol w:w="1984"/>
        <w:gridCol w:w="2126"/>
      </w:tblGrid>
      <w:tr>
        <w:trPr>
          <w:trHeight w:val="347" w:hRule="exact"/>
        </w:trPr>
        <w:tc>
          <w:tcPr>
            <w:tcW w:w="3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55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347"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应付普通股股利：</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国广资产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3,749,481.89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7,401,952.99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因被质押未领息</w:t>
            </w:r>
          </w:p>
        </w:tc>
      </w:tr>
      <w:tr>
        <w:trPr>
          <w:trHeight w:val="347"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海口市长秀工程公司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123,000.00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123,000.00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4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海口市长秀开发建设总公司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18,000.00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18,000.00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47" w:hRule="exact"/>
        </w:trPr>
        <w:tc>
          <w:tcPr>
            <w:tcW w:w="3687"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765,888.48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765,888.48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47" w:hRule="exact"/>
        </w:trPr>
        <w:tc>
          <w:tcPr>
            <w:tcW w:w="3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4,656,370.37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8,308,841.47</w:t>
            </w: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应付子公司少数股东股利：</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华路建材</w:t>
            </w:r>
          </w:p>
        </w:tc>
        <w:tc>
          <w:tcPr>
            <w:tcW w:w="184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3,475,000.00</w:t>
            </w: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广州漫时代投资管理中心（有限合伙）</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548,591.22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548,591.22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4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吉林凯利股权投资基金合伙企业（有限合伙）</w:t>
            </w:r>
          </w:p>
        </w:tc>
        <w:tc>
          <w:tcPr>
            <w:tcW w:w="184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3,706,000.00</w:t>
            </w: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6,376,169.93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6,376,169.93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47" w:hRule="exact"/>
        </w:trPr>
        <w:tc>
          <w:tcPr>
            <w:tcW w:w="3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6,924,761.15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14,105,761.15</w:t>
            </w: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11,581,131.52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22,414,602.62</w:t>
            </w:r>
          </w:p>
        </w:tc>
        <w:tc>
          <w:tcPr>
            <w:tcW w:w="212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0"/>
        <w:jc w:val="left"/>
        <w:rPr>
          <w:b w:val="0"/>
          <w:bCs w:val="0"/>
        </w:rPr>
      </w:pPr>
      <w:bookmarkStart w:name="（3）其他应付款" w:id="296"/>
      <w:bookmarkEnd w:id="296"/>
      <w:r>
        <w:rPr>
          <w:b w:val="0"/>
          <w:bCs w:val="0"/>
        </w:rPr>
      </w:r>
      <w:r>
        <w:rPr/>
        <w:t>（</w:t>
      </w:r>
      <w:r>
        <w:rPr>
          <w:rFonts w:ascii="宋体" w:hAnsi="宋体" w:cs="宋体" w:eastAsia="宋体" w:hint="default"/>
        </w:rPr>
        <w:t>3</w:t>
      </w:r>
      <w:r>
        <w:rPr/>
        <w:t>）其他应付款</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877" w:footer="979" w:top="1100" w:bottom="1160" w:left="980" w:right="0"/>
        </w:sectPr>
      </w:pPr>
    </w:p>
    <w:p>
      <w:pPr>
        <w:pStyle w:val="BodyText"/>
        <w:spacing w:line="240" w:lineRule="auto" w:before="35"/>
        <w:ind w:right="-7"/>
        <w:jc w:val="left"/>
      </w:pPr>
      <w:r>
        <w:rPr>
          <w:rFonts w:ascii="宋体" w:hAnsi="宋体" w:cs="宋体" w:eastAsia="宋体" w:hint="default"/>
          <w:spacing w:val="-1"/>
        </w:rPr>
        <w:t>1)</w:t>
      </w:r>
      <w:r>
        <w:rPr>
          <w:spacing w:val="-1"/>
        </w:rPr>
        <w:t>按款项性质列示其他应付款</w:t>
      </w:r>
    </w:p>
    <w:p>
      <w:pPr>
        <w:spacing w:line="240" w:lineRule="auto" w:before="0"/>
        <w:rPr>
          <w:rFonts w:ascii="宋体" w:hAnsi="宋体" w:cs="宋体" w:eastAsia="宋体" w:hint="default"/>
          <w:sz w:val="18"/>
          <w:szCs w:val="18"/>
        </w:rPr>
      </w:pPr>
      <w:r>
        <w:rPr/>
        <w:br w:type="column"/>
      </w:r>
      <w:r>
        <w:rPr>
          <w:rFonts w:ascii="宋体"/>
          <w:sz w:val="18"/>
        </w:rPr>
      </w:r>
    </w:p>
    <w:p>
      <w:pPr>
        <w:spacing w:before="151"/>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84" w:space="5945"/>
            <w:col w:w="2101"/>
          </w:cols>
        </w:sectPr>
      </w:pP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450,310,581.40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24,103,537.17</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内部员工款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9,721,425.84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6,326,667.62</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6,749,496.97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23,893,333.17</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34,509,625.52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76,742,611.85</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管理业绩报酬</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44,139.48</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33,926,560.04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35,196,658.25</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535,217,689.77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166,306,947.54</w:t>
            </w:r>
          </w:p>
        </w:tc>
      </w:tr>
    </w:tbl>
    <w:p>
      <w:pPr>
        <w:spacing w:line="240" w:lineRule="auto" w:before="12"/>
        <w:rPr>
          <w:rFonts w:ascii="宋体" w:hAnsi="宋体" w:cs="宋体" w:eastAsia="宋体" w:hint="default"/>
          <w:sz w:val="7"/>
          <w:szCs w:val="7"/>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2"/>
        </w:rPr>
        <w:t> </w:t>
      </w:r>
      <w:r>
        <w:rPr/>
        <w:t>按账龄列示其他应付款</w:t>
      </w:r>
    </w:p>
    <w:p>
      <w:pPr>
        <w:spacing w:line="240" w:lineRule="auto" w:before="1"/>
        <w:rPr>
          <w:rFonts w:ascii="宋体" w:hAnsi="宋体" w:cs="宋体" w:eastAsia="宋体" w:hint="default"/>
          <w:sz w:val="5"/>
          <w:szCs w:val="5"/>
        </w:rPr>
      </w:pPr>
    </w:p>
    <w:tbl>
      <w:tblPr>
        <w:tblW w:w="0" w:type="auto"/>
        <w:jc w:val="left"/>
        <w:tblInd w:w="254" w:type="dxa"/>
        <w:tblLayout w:type="fixed"/>
        <w:tblCellMar>
          <w:top w:w="0" w:type="dxa"/>
          <w:left w:w="0" w:type="dxa"/>
          <w:bottom w:w="0" w:type="dxa"/>
          <w:right w:w="0" w:type="dxa"/>
        </w:tblCellMar>
        <w:tblLook w:val="01E0"/>
      </w:tblPr>
      <w:tblGrid>
        <w:gridCol w:w="3011"/>
        <w:gridCol w:w="3261"/>
        <w:gridCol w:w="3261"/>
      </w:tblGrid>
      <w:tr>
        <w:trPr>
          <w:trHeight w:val="341" w:hRule="exact"/>
        </w:trPr>
        <w:tc>
          <w:tcPr>
            <w:tcW w:w="30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2" w:hRule="exact"/>
        </w:trPr>
        <w:tc>
          <w:tcPr>
            <w:tcW w:w="301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w:t>
            </w:r>
          </w:p>
        </w:tc>
        <w:tc>
          <w:tcPr>
            <w:tcW w:w="326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357,399,058.98</w:t>
            </w:r>
          </w:p>
        </w:tc>
        <w:tc>
          <w:tcPr>
            <w:tcW w:w="326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98,156,160.52</w:t>
            </w:r>
          </w:p>
        </w:tc>
      </w:tr>
      <w:tr>
        <w:trPr>
          <w:trHeight w:val="348" w:hRule="exact"/>
        </w:trPr>
        <w:tc>
          <w:tcPr>
            <w:tcW w:w="3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年（含</w:t>
            </w:r>
            <w:r>
              <w:rPr>
                <w:rFonts w:ascii="宋体" w:hAnsi="宋体" w:cs="宋体" w:eastAsia="宋体" w:hint="default"/>
                <w:sz w:val="18"/>
                <w:szCs w:val="18"/>
              </w:rPr>
              <w:t>2</w:t>
            </w:r>
            <w:r>
              <w:rPr>
                <w:rFonts w:ascii="宋体" w:hAnsi="宋体" w:cs="宋体" w:eastAsia="宋体" w:hint="default"/>
                <w:sz w:val="18"/>
                <w:szCs w:val="18"/>
              </w:rPr>
              <w:t>年）</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128,801,469.82</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38,460,845.79</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254" w:type="dxa"/>
        <w:tblLayout w:type="fixed"/>
        <w:tblCellMar>
          <w:top w:w="0" w:type="dxa"/>
          <w:left w:w="0" w:type="dxa"/>
          <w:bottom w:w="0" w:type="dxa"/>
          <w:right w:w="0" w:type="dxa"/>
        </w:tblCellMar>
        <w:tblLook w:val="01E0"/>
      </w:tblPr>
      <w:tblGrid>
        <w:gridCol w:w="3011"/>
        <w:gridCol w:w="3261"/>
        <w:gridCol w:w="3261"/>
      </w:tblGrid>
      <w:tr>
        <w:trPr>
          <w:trHeight w:val="347" w:hRule="exact"/>
        </w:trPr>
        <w:tc>
          <w:tcPr>
            <w:tcW w:w="3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年（含</w:t>
            </w:r>
            <w:r>
              <w:rPr>
                <w:rFonts w:ascii="宋体" w:hAnsi="宋体" w:cs="宋体" w:eastAsia="宋体" w:hint="default"/>
                <w:sz w:val="18"/>
                <w:szCs w:val="18"/>
              </w:rPr>
              <w:t>3</w:t>
            </w:r>
            <w:r>
              <w:rPr>
                <w:rFonts w:ascii="宋体" w:hAnsi="宋体" w:cs="宋体" w:eastAsia="宋体" w:hint="default"/>
                <w:sz w:val="18"/>
                <w:szCs w:val="18"/>
              </w:rPr>
              <w:t>年）</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22,683,751.86</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9,951,284.47</w:t>
            </w:r>
          </w:p>
        </w:tc>
      </w:tr>
      <w:tr>
        <w:trPr>
          <w:trHeight w:val="347" w:hRule="exact"/>
        </w:trPr>
        <w:tc>
          <w:tcPr>
            <w:tcW w:w="3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26,333,409.11</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19,738,656.76</w:t>
            </w:r>
          </w:p>
        </w:tc>
      </w:tr>
      <w:tr>
        <w:trPr>
          <w:trHeight w:val="348" w:hRule="exact"/>
        </w:trPr>
        <w:tc>
          <w:tcPr>
            <w:tcW w:w="30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535,217,689.77</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166,306,947.54</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79" w:top="1100" w:bottom="1160" w:left="980" w:right="0"/>
        </w:sectPr>
      </w:pPr>
    </w:p>
    <w:p>
      <w:pPr>
        <w:spacing w:line="240" w:lineRule="auto" w:before="6"/>
        <w:rPr>
          <w:rFonts w:ascii="宋体" w:hAnsi="宋体" w:cs="宋体" w:eastAsia="宋体" w:hint="default"/>
          <w:sz w:val="14"/>
          <w:szCs w:val="14"/>
        </w:rPr>
      </w:pPr>
    </w:p>
    <w:p>
      <w:pPr>
        <w:pStyle w:val="BodyText"/>
        <w:spacing w:line="240" w:lineRule="auto"/>
        <w:ind w:right="-18"/>
        <w:jc w:val="left"/>
      </w:pPr>
      <w:r>
        <w:rPr>
          <w:rFonts w:ascii="宋体" w:hAnsi="宋体" w:cs="宋体" w:eastAsia="宋体" w:hint="default"/>
        </w:rPr>
        <w:t>3)</w:t>
      </w:r>
      <w:r>
        <w:rPr/>
        <w:t>账龄超过</w:t>
      </w:r>
      <w:r>
        <w:rPr>
          <w:spacing w:val="-54"/>
        </w:rPr>
        <w:t> </w:t>
      </w:r>
      <w:r>
        <w:rPr>
          <w:rFonts w:ascii="宋体" w:hAnsi="宋体" w:cs="宋体" w:eastAsia="宋体" w:hint="default"/>
        </w:rPr>
        <w:t>1</w:t>
      </w:r>
      <w:r>
        <w:rPr>
          <w:rFonts w:ascii="宋体" w:hAnsi="宋体" w:cs="宋体" w:eastAsia="宋体" w:hint="default"/>
          <w:spacing w:val="-53"/>
        </w:rPr>
        <w:t> </w:t>
      </w:r>
      <w:r>
        <w:rPr/>
        <w:t>年的重要其他应付款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3"/>
          <w:szCs w:val="2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305" w:space="5525"/>
            <w:col w:w="2100"/>
          </w:cols>
        </w:sectPr>
      </w:pP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上海浦江联航投资发展有限公司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收购子公司应付的股权转让款</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上海浦江郑隆汽车销售管理有限公司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收购子公司应付的股权转让款</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海口市秀英区土地征收工作办公室</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8,206,800.00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土地征收款</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sz w:val="18"/>
              </w:rPr>
              <w:t>STARRY GROUP LIMITED</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5,925,906.67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资金拆借款</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陕西巨象广告有限责任公司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2,300,000.00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保证金押金</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86,432,706.67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bl>
    <w:p>
      <w:pPr>
        <w:spacing w:line="240" w:lineRule="auto" w:before="12"/>
        <w:rPr>
          <w:rFonts w:ascii="宋体" w:hAnsi="宋体" w:cs="宋体" w:eastAsia="宋体" w:hint="default"/>
          <w:sz w:val="7"/>
          <w:szCs w:val="7"/>
        </w:rPr>
      </w:pPr>
    </w:p>
    <w:p>
      <w:pPr>
        <w:pStyle w:val="BodyText"/>
        <w:spacing w:line="420" w:lineRule="auto" w:before="35"/>
        <w:ind w:right="1120"/>
        <w:jc w:val="left"/>
      </w:pPr>
      <w:r>
        <w:rPr>
          <w:rFonts w:ascii="宋体" w:hAnsi="宋体" w:cs="宋体" w:eastAsia="宋体" w:hint="default"/>
        </w:rPr>
        <w:t>4)</w:t>
      </w:r>
      <w:r>
        <w:rPr>
          <w:rFonts w:ascii="宋体" w:hAnsi="宋体" w:cs="宋体" w:eastAsia="宋体" w:hint="default"/>
          <w:spacing w:val="-14"/>
        </w:rPr>
        <w:t> </w:t>
      </w:r>
      <w:r>
        <w:rPr/>
        <w:t>期末数中无欠持本公司</w:t>
      </w:r>
      <w:r>
        <w:rPr>
          <w:spacing w:val="-59"/>
        </w:rPr>
        <w:t> </w:t>
      </w:r>
      <w:r>
        <w:rPr>
          <w:rFonts w:ascii="宋体" w:hAnsi="宋体" w:cs="宋体" w:eastAsia="宋体" w:hint="default"/>
        </w:rPr>
        <w:t>5</w:t>
      </w:r>
      <w:r>
        <w:rPr/>
        <w:t>％以上（含</w:t>
      </w:r>
      <w:r>
        <w:rPr>
          <w:spacing w:val="-60"/>
        </w:rPr>
        <w:t> </w:t>
      </w:r>
      <w:r>
        <w:rPr>
          <w:rFonts w:ascii="宋体" w:hAnsi="宋体" w:cs="宋体" w:eastAsia="宋体" w:hint="default"/>
        </w:rPr>
        <w:t>5</w:t>
      </w:r>
      <w:r>
        <w:rPr/>
        <w:t>％）表决权股份的股东单位款项；期末数中欠其他关联方情况详 见附注十二、</w:t>
      </w:r>
      <w:r>
        <w:rPr>
          <w:rFonts w:ascii="宋体" w:hAnsi="宋体" w:cs="宋体" w:eastAsia="宋体" w:hint="default"/>
        </w:rPr>
        <w:t>7</w:t>
      </w:r>
      <w:r>
        <w:rPr/>
        <w:t>。</w:t>
      </w:r>
    </w:p>
    <w:p>
      <w:pPr>
        <w:spacing w:line="240" w:lineRule="auto" w:before="12"/>
        <w:rPr>
          <w:rFonts w:ascii="宋体" w:hAnsi="宋体" w:cs="宋体" w:eastAsia="宋体" w:hint="default"/>
          <w:sz w:val="14"/>
          <w:szCs w:val="14"/>
        </w:rPr>
      </w:pPr>
    </w:p>
    <w:p>
      <w:pPr>
        <w:pStyle w:val="Heading4"/>
        <w:spacing w:line="240" w:lineRule="auto"/>
        <w:ind w:right="0"/>
        <w:jc w:val="left"/>
        <w:rPr>
          <w:b w:val="0"/>
          <w:bCs w:val="0"/>
        </w:rPr>
      </w:pPr>
      <w:bookmarkStart w:name="27、一年内到期的非流动负债" w:id="297"/>
      <w:bookmarkEnd w:id="297"/>
      <w:r>
        <w:rPr>
          <w:b w:val="0"/>
          <w:bCs w:val="0"/>
        </w:rPr>
      </w:r>
      <w:r>
        <w:rPr>
          <w:rFonts w:ascii="宋体" w:hAnsi="宋体" w:cs="宋体" w:eastAsia="宋体" w:hint="default"/>
        </w:rPr>
        <w:t>27</w:t>
      </w:r>
      <w:r>
        <w:rPr/>
        <w:t>、一年内到期的非流动负债</w:t>
      </w:r>
      <w:r>
        <w:rPr>
          <w:b w:val="0"/>
          <w:bCs w:val="0"/>
        </w:rPr>
      </w:r>
    </w:p>
    <w:p>
      <w:pPr>
        <w:spacing w:line="240" w:lineRule="auto" w:before="9"/>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154,348,687.50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144,598,687.50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699,498,300.00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699,835,300.00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一年内到期的其他非流动负债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475,958.76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475,958.76</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854,322,946.26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844,909,946.26</w:t>
            </w:r>
          </w:p>
        </w:tc>
      </w:tr>
    </w:tbl>
    <w:p>
      <w:pPr>
        <w:pStyle w:val="BodyText"/>
        <w:spacing w:line="260" w:lineRule="exact"/>
        <w:ind w:right="0"/>
        <w:jc w:val="left"/>
      </w:pPr>
      <w:r>
        <w:rPr/>
        <w:t>其他说明：</w:t>
      </w:r>
    </w:p>
    <w:p>
      <w:pPr>
        <w:spacing w:line="240" w:lineRule="auto" w:before="8"/>
        <w:rPr>
          <w:rFonts w:ascii="宋体" w:hAnsi="宋体" w:cs="宋体" w:eastAsia="宋体" w:hint="default"/>
          <w:sz w:val="14"/>
          <w:szCs w:val="14"/>
        </w:rPr>
      </w:pPr>
    </w:p>
    <w:p>
      <w:pPr>
        <w:pStyle w:val="BodyText"/>
        <w:spacing w:line="240" w:lineRule="auto"/>
        <w:ind w:right="0"/>
        <w:jc w:val="left"/>
      </w:pPr>
      <w:r>
        <w:rPr/>
        <w:t>一年内到期的长期借款</w:t>
      </w:r>
    </w:p>
    <w:p>
      <w:pPr>
        <w:spacing w:line="240" w:lineRule="auto" w:before="1"/>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978"/>
        <w:gridCol w:w="2979"/>
        <w:gridCol w:w="2411"/>
      </w:tblGrid>
      <w:tr>
        <w:trPr>
          <w:trHeight w:val="347" w:hRule="exact"/>
        </w:trPr>
        <w:tc>
          <w:tcPr>
            <w:tcW w:w="29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301"/>
              <w:jc w:val="right"/>
              <w:rPr>
                <w:rFonts w:ascii="宋体" w:hAnsi="宋体" w:cs="宋体" w:eastAsia="宋体" w:hint="default"/>
                <w:sz w:val="18"/>
                <w:szCs w:val="18"/>
              </w:rPr>
            </w:pPr>
            <w:r>
              <w:rPr>
                <w:rFonts w:ascii="宋体" w:hAnsi="宋体" w:cs="宋体" w:eastAsia="宋体" w:hint="default"/>
                <w:sz w:val="18"/>
                <w:szCs w:val="18"/>
              </w:rPr>
              <w:t>项目</w:t>
            </w:r>
          </w:p>
        </w:tc>
        <w:tc>
          <w:tcPr>
            <w:tcW w:w="29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149,598,687.50</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144,598,687.50</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4,750,000.00</w:t>
            </w:r>
          </w:p>
        </w:tc>
        <w:tc>
          <w:tcPr>
            <w:tcW w:w="241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301"/>
              <w:jc w:val="right"/>
              <w:rPr>
                <w:rFonts w:ascii="宋体" w:hAnsi="宋体" w:cs="宋体" w:eastAsia="宋体" w:hint="default"/>
                <w:sz w:val="18"/>
                <w:szCs w:val="18"/>
              </w:rPr>
            </w:pPr>
            <w:r>
              <w:rPr>
                <w:rFonts w:ascii="宋体" w:hAnsi="宋体" w:cs="宋体" w:eastAsia="宋体" w:hint="default"/>
                <w:sz w:val="18"/>
                <w:szCs w:val="18"/>
              </w:rPr>
              <w:t>合计</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154,348,687.50</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144,598,687.50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0"/>
        <w:jc w:val="left"/>
        <w:rPr>
          <w:b w:val="0"/>
          <w:bCs w:val="0"/>
        </w:rPr>
      </w:pPr>
      <w:bookmarkStart w:name="28、其他流动负债" w:id="298"/>
      <w:bookmarkEnd w:id="298"/>
      <w:r>
        <w:rPr>
          <w:b w:val="0"/>
          <w:bCs w:val="0"/>
        </w:rPr>
      </w:r>
      <w:r>
        <w:rPr>
          <w:rFonts w:ascii="宋体" w:hAnsi="宋体" w:cs="宋体" w:eastAsia="宋体" w:hint="default"/>
        </w:rPr>
        <w:t>28</w:t>
      </w:r>
      <w:r>
        <w:rPr/>
        <w:t>、其他流动负债</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待缴纳增值税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71,435.46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100,949.30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71,435.46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100,949.30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left="814" w:right="1121"/>
        <w:jc w:val="left"/>
        <w:rPr>
          <w:b w:val="0"/>
          <w:bCs w:val="0"/>
        </w:rPr>
      </w:pPr>
      <w:bookmarkStart w:name="29、长期借款" w:id="299"/>
      <w:bookmarkEnd w:id="299"/>
      <w:r>
        <w:rPr>
          <w:b w:val="0"/>
          <w:bCs w:val="0"/>
        </w:rPr>
      </w:r>
      <w:r>
        <w:rPr>
          <w:rFonts w:ascii="宋体" w:hAnsi="宋体" w:cs="宋体" w:eastAsia="宋体" w:hint="default"/>
        </w:rPr>
        <w:t>29</w:t>
      </w:r>
      <w:r>
        <w:rPr/>
        <w:t>、长期借款</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814" w:right="1121"/>
        <w:jc w:val="left"/>
        <w:rPr>
          <w:b w:val="0"/>
          <w:bCs w:val="0"/>
        </w:rPr>
      </w:pPr>
      <w:bookmarkStart w:name="（1）长期借款分类" w:id="300"/>
      <w:bookmarkEnd w:id="300"/>
      <w:r>
        <w:rPr>
          <w:b w:val="0"/>
          <w:bCs w:val="0"/>
        </w:rPr>
      </w:r>
      <w:r>
        <w:rPr/>
        <w:t>（</w:t>
      </w:r>
      <w:r>
        <w:rPr>
          <w:rFonts w:ascii="宋体" w:hAnsi="宋体" w:cs="宋体" w:eastAsia="宋体" w:hint="default"/>
        </w:rPr>
        <w:t>1</w:t>
      </w:r>
      <w:r>
        <w:rPr/>
        <w:t>）长期借款分类</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820" w:type="dxa"/>
        <w:tblLayout w:type="fixed"/>
        <w:tblCellMar>
          <w:top w:w="0" w:type="dxa"/>
          <w:left w:w="0" w:type="dxa"/>
          <w:bottom w:w="0" w:type="dxa"/>
          <w:right w:w="0" w:type="dxa"/>
        </w:tblCellMar>
        <w:tblLook w:val="01E0"/>
      </w:tblPr>
      <w:tblGrid>
        <w:gridCol w:w="3164"/>
        <w:gridCol w:w="3206"/>
        <w:gridCol w:w="3189"/>
      </w:tblGrid>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2,202,250,000.00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1,867,000,000.00</w:t>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55,000,000.00</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2,222,250,000.00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1,922,000,000.00</w:t>
            </w:r>
          </w:p>
        </w:tc>
      </w:tr>
    </w:tbl>
    <w:p>
      <w:pPr>
        <w:spacing w:line="240" w:lineRule="auto" w:before="2"/>
        <w:rPr>
          <w:rFonts w:ascii="宋体" w:hAnsi="宋体" w:cs="宋体" w:eastAsia="宋体" w:hint="default"/>
          <w:sz w:val="19"/>
          <w:szCs w:val="19"/>
        </w:rPr>
      </w:pPr>
    </w:p>
    <w:p>
      <w:pPr>
        <w:pStyle w:val="Heading4"/>
        <w:spacing w:line="240" w:lineRule="auto" w:before="35"/>
        <w:ind w:left="814" w:right="1121"/>
        <w:jc w:val="left"/>
        <w:rPr>
          <w:b w:val="0"/>
          <w:bCs w:val="0"/>
        </w:rPr>
      </w:pPr>
      <w:bookmarkStart w:name="30、应付债券" w:id="301"/>
      <w:bookmarkEnd w:id="301"/>
      <w:r>
        <w:rPr>
          <w:b w:val="0"/>
          <w:bCs w:val="0"/>
        </w:rPr>
      </w:r>
      <w:r>
        <w:rPr>
          <w:rFonts w:ascii="宋体" w:hAnsi="宋体" w:cs="宋体" w:eastAsia="宋体" w:hint="default"/>
        </w:rPr>
        <w:t>30</w:t>
      </w:r>
      <w:r>
        <w:rPr/>
        <w:t>、应付债券</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814" w:right="1121"/>
        <w:jc w:val="left"/>
        <w:rPr>
          <w:b w:val="0"/>
          <w:bCs w:val="0"/>
        </w:rPr>
      </w:pPr>
      <w:bookmarkStart w:name="（1）应付债券" w:id="302"/>
      <w:bookmarkEnd w:id="302"/>
      <w:r>
        <w:rPr>
          <w:b w:val="0"/>
          <w:bCs w:val="0"/>
        </w:rPr>
      </w:r>
      <w:r>
        <w:rPr/>
        <w:t>（</w:t>
      </w:r>
      <w:r>
        <w:rPr>
          <w:rFonts w:ascii="宋体" w:hAnsi="宋体" w:cs="宋体" w:eastAsia="宋体" w:hint="default"/>
        </w:rPr>
        <w:t>1</w:t>
      </w:r>
      <w:r>
        <w:rPr/>
        <w:t>）应付债券</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80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2,294,056,062.74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1,694,734,624.47</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2,294,056,062.74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1,694,734,624.47</w:t>
            </w:r>
          </w:p>
        </w:tc>
      </w:tr>
    </w:tbl>
    <w:p>
      <w:pPr>
        <w:spacing w:line="240" w:lineRule="auto" w:before="2"/>
        <w:rPr>
          <w:rFonts w:ascii="宋体" w:hAnsi="宋体" w:cs="宋体" w:eastAsia="宋体" w:hint="default"/>
          <w:sz w:val="19"/>
          <w:szCs w:val="19"/>
        </w:rPr>
      </w:pPr>
    </w:p>
    <w:p>
      <w:pPr>
        <w:pStyle w:val="Heading4"/>
        <w:spacing w:line="240" w:lineRule="auto" w:before="35"/>
        <w:ind w:left="814" w:right="1121"/>
        <w:jc w:val="left"/>
        <w:rPr>
          <w:b w:val="0"/>
          <w:bCs w:val="0"/>
        </w:rPr>
      </w:pPr>
      <w:bookmarkStart w:name="（2）应付债券的增减变动（不包括划分为金融负债的优先股、永续债等其他金融工具）" w:id="303"/>
      <w:bookmarkEnd w:id="303"/>
      <w:r>
        <w:rPr>
          <w:b w:val="0"/>
          <w:bCs w:val="0"/>
        </w:rPr>
      </w:r>
      <w:r>
        <w:rPr/>
        <w:t>（</w:t>
      </w:r>
      <w:r>
        <w:rPr>
          <w:rFonts w:ascii="宋体" w:hAnsi="宋体" w:cs="宋体" w:eastAsia="宋体" w:hint="default"/>
        </w:rPr>
        <w:t>2</w:t>
      </w:r>
      <w:r>
        <w:rPr/>
        <w:t>）应付债券的增减变动（不包括划分为金融负债的优先股、永续债等其他金融工具）</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851"/>
        <w:gridCol w:w="1134"/>
        <w:gridCol w:w="798"/>
        <w:gridCol w:w="479"/>
        <w:gridCol w:w="1239"/>
        <w:gridCol w:w="1134"/>
        <w:gridCol w:w="1134"/>
        <w:gridCol w:w="709"/>
        <w:gridCol w:w="1029"/>
        <w:gridCol w:w="462"/>
        <w:gridCol w:w="1134"/>
        <w:gridCol w:w="1134"/>
      </w:tblGrid>
      <w:tr>
        <w:trPr>
          <w:trHeight w:val="162" w:hRule="exact"/>
        </w:trPr>
        <w:tc>
          <w:tcPr>
            <w:tcW w:w="851" w:type="dxa"/>
            <w:vMerge w:val="restart"/>
            <w:tcBorders>
              <w:top w:val="single" w:sz="4" w:space="0" w:color="000000"/>
              <w:left w:val="single" w:sz="4" w:space="0" w:color="000000"/>
              <w:right w:val="single" w:sz="4" w:space="0" w:color="000000"/>
            </w:tcBorders>
            <w:shd w:val="clear" w:color="auto" w:fill="D9D9D9"/>
          </w:tcPr>
          <w:p>
            <w:pPr/>
          </w:p>
        </w:tc>
        <w:tc>
          <w:tcPr>
            <w:tcW w:w="1134" w:type="dxa"/>
            <w:vMerge w:val="restart"/>
            <w:tcBorders>
              <w:top w:val="single" w:sz="4" w:space="0" w:color="000000"/>
              <w:left w:val="single" w:sz="4" w:space="0" w:color="000000"/>
              <w:right w:val="single" w:sz="4" w:space="0" w:color="000000"/>
            </w:tcBorders>
            <w:shd w:val="clear" w:color="auto" w:fill="D9D9D9"/>
          </w:tcPr>
          <w:p>
            <w:pPr/>
          </w:p>
        </w:tc>
        <w:tc>
          <w:tcPr>
            <w:tcW w:w="798" w:type="dxa"/>
            <w:vMerge w:val="restart"/>
            <w:tcBorders>
              <w:top w:val="single" w:sz="4" w:space="0" w:color="000000"/>
              <w:left w:val="single" w:sz="4" w:space="0" w:color="000000"/>
              <w:right w:val="single" w:sz="4" w:space="0" w:color="000000"/>
            </w:tcBorders>
            <w:shd w:val="clear" w:color="auto" w:fill="D9D9D9"/>
          </w:tcPr>
          <w:p>
            <w:pPr/>
          </w:p>
        </w:tc>
        <w:tc>
          <w:tcPr>
            <w:tcW w:w="479" w:type="dxa"/>
            <w:tcBorders>
              <w:top w:val="single" w:sz="4" w:space="0" w:color="000000"/>
              <w:left w:val="single" w:sz="4" w:space="0" w:color="000000"/>
              <w:bottom w:val="nil" w:sz="6" w:space="0" w:color="auto"/>
              <w:right w:val="single" w:sz="4" w:space="0" w:color="000000"/>
            </w:tcBorders>
            <w:shd w:val="clear" w:color="auto" w:fill="D9D9D9"/>
          </w:tcPr>
          <w:p>
            <w:pPr/>
          </w:p>
        </w:tc>
        <w:tc>
          <w:tcPr>
            <w:tcW w:w="1239" w:type="dxa"/>
            <w:vMerge w:val="restart"/>
            <w:tcBorders>
              <w:top w:val="single" w:sz="4" w:space="0" w:color="000000"/>
              <w:left w:val="single" w:sz="4" w:space="0" w:color="000000"/>
              <w:right w:val="single" w:sz="4" w:space="0" w:color="000000"/>
            </w:tcBorders>
            <w:shd w:val="clear" w:color="auto" w:fill="D9D9D9"/>
          </w:tcPr>
          <w:p>
            <w:pPr/>
          </w:p>
        </w:tc>
        <w:tc>
          <w:tcPr>
            <w:tcW w:w="1134" w:type="dxa"/>
            <w:vMerge w:val="restart"/>
            <w:tcBorders>
              <w:top w:val="single" w:sz="4" w:space="0" w:color="000000"/>
              <w:left w:val="single" w:sz="4" w:space="0" w:color="000000"/>
              <w:right w:val="single" w:sz="4" w:space="0" w:color="000000"/>
            </w:tcBorders>
            <w:shd w:val="clear" w:color="auto" w:fill="D9D9D9"/>
          </w:tcPr>
          <w:p>
            <w:pPr/>
          </w:p>
        </w:tc>
        <w:tc>
          <w:tcPr>
            <w:tcW w:w="1134" w:type="dxa"/>
            <w:vMerge w:val="restart"/>
            <w:tcBorders>
              <w:top w:val="single" w:sz="4" w:space="0" w:color="000000"/>
              <w:left w:val="single" w:sz="4" w:space="0" w:color="000000"/>
              <w:right w:val="single" w:sz="4" w:space="0" w:color="000000"/>
            </w:tcBorders>
            <w:shd w:val="clear" w:color="auto" w:fill="D9D9D9"/>
          </w:tcPr>
          <w:p>
            <w:pPr/>
          </w:p>
        </w:tc>
        <w:tc>
          <w:tcPr>
            <w:tcW w:w="709"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12"/>
              <w:ind w:left="79" w:right="78"/>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1029" w:type="dxa"/>
            <w:vMerge w:val="restart"/>
            <w:tcBorders>
              <w:top w:val="single" w:sz="4" w:space="0" w:color="000000"/>
              <w:left w:val="single" w:sz="4" w:space="0" w:color="000000"/>
              <w:right w:val="single" w:sz="4" w:space="0" w:color="000000"/>
            </w:tcBorders>
            <w:shd w:val="clear" w:color="auto" w:fill="D9D9D9"/>
          </w:tcPr>
          <w:p>
            <w:pPr/>
          </w:p>
        </w:tc>
        <w:tc>
          <w:tcPr>
            <w:tcW w:w="462" w:type="dxa"/>
            <w:tcBorders>
              <w:top w:val="single" w:sz="4" w:space="0" w:color="000000"/>
              <w:left w:val="single" w:sz="4" w:space="0" w:color="000000"/>
              <w:bottom w:val="nil" w:sz="6" w:space="0" w:color="auto"/>
              <w:right w:val="single" w:sz="4" w:space="0" w:color="000000"/>
            </w:tcBorders>
            <w:shd w:val="clear" w:color="auto" w:fill="D9D9D9"/>
          </w:tcPr>
          <w:p>
            <w:pPr/>
          </w:p>
        </w:tc>
        <w:tc>
          <w:tcPr>
            <w:tcW w:w="1134" w:type="dxa"/>
            <w:tcBorders>
              <w:top w:val="single" w:sz="4" w:space="0" w:color="000000"/>
              <w:left w:val="single" w:sz="4" w:space="0" w:color="000000"/>
              <w:bottom w:val="nil" w:sz="6" w:space="0" w:color="auto"/>
              <w:right w:val="single" w:sz="4" w:space="0" w:color="000000"/>
            </w:tcBorders>
            <w:shd w:val="clear" w:color="auto" w:fill="D9D9D9"/>
          </w:tcPr>
          <w:p>
            <w:pPr/>
          </w:p>
        </w:tc>
        <w:tc>
          <w:tcPr>
            <w:tcW w:w="1134" w:type="dxa"/>
            <w:vMerge w:val="restart"/>
            <w:tcBorders>
              <w:top w:val="single" w:sz="4" w:space="0" w:color="000000"/>
              <w:left w:val="single" w:sz="4" w:space="0" w:color="000000"/>
              <w:right w:val="single" w:sz="4" w:space="0" w:color="000000"/>
            </w:tcBorders>
            <w:shd w:val="clear" w:color="auto" w:fill="D9D9D9"/>
          </w:tcPr>
          <w:p>
            <w:pPr/>
          </w:p>
        </w:tc>
      </w:tr>
      <w:tr>
        <w:trPr>
          <w:trHeight w:val="156" w:hRule="exact"/>
        </w:trPr>
        <w:tc>
          <w:tcPr>
            <w:tcW w:w="851" w:type="dxa"/>
            <w:vMerge/>
            <w:tcBorders>
              <w:left w:val="single" w:sz="4" w:space="0" w:color="000000"/>
              <w:bottom w:val="nil" w:sz="6" w:space="0" w:color="auto"/>
              <w:right w:val="single" w:sz="4" w:space="0" w:color="000000"/>
            </w:tcBorders>
            <w:shd w:val="clear" w:color="auto" w:fill="D9D9D9"/>
          </w:tcPr>
          <w:p>
            <w:pPr/>
          </w:p>
        </w:tc>
        <w:tc>
          <w:tcPr>
            <w:tcW w:w="1134" w:type="dxa"/>
            <w:vMerge/>
            <w:tcBorders>
              <w:left w:val="single" w:sz="4" w:space="0" w:color="000000"/>
              <w:bottom w:val="nil" w:sz="6" w:space="0" w:color="auto"/>
              <w:right w:val="single" w:sz="4" w:space="0" w:color="000000"/>
            </w:tcBorders>
            <w:shd w:val="clear" w:color="auto" w:fill="D9D9D9"/>
          </w:tcPr>
          <w:p>
            <w:pPr/>
          </w:p>
        </w:tc>
        <w:tc>
          <w:tcPr>
            <w:tcW w:w="798" w:type="dxa"/>
            <w:vMerge/>
            <w:tcBorders>
              <w:left w:val="single" w:sz="4" w:space="0" w:color="000000"/>
              <w:bottom w:val="nil" w:sz="6" w:space="0" w:color="auto"/>
              <w:right w:val="single" w:sz="4" w:space="0" w:color="000000"/>
            </w:tcBorders>
            <w:shd w:val="clear" w:color="auto" w:fill="D9D9D9"/>
          </w:tcPr>
          <w:p>
            <w:pPr/>
          </w:p>
        </w:tc>
        <w:tc>
          <w:tcPr>
            <w:tcW w:w="479" w:type="dxa"/>
            <w:vMerge w:val="restart"/>
            <w:tcBorders>
              <w:top w:val="nil" w:sz="6" w:space="0" w:color="auto"/>
              <w:left w:val="single" w:sz="4" w:space="0" w:color="000000"/>
              <w:right w:val="single" w:sz="4" w:space="0" w:color="000000"/>
            </w:tcBorders>
            <w:shd w:val="clear" w:color="auto" w:fill="D9D9D9"/>
          </w:tcPr>
          <w:p>
            <w:pPr>
              <w:pStyle w:val="TableParagraph"/>
              <w:spacing w:line="316" w:lineRule="auto" w:before="10"/>
              <w:ind w:left="55" w:right="53"/>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239" w:type="dxa"/>
            <w:vMerge/>
            <w:tcBorders>
              <w:left w:val="single" w:sz="4" w:space="0" w:color="000000"/>
              <w:bottom w:val="nil" w:sz="6" w:space="0" w:color="auto"/>
              <w:right w:val="single" w:sz="4" w:space="0" w:color="000000"/>
            </w:tcBorders>
            <w:shd w:val="clear" w:color="auto" w:fill="D9D9D9"/>
          </w:tcPr>
          <w:p>
            <w:pPr/>
          </w:p>
        </w:tc>
        <w:tc>
          <w:tcPr>
            <w:tcW w:w="1134" w:type="dxa"/>
            <w:vMerge/>
            <w:tcBorders>
              <w:left w:val="single" w:sz="4" w:space="0" w:color="000000"/>
              <w:bottom w:val="nil" w:sz="6" w:space="0" w:color="auto"/>
              <w:right w:val="single" w:sz="4" w:space="0" w:color="000000"/>
            </w:tcBorders>
            <w:shd w:val="clear" w:color="auto" w:fill="D9D9D9"/>
          </w:tcPr>
          <w:p>
            <w:pPr/>
          </w:p>
        </w:tc>
        <w:tc>
          <w:tcPr>
            <w:tcW w:w="1134" w:type="dxa"/>
            <w:vMerge/>
            <w:tcBorders>
              <w:left w:val="single" w:sz="4" w:space="0" w:color="000000"/>
              <w:bottom w:val="nil" w:sz="6" w:space="0" w:color="auto"/>
              <w:right w:val="single" w:sz="4" w:space="0" w:color="000000"/>
            </w:tcBorders>
            <w:shd w:val="clear" w:color="auto" w:fill="D9D9D9"/>
          </w:tcPr>
          <w:p>
            <w:pPr/>
          </w:p>
        </w:tc>
        <w:tc>
          <w:tcPr>
            <w:tcW w:w="709" w:type="dxa"/>
            <w:vMerge/>
            <w:tcBorders>
              <w:left w:val="single" w:sz="4" w:space="0" w:color="000000"/>
              <w:right w:val="single" w:sz="4" w:space="0" w:color="000000"/>
            </w:tcBorders>
            <w:shd w:val="clear" w:color="auto" w:fill="D9D9D9"/>
          </w:tcPr>
          <w:p>
            <w:pPr/>
          </w:p>
        </w:tc>
        <w:tc>
          <w:tcPr>
            <w:tcW w:w="1029" w:type="dxa"/>
            <w:vMerge/>
            <w:tcBorders>
              <w:left w:val="single" w:sz="4" w:space="0" w:color="000000"/>
              <w:bottom w:val="nil" w:sz="6" w:space="0" w:color="auto"/>
              <w:right w:val="single" w:sz="4" w:space="0" w:color="000000"/>
            </w:tcBorders>
            <w:shd w:val="clear" w:color="auto" w:fill="D9D9D9"/>
          </w:tcPr>
          <w:p>
            <w:pPr/>
          </w:p>
        </w:tc>
        <w:tc>
          <w:tcPr>
            <w:tcW w:w="462" w:type="dxa"/>
            <w:vMerge w:val="restart"/>
            <w:tcBorders>
              <w:top w:val="nil" w:sz="6" w:space="0" w:color="auto"/>
              <w:left w:val="single" w:sz="4" w:space="0" w:color="000000"/>
              <w:right w:val="single" w:sz="4" w:space="0" w:color="000000"/>
            </w:tcBorders>
            <w:shd w:val="clear" w:color="auto" w:fill="D9D9D9"/>
          </w:tcPr>
          <w:p>
            <w:pPr>
              <w:pStyle w:val="TableParagraph"/>
              <w:spacing w:line="316" w:lineRule="auto" w:before="10"/>
              <w:ind w:left="45" w:right="44"/>
              <w:jc w:val="left"/>
              <w:rPr>
                <w:rFonts w:ascii="宋体" w:hAnsi="宋体" w:cs="宋体" w:eastAsia="宋体" w:hint="default"/>
                <w:sz w:val="18"/>
                <w:szCs w:val="18"/>
              </w:rPr>
            </w:pPr>
            <w:r>
              <w:rPr>
                <w:rFonts w:ascii="宋体" w:hAnsi="宋体" w:cs="宋体" w:eastAsia="宋体" w:hint="default"/>
                <w:sz w:val="18"/>
                <w:szCs w:val="18"/>
              </w:rPr>
              <w:t>本期 偿还</w:t>
            </w:r>
          </w:p>
        </w:tc>
        <w:tc>
          <w:tcPr>
            <w:tcW w:w="1134" w:type="dxa"/>
            <w:vMerge w:val="restart"/>
            <w:tcBorders>
              <w:top w:val="nil" w:sz="6" w:space="0" w:color="auto"/>
              <w:left w:val="single" w:sz="4" w:space="0" w:color="000000"/>
              <w:right w:val="single" w:sz="4" w:space="0" w:color="000000"/>
            </w:tcBorders>
            <w:shd w:val="clear" w:color="auto" w:fill="D9D9D9"/>
          </w:tcPr>
          <w:p>
            <w:pPr>
              <w:pStyle w:val="TableParagraph"/>
              <w:spacing w:line="316" w:lineRule="auto" w:before="10"/>
              <w:ind w:left="111" w:right="110"/>
              <w:jc w:val="left"/>
              <w:rPr>
                <w:rFonts w:ascii="宋体" w:hAnsi="宋体" w:cs="宋体" w:eastAsia="宋体" w:hint="default"/>
                <w:sz w:val="18"/>
                <w:szCs w:val="18"/>
              </w:rPr>
            </w:pPr>
            <w:r>
              <w:rPr>
                <w:rFonts w:ascii="宋体" w:hAnsi="宋体" w:cs="宋体" w:eastAsia="宋体" w:hint="default"/>
                <w:sz w:val="18"/>
                <w:szCs w:val="18"/>
              </w:rPr>
              <w:t>一年内到期 的应付债券</w:t>
            </w:r>
          </w:p>
        </w:tc>
        <w:tc>
          <w:tcPr>
            <w:tcW w:w="1134" w:type="dxa"/>
            <w:vMerge/>
            <w:tcBorders>
              <w:left w:val="single" w:sz="4" w:space="0" w:color="000000"/>
              <w:bottom w:val="nil" w:sz="6" w:space="0" w:color="auto"/>
              <w:right w:val="single" w:sz="4" w:space="0" w:color="000000"/>
            </w:tcBorders>
            <w:shd w:val="clear" w:color="auto" w:fill="D9D9D9"/>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
              <w:ind w:left="25"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113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479" w:type="dxa"/>
            <w:vMerge/>
            <w:tcBorders>
              <w:left w:val="single" w:sz="4" w:space="0" w:color="000000"/>
              <w:right w:val="single" w:sz="4" w:space="0" w:color="000000"/>
            </w:tcBorders>
            <w:shd w:val="clear" w:color="auto" w:fill="D9D9D9"/>
          </w:tcPr>
          <w:p>
            <w:pPr/>
          </w:p>
        </w:tc>
        <w:tc>
          <w:tcPr>
            <w:tcW w:w="1239"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113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本期发行</w:t>
            </w:r>
          </w:p>
        </w:tc>
        <w:tc>
          <w:tcPr>
            <w:tcW w:w="709" w:type="dxa"/>
            <w:vMerge/>
            <w:tcBorders>
              <w:left w:val="single" w:sz="4" w:space="0" w:color="000000"/>
              <w:right w:val="single" w:sz="4" w:space="0" w:color="000000"/>
            </w:tcBorders>
            <w:shd w:val="clear" w:color="auto" w:fill="D9D9D9"/>
          </w:tcPr>
          <w:p>
            <w:pPr/>
          </w:p>
        </w:tc>
        <w:tc>
          <w:tcPr>
            <w:tcW w:w="1029" w:type="dxa"/>
            <w:tcBorders>
              <w:top w:val="nil" w:sz="6" w:space="0" w:color="auto"/>
              <w:left w:val="single" w:sz="22" w:space="0" w:color="D9D9D9"/>
              <w:bottom w:val="nil" w:sz="6" w:space="0" w:color="auto"/>
              <w:right w:val="single" w:sz="9" w:space="0" w:color="D9D9D9"/>
            </w:tcBorders>
          </w:tcPr>
          <w:p>
            <w:pPr>
              <w:pStyle w:val="TableParagraph"/>
              <w:spacing w:line="240" w:lineRule="auto" w:before="10"/>
              <w:ind w:right="5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9D9D9" w:color="auto" w:val="clear"/>
              </w:rPr>
              <w:t>溢折价摊销</w:t>
            </w:r>
            <w:r>
              <w:rPr>
                <w:rFonts w:ascii="宋体" w:hAnsi="宋体" w:cs="宋体" w:eastAsia="宋体" w:hint="default"/>
                <w:sz w:val="18"/>
                <w:szCs w:val="18"/>
              </w:rPr>
            </w:r>
          </w:p>
        </w:tc>
        <w:tc>
          <w:tcPr>
            <w:tcW w:w="462" w:type="dxa"/>
            <w:vMerge/>
            <w:tcBorders>
              <w:left w:val="single" w:sz="4" w:space="0" w:color="000000"/>
              <w:right w:val="single" w:sz="4" w:space="0" w:color="000000"/>
            </w:tcBorders>
            <w:shd w:val="clear" w:color="auto" w:fill="D9D9D9"/>
          </w:tcPr>
          <w:p>
            <w:pPr/>
          </w:p>
        </w:tc>
        <w:tc>
          <w:tcPr>
            <w:tcW w:w="1134" w:type="dxa"/>
            <w:vMerge/>
            <w:tcBorders>
              <w:left w:val="single" w:sz="4" w:space="0" w:color="000000"/>
              <w:right w:val="single" w:sz="4" w:space="0" w:color="000000"/>
            </w:tcBorders>
            <w:shd w:val="clear" w:color="auto" w:fill="D9D9D9"/>
          </w:tcPr>
          <w:p>
            <w:pPr/>
          </w:p>
        </w:tc>
        <w:tc>
          <w:tcPr>
            <w:tcW w:w="113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6" w:hRule="exact"/>
        </w:trPr>
        <w:tc>
          <w:tcPr>
            <w:tcW w:w="851" w:type="dxa"/>
            <w:vMerge w:val="restart"/>
            <w:tcBorders>
              <w:top w:val="nil" w:sz="6" w:space="0" w:color="auto"/>
              <w:left w:val="single" w:sz="4" w:space="0" w:color="000000"/>
              <w:right w:val="single" w:sz="4" w:space="0" w:color="000000"/>
            </w:tcBorders>
            <w:shd w:val="clear" w:color="auto" w:fill="D9D9D9"/>
          </w:tcPr>
          <w:p>
            <w:pPr/>
          </w:p>
        </w:tc>
        <w:tc>
          <w:tcPr>
            <w:tcW w:w="1134" w:type="dxa"/>
            <w:vMerge w:val="restart"/>
            <w:tcBorders>
              <w:top w:val="nil" w:sz="6" w:space="0" w:color="auto"/>
              <w:left w:val="single" w:sz="4" w:space="0" w:color="000000"/>
              <w:right w:val="single" w:sz="4" w:space="0" w:color="000000"/>
            </w:tcBorders>
            <w:shd w:val="clear" w:color="auto" w:fill="D9D9D9"/>
          </w:tcPr>
          <w:p>
            <w:pPr/>
          </w:p>
        </w:tc>
        <w:tc>
          <w:tcPr>
            <w:tcW w:w="798" w:type="dxa"/>
            <w:vMerge w:val="restart"/>
            <w:tcBorders>
              <w:top w:val="nil" w:sz="6" w:space="0" w:color="auto"/>
              <w:left w:val="single" w:sz="4" w:space="0" w:color="000000"/>
              <w:right w:val="single" w:sz="4" w:space="0" w:color="000000"/>
            </w:tcBorders>
            <w:shd w:val="clear" w:color="auto" w:fill="D9D9D9"/>
          </w:tcPr>
          <w:p>
            <w:pPr/>
          </w:p>
        </w:tc>
        <w:tc>
          <w:tcPr>
            <w:tcW w:w="479" w:type="dxa"/>
            <w:vMerge/>
            <w:tcBorders>
              <w:left w:val="single" w:sz="4" w:space="0" w:color="000000"/>
              <w:bottom w:val="nil" w:sz="6" w:space="0" w:color="auto"/>
              <w:right w:val="single" w:sz="4" w:space="0" w:color="000000"/>
            </w:tcBorders>
            <w:shd w:val="clear" w:color="auto" w:fill="D9D9D9"/>
          </w:tcPr>
          <w:p>
            <w:pPr/>
          </w:p>
        </w:tc>
        <w:tc>
          <w:tcPr>
            <w:tcW w:w="1239" w:type="dxa"/>
            <w:vMerge w:val="restart"/>
            <w:tcBorders>
              <w:top w:val="nil" w:sz="6" w:space="0" w:color="auto"/>
              <w:left w:val="single" w:sz="4" w:space="0" w:color="000000"/>
              <w:right w:val="single" w:sz="4" w:space="0" w:color="000000"/>
            </w:tcBorders>
            <w:shd w:val="clear" w:color="auto" w:fill="D9D9D9"/>
          </w:tcPr>
          <w:p>
            <w:pPr/>
          </w:p>
        </w:tc>
        <w:tc>
          <w:tcPr>
            <w:tcW w:w="1134" w:type="dxa"/>
            <w:vMerge w:val="restart"/>
            <w:tcBorders>
              <w:top w:val="nil" w:sz="6" w:space="0" w:color="auto"/>
              <w:left w:val="single" w:sz="4" w:space="0" w:color="000000"/>
              <w:right w:val="single" w:sz="4" w:space="0" w:color="000000"/>
            </w:tcBorders>
            <w:shd w:val="clear" w:color="auto" w:fill="D9D9D9"/>
          </w:tcPr>
          <w:p>
            <w:pPr/>
          </w:p>
        </w:tc>
        <w:tc>
          <w:tcPr>
            <w:tcW w:w="1134" w:type="dxa"/>
            <w:vMerge w:val="restart"/>
            <w:tcBorders>
              <w:top w:val="nil" w:sz="6" w:space="0" w:color="auto"/>
              <w:left w:val="single" w:sz="4" w:space="0" w:color="000000"/>
              <w:right w:val="single" w:sz="4" w:space="0" w:color="000000"/>
            </w:tcBorders>
            <w:shd w:val="clear" w:color="auto" w:fill="D9D9D9"/>
          </w:tcPr>
          <w:p>
            <w:pPr/>
          </w:p>
        </w:tc>
        <w:tc>
          <w:tcPr>
            <w:tcW w:w="709" w:type="dxa"/>
            <w:vMerge/>
            <w:tcBorders>
              <w:left w:val="single" w:sz="4" w:space="0" w:color="000000"/>
              <w:right w:val="single" w:sz="4" w:space="0" w:color="000000"/>
            </w:tcBorders>
            <w:shd w:val="clear" w:color="auto" w:fill="D9D9D9"/>
          </w:tcPr>
          <w:p>
            <w:pPr/>
          </w:p>
        </w:tc>
        <w:tc>
          <w:tcPr>
            <w:tcW w:w="1029" w:type="dxa"/>
            <w:vMerge w:val="restart"/>
            <w:tcBorders>
              <w:top w:val="nil" w:sz="6" w:space="0" w:color="auto"/>
              <w:left w:val="single" w:sz="4" w:space="0" w:color="000000"/>
              <w:right w:val="single" w:sz="4" w:space="0" w:color="000000"/>
            </w:tcBorders>
            <w:shd w:val="clear" w:color="auto" w:fill="D9D9D9"/>
          </w:tcPr>
          <w:p>
            <w:pPr/>
          </w:p>
        </w:tc>
        <w:tc>
          <w:tcPr>
            <w:tcW w:w="462" w:type="dxa"/>
            <w:vMerge/>
            <w:tcBorders>
              <w:left w:val="single" w:sz="4" w:space="0" w:color="000000"/>
              <w:bottom w:val="nil" w:sz="6" w:space="0" w:color="auto"/>
              <w:right w:val="single" w:sz="4" w:space="0" w:color="000000"/>
            </w:tcBorders>
            <w:shd w:val="clear" w:color="auto" w:fill="D9D9D9"/>
          </w:tcPr>
          <w:p>
            <w:pPr/>
          </w:p>
        </w:tc>
        <w:tc>
          <w:tcPr>
            <w:tcW w:w="1134" w:type="dxa"/>
            <w:vMerge/>
            <w:tcBorders>
              <w:left w:val="single" w:sz="4" w:space="0" w:color="000000"/>
              <w:bottom w:val="nil" w:sz="6" w:space="0" w:color="auto"/>
              <w:right w:val="single" w:sz="4" w:space="0" w:color="000000"/>
            </w:tcBorders>
            <w:shd w:val="clear" w:color="auto" w:fill="D9D9D9"/>
          </w:tcPr>
          <w:p>
            <w:pPr/>
          </w:p>
        </w:tc>
        <w:tc>
          <w:tcPr>
            <w:tcW w:w="1134" w:type="dxa"/>
            <w:vMerge w:val="restart"/>
            <w:tcBorders>
              <w:top w:val="nil" w:sz="6" w:space="0" w:color="auto"/>
              <w:left w:val="single" w:sz="4" w:space="0" w:color="000000"/>
              <w:right w:val="single" w:sz="4" w:space="0" w:color="000000"/>
            </w:tcBorders>
            <w:shd w:val="clear" w:color="auto" w:fill="D9D9D9"/>
          </w:tcPr>
          <w:p>
            <w:pPr/>
          </w:p>
        </w:tc>
      </w:tr>
      <w:tr>
        <w:trPr>
          <w:trHeight w:val="161" w:hRule="exact"/>
        </w:trPr>
        <w:tc>
          <w:tcPr>
            <w:tcW w:w="851" w:type="dxa"/>
            <w:vMerge/>
            <w:tcBorders>
              <w:left w:val="single" w:sz="4" w:space="0" w:color="000000"/>
              <w:bottom w:val="single" w:sz="4" w:space="0" w:color="000000"/>
              <w:right w:val="single" w:sz="4" w:space="0" w:color="000000"/>
            </w:tcBorders>
            <w:shd w:val="clear" w:color="auto" w:fill="D9D9D9"/>
          </w:tcPr>
          <w:p>
            <w:pPr/>
          </w:p>
        </w:tc>
        <w:tc>
          <w:tcPr>
            <w:tcW w:w="1134" w:type="dxa"/>
            <w:vMerge/>
            <w:tcBorders>
              <w:left w:val="single" w:sz="4" w:space="0" w:color="000000"/>
              <w:bottom w:val="single" w:sz="4" w:space="0" w:color="000000"/>
              <w:right w:val="single" w:sz="4" w:space="0" w:color="000000"/>
            </w:tcBorders>
            <w:shd w:val="clear" w:color="auto" w:fill="D9D9D9"/>
          </w:tcPr>
          <w:p>
            <w:pPr/>
          </w:p>
        </w:tc>
        <w:tc>
          <w:tcPr>
            <w:tcW w:w="798" w:type="dxa"/>
            <w:vMerge/>
            <w:tcBorders>
              <w:left w:val="single" w:sz="4" w:space="0" w:color="000000"/>
              <w:bottom w:val="single" w:sz="4" w:space="0" w:color="000000"/>
              <w:right w:val="single" w:sz="4" w:space="0" w:color="000000"/>
            </w:tcBorders>
            <w:shd w:val="clear" w:color="auto" w:fill="D9D9D9"/>
          </w:tcPr>
          <w:p>
            <w:pPr/>
          </w:p>
        </w:tc>
        <w:tc>
          <w:tcPr>
            <w:tcW w:w="479" w:type="dxa"/>
            <w:tcBorders>
              <w:top w:val="nil" w:sz="6" w:space="0" w:color="auto"/>
              <w:left w:val="single" w:sz="4" w:space="0" w:color="000000"/>
              <w:bottom w:val="single" w:sz="4" w:space="0" w:color="000000"/>
              <w:right w:val="single" w:sz="4" w:space="0" w:color="000000"/>
            </w:tcBorders>
            <w:shd w:val="clear" w:color="auto" w:fill="D9D9D9"/>
          </w:tcPr>
          <w:p>
            <w:pPr/>
          </w:p>
        </w:tc>
        <w:tc>
          <w:tcPr>
            <w:tcW w:w="1239" w:type="dxa"/>
            <w:vMerge/>
            <w:tcBorders>
              <w:left w:val="single" w:sz="4" w:space="0" w:color="000000"/>
              <w:bottom w:val="single" w:sz="4" w:space="0" w:color="000000"/>
              <w:right w:val="single" w:sz="4" w:space="0" w:color="000000"/>
            </w:tcBorders>
            <w:shd w:val="clear" w:color="auto" w:fill="D9D9D9"/>
          </w:tcPr>
          <w:p>
            <w:pPr/>
          </w:p>
        </w:tc>
        <w:tc>
          <w:tcPr>
            <w:tcW w:w="1134" w:type="dxa"/>
            <w:vMerge/>
            <w:tcBorders>
              <w:left w:val="single" w:sz="4" w:space="0" w:color="000000"/>
              <w:bottom w:val="single" w:sz="4" w:space="0" w:color="000000"/>
              <w:right w:val="single" w:sz="4" w:space="0" w:color="000000"/>
            </w:tcBorders>
            <w:shd w:val="clear" w:color="auto" w:fill="D9D9D9"/>
          </w:tcPr>
          <w:p>
            <w:pPr/>
          </w:p>
        </w:tc>
        <w:tc>
          <w:tcPr>
            <w:tcW w:w="1134" w:type="dxa"/>
            <w:vMerge/>
            <w:tcBorders>
              <w:left w:val="single" w:sz="4" w:space="0" w:color="000000"/>
              <w:bottom w:val="single" w:sz="4" w:space="0" w:color="000000"/>
              <w:right w:val="single" w:sz="4" w:space="0" w:color="000000"/>
            </w:tcBorders>
            <w:shd w:val="clear" w:color="auto" w:fill="D9D9D9"/>
          </w:tcPr>
          <w:p>
            <w:pPr/>
          </w:p>
        </w:tc>
        <w:tc>
          <w:tcPr>
            <w:tcW w:w="709" w:type="dxa"/>
            <w:vMerge/>
            <w:tcBorders>
              <w:left w:val="single" w:sz="4" w:space="0" w:color="000000"/>
              <w:bottom w:val="single" w:sz="4" w:space="0" w:color="000000"/>
              <w:right w:val="single" w:sz="4" w:space="0" w:color="000000"/>
            </w:tcBorders>
            <w:shd w:val="clear" w:color="auto" w:fill="D9D9D9"/>
          </w:tcPr>
          <w:p>
            <w:pPr/>
          </w:p>
        </w:tc>
        <w:tc>
          <w:tcPr>
            <w:tcW w:w="1029" w:type="dxa"/>
            <w:vMerge/>
            <w:tcBorders>
              <w:left w:val="single" w:sz="4" w:space="0" w:color="000000"/>
              <w:bottom w:val="single" w:sz="4" w:space="0" w:color="000000"/>
              <w:right w:val="single" w:sz="4" w:space="0" w:color="000000"/>
            </w:tcBorders>
            <w:shd w:val="clear" w:color="auto" w:fill="D9D9D9"/>
          </w:tcPr>
          <w:p>
            <w:pPr/>
          </w:p>
        </w:tc>
        <w:tc>
          <w:tcPr>
            <w:tcW w:w="462" w:type="dxa"/>
            <w:tcBorders>
              <w:top w:val="nil" w:sz="6" w:space="0" w:color="auto"/>
              <w:left w:val="single" w:sz="4" w:space="0" w:color="000000"/>
              <w:bottom w:val="single" w:sz="4" w:space="0" w:color="000000"/>
              <w:right w:val="single" w:sz="4" w:space="0" w:color="000000"/>
            </w:tcBorders>
            <w:shd w:val="clear" w:color="auto" w:fill="D9D9D9"/>
          </w:tcPr>
          <w:p>
            <w:pPr/>
          </w:p>
        </w:tc>
        <w:tc>
          <w:tcPr>
            <w:tcW w:w="1134" w:type="dxa"/>
            <w:tcBorders>
              <w:top w:val="nil" w:sz="6" w:space="0" w:color="auto"/>
              <w:left w:val="single" w:sz="4" w:space="0" w:color="000000"/>
              <w:bottom w:val="single" w:sz="4" w:space="0" w:color="000000"/>
              <w:right w:val="single" w:sz="4" w:space="0" w:color="000000"/>
            </w:tcBorders>
            <w:shd w:val="clear" w:color="auto" w:fill="D9D9D9"/>
          </w:tcPr>
          <w:p>
            <w:pPr/>
          </w:p>
        </w:tc>
        <w:tc>
          <w:tcPr>
            <w:tcW w:w="1134" w:type="dxa"/>
            <w:vMerge/>
            <w:tcBorders>
              <w:left w:val="single" w:sz="4" w:space="0" w:color="000000"/>
              <w:bottom w:val="single" w:sz="4" w:space="0" w:color="000000"/>
              <w:right w:val="single" w:sz="4" w:space="0" w:color="000000"/>
            </w:tcBorders>
            <w:shd w:val="clear" w:color="auto" w:fill="D9D9D9"/>
          </w:tcPr>
          <w:p>
            <w:pPr/>
          </w:p>
        </w:tc>
      </w:tr>
      <w:tr>
        <w:trPr>
          <w:trHeight w:val="634"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81" w:lineRule="auto" w:before="33"/>
              <w:ind w:left="22" w:right="20"/>
              <w:jc w:val="left"/>
              <w:rPr>
                <w:rFonts w:ascii="宋体" w:hAnsi="宋体" w:cs="宋体" w:eastAsia="宋体" w:hint="default"/>
                <w:sz w:val="15"/>
                <w:szCs w:val="15"/>
              </w:rPr>
            </w:pPr>
            <w:r>
              <w:rPr>
                <w:rFonts w:ascii="宋体" w:hAnsi="宋体" w:cs="宋体" w:eastAsia="宋体" w:hint="default"/>
                <w:sz w:val="15"/>
                <w:szCs w:val="15"/>
              </w:rPr>
              <w:t>14</w:t>
            </w:r>
            <w:r>
              <w:rPr>
                <w:rFonts w:ascii="宋体" w:hAnsi="宋体" w:cs="宋体" w:eastAsia="宋体" w:hint="default"/>
                <w:spacing w:val="-30"/>
                <w:sz w:val="15"/>
                <w:szCs w:val="15"/>
              </w:rPr>
              <w:t> </w:t>
            </w:r>
            <w:r>
              <w:rPr>
                <w:rFonts w:ascii="宋体" w:hAnsi="宋体" w:cs="宋体" w:eastAsia="宋体" w:hint="default"/>
                <w:sz w:val="15"/>
                <w:szCs w:val="15"/>
              </w:rPr>
              <w:t>华闻传媒 </w:t>
            </w:r>
            <w:r>
              <w:rPr>
                <w:rFonts w:ascii="宋体" w:hAnsi="宋体" w:cs="宋体" w:eastAsia="宋体" w:hint="default"/>
                <w:sz w:val="15"/>
                <w:szCs w:val="15"/>
              </w:rPr>
              <w:t>MTN001</w:t>
            </w:r>
          </w:p>
        </w:tc>
        <w:tc>
          <w:tcPr>
            <w:tcW w:w="113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700,000,000.00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15"/>
                <w:szCs w:val="15"/>
              </w:rPr>
            </w:pPr>
            <w:r>
              <w:rPr>
                <w:rFonts w:ascii="宋体" w:hAnsi="宋体" w:cs="宋体" w:eastAsia="宋体" w:hint="default"/>
                <w:sz w:val="15"/>
                <w:szCs w:val="15"/>
              </w:rPr>
              <w:t>2014</w:t>
            </w:r>
            <w:r>
              <w:rPr>
                <w:rFonts w:ascii="宋体" w:hAnsi="宋体" w:cs="宋体" w:eastAsia="宋体" w:hint="default"/>
                <w:spacing w:val="-54"/>
                <w:sz w:val="15"/>
                <w:szCs w:val="15"/>
              </w:rPr>
              <w:t> </w:t>
            </w:r>
            <w:r>
              <w:rPr>
                <w:rFonts w:ascii="宋体" w:hAnsi="宋体" w:cs="宋体" w:eastAsia="宋体" w:hint="default"/>
                <w:sz w:val="15"/>
                <w:szCs w:val="15"/>
              </w:rPr>
              <w:t>年</w:t>
            </w:r>
            <w:r>
              <w:rPr>
                <w:rFonts w:ascii="宋体" w:hAnsi="宋体" w:cs="宋体" w:eastAsia="宋体" w:hint="default"/>
                <w:spacing w:val="-55"/>
                <w:sz w:val="15"/>
                <w:szCs w:val="15"/>
              </w:rPr>
              <w:t> </w:t>
            </w:r>
            <w:r>
              <w:rPr>
                <w:rFonts w:ascii="宋体" w:hAnsi="宋体" w:cs="宋体" w:eastAsia="宋体" w:hint="default"/>
                <w:sz w:val="15"/>
                <w:szCs w:val="15"/>
              </w:rPr>
              <w:t>7</w:t>
            </w:r>
            <w:r>
              <w:rPr>
                <w:rFonts w:ascii="宋体" w:hAnsi="宋体" w:cs="宋体" w:eastAsia="宋体" w:hint="default"/>
                <w:spacing w:val="-53"/>
                <w:sz w:val="15"/>
                <w:szCs w:val="15"/>
              </w:rPr>
              <w:t> </w:t>
            </w:r>
            <w:r>
              <w:rPr>
                <w:rFonts w:ascii="宋体" w:hAnsi="宋体" w:cs="宋体" w:eastAsia="宋体" w:hint="default"/>
                <w:sz w:val="15"/>
                <w:szCs w:val="15"/>
              </w:rPr>
              <w:t>月</w:t>
            </w:r>
          </w:p>
          <w:p>
            <w:pPr>
              <w:pStyle w:val="TableParagraph"/>
              <w:spacing w:line="240" w:lineRule="auto" w:before="115"/>
              <w:ind w:left="23" w:right="0"/>
              <w:jc w:val="left"/>
              <w:rPr>
                <w:rFonts w:ascii="宋体" w:hAnsi="宋体" w:cs="宋体" w:eastAsia="宋体" w:hint="default"/>
                <w:sz w:val="15"/>
                <w:szCs w:val="15"/>
              </w:rPr>
            </w:pPr>
            <w:r>
              <w:rPr>
                <w:rFonts w:ascii="宋体" w:hAnsi="宋体" w:cs="宋体" w:eastAsia="宋体" w:hint="default"/>
                <w:sz w:val="15"/>
                <w:szCs w:val="15"/>
              </w:rPr>
              <w:t>23</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43"/>
              <w:jc w:val="right"/>
              <w:rPr>
                <w:rFonts w:ascii="宋体" w:hAnsi="宋体" w:cs="宋体" w:eastAsia="宋体" w:hint="default"/>
                <w:sz w:val="15"/>
                <w:szCs w:val="15"/>
              </w:rPr>
            </w:pPr>
            <w:r>
              <w:rPr>
                <w:rFonts w:ascii="宋体" w:hAnsi="宋体" w:cs="宋体" w:eastAsia="宋体" w:hint="default"/>
                <w:sz w:val="15"/>
                <w:szCs w:val="15"/>
              </w:rPr>
              <w:t>五年</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698,239,000.00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1,259,300.00</w:t>
            </w:r>
          </w:p>
        </w:tc>
        <w:tc>
          <w:tcPr>
            <w:tcW w:w="46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699,498,300.00</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81" w:lineRule="auto" w:before="33"/>
              <w:ind w:left="22" w:right="20"/>
              <w:jc w:val="left"/>
              <w:rPr>
                <w:rFonts w:ascii="宋体" w:hAnsi="宋体" w:cs="宋体" w:eastAsia="宋体" w:hint="default"/>
                <w:sz w:val="15"/>
                <w:szCs w:val="15"/>
              </w:rPr>
            </w:pPr>
            <w:r>
              <w:rPr>
                <w:rFonts w:ascii="宋体" w:hAnsi="宋体" w:cs="宋体" w:eastAsia="宋体" w:hint="default"/>
                <w:sz w:val="15"/>
                <w:szCs w:val="15"/>
              </w:rPr>
              <w:t>17</w:t>
            </w:r>
            <w:r>
              <w:rPr>
                <w:rFonts w:ascii="宋体" w:hAnsi="宋体" w:cs="宋体" w:eastAsia="宋体" w:hint="default"/>
                <w:spacing w:val="-30"/>
                <w:sz w:val="15"/>
                <w:szCs w:val="15"/>
              </w:rPr>
              <w:t> </w:t>
            </w:r>
            <w:r>
              <w:rPr>
                <w:rFonts w:ascii="宋体" w:hAnsi="宋体" w:cs="宋体" w:eastAsia="宋体" w:hint="default"/>
                <w:sz w:val="15"/>
                <w:szCs w:val="15"/>
              </w:rPr>
              <w:t>华闻传媒 </w:t>
            </w:r>
            <w:r>
              <w:rPr>
                <w:rFonts w:ascii="宋体" w:hAnsi="宋体" w:cs="宋体" w:eastAsia="宋体" w:hint="default"/>
                <w:sz w:val="15"/>
                <w:szCs w:val="15"/>
              </w:rPr>
              <w:t>MTN001</w:t>
            </w:r>
          </w:p>
        </w:tc>
        <w:tc>
          <w:tcPr>
            <w:tcW w:w="113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1,000,000,000.00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15"/>
                <w:szCs w:val="15"/>
              </w:rPr>
            </w:pPr>
            <w:r>
              <w:rPr>
                <w:rFonts w:ascii="宋体" w:hAnsi="宋体" w:cs="宋体" w:eastAsia="宋体" w:hint="default"/>
                <w:sz w:val="15"/>
                <w:szCs w:val="15"/>
              </w:rPr>
              <w:t>2017 </w:t>
            </w:r>
            <w:r>
              <w:rPr>
                <w:rFonts w:ascii="宋体" w:hAnsi="宋体" w:cs="宋体" w:eastAsia="宋体" w:hint="default"/>
                <w:sz w:val="15"/>
                <w:szCs w:val="15"/>
              </w:rPr>
              <w:t>年</w:t>
            </w:r>
            <w:r>
              <w:rPr>
                <w:rFonts w:ascii="宋体" w:hAnsi="宋体" w:cs="宋体" w:eastAsia="宋体" w:hint="default"/>
                <w:spacing w:val="-12"/>
                <w:sz w:val="15"/>
                <w:szCs w:val="15"/>
              </w:rPr>
              <w:t> </w:t>
            </w:r>
            <w:r>
              <w:rPr>
                <w:rFonts w:ascii="宋体" w:hAnsi="宋体" w:cs="宋体" w:eastAsia="宋体" w:hint="default"/>
                <w:sz w:val="15"/>
                <w:szCs w:val="15"/>
              </w:rPr>
              <w:t>11</w:t>
            </w:r>
          </w:p>
          <w:p>
            <w:pPr>
              <w:pStyle w:val="TableParagraph"/>
              <w:spacing w:line="240" w:lineRule="auto" w:before="115"/>
              <w:ind w:left="23"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7</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43"/>
              <w:jc w:val="right"/>
              <w:rPr>
                <w:rFonts w:ascii="宋体" w:hAnsi="宋体" w:cs="宋体" w:eastAsia="宋体" w:hint="default"/>
                <w:sz w:val="15"/>
                <w:szCs w:val="15"/>
              </w:rPr>
            </w:pPr>
            <w:r>
              <w:rPr>
                <w:rFonts w:ascii="宋体" w:hAnsi="宋体" w:cs="宋体" w:eastAsia="宋体" w:hint="default"/>
                <w:sz w:val="15"/>
                <w:szCs w:val="15"/>
              </w:rPr>
              <w:t>三年</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996,495,624.47</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1,206,033.14</w:t>
            </w:r>
          </w:p>
        </w:tc>
        <w:tc>
          <w:tcPr>
            <w:tcW w:w="46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997,701,657.61</w:t>
            </w:r>
          </w:p>
        </w:tc>
      </w:tr>
      <w:tr>
        <w:trPr>
          <w:trHeight w:val="635"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81" w:lineRule="auto" w:before="35"/>
              <w:ind w:left="22" w:right="20"/>
              <w:jc w:val="left"/>
              <w:rPr>
                <w:rFonts w:ascii="宋体" w:hAnsi="宋体" w:cs="宋体" w:eastAsia="宋体" w:hint="default"/>
                <w:sz w:val="15"/>
                <w:szCs w:val="15"/>
              </w:rPr>
            </w:pPr>
            <w:r>
              <w:rPr>
                <w:rFonts w:ascii="宋体" w:hAnsi="宋体" w:cs="宋体" w:eastAsia="宋体" w:hint="default"/>
                <w:sz w:val="15"/>
                <w:szCs w:val="15"/>
              </w:rPr>
              <w:t>18</w:t>
            </w:r>
            <w:r>
              <w:rPr>
                <w:rFonts w:ascii="宋体" w:hAnsi="宋体" w:cs="宋体" w:eastAsia="宋体" w:hint="default"/>
                <w:spacing w:val="-30"/>
                <w:sz w:val="15"/>
                <w:szCs w:val="15"/>
              </w:rPr>
              <w:t> </w:t>
            </w:r>
            <w:r>
              <w:rPr>
                <w:rFonts w:ascii="宋体" w:hAnsi="宋体" w:cs="宋体" w:eastAsia="宋体" w:hint="default"/>
                <w:sz w:val="15"/>
                <w:szCs w:val="15"/>
              </w:rPr>
              <w:t>华闻传媒 </w:t>
            </w:r>
            <w:r>
              <w:rPr>
                <w:rFonts w:ascii="宋体" w:hAnsi="宋体" w:cs="宋体" w:eastAsia="宋体" w:hint="default"/>
                <w:sz w:val="15"/>
                <w:szCs w:val="15"/>
              </w:rPr>
              <w:t>MTN001</w:t>
            </w:r>
          </w:p>
        </w:tc>
        <w:tc>
          <w:tcPr>
            <w:tcW w:w="113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1,300,000,000.00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54"/>
                <w:sz w:val="15"/>
                <w:szCs w:val="15"/>
              </w:rPr>
              <w:t> </w:t>
            </w:r>
            <w:r>
              <w:rPr>
                <w:rFonts w:ascii="宋体" w:hAnsi="宋体" w:cs="宋体" w:eastAsia="宋体" w:hint="default"/>
                <w:sz w:val="15"/>
                <w:szCs w:val="15"/>
              </w:rPr>
              <w:t>年</w:t>
            </w:r>
            <w:r>
              <w:rPr>
                <w:rFonts w:ascii="宋体" w:hAnsi="宋体" w:cs="宋体" w:eastAsia="宋体" w:hint="default"/>
                <w:spacing w:val="-55"/>
                <w:sz w:val="15"/>
                <w:szCs w:val="15"/>
              </w:rPr>
              <w:t> </w:t>
            </w:r>
            <w:r>
              <w:rPr>
                <w:rFonts w:ascii="宋体" w:hAnsi="宋体" w:cs="宋体" w:eastAsia="宋体" w:hint="default"/>
                <w:sz w:val="15"/>
                <w:szCs w:val="15"/>
              </w:rPr>
              <w:t>4</w:t>
            </w:r>
            <w:r>
              <w:rPr>
                <w:rFonts w:ascii="宋体" w:hAnsi="宋体" w:cs="宋体" w:eastAsia="宋体" w:hint="default"/>
                <w:spacing w:val="-53"/>
                <w:sz w:val="15"/>
                <w:szCs w:val="15"/>
              </w:rPr>
              <w:t> </w:t>
            </w:r>
            <w:r>
              <w:rPr>
                <w:rFonts w:ascii="宋体" w:hAnsi="宋体" w:cs="宋体" w:eastAsia="宋体" w:hint="default"/>
                <w:sz w:val="15"/>
                <w:szCs w:val="15"/>
              </w:rPr>
              <w:t>月</w:t>
            </w:r>
          </w:p>
          <w:p>
            <w:pPr>
              <w:pStyle w:val="TableParagraph"/>
              <w:spacing w:line="240" w:lineRule="auto" w:before="115"/>
              <w:ind w:left="2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43"/>
              <w:jc w:val="right"/>
              <w:rPr>
                <w:rFonts w:ascii="宋体" w:hAnsi="宋体" w:cs="宋体" w:eastAsia="宋体" w:hint="default"/>
                <w:sz w:val="15"/>
                <w:szCs w:val="15"/>
              </w:rPr>
            </w:pPr>
            <w:r>
              <w:rPr>
                <w:rFonts w:ascii="宋体" w:hAnsi="宋体" w:cs="宋体" w:eastAsia="宋体" w:hint="default"/>
                <w:sz w:val="15"/>
                <w:szCs w:val="15"/>
              </w:rPr>
              <w:t>三年</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1,300,000,000.00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6" w:right="0"/>
              <w:jc w:val="center"/>
              <w:rPr>
                <w:rFonts w:ascii="Times New Roman" w:hAnsi="Times New Roman" w:cs="Times New Roman" w:eastAsia="Times New Roman" w:hint="default"/>
                <w:sz w:val="15"/>
                <w:szCs w:val="15"/>
              </w:rPr>
            </w:pPr>
            <w:r>
              <w:rPr>
                <w:rFonts w:ascii="Times New Roman"/>
                <w:sz w:val="15"/>
              </w:rPr>
              <w:t>1,300,000,000.00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-3,645,594.87</w:t>
            </w:r>
          </w:p>
        </w:tc>
        <w:tc>
          <w:tcPr>
            <w:tcW w:w="46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1,296,354,405.13</w:t>
            </w:r>
          </w:p>
        </w:tc>
      </w:tr>
      <w:tr>
        <w:trPr>
          <w:trHeight w:val="32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sz w:val="18"/>
              </w:rPr>
              <w:t>--</w:t>
            </w:r>
          </w:p>
        </w:tc>
        <w:tc>
          <w:tcPr>
            <w:tcW w:w="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3"/>
              <w:jc w:val="right"/>
              <w:rPr>
                <w:rFonts w:ascii="宋体" w:hAnsi="宋体" w:cs="宋体" w:eastAsia="宋体" w:hint="default"/>
                <w:sz w:val="18"/>
                <w:szCs w:val="18"/>
              </w:rPr>
            </w:pPr>
            <w:r>
              <w:rPr>
                <w:rFonts w:ascii="宋体"/>
                <w:sz w:val="18"/>
              </w:rPr>
              <w:t>--</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5"/>
                <w:szCs w:val="15"/>
              </w:rPr>
            </w:pPr>
            <w:r>
              <w:rPr>
                <w:rFonts w:ascii="Times New Roman"/>
                <w:spacing w:val="-1"/>
                <w:sz w:val="15"/>
              </w:rPr>
              <w:t>3,000,000,000.00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1,694,734,624.47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6" w:right="0"/>
              <w:jc w:val="center"/>
              <w:rPr>
                <w:rFonts w:ascii="Times New Roman" w:hAnsi="Times New Roman" w:cs="Times New Roman" w:eastAsia="Times New Roman" w:hint="default"/>
                <w:sz w:val="15"/>
                <w:szCs w:val="15"/>
              </w:rPr>
            </w:pPr>
            <w:r>
              <w:rPr>
                <w:rFonts w:ascii="Times New Roman"/>
                <w:sz w:val="15"/>
              </w:rPr>
              <w:t>1,300,000,000.00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-1,180,261.73</w:t>
            </w:r>
          </w:p>
        </w:tc>
        <w:tc>
          <w:tcPr>
            <w:tcW w:w="46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5"/>
                <w:szCs w:val="15"/>
              </w:rPr>
            </w:pPr>
            <w:r>
              <w:rPr>
                <w:rFonts w:ascii="Times New Roman"/>
                <w:spacing w:val="-1"/>
                <w:sz w:val="15"/>
              </w:rPr>
              <w:t>699,498,300.00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2,294,056,062.74</w:t>
            </w:r>
          </w:p>
        </w:tc>
      </w:tr>
    </w:tbl>
    <w:p>
      <w:pPr>
        <w:spacing w:line="240" w:lineRule="auto" w:before="2"/>
        <w:rPr>
          <w:rFonts w:ascii="宋体" w:hAnsi="宋体" w:cs="宋体" w:eastAsia="宋体" w:hint="default"/>
          <w:sz w:val="19"/>
          <w:szCs w:val="19"/>
        </w:rPr>
      </w:pPr>
    </w:p>
    <w:p>
      <w:pPr>
        <w:pStyle w:val="Heading4"/>
        <w:spacing w:line="240" w:lineRule="auto" w:before="35"/>
        <w:ind w:left="814" w:right="1121"/>
        <w:jc w:val="left"/>
        <w:rPr>
          <w:b w:val="0"/>
          <w:bCs w:val="0"/>
        </w:rPr>
      </w:pPr>
      <w:bookmarkStart w:name="（3） 其他说明" w:id="304"/>
      <w:bookmarkEnd w:id="304"/>
      <w:r>
        <w:rPr>
          <w:b w:val="0"/>
          <w:bCs w:val="0"/>
        </w:rPr>
      </w:r>
      <w:r>
        <w:rPr/>
        <w:t>（</w:t>
      </w:r>
      <w:r>
        <w:rPr>
          <w:rFonts w:ascii="宋体" w:hAnsi="宋体" w:cs="宋体" w:eastAsia="宋体" w:hint="default"/>
        </w:rPr>
        <w:t>3</w:t>
      </w:r>
      <w:r>
        <w:rPr/>
        <w:t>）</w:t>
      </w:r>
      <w:r>
        <w:rPr>
          <w:spacing w:val="-2"/>
        </w:rPr>
        <w:t> </w:t>
      </w:r>
      <w:r>
        <w:rPr/>
        <w:t>其他说明</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left="814" w:right="1010"/>
        <w:jc w:val="left"/>
      </w:pPr>
      <w:r>
        <w:rPr/>
        <w:t>本公司于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3</w:t>
      </w:r>
      <w:r>
        <w:rPr/>
        <w:t>日按</w:t>
      </w:r>
      <w:r>
        <w:rPr>
          <w:rFonts w:ascii="宋体" w:hAnsi="宋体" w:cs="宋体" w:eastAsia="宋体" w:hint="default"/>
        </w:rPr>
        <w:t>100</w:t>
      </w:r>
      <w:r>
        <w:rPr/>
        <w:t>元</w:t>
      </w:r>
      <w:r>
        <w:rPr>
          <w:rFonts w:ascii="宋体" w:hAnsi="宋体" w:cs="宋体" w:eastAsia="宋体" w:hint="default"/>
        </w:rPr>
        <w:t>/</w:t>
      </w:r>
      <w:r>
        <w:rPr/>
        <w:t>百元面值发行</w:t>
      </w:r>
      <w:r>
        <w:rPr>
          <w:rFonts w:ascii="宋体" w:hAnsi="宋体" w:cs="宋体" w:eastAsia="宋体" w:hint="default"/>
        </w:rPr>
        <w:t>2018</w:t>
      </w:r>
      <w:r>
        <w:rPr/>
        <w:t>年第一期中期票据，期限三年，计划发行金额</w:t>
      </w:r>
      <w:r>
        <w:rPr>
          <w:rFonts w:ascii="宋体" w:hAnsi="宋体" w:cs="宋体" w:eastAsia="宋体" w:hint="default"/>
        </w:rPr>
        <w:t>13.00</w:t>
      </w:r>
      <w:r>
        <w:rPr/>
        <w:t>亿 </w:t>
      </w:r>
      <w:r>
        <w:rPr>
          <w:spacing w:val="-1"/>
        </w:rPr>
        <w:t>元，实际发行金额</w:t>
      </w:r>
      <w:r>
        <w:rPr>
          <w:rFonts w:ascii="宋体" w:hAnsi="宋体" w:cs="宋体" w:eastAsia="宋体" w:hint="default"/>
          <w:spacing w:val="-1"/>
        </w:rPr>
        <w:t>13.00</w:t>
      </w:r>
      <w:r>
        <w:rPr>
          <w:spacing w:val="-1"/>
        </w:rPr>
        <w:t>亿元，按</w:t>
      </w:r>
      <w:r>
        <w:rPr>
          <w:rFonts w:ascii="宋体" w:hAnsi="宋体" w:cs="宋体" w:eastAsia="宋体" w:hint="default"/>
          <w:spacing w:val="-1"/>
        </w:rPr>
        <w:t>6%</w:t>
      </w:r>
      <w:r>
        <w:rPr>
          <w:spacing w:val="-1"/>
        </w:rPr>
        <w:t>的票面利率发行，按年付息，到期一次性还本，起息日</w:t>
      </w:r>
      <w:r>
        <w:rPr>
          <w:rFonts w:ascii="宋体" w:hAnsi="宋体" w:cs="宋体" w:eastAsia="宋体" w:hint="default"/>
          <w:spacing w:val="-1"/>
        </w:rPr>
        <w:t>2018</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4</w:t>
      </w:r>
      <w:r>
        <w:rPr>
          <w:spacing w:val="-1"/>
        </w:rPr>
        <w:t>日，</w:t>
      </w:r>
      <w:r>
        <w:rPr>
          <w:spacing w:val="-78"/>
        </w:rPr>
        <w:t> </w:t>
      </w:r>
      <w:r>
        <w:rPr/>
        <w:t>到期日</w:t>
      </w:r>
      <w:r>
        <w:rPr>
          <w:rFonts w:ascii="宋体" w:hAnsi="宋体" w:cs="宋体" w:eastAsia="宋体" w:hint="default"/>
        </w:rPr>
        <w:t>2021</w:t>
      </w:r>
      <w:r>
        <w:rPr/>
        <w:t>年</w:t>
      </w:r>
      <w:r>
        <w:rPr>
          <w:rFonts w:ascii="宋体" w:hAnsi="宋体" w:cs="宋体" w:eastAsia="宋体" w:hint="default"/>
        </w:rPr>
        <w:t>4</w:t>
      </w:r>
      <w:r>
        <w:rPr/>
        <w:t>月</w:t>
      </w:r>
      <w:r>
        <w:rPr>
          <w:rFonts w:ascii="宋体" w:hAnsi="宋体" w:cs="宋体" w:eastAsia="宋体" w:hint="default"/>
        </w:rPr>
        <w:t>4</w:t>
      </w:r>
      <w:r>
        <w:rPr/>
        <w:t>日，由光大银行股份有限公司承销。</w:t>
      </w:r>
    </w:p>
    <w:p>
      <w:pPr>
        <w:spacing w:line="240" w:lineRule="auto" w:before="12"/>
        <w:rPr>
          <w:rFonts w:ascii="宋体" w:hAnsi="宋体" w:cs="宋体" w:eastAsia="宋体" w:hint="default"/>
          <w:sz w:val="14"/>
          <w:szCs w:val="14"/>
        </w:rPr>
      </w:pPr>
    </w:p>
    <w:p>
      <w:pPr>
        <w:pStyle w:val="Heading4"/>
        <w:spacing w:line="240" w:lineRule="auto"/>
        <w:ind w:left="814" w:right="1121"/>
        <w:jc w:val="left"/>
        <w:rPr>
          <w:b w:val="0"/>
          <w:bCs w:val="0"/>
        </w:rPr>
      </w:pPr>
      <w:bookmarkStart w:name="31、预计负债" w:id="305"/>
      <w:bookmarkEnd w:id="305"/>
      <w:r>
        <w:rPr>
          <w:b w:val="0"/>
          <w:bCs w:val="0"/>
        </w:rPr>
      </w:r>
      <w:r>
        <w:rPr>
          <w:rFonts w:ascii="宋体" w:hAnsi="宋体" w:cs="宋体" w:eastAsia="宋体" w:hint="default"/>
        </w:rPr>
        <w:t>31</w:t>
      </w:r>
      <w:r>
        <w:rPr/>
        <w:t>、预计负债</w:t>
      </w:r>
      <w:r>
        <w:rPr>
          <w:b w:val="0"/>
          <w:bCs w:val="0"/>
        </w:rPr>
      </w:r>
    </w:p>
    <w:p>
      <w:pPr>
        <w:spacing w:line="240" w:lineRule="auto" w:before="11"/>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100" w:bottom="1160" w:left="320" w:right="0"/>
        </w:sectPr>
      </w:pPr>
    </w:p>
    <w:p>
      <w:pPr>
        <w:spacing w:line="240" w:lineRule="auto" w:before="6"/>
        <w:rPr>
          <w:rFonts w:ascii="宋体" w:hAnsi="宋体" w:cs="宋体" w:eastAsia="宋体" w:hint="default"/>
          <w:sz w:val="24"/>
          <w:szCs w:val="24"/>
        </w:rPr>
      </w:pPr>
    </w:p>
    <w:tbl>
      <w:tblPr>
        <w:tblW w:w="0" w:type="auto"/>
        <w:jc w:val="left"/>
        <w:tblInd w:w="400" w:type="dxa"/>
        <w:tblLayout w:type="fixed"/>
        <w:tblCellMar>
          <w:top w:w="0" w:type="dxa"/>
          <w:left w:w="0" w:type="dxa"/>
          <w:bottom w:w="0" w:type="dxa"/>
          <w:right w:w="0" w:type="dxa"/>
        </w:tblCellMar>
        <w:tblLook w:val="01E0"/>
      </w:tblPr>
      <w:tblGrid>
        <w:gridCol w:w="2366"/>
        <w:gridCol w:w="2408"/>
        <w:gridCol w:w="2392"/>
        <w:gridCol w:w="2392"/>
      </w:tblGrid>
      <w:tr>
        <w:trPr>
          <w:trHeight w:val="32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996"/>
              <w:jc w:val="right"/>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2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2,407,469.79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3,041,824.08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退款拨备</w:t>
            </w:r>
          </w:p>
        </w:tc>
      </w:tr>
      <w:tr>
        <w:trPr>
          <w:trHeight w:val="32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996"/>
              <w:jc w:val="righ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2,407,469.79</w:t>
            </w:r>
          </w:p>
        </w:tc>
        <w:tc>
          <w:tcPr>
            <w:tcW w:w="239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0"/>
              <w:ind w:right="14"/>
              <w:jc w:val="right"/>
              <w:rPr>
                <w:rFonts w:ascii="宋体" w:hAnsi="宋体" w:cs="宋体" w:eastAsia="宋体" w:hint="default"/>
                <w:sz w:val="18"/>
                <w:szCs w:val="18"/>
              </w:rPr>
            </w:pPr>
            <w:r>
              <w:rPr>
                <w:rFonts w:ascii="宋体"/>
                <w:sz w:val="18"/>
              </w:rPr>
              <w:t>3,041,824.08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left="394" w:right="0"/>
        <w:jc w:val="left"/>
        <w:rPr>
          <w:b w:val="0"/>
          <w:bCs w:val="0"/>
        </w:rPr>
      </w:pPr>
      <w:bookmarkStart w:name="32、递延收益" w:id="306"/>
      <w:bookmarkEnd w:id="306"/>
      <w:r>
        <w:rPr>
          <w:b w:val="0"/>
          <w:bCs w:val="0"/>
        </w:rPr>
      </w:r>
      <w:r>
        <w:rPr>
          <w:rFonts w:ascii="宋体" w:hAnsi="宋体" w:cs="宋体" w:eastAsia="宋体" w:hint="default"/>
        </w:rPr>
        <w:t>32</w:t>
      </w:r>
      <w:r>
        <w:rPr/>
        <w:t>、递延收益</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5"/>
          <w:szCs w:val="5"/>
        </w:rPr>
      </w:pPr>
    </w:p>
    <w:tbl>
      <w:tblPr>
        <w:tblW w:w="0" w:type="auto"/>
        <w:jc w:val="left"/>
        <w:tblInd w:w="38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32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598"/>
              <w:jc w:val="right"/>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2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19,825,757.40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5,250,000.00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7,938,833.85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17,136,923.55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网络游戏币</w:t>
            </w:r>
          </w:p>
        </w:tc>
        <w:tc>
          <w:tcPr>
            <w:tcW w:w="1607" w:type="dxa"/>
            <w:tcBorders>
              <w:top w:val="single" w:sz="4" w:space="0" w:color="000000"/>
              <w:left w:val="single" w:sz="9" w:space="0" w:color="D9D9D9"/>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2,427,323.00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-134,362.88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2,561,685.88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7"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1,360.22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1,061.18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299.04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98"/>
              <w:jc w:val="righ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19,827,117.62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7,677,323.00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7,805,532.15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19,698,908.47</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sz w:val="18"/>
              </w:rPr>
              <w:t>--</w:t>
            </w:r>
          </w:p>
        </w:tc>
      </w:tr>
    </w:tbl>
    <w:p>
      <w:pPr>
        <w:spacing w:line="240" w:lineRule="auto" w:before="12"/>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10" w:h="16840"/>
          <w:pgMar w:header="877" w:footer="979" w:top="1100" w:bottom="1160" w:left="740" w:right="0"/>
        </w:sectPr>
      </w:pPr>
    </w:p>
    <w:p>
      <w:pPr>
        <w:pStyle w:val="BodyText"/>
        <w:spacing w:line="240" w:lineRule="auto" w:before="35"/>
        <w:ind w:left="394" w:right="-20"/>
        <w:jc w:val="left"/>
      </w:pPr>
      <w:r>
        <w:rPr/>
        <w:t>涉及政府补助的项目：</w:t>
      </w:r>
    </w:p>
    <w:p>
      <w:pPr>
        <w:spacing w:line="240" w:lineRule="auto" w:before="0"/>
        <w:rPr>
          <w:rFonts w:ascii="宋体" w:hAnsi="宋体" w:cs="宋体" w:eastAsia="宋体" w:hint="default"/>
          <w:sz w:val="18"/>
          <w:szCs w:val="18"/>
        </w:rPr>
      </w:pPr>
      <w:r>
        <w:rPr/>
        <w:br w:type="column"/>
      </w:r>
      <w:r>
        <w:rPr>
          <w:rFonts w:ascii="宋体"/>
          <w:sz w:val="18"/>
        </w:rPr>
      </w:r>
    </w:p>
    <w:p>
      <w:pPr>
        <w:spacing w:before="151"/>
        <w:ind w:left="39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740" w:right="0"/>
          <w:cols w:num="2" w:equalWidth="0">
            <w:col w:w="2495" w:space="6335"/>
            <w:col w:w="2340"/>
          </w:cols>
        </w:sectPr>
      </w:pPr>
    </w:p>
    <w:p>
      <w:pPr>
        <w:spacing w:line="240" w:lineRule="auto" w:before="1"/>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278"/>
        <w:gridCol w:w="1274"/>
        <w:gridCol w:w="1205"/>
        <w:gridCol w:w="1064"/>
        <w:gridCol w:w="1418"/>
        <w:gridCol w:w="709"/>
        <w:gridCol w:w="1205"/>
        <w:gridCol w:w="1205"/>
        <w:gridCol w:w="1062"/>
      </w:tblGrid>
      <w:tr>
        <w:trPr>
          <w:trHeight w:val="1258" w:hRule="exact"/>
        </w:trPr>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416" w:right="56"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433" w:right="73" w:hanging="360"/>
              <w:jc w:val="left"/>
              <w:rPr>
                <w:rFonts w:ascii="宋体" w:hAnsi="宋体" w:cs="宋体" w:eastAsia="宋体" w:hint="default"/>
                <w:sz w:val="18"/>
                <w:szCs w:val="18"/>
              </w:rPr>
            </w:pPr>
            <w:r>
              <w:rPr>
                <w:rFonts w:ascii="宋体" w:hAnsi="宋体" w:cs="宋体" w:eastAsia="宋体" w:hint="default"/>
                <w:sz w:val="18"/>
                <w:szCs w:val="18"/>
              </w:rPr>
              <w:t>本期计入其他收 益金额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79" w:right="78"/>
              <w:jc w:val="center"/>
              <w:rPr>
                <w:rFonts w:ascii="宋体" w:hAnsi="宋体" w:cs="宋体" w:eastAsia="宋体" w:hint="default"/>
                <w:sz w:val="18"/>
                <w:szCs w:val="18"/>
              </w:rPr>
            </w:pPr>
            <w:r>
              <w:rPr>
                <w:rFonts w:ascii="宋体" w:hAnsi="宋体" w:cs="宋体" w:eastAsia="宋体" w:hint="default"/>
                <w:sz w:val="18"/>
                <w:szCs w:val="18"/>
              </w:rPr>
              <w:t>本期冲 减成本 费用金 额</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75" w:right="30" w:hanging="4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1258"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21"/>
              <w:jc w:val="left"/>
              <w:rPr>
                <w:rFonts w:ascii="宋体" w:hAnsi="宋体" w:cs="宋体" w:eastAsia="宋体" w:hint="default"/>
                <w:sz w:val="18"/>
                <w:szCs w:val="18"/>
              </w:rPr>
            </w:pPr>
            <w:r>
              <w:rPr>
                <w:rFonts w:ascii="宋体" w:hAnsi="宋体" w:cs="宋体" w:eastAsia="宋体" w:hint="default"/>
                <w:sz w:val="18"/>
                <w:szCs w:val="18"/>
              </w:rPr>
              <w:t>基于《科幻画 </w:t>
            </w:r>
            <w:r>
              <w:rPr>
                <w:rFonts w:ascii="宋体" w:hAnsi="宋体" w:cs="宋体" w:eastAsia="宋体" w:hint="default"/>
                <w:spacing w:val="-6"/>
                <w:sz w:val="18"/>
                <w:szCs w:val="18"/>
              </w:rPr>
              <w:t>报》为平台的科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普漫画创作库 项目资金</w:t>
            </w:r>
            <w:r>
              <w:rPr>
                <w:rFonts w:ascii="宋体" w:hAnsi="宋体" w:cs="宋体" w:eastAsia="宋体" w:hint="default"/>
                <w:sz w:val="18"/>
                <w:szCs w:val="18"/>
              </w:rPr>
              <w:t>*1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87,000.00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87,000.00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18"/>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年省产学 研合作专项资 金</w:t>
            </w:r>
            <w:r>
              <w:rPr>
                <w:rFonts w:ascii="宋体" w:hAnsi="宋体" w:cs="宋体" w:eastAsia="宋体" w:hint="default"/>
                <w:sz w:val="18"/>
                <w:szCs w:val="18"/>
              </w:rPr>
              <w:t>*2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400,000.00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59"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162"/>
              <w:jc w:val="both"/>
              <w:rPr>
                <w:rFonts w:ascii="宋体" w:hAnsi="宋体" w:cs="宋体" w:eastAsia="宋体" w:hint="default"/>
                <w:sz w:val="18"/>
                <w:szCs w:val="18"/>
              </w:rPr>
            </w:pPr>
            <w:r>
              <w:rPr>
                <w:rFonts w:ascii="宋体" w:hAnsi="宋体" w:cs="宋体" w:eastAsia="宋体" w:hint="default"/>
                <w:sz w:val="18"/>
                <w:szCs w:val="18"/>
              </w:rPr>
              <w:t>移动互联网手 机动漫产业聚 合平台项目专 项资金</w:t>
            </w:r>
            <w:r>
              <w:rPr>
                <w:rFonts w:ascii="宋体" w:hAnsi="宋体" w:cs="宋体" w:eastAsia="宋体" w:hint="default"/>
                <w:sz w:val="18"/>
                <w:szCs w:val="18"/>
              </w:rPr>
              <w:t>*3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156,127.42</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156,127.42</w:t>
            </w:r>
          </w:p>
        </w:tc>
        <w:tc>
          <w:tcPr>
            <w:tcW w:w="7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58"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75"/>
              <w:jc w:val="left"/>
              <w:rPr>
                <w:rFonts w:ascii="宋体" w:hAnsi="宋体" w:cs="宋体" w:eastAsia="宋体" w:hint="default"/>
                <w:sz w:val="18"/>
                <w:szCs w:val="18"/>
              </w:rPr>
            </w:pPr>
            <w:r>
              <w:rPr>
                <w:rFonts w:ascii="宋体" w:hAnsi="宋体" w:cs="宋体" w:eastAsia="宋体" w:hint="default"/>
                <w:sz w:val="18"/>
                <w:szCs w:val="18"/>
              </w:rPr>
              <w:t>南方</w:t>
            </w:r>
            <w:r>
              <w:rPr>
                <w:rFonts w:ascii="宋体" w:hAnsi="宋体" w:cs="宋体" w:eastAsia="宋体" w:hint="default"/>
                <w:spacing w:val="-46"/>
                <w:sz w:val="18"/>
                <w:szCs w:val="18"/>
              </w:rPr>
              <w:t> </w:t>
            </w:r>
            <w:r>
              <w:rPr>
                <w:rFonts w:ascii="宋体" w:hAnsi="宋体" w:cs="宋体" w:eastAsia="宋体" w:hint="default"/>
                <w:sz w:val="18"/>
                <w:szCs w:val="18"/>
              </w:rPr>
              <w:t>3G</w:t>
            </w:r>
            <w:r>
              <w:rPr>
                <w:rFonts w:ascii="宋体" w:hAnsi="宋体" w:cs="宋体" w:eastAsia="宋体" w:hint="default"/>
                <w:spacing w:val="-46"/>
                <w:sz w:val="18"/>
                <w:szCs w:val="18"/>
              </w:rPr>
              <w:t> </w:t>
            </w:r>
            <w:r>
              <w:rPr>
                <w:rFonts w:ascii="宋体" w:hAnsi="宋体" w:cs="宋体" w:eastAsia="宋体" w:hint="default"/>
                <w:sz w:val="18"/>
                <w:szCs w:val="18"/>
              </w:rPr>
              <w:t>动漫产 业创新产业化 基地的扶持资 金</w:t>
            </w:r>
            <w:r>
              <w:rPr>
                <w:rFonts w:ascii="宋体" w:hAnsi="宋体" w:cs="宋体" w:eastAsia="宋体" w:hint="default"/>
                <w:sz w:val="18"/>
                <w:szCs w:val="18"/>
              </w:rPr>
              <w:t>*4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226,536.07</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39,052.05</w:t>
            </w:r>
          </w:p>
        </w:tc>
        <w:tc>
          <w:tcPr>
            <w:tcW w:w="7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187,484.02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88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73"/>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宋体" w:hAnsi="宋体" w:cs="宋体" w:eastAsia="宋体" w:hint="default"/>
                <w:sz w:val="18"/>
                <w:szCs w:val="18"/>
              </w:rPr>
              <w:t>PaaS</w:t>
            </w:r>
            <w:r>
              <w:rPr>
                <w:rFonts w:ascii="宋体" w:hAnsi="宋体" w:cs="宋体" w:eastAsia="宋体" w:hint="default"/>
                <w:spacing w:val="-46"/>
                <w:sz w:val="18"/>
                <w:szCs w:val="18"/>
              </w:rPr>
              <w:t> </w:t>
            </w:r>
            <w:r>
              <w:rPr>
                <w:rFonts w:ascii="宋体" w:hAnsi="宋体" w:cs="宋体" w:eastAsia="宋体" w:hint="default"/>
                <w:sz w:val="18"/>
                <w:szCs w:val="18"/>
              </w:rPr>
              <w:t>的动 漫电子书出版 运营平台的建 设及其产业化 研究项目资金</w:t>
            </w:r>
          </w:p>
          <w:p>
            <w:pPr>
              <w:pStyle w:val="TableParagraph"/>
              <w:spacing w:line="240" w:lineRule="auto" w:before="19"/>
              <w:ind w:left="24" w:right="0"/>
              <w:jc w:val="left"/>
              <w:rPr>
                <w:rFonts w:ascii="宋体" w:hAnsi="宋体" w:cs="宋体" w:eastAsia="宋体" w:hint="default"/>
                <w:sz w:val="18"/>
                <w:szCs w:val="18"/>
              </w:rPr>
            </w:pPr>
            <w:r>
              <w:rPr>
                <w:rFonts w:ascii="宋体"/>
                <w:sz w:val="18"/>
              </w:rPr>
              <w:t>*5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109,500.00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109,500.00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59"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24" w:right="20"/>
              <w:jc w:val="left"/>
              <w:rPr>
                <w:rFonts w:ascii="宋体" w:hAnsi="宋体" w:cs="宋体" w:eastAsia="宋体" w:hint="default"/>
                <w:sz w:val="18"/>
                <w:szCs w:val="18"/>
              </w:rPr>
            </w:pPr>
            <w:r>
              <w:rPr>
                <w:rFonts w:ascii="宋体" w:hAnsi="宋体" w:cs="宋体" w:eastAsia="宋体" w:hint="default"/>
                <w:sz w:val="18"/>
                <w:szCs w:val="18"/>
              </w:rPr>
              <w:t>研发项目科技 </w:t>
            </w:r>
            <w:r>
              <w:rPr>
                <w:rFonts w:ascii="宋体" w:hAnsi="宋体" w:cs="宋体" w:eastAsia="宋体" w:hint="default"/>
                <w:spacing w:val="-6"/>
                <w:sz w:val="18"/>
                <w:szCs w:val="18"/>
              </w:rPr>
              <w:t>经费（智能移动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终端的城市管 </w:t>
            </w:r>
            <w:r>
              <w:rPr>
                <w:rFonts w:ascii="宋体" w:hAnsi="宋体" w:cs="宋体" w:eastAsia="宋体" w:hint="default"/>
                <w:spacing w:val="-5"/>
                <w:sz w:val="18"/>
                <w:szCs w:val="18"/>
              </w:rPr>
              <w:t>理创新平台）</w:t>
            </w:r>
            <w:r>
              <w:rPr>
                <w:rFonts w:ascii="宋体" w:hAnsi="宋体" w:cs="宋体" w:eastAsia="宋体" w:hint="default"/>
                <w:spacing w:val="-5"/>
                <w:sz w:val="18"/>
                <w:szCs w:val="18"/>
              </w:rPr>
              <w:t>*6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500,000.00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1" w:right="0"/>
              <w:jc w:val="left"/>
              <w:rPr>
                <w:rFonts w:ascii="宋体" w:hAnsi="宋体" w:cs="宋体" w:eastAsia="宋体" w:hint="default"/>
                <w:sz w:val="18"/>
                <w:szCs w:val="18"/>
              </w:rPr>
            </w:pPr>
            <w:r>
              <w:rPr>
                <w:rFonts w:ascii="宋体"/>
                <w:sz w:val="18"/>
              </w:rPr>
              <w:t>500,000.00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type w:val="continuous"/>
          <w:pgSz w:w="11910" w:h="16840"/>
          <w:pgMar w:top="1060" w:bottom="1160" w:left="74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278"/>
        <w:gridCol w:w="1274"/>
        <w:gridCol w:w="1205"/>
        <w:gridCol w:w="1064"/>
        <w:gridCol w:w="1418"/>
        <w:gridCol w:w="709"/>
        <w:gridCol w:w="1205"/>
        <w:gridCol w:w="1205"/>
        <w:gridCol w:w="1062"/>
      </w:tblGrid>
      <w:tr>
        <w:trPr>
          <w:trHeight w:val="1570"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21"/>
              <w:jc w:val="left"/>
              <w:rPr>
                <w:rFonts w:ascii="宋体" w:hAnsi="宋体" w:cs="宋体" w:eastAsia="宋体" w:hint="default"/>
                <w:sz w:val="18"/>
                <w:szCs w:val="18"/>
              </w:rPr>
            </w:pPr>
            <w:r>
              <w:rPr>
                <w:rFonts w:ascii="宋体" w:hAnsi="宋体" w:cs="宋体" w:eastAsia="宋体" w:hint="default"/>
                <w:sz w:val="18"/>
                <w:szCs w:val="18"/>
              </w:rPr>
              <w:t>研发项目科技 </w:t>
            </w:r>
            <w:r>
              <w:rPr>
                <w:rFonts w:ascii="宋体" w:hAnsi="宋体" w:cs="宋体" w:eastAsia="宋体" w:hint="default"/>
                <w:spacing w:val="-6"/>
                <w:sz w:val="18"/>
                <w:szCs w:val="18"/>
              </w:rPr>
              <w:t>经费（关于基于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多源异构数据 处理的舆情分 析系统）</w:t>
            </w:r>
            <w:r>
              <w:rPr>
                <w:rFonts w:ascii="宋体" w:hAnsi="宋体" w:cs="宋体" w:eastAsia="宋体" w:hint="default"/>
                <w:sz w:val="18"/>
                <w:szCs w:val="18"/>
              </w:rPr>
              <w:t>*7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1,760,000.00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sz w:val="18"/>
              </w:rPr>
              <w:t>1,760,000.00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571"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21"/>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年度支持 产业发展专项 </w:t>
            </w:r>
            <w:r>
              <w:rPr>
                <w:rFonts w:ascii="宋体" w:hAnsi="宋体" w:cs="宋体" w:eastAsia="宋体" w:hint="default"/>
                <w:spacing w:val="-6"/>
                <w:sz w:val="18"/>
                <w:szCs w:val="18"/>
              </w:rPr>
              <w:t>资金（鲜生活果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蔬电子商务平 台）</w:t>
            </w:r>
            <w:r>
              <w:rPr>
                <w:rFonts w:ascii="宋体" w:hAnsi="宋体" w:cs="宋体" w:eastAsia="宋体" w:hint="default"/>
                <w:sz w:val="18"/>
                <w:szCs w:val="18"/>
              </w:rPr>
              <w:t>*8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197,000.00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147,750.03</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49,249.97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34"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72"/>
              <w:jc w:val="left"/>
              <w:rPr>
                <w:rFonts w:ascii="宋体" w:hAnsi="宋体" w:cs="宋体" w:eastAsia="宋体" w:hint="default"/>
                <w:sz w:val="18"/>
                <w:szCs w:val="18"/>
              </w:rPr>
            </w:pPr>
            <w:r>
              <w:rPr>
                <w:rFonts w:ascii="宋体" w:hAnsi="宋体" w:cs="宋体" w:eastAsia="宋体" w:hint="default"/>
                <w:sz w:val="18"/>
                <w:szCs w:val="18"/>
              </w:rPr>
              <w:t>绿色印刷</w:t>
            </w:r>
            <w:r>
              <w:rPr>
                <w:rFonts w:ascii="宋体" w:hAnsi="宋体" w:cs="宋体" w:eastAsia="宋体" w:hint="default"/>
                <w:sz w:val="18"/>
                <w:szCs w:val="18"/>
              </w:rPr>
              <w:t>(</w:t>
            </w:r>
            <w:r>
              <w:rPr>
                <w:rFonts w:ascii="宋体" w:hAnsi="宋体" w:cs="宋体" w:eastAsia="宋体" w:hint="default"/>
                <w:sz w:val="18"/>
                <w:szCs w:val="18"/>
              </w:rPr>
              <w:t>高宝 设备</w:t>
            </w:r>
            <w:r>
              <w:rPr>
                <w:rFonts w:ascii="宋体" w:hAnsi="宋体" w:cs="宋体" w:eastAsia="宋体" w:hint="default"/>
                <w:sz w:val="18"/>
                <w:szCs w:val="18"/>
              </w:rPr>
              <w:t>)*9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1,536,206.64</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341,379.36</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1,194,827.28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88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年西安市 服务业综合改 革试点专项资 </w:t>
            </w:r>
            <w:r>
              <w:rPr>
                <w:rFonts w:ascii="宋体" w:hAnsi="宋体" w:cs="宋体" w:eastAsia="宋体" w:hint="default"/>
                <w:spacing w:val="-6"/>
                <w:sz w:val="18"/>
                <w:szCs w:val="18"/>
              </w:rPr>
              <w:t>金第三批（城市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电子商务快捷 配送项目）</w:t>
            </w:r>
            <w:r>
              <w:rPr>
                <w:rFonts w:ascii="宋体" w:hAnsi="宋体" w:cs="宋体" w:eastAsia="宋体" w:hint="default"/>
                <w:sz w:val="18"/>
                <w:szCs w:val="18"/>
              </w:rPr>
              <w:t>*10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500,000.00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187,499.97</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312,500.03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35"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162"/>
              <w:jc w:val="left"/>
              <w:rPr>
                <w:rFonts w:ascii="宋体" w:hAnsi="宋体" w:cs="宋体" w:eastAsia="宋体" w:hint="default"/>
                <w:sz w:val="18"/>
                <w:szCs w:val="18"/>
              </w:rPr>
            </w:pPr>
            <w:r>
              <w:rPr>
                <w:rFonts w:ascii="宋体" w:hAnsi="宋体" w:cs="宋体" w:eastAsia="宋体" w:hint="default"/>
                <w:sz w:val="18"/>
                <w:szCs w:val="18"/>
              </w:rPr>
              <w:t>印刷生产线升 级改造</w:t>
            </w:r>
            <w:r>
              <w:rPr>
                <w:rFonts w:ascii="宋体" w:hAnsi="宋体" w:cs="宋体" w:eastAsia="宋体" w:hint="default"/>
                <w:sz w:val="18"/>
                <w:szCs w:val="18"/>
              </w:rPr>
              <w:t>*11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605,607.63</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134,579.40</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471,028.23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88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18"/>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年信息化 和工业化深度 融合专项资金</w:t>
            </w:r>
          </w:p>
          <w:p>
            <w:pPr>
              <w:pStyle w:val="TableParagraph"/>
              <w:spacing w:line="316" w:lineRule="auto" w:before="17"/>
              <w:ind w:left="24" w:right="162"/>
              <w:jc w:val="both"/>
              <w:rPr>
                <w:rFonts w:ascii="宋体" w:hAnsi="宋体" w:cs="宋体" w:eastAsia="宋体" w:hint="default"/>
                <w:sz w:val="18"/>
                <w:szCs w:val="18"/>
              </w:rPr>
            </w:pPr>
            <w:r>
              <w:rPr>
                <w:rFonts w:ascii="宋体" w:hAnsi="宋体" w:cs="宋体" w:eastAsia="宋体" w:hint="default"/>
                <w:sz w:val="18"/>
                <w:szCs w:val="18"/>
              </w:rPr>
              <w:t>（陕西黄马甲 配送信息化建 设项目）</w:t>
            </w:r>
            <w:r>
              <w:rPr>
                <w:rFonts w:ascii="宋体" w:hAnsi="宋体" w:cs="宋体" w:eastAsia="宋体" w:hint="default"/>
                <w:sz w:val="18"/>
                <w:szCs w:val="18"/>
              </w:rPr>
              <w:t>*12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434,095.38</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21,759.00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412,336.38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88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年度支持 产业发展专项 </w:t>
            </w:r>
            <w:r>
              <w:rPr>
                <w:rFonts w:ascii="宋体" w:hAnsi="宋体" w:cs="宋体" w:eastAsia="宋体" w:hint="default"/>
                <w:spacing w:val="-6"/>
                <w:sz w:val="18"/>
                <w:szCs w:val="18"/>
              </w:rPr>
              <w:t>资金第一批（电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子商务物流信 息平台建设）</w:t>
            </w:r>
          </w:p>
          <w:p>
            <w:pPr>
              <w:pStyle w:val="TableParagraph"/>
              <w:spacing w:line="240" w:lineRule="auto" w:before="19"/>
              <w:ind w:left="24" w:right="0"/>
              <w:jc w:val="left"/>
              <w:rPr>
                <w:rFonts w:ascii="宋体" w:hAnsi="宋体" w:cs="宋体" w:eastAsia="宋体" w:hint="default"/>
                <w:sz w:val="18"/>
                <w:szCs w:val="18"/>
              </w:rPr>
            </w:pPr>
            <w:r>
              <w:rPr>
                <w:rFonts w:ascii="宋体"/>
                <w:sz w:val="18"/>
              </w:rPr>
              <w:t>*13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171,092.00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171,092.00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7"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21"/>
              <w:jc w:val="left"/>
              <w:rPr>
                <w:rFonts w:ascii="宋体" w:hAnsi="宋体" w:cs="宋体" w:eastAsia="宋体" w:hint="default"/>
                <w:sz w:val="18"/>
                <w:szCs w:val="18"/>
              </w:rPr>
            </w:pPr>
            <w:r>
              <w:rPr>
                <w:rFonts w:ascii="宋体" w:hAnsi="宋体" w:cs="宋体" w:eastAsia="宋体" w:hint="default"/>
                <w:spacing w:val="-6"/>
                <w:sz w:val="18"/>
                <w:szCs w:val="18"/>
              </w:rPr>
              <w:t>华商美术馆、博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物馆政府补贴</w:t>
            </w:r>
          </w:p>
          <w:p>
            <w:pPr>
              <w:pStyle w:val="TableParagraph"/>
              <w:spacing w:line="240" w:lineRule="auto" w:before="19"/>
              <w:ind w:left="24" w:right="0"/>
              <w:jc w:val="left"/>
              <w:rPr>
                <w:rFonts w:ascii="宋体" w:hAnsi="宋体" w:cs="宋体" w:eastAsia="宋体" w:hint="default"/>
                <w:sz w:val="18"/>
                <w:szCs w:val="18"/>
              </w:rPr>
            </w:pPr>
            <w:r>
              <w:rPr>
                <w:rFonts w:ascii="宋体"/>
                <w:sz w:val="18"/>
              </w:rPr>
              <w:t>*14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0"/>
              <w:jc w:val="right"/>
              <w:rPr>
                <w:rFonts w:ascii="宋体" w:hAnsi="宋体" w:cs="宋体" w:eastAsia="宋体" w:hint="default"/>
                <w:sz w:val="18"/>
                <w:szCs w:val="18"/>
              </w:rPr>
            </w:pPr>
            <w:r>
              <w:rPr>
                <w:rFonts w:ascii="宋体"/>
                <w:sz w:val="18"/>
              </w:rPr>
              <w:t>9,000,000.00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3"/>
              <w:jc w:val="right"/>
              <w:rPr>
                <w:rFonts w:ascii="宋体" w:hAnsi="宋体" w:cs="宋体" w:eastAsia="宋体" w:hint="default"/>
                <w:sz w:val="18"/>
                <w:szCs w:val="18"/>
              </w:rPr>
            </w:pPr>
            <w:r>
              <w:rPr>
                <w:rFonts w:ascii="宋体"/>
                <w:sz w:val="18"/>
              </w:rPr>
              <w:t>9,000,000.00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58"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72"/>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年惠民放 心菜配送平台 项目</w:t>
            </w:r>
            <w:r>
              <w:rPr>
                <w:rFonts w:ascii="宋体" w:hAnsi="宋体" w:cs="宋体" w:eastAsia="宋体" w:hint="default"/>
                <w:sz w:val="18"/>
                <w:szCs w:val="18"/>
              </w:rPr>
              <w:t>(</w:t>
            </w:r>
            <w:r>
              <w:rPr>
                <w:rFonts w:ascii="宋体" w:hAnsi="宋体" w:cs="宋体" w:eastAsia="宋体" w:hint="default"/>
                <w:sz w:val="18"/>
                <w:szCs w:val="18"/>
              </w:rPr>
              <w:t>经开区）</w:t>
            </w:r>
          </w:p>
          <w:p>
            <w:pPr>
              <w:pStyle w:val="TableParagraph"/>
              <w:spacing w:line="240" w:lineRule="auto" w:before="19"/>
              <w:ind w:left="24" w:right="0"/>
              <w:jc w:val="both"/>
              <w:rPr>
                <w:rFonts w:ascii="宋体" w:hAnsi="宋体" w:cs="宋体" w:eastAsia="宋体" w:hint="default"/>
                <w:sz w:val="18"/>
                <w:szCs w:val="18"/>
              </w:rPr>
            </w:pPr>
            <w:r>
              <w:rPr>
                <w:rFonts w:ascii="宋体"/>
                <w:sz w:val="18"/>
              </w:rPr>
              <w:t>*15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600,000.00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z w:val="18"/>
              </w:rPr>
              <w:t>600,000.00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571"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6"/>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年度支持 产业发展专项 </w:t>
            </w:r>
            <w:r>
              <w:rPr>
                <w:rFonts w:ascii="宋体" w:hAnsi="宋体" w:cs="宋体" w:eastAsia="宋体" w:hint="default"/>
                <w:spacing w:val="-6"/>
                <w:sz w:val="18"/>
                <w:szCs w:val="18"/>
              </w:rPr>
              <w:t>资金第一批（服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务业促进专项）</w:t>
            </w:r>
          </w:p>
          <w:p>
            <w:pPr>
              <w:pStyle w:val="TableParagraph"/>
              <w:spacing w:line="240" w:lineRule="auto" w:before="17"/>
              <w:ind w:left="24" w:right="0"/>
              <w:jc w:val="left"/>
              <w:rPr>
                <w:rFonts w:ascii="宋体" w:hAnsi="宋体" w:cs="宋体" w:eastAsia="宋体" w:hint="default"/>
                <w:sz w:val="18"/>
                <w:szCs w:val="18"/>
              </w:rPr>
            </w:pPr>
            <w:r>
              <w:rPr>
                <w:rFonts w:ascii="宋体"/>
                <w:sz w:val="18"/>
              </w:rPr>
              <w:t>*16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770,000.00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sz w:val="18"/>
              </w:rPr>
              <w:t>770,000.00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79" w:top="1100" w:bottom="1160" w:left="74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278"/>
        <w:gridCol w:w="1274"/>
        <w:gridCol w:w="1205"/>
        <w:gridCol w:w="1064"/>
        <w:gridCol w:w="1418"/>
        <w:gridCol w:w="709"/>
        <w:gridCol w:w="1205"/>
        <w:gridCol w:w="1205"/>
        <w:gridCol w:w="1062"/>
      </w:tblGrid>
      <w:tr>
        <w:trPr>
          <w:trHeight w:val="1570"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21"/>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年度支持 产业发展专项 资金第二批计 </w:t>
            </w:r>
            <w:r>
              <w:rPr>
                <w:rFonts w:ascii="宋体" w:hAnsi="宋体" w:cs="宋体" w:eastAsia="宋体" w:hint="default"/>
                <w:spacing w:val="-6"/>
                <w:sz w:val="18"/>
                <w:szCs w:val="18"/>
              </w:rPr>
              <w:t>划项目（陕西黄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马甲）</w:t>
            </w:r>
            <w:r>
              <w:rPr>
                <w:rFonts w:ascii="宋体" w:hAnsi="宋体" w:cs="宋体" w:eastAsia="宋体" w:hint="default"/>
                <w:sz w:val="18"/>
                <w:szCs w:val="18"/>
              </w:rPr>
              <w:t>*17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10,000.00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sz w:val="18"/>
              </w:rPr>
              <w:t>10,000.00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195"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28"/>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年度现代 服务业发展专 项资金第三批</w:t>
            </w:r>
          </w:p>
          <w:p>
            <w:pPr>
              <w:pStyle w:val="TableParagraph"/>
              <w:spacing w:line="316" w:lineRule="auto" w:before="19"/>
              <w:ind w:left="24" w:right="162"/>
              <w:jc w:val="both"/>
              <w:rPr>
                <w:rFonts w:ascii="宋体" w:hAnsi="宋体" w:cs="宋体" w:eastAsia="宋体" w:hint="default"/>
                <w:sz w:val="18"/>
                <w:szCs w:val="18"/>
              </w:rPr>
            </w:pPr>
            <w:r>
              <w:rPr>
                <w:rFonts w:ascii="宋体" w:hAnsi="宋体" w:cs="宋体" w:eastAsia="宋体" w:hint="default"/>
                <w:sz w:val="18"/>
                <w:szCs w:val="18"/>
              </w:rPr>
              <w:t>（落地配一站 式配送中心网 络升级改造项 目）</w:t>
            </w:r>
            <w:r>
              <w:rPr>
                <w:rFonts w:ascii="宋体" w:hAnsi="宋体" w:cs="宋体" w:eastAsia="宋体" w:hint="default"/>
                <w:sz w:val="18"/>
                <w:szCs w:val="18"/>
              </w:rPr>
              <w:t>*18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23"/>
              <w:jc w:val="right"/>
              <w:rPr>
                <w:rFonts w:ascii="宋体" w:hAnsi="宋体" w:cs="宋体" w:eastAsia="宋体" w:hint="default"/>
                <w:sz w:val="18"/>
                <w:szCs w:val="18"/>
              </w:rPr>
            </w:pPr>
            <w:r>
              <w:rPr>
                <w:rFonts w:ascii="宋体"/>
                <w:sz w:val="18"/>
              </w:rPr>
              <w:t>600,000.00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22"/>
              <w:jc w:val="right"/>
              <w:rPr>
                <w:rFonts w:ascii="宋体" w:hAnsi="宋体" w:cs="宋体" w:eastAsia="宋体" w:hint="default"/>
                <w:sz w:val="18"/>
                <w:szCs w:val="18"/>
              </w:rPr>
            </w:pPr>
            <w:r>
              <w:rPr>
                <w:rFonts w:ascii="宋体"/>
                <w:sz w:val="18"/>
              </w:rPr>
              <w:t>350,000.00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23"/>
              <w:jc w:val="right"/>
              <w:rPr>
                <w:rFonts w:ascii="宋体" w:hAnsi="宋体" w:cs="宋体" w:eastAsia="宋体" w:hint="default"/>
                <w:sz w:val="18"/>
                <w:szCs w:val="18"/>
              </w:rPr>
            </w:pPr>
            <w:r>
              <w:rPr>
                <w:rFonts w:ascii="宋体"/>
                <w:sz w:val="18"/>
              </w:rPr>
              <w:t>250,000.00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18"/>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年城市社 区生活服务平 台项目</w:t>
            </w:r>
            <w:r>
              <w:rPr>
                <w:rFonts w:ascii="宋体" w:hAnsi="宋体" w:cs="宋体" w:eastAsia="宋体" w:hint="default"/>
                <w:sz w:val="18"/>
                <w:szCs w:val="18"/>
              </w:rPr>
              <w:t>*19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350,000.00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
              <w:jc w:val="right"/>
              <w:rPr>
                <w:rFonts w:ascii="宋体" w:hAnsi="宋体" w:cs="宋体" w:eastAsia="宋体" w:hint="default"/>
                <w:sz w:val="18"/>
                <w:szCs w:val="18"/>
              </w:rPr>
            </w:pPr>
            <w:r>
              <w:rPr>
                <w:rFonts w:ascii="宋体"/>
                <w:sz w:val="18"/>
              </w:rPr>
              <w:t>87,500.01</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262,499.99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72"/>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年度供应 链体系建设项 目补助资金</w:t>
            </w:r>
            <w:r>
              <w:rPr>
                <w:rFonts w:ascii="宋体" w:hAnsi="宋体" w:cs="宋体" w:eastAsia="宋体" w:hint="default"/>
                <w:sz w:val="18"/>
                <w:szCs w:val="18"/>
              </w:rPr>
              <w:t>*20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2,100,000.00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
              <w:jc w:val="right"/>
              <w:rPr>
                <w:rFonts w:ascii="宋体" w:hAnsi="宋体" w:cs="宋体" w:eastAsia="宋体" w:hint="default"/>
                <w:sz w:val="18"/>
                <w:szCs w:val="18"/>
              </w:rPr>
            </w:pPr>
            <w:r>
              <w:rPr>
                <w:rFonts w:ascii="宋体"/>
                <w:sz w:val="18"/>
              </w:rPr>
              <w:t>350,000.00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1,750,000.00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7"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72"/>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年西安市 现代服务业发 展专项资金</w:t>
            </w:r>
            <w:r>
              <w:rPr>
                <w:rFonts w:ascii="宋体" w:hAnsi="宋体" w:cs="宋体" w:eastAsia="宋体" w:hint="default"/>
                <w:sz w:val="18"/>
                <w:szCs w:val="18"/>
              </w:rPr>
              <w:t>*21</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3"/>
              <w:jc w:val="right"/>
              <w:rPr>
                <w:rFonts w:ascii="宋体" w:hAnsi="宋体" w:cs="宋体" w:eastAsia="宋体" w:hint="default"/>
                <w:sz w:val="18"/>
                <w:szCs w:val="18"/>
              </w:rPr>
            </w:pPr>
            <w:r>
              <w:rPr>
                <w:rFonts w:ascii="宋体"/>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2"/>
              <w:jc w:val="right"/>
              <w:rPr>
                <w:rFonts w:ascii="宋体" w:hAnsi="宋体" w:cs="宋体" w:eastAsia="宋体" w:hint="default"/>
                <w:sz w:val="18"/>
                <w:szCs w:val="18"/>
              </w:rPr>
            </w:pPr>
            <w:r>
              <w:rPr>
                <w:rFonts w:ascii="宋体"/>
                <w:sz w:val="18"/>
              </w:rPr>
              <w:t>499,999.98</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3"/>
              <w:jc w:val="right"/>
              <w:rPr>
                <w:rFonts w:ascii="宋体" w:hAnsi="宋体" w:cs="宋体" w:eastAsia="宋体" w:hint="default"/>
                <w:sz w:val="18"/>
                <w:szCs w:val="18"/>
              </w:rPr>
            </w:pPr>
            <w:r>
              <w:rPr>
                <w:rFonts w:ascii="宋体"/>
                <w:sz w:val="18"/>
              </w:rPr>
              <w:t>1,500,000.02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62"/>
              <w:jc w:val="both"/>
              <w:rPr>
                <w:rFonts w:ascii="宋体" w:hAnsi="宋体" w:cs="宋体" w:eastAsia="宋体" w:hint="default"/>
                <w:sz w:val="18"/>
                <w:szCs w:val="18"/>
              </w:rPr>
            </w:pPr>
            <w:r>
              <w:rPr>
                <w:rFonts w:ascii="宋体" w:hAnsi="宋体" w:cs="宋体" w:eastAsia="宋体" w:hint="default"/>
                <w:sz w:val="18"/>
                <w:szCs w:val="18"/>
              </w:rPr>
              <w:t>交通运输部财 务审计司项目 款</w:t>
            </w:r>
            <w:r>
              <w:rPr>
                <w:rFonts w:ascii="宋体" w:hAnsi="宋体" w:cs="宋体" w:eastAsia="宋体" w:hint="default"/>
                <w:sz w:val="18"/>
                <w:szCs w:val="18"/>
              </w:rPr>
              <w:t>*22</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3"/>
              <w:jc w:val="right"/>
              <w:rPr>
                <w:rFonts w:ascii="宋体" w:hAnsi="宋体" w:cs="宋体" w:eastAsia="宋体" w:hint="default"/>
                <w:sz w:val="18"/>
                <w:szCs w:val="18"/>
              </w:rPr>
            </w:pPr>
            <w:r>
              <w:rPr>
                <w:rFonts w:ascii="宋体"/>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3"/>
              <w:jc w:val="right"/>
              <w:rPr>
                <w:rFonts w:ascii="宋体" w:hAnsi="宋体" w:cs="宋体" w:eastAsia="宋体" w:hint="default"/>
                <w:sz w:val="18"/>
                <w:szCs w:val="18"/>
              </w:rPr>
            </w:pPr>
            <w:r>
              <w:rPr>
                <w:rFonts w:ascii="宋体"/>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3"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2,762,592.26</w:t>
            </w:r>
          </w:p>
        </w:tc>
        <w:tc>
          <w:tcPr>
            <w:tcW w:w="120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112,500.00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sz w:val="18"/>
              </w:rPr>
              <w:t>1,761,186.63</w:t>
            </w:r>
          </w:p>
        </w:tc>
        <w:tc>
          <w:tcPr>
            <w:tcW w:w="70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888,905.63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line="240" w:lineRule="auto" w:before="0"/>
        <w:rPr>
          <w:rFonts w:ascii="Times New Roman" w:hAnsi="Times New Roman" w:cs="Times New Roman" w:eastAsia="Times New Roman" w:hint="default"/>
          <w:sz w:val="9"/>
          <w:szCs w:val="9"/>
        </w:rPr>
      </w:pPr>
    </w:p>
    <w:p>
      <w:pPr>
        <w:pStyle w:val="BodyText"/>
        <w:spacing w:line="240" w:lineRule="auto" w:before="35"/>
        <w:ind w:left="394" w:right="0"/>
        <w:jc w:val="left"/>
      </w:pPr>
      <w:r>
        <w:rPr/>
        <w:t>其他说明：</w:t>
      </w:r>
    </w:p>
    <w:p>
      <w:pPr>
        <w:spacing w:line="240" w:lineRule="auto" w:before="9"/>
        <w:rPr>
          <w:rFonts w:ascii="宋体" w:hAnsi="宋体" w:cs="宋体" w:eastAsia="宋体" w:hint="default"/>
          <w:sz w:val="15"/>
          <w:szCs w:val="15"/>
        </w:rPr>
      </w:pPr>
    </w:p>
    <w:p>
      <w:pPr>
        <w:pStyle w:val="BodyText"/>
        <w:spacing w:line="420" w:lineRule="auto"/>
        <w:ind w:left="394" w:right="0"/>
        <w:jc w:val="left"/>
      </w:pPr>
      <w:r>
        <w:rPr>
          <w:rFonts w:ascii="宋体" w:hAnsi="宋体" w:cs="宋体" w:eastAsia="宋体" w:hint="default"/>
          <w:spacing w:val="-1"/>
        </w:rPr>
        <w:t>*1</w:t>
      </w:r>
      <w:r>
        <w:rPr>
          <w:spacing w:val="-1"/>
        </w:rPr>
        <w:t>广州市越秀区科技和信息化局对本公司之子公司漫友文化拨付用于《科幻画报》科普漫画创作库项目资</w:t>
      </w:r>
      <w:r>
        <w:rPr>
          <w:spacing w:val="-82"/>
        </w:rPr>
        <w:t> </w:t>
      </w:r>
      <w:r>
        <w:rPr>
          <w:spacing w:val="-82"/>
        </w:rPr>
      </w:r>
      <w:r>
        <w:rPr/>
        <w:t>金，期末余额</w:t>
      </w:r>
      <w:r>
        <w:rPr>
          <w:rFonts w:ascii="宋体" w:hAnsi="宋体" w:cs="宋体" w:eastAsia="宋体" w:hint="default"/>
        </w:rPr>
        <w:t>87,000.00</w:t>
      </w:r>
      <w:r>
        <w:rPr/>
        <w:t>元。</w:t>
      </w:r>
    </w:p>
    <w:p>
      <w:pPr>
        <w:pStyle w:val="BodyText"/>
        <w:spacing w:line="420" w:lineRule="auto" w:before="47"/>
        <w:ind w:left="394" w:right="1722"/>
        <w:jc w:val="left"/>
      </w:pPr>
      <w:r>
        <w:rPr>
          <w:rFonts w:ascii="宋体" w:hAnsi="宋体" w:cs="宋体" w:eastAsia="宋体" w:hint="default"/>
        </w:rPr>
        <w:t>*2 2015</w:t>
      </w:r>
      <w:r>
        <w:rPr/>
        <w:t>年</w:t>
      </w:r>
      <w:r>
        <w:rPr>
          <w:rFonts w:ascii="宋体" w:hAnsi="宋体" w:cs="宋体" w:eastAsia="宋体" w:hint="default"/>
        </w:rPr>
        <w:t>5</w:t>
      </w:r>
      <w:r>
        <w:rPr/>
        <w:t>月广州市越秀区科技和信息化局对本公司之子公司漫友文化拨付省产学研合作专项资金 </w:t>
      </w:r>
      <w:r>
        <w:rPr>
          <w:rFonts w:ascii="宋体" w:hAnsi="宋体" w:cs="宋体" w:eastAsia="宋体" w:hint="default"/>
        </w:rPr>
        <w:t>800,000.00</w:t>
      </w:r>
      <w:r>
        <w:rPr/>
        <w:t>元，</w:t>
      </w:r>
      <w:r>
        <w:rPr>
          <w:rFonts w:ascii="宋体" w:hAnsi="宋体" w:cs="宋体" w:eastAsia="宋体" w:hint="default"/>
        </w:rPr>
        <w:t>2015</w:t>
      </w:r>
      <w:r>
        <w:rPr/>
        <w:t>年支付给合作方</w:t>
      </w:r>
      <w:r>
        <w:rPr>
          <w:rFonts w:ascii="宋体" w:hAnsi="宋体" w:cs="宋体" w:eastAsia="宋体" w:hint="default"/>
        </w:rPr>
        <w:t>400,000.00</w:t>
      </w:r>
      <w:r>
        <w:rPr/>
        <w:t>元，期末余额</w:t>
      </w:r>
      <w:r>
        <w:rPr>
          <w:rFonts w:ascii="宋体" w:hAnsi="宋体" w:cs="宋体" w:eastAsia="宋体" w:hint="default"/>
        </w:rPr>
        <w:t>400,000.00</w:t>
      </w:r>
      <w:r>
        <w:rPr/>
        <w:t>元。</w:t>
      </w:r>
    </w:p>
    <w:p>
      <w:pPr>
        <w:pStyle w:val="BodyText"/>
        <w:spacing w:line="420" w:lineRule="auto" w:before="47"/>
        <w:ind w:left="394" w:right="1828"/>
        <w:jc w:val="left"/>
      </w:pPr>
      <w:r>
        <w:rPr>
          <w:rFonts w:ascii="宋体" w:hAnsi="宋体" w:cs="宋体" w:eastAsia="宋体" w:hint="default"/>
        </w:rPr>
        <w:t>*3</w:t>
      </w:r>
      <w:r>
        <w:rPr>
          <w:rFonts w:ascii="宋体" w:hAnsi="宋体" w:cs="宋体" w:eastAsia="宋体" w:hint="default"/>
          <w:spacing w:val="-1"/>
        </w:rPr>
        <w:t> </w:t>
      </w:r>
      <w:r>
        <w:rPr>
          <w:rFonts w:ascii="宋体" w:hAnsi="宋体" w:cs="宋体" w:eastAsia="宋体" w:hint="default"/>
        </w:rPr>
        <w:t>2012</w:t>
      </w:r>
      <w:r>
        <w:rPr/>
        <w:t>年本公司之子公司漫友文化收到移动互联网手机动漫产业聚合平台项目专项资金，</w:t>
      </w:r>
      <w:r>
        <w:rPr>
          <w:rFonts w:ascii="宋体" w:hAnsi="宋体" w:cs="宋体" w:eastAsia="宋体" w:hint="default"/>
        </w:rPr>
        <w:t>2013</w:t>
      </w:r>
      <w:r>
        <w:rPr/>
        <w:t>年 </w:t>
      </w:r>
      <w:r>
        <w:rPr>
          <w:rFonts w:ascii="宋体" w:hAnsi="宋体" w:cs="宋体" w:eastAsia="宋体" w:hint="default"/>
        </w:rPr>
        <w:t>200,854.70</w:t>
      </w:r>
      <w:r>
        <w:rPr/>
        <w:t>元用于购置专项设备，期初余额</w:t>
      </w:r>
      <w:r>
        <w:rPr>
          <w:rFonts w:ascii="宋体" w:hAnsi="宋体" w:cs="宋体" w:eastAsia="宋体" w:hint="default"/>
        </w:rPr>
        <w:t>156,127.42</w:t>
      </w:r>
      <w:r>
        <w:rPr/>
        <w:t>元，本年计入当期损益</w:t>
      </w:r>
      <w:r>
        <w:rPr>
          <w:rFonts w:ascii="宋体" w:hAnsi="宋体" w:cs="宋体" w:eastAsia="宋体" w:hint="default"/>
        </w:rPr>
        <w:t>156,127.42</w:t>
      </w:r>
      <w:r>
        <w:rPr/>
        <w:t>元。</w:t>
      </w:r>
    </w:p>
    <w:p>
      <w:pPr>
        <w:pStyle w:val="BodyText"/>
        <w:spacing w:line="420" w:lineRule="auto" w:before="47"/>
        <w:ind w:left="394" w:right="1197"/>
        <w:jc w:val="left"/>
      </w:pPr>
      <w:r>
        <w:rPr>
          <w:rFonts w:ascii="宋体" w:hAnsi="宋体" w:cs="宋体" w:eastAsia="宋体" w:hint="default"/>
        </w:rPr>
        <w:t>*4</w:t>
      </w:r>
      <w:r>
        <w:rPr/>
        <w:t>广州市越秀区经济贸易局转广东省中小企业局对本公司之子公司漫友文化拨付的南方</w:t>
      </w:r>
      <w:r>
        <w:rPr>
          <w:rFonts w:ascii="宋体" w:hAnsi="宋体" w:cs="宋体" w:eastAsia="宋体" w:hint="default"/>
        </w:rPr>
        <w:t>3G</w:t>
      </w:r>
      <w:r>
        <w:rPr/>
        <w:t>动漫产业创新 产业化基金的扶持资金，期初余额</w:t>
      </w:r>
      <w:r>
        <w:rPr>
          <w:rFonts w:ascii="宋体" w:hAnsi="宋体" w:cs="宋体" w:eastAsia="宋体" w:hint="default"/>
        </w:rPr>
        <w:t>226,536.07</w:t>
      </w:r>
      <w:r>
        <w:rPr/>
        <w:t>元，本年计入当期损益</w:t>
      </w:r>
      <w:r>
        <w:rPr>
          <w:rFonts w:ascii="宋体" w:hAnsi="宋体" w:cs="宋体" w:eastAsia="宋体" w:hint="default"/>
        </w:rPr>
        <w:t>39,052.05</w:t>
      </w:r>
      <w:r>
        <w:rPr/>
        <w:t>元，期末余额</w:t>
      </w:r>
      <w:r>
        <w:rPr>
          <w:rFonts w:ascii="宋体" w:hAnsi="宋体" w:cs="宋体" w:eastAsia="宋体" w:hint="default"/>
        </w:rPr>
        <w:t>187,484.02 </w:t>
      </w:r>
      <w:r>
        <w:rPr/>
        <w:t>元。</w:t>
      </w:r>
    </w:p>
    <w:p>
      <w:pPr>
        <w:pStyle w:val="BodyText"/>
        <w:spacing w:line="420" w:lineRule="auto" w:before="47"/>
        <w:ind w:left="394" w:right="1302"/>
        <w:jc w:val="left"/>
      </w:pPr>
      <w:r>
        <w:rPr>
          <w:rFonts w:ascii="宋体" w:hAnsi="宋体" w:cs="宋体" w:eastAsia="宋体" w:hint="default"/>
        </w:rPr>
        <w:t>*5</w:t>
      </w:r>
      <w:r>
        <w:rPr/>
        <w:t>广州市越秀区财政国库支付中心对本公司之子公司漫友文化的</w:t>
      </w:r>
      <w:r>
        <w:rPr>
          <w:rFonts w:ascii="宋体" w:hAnsi="宋体" w:cs="宋体" w:eastAsia="宋体" w:hint="default"/>
        </w:rPr>
        <w:t>PaaS</w:t>
      </w:r>
      <w:r>
        <w:rPr/>
        <w:t>动漫电子书除暴运营平台的建设及 产业化项目拨付的研究款，期初余额</w:t>
      </w:r>
      <w:r>
        <w:rPr>
          <w:rFonts w:ascii="宋体" w:hAnsi="宋体" w:cs="宋体" w:eastAsia="宋体" w:hint="default"/>
        </w:rPr>
        <w:t>109,500.00</w:t>
      </w:r>
      <w:r>
        <w:rPr/>
        <w:t>元，本年计入当期损益</w:t>
      </w:r>
      <w:r>
        <w:rPr>
          <w:rFonts w:ascii="宋体" w:hAnsi="宋体" w:cs="宋体" w:eastAsia="宋体" w:hint="default"/>
        </w:rPr>
        <w:t>109,500.00</w:t>
      </w:r>
      <w:r>
        <w:rPr/>
        <w:t>元。</w:t>
      </w:r>
    </w:p>
    <w:p>
      <w:pPr>
        <w:spacing w:after="0" w:line="420" w:lineRule="auto"/>
        <w:jc w:val="left"/>
        <w:sectPr>
          <w:pgSz w:w="11910" w:h="16840"/>
          <w:pgMar w:header="877" w:footer="979" w:top="1100" w:bottom="1160" w:left="74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617"/>
        <w:jc w:val="left"/>
      </w:pPr>
      <w:r>
        <w:rPr>
          <w:rFonts w:ascii="宋体" w:hAnsi="宋体" w:cs="宋体" w:eastAsia="宋体" w:hint="default"/>
        </w:rPr>
        <w:t>*6</w:t>
      </w:r>
      <w:r>
        <w:rPr/>
        <w:t>本公司之子公司邦富软件</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23</w:t>
      </w:r>
      <w:r>
        <w:rPr/>
        <w:t>日收到天河区科技和信息化局（</w:t>
      </w:r>
      <w:r>
        <w:rPr>
          <w:rFonts w:ascii="宋体" w:hAnsi="宋体" w:cs="宋体" w:eastAsia="宋体" w:hint="default"/>
        </w:rPr>
        <w:t>2014</w:t>
      </w:r>
      <w:r>
        <w:rPr/>
        <w:t>年智慧城市项目）拨款 </w:t>
      </w:r>
      <w:r>
        <w:rPr>
          <w:rFonts w:ascii="宋体" w:hAnsi="宋体" w:cs="宋体" w:eastAsia="宋体" w:hint="default"/>
        </w:rPr>
        <w:t>500,000.00</w:t>
      </w:r>
      <w:r>
        <w:rPr/>
        <w:t>元，本期处置子公司邦富软件其他减少</w:t>
      </w:r>
      <w:r>
        <w:rPr>
          <w:rFonts w:ascii="宋体" w:hAnsi="宋体" w:cs="宋体" w:eastAsia="宋体" w:hint="default"/>
        </w:rPr>
        <w:t>500,000.00</w:t>
      </w:r>
      <w:r>
        <w:rPr/>
        <w:t>元。</w:t>
      </w:r>
    </w:p>
    <w:p>
      <w:pPr>
        <w:pStyle w:val="BodyText"/>
        <w:spacing w:line="420" w:lineRule="auto" w:before="47"/>
        <w:ind w:right="0"/>
        <w:jc w:val="left"/>
      </w:pPr>
      <w:r>
        <w:rPr>
          <w:rFonts w:ascii="宋体" w:hAnsi="宋体" w:cs="宋体" w:eastAsia="宋体" w:hint="default"/>
        </w:rPr>
        <w:t>*7</w:t>
      </w:r>
      <w:r>
        <w:rPr/>
        <w:t>本公司子公司邦富软件</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24</w:t>
      </w:r>
      <w:r>
        <w:rPr/>
        <w:t>日收到关于基于多源异构数据处理的舆情分析系统的拨款 </w:t>
      </w:r>
      <w:r>
        <w:rPr>
          <w:rFonts w:ascii="宋体" w:hAnsi="宋体" w:cs="宋体" w:eastAsia="宋体" w:hint="default"/>
          <w:spacing w:val="-1"/>
        </w:rPr>
        <w:t>1,200,000.00</w:t>
      </w:r>
      <w:r>
        <w:rPr>
          <w:spacing w:val="-1"/>
        </w:rPr>
        <w:t>元，其中</w:t>
      </w:r>
      <w:r>
        <w:rPr>
          <w:rFonts w:ascii="宋体" w:hAnsi="宋体" w:cs="宋体" w:eastAsia="宋体" w:hint="default"/>
          <w:spacing w:val="-1"/>
        </w:rPr>
        <w:t>840,000.00</w:t>
      </w:r>
      <w:r>
        <w:rPr>
          <w:spacing w:val="-1"/>
        </w:rPr>
        <w:t>元计入递延收益，</w:t>
      </w:r>
      <w:r>
        <w:rPr>
          <w:rFonts w:ascii="宋体" w:hAnsi="宋体" w:cs="宋体" w:eastAsia="宋体" w:hint="default"/>
          <w:spacing w:val="-1"/>
        </w:rPr>
        <w:t>360,000.00</w:t>
      </w:r>
      <w:r>
        <w:rPr>
          <w:spacing w:val="-1"/>
        </w:rPr>
        <w:t>元计入当期其他应付款，后因合作单位无</w:t>
      </w:r>
      <w:r>
        <w:rPr>
          <w:spacing w:val="-71"/>
        </w:rPr>
        <w:t> </w:t>
      </w:r>
      <w:r>
        <w:rPr>
          <w:spacing w:val="-71"/>
        </w:rPr>
      </w:r>
      <w:r>
        <w:rPr/>
        <w:t>法提供正规收据，该子公司于</w:t>
      </w:r>
      <w:r>
        <w:rPr>
          <w:rFonts w:ascii="宋体" w:hAnsi="宋体" w:cs="宋体" w:eastAsia="宋体" w:hint="default"/>
        </w:rPr>
        <w:t>2016</w:t>
      </w:r>
      <w:r>
        <w:rPr/>
        <w:t>年</w:t>
      </w:r>
      <w:r>
        <w:rPr>
          <w:rFonts w:ascii="宋体" w:hAnsi="宋体" w:cs="宋体" w:eastAsia="宋体" w:hint="default"/>
        </w:rPr>
        <w:t>6</w:t>
      </w:r>
      <w:r>
        <w:rPr/>
        <w:t>月将</w:t>
      </w:r>
      <w:r>
        <w:rPr>
          <w:rFonts w:ascii="宋体" w:hAnsi="宋体" w:cs="宋体" w:eastAsia="宋体" w:hint="default"/>
        </w:rPr>
        <w:t>360,000.00</w:t>
      </w:r>
      <w:r>
        <w:rPr/>
        <w:t>元转入递延收益。同时于</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21</w:t>
      </w:r>
      <w:r>
        <w:rPr/>
        <w:t>日再次收到 拨款</w:t>
      </w:r>
      <w:r>
        <w:rPr>
          <w:rFonts w:ascii="宋体" w:hAnsi="宋体" w:cs="宋体" w:eastAsia="宋体" w:hint="default"/>
        </w:rPr>
        <w:t>800,000.00</w:t>
      </w:r>
      <w:r>
        <w:rPr/>
        <w:t>元，其他减少</w:t>
      </w:r>
      <w:r>
        <w:rPr>
          <w:rFonts w:ascii="宋体" w:hAnsi="宋体" w:cs="宋体" w:eastAsia="宋体" w:hint="default"/>
        </w:rPr>
        <w:t>240,000.00</w:t>
      </w:r>
      <w:r>
        <w:rPr/>
        <w:t>元。本期处置子公司邦富软件其他减少</w:t>
      </w:r>
      <w:r>
        <w:rPr>
          <w:rFonts w:ascii="宋体" w:hAnsi="宋体" w:cs="宋体" w:eastAsia="宋体" w:hint="default"/>
        </w:rPr>
        <w:t>1,760,000.00</w:t>
      </w:r>
      <w:r>
        <w:rPr/>
        <w:t>元。</w:t>
      </w:r>
    </w:p>
    <w:p>
      <w:pPr>
        <w:pStyle w:val="BodyText"/>
        <w:spacing w:line="420" w:lineRule="auto" w:before="47"/>
        <w:ind w:right="0"/>
        <w:jc w:val="left"/>
      </w:pPr>
      <w:r>
        <w:rPr>
          <w:rFonts w:ascii="宋体" w:hAnsi="宋体" w:cs="宋体" w:eastAsia="宋体" w:hint="default"/>
          <w:spacing w:val="-1"/>
        </w:rPr>
        <w:t>*8</w:t>
      </w:r>
      <w:r>
        <w:rPr>
          <w:spacing w:val="-1"/>
        </w:rPr>
        <w:t>本公司之子公司陕西黄马甲收到</w:t>
      </w:r>
      <w:r>
        <w:rPr>
          <w:rFonts w:ascii="宋体" w:hAnsi="宋体" w:cs="宋体" w:eastAsia="宋体" w:hint="default"/>
          <w:spacing w:val="-1"/>
        </w:rPr>
        <w:t>2015</w:t>
      </w:r>
      <w:r>
        <w:rPr>
          <w:spacing w:val="-1"/>
        </w:rPr>
        <w:t>年度支持产业发展专项资金（鲜生活果蔬电子商务平台）补贴资金</w:t>
      </w:r>
      <w:r>
        <w:rPr>
          <w:spacing w:val="-82"/>
        </w:rPr>
        <w:t> </w:t>
      </w:r>
      <w:r>
        <w:rPr>
          <w:spacing w:val="-82"/>
        </w:rPr>
      </w:r>
      <w:r>
        <w:rPr>
          <w:rFonts w:ascii="宋体" w:hAnsi="宋体" w:cs="宋体" w:eastAsia="宋体" w:hint="default"/>
        </w:rPr>
        <w:t>200,000.00</w:t>
      </w:r>
      <w:r>
        <w:rPr/>
        <w:t>元，期初尚余</w:t>
      </w:r>
      <w:r>
        <w:rPr>
          <w:rFonts w:ascii="宋体" w:hAnsi="宋体" w:cs="宋体" w:eastAsia="宋体" w:hint="default"/>
        </w:rPr>
        <w:t>197,000.00</w:t>
      </w:r>
      <w:r>
        <w:rPr/>
        <w:t>元，本年计入当期损益</w:t>
      </w:r>
      <w:r>
        <w:rPr>
          <w:rFonts w:ascii="宋体" w:hAnsi="宋体" w:cs="宋体" w:eastAsia="宋体" w:hint="default"/>
        </w:rPr>
        <w:t>147,750.03</w:t>
      </w:r>
      <w:r>
        <w:rPr/>
        <w:t>元，期末余额</w:t>
      </w:r>
      <w:r>
        <w:rPr>
          <w:rFonts w:ascii="宋体" w:hAnsi="宋体" w:cs="宋体" w:eastAsia="宋体" w:hint="default"/>
        </w:rPr>
        <w:t>49,249.97</w:t>
      </w:r>
      <w:r>
        <w:rPr/>
        <w:t>元。</w:t>
      </w:r>
    </w:p>
    <w:p>
      <w:pPr>
        <w:pStyle w:val="BodyText"/>
        <w:spacing w:line="420" w:lineRule="auto" w:before="47"/>
        <w:ind w:right="1130"/>
        <w:jc w:val="both"/>
      </w:pPr>
      <w:r>
        <w:rPr>
          <w:rFonts w:ascii="宋体" w:hAnsi="宋体" w:cs="宋体" w:eastAsia="宋体" w:hint="default"/>
          <w:spacing w:val="-1"/>
        </w:rPr>
        <w:t>*9</w:t>
      </w:r>
      <w:r>
        <w:rPr>
          <w:spacing w:val="-1"/>
        </w:rPr>
        <w:t>根据本公司之子公司华商数码与陕西省新闻出版局签订的《陕西省西安国家数字出版基地西安国家印刷</w:t>
      </w:r>
      <w:r>
        <w:rPr>
          <w:spacing w:val="-82"/>
        </w:rPr>
        <w:t> </w:t>
      </w:r>
      <w:r>
        <w:rPr>
          <w:spacing w:val="-82"/>
        </w:rPr>
      </w:r>
      <w:r>
        <w:rPr>
          <w:spacing w:val="-1"/>
        </w:rPr>
        <w:t>包装产业基地建设专项资金使用管理协议书》，对华商数码绿色印刷包装项目补助</w:t>
      </w:r>
      <w:r>
        <w:rPr>
          <w:rFonts w:ascii="宋体" w:hAnsi="宋体" w:cs="宋体" w:eastAsia="宋体" w:hint="default"/>
          <w:spacing w:val="-1"/>
        </w:rPr>
        <w:t>3,300,000.00</w:t>
      </w:r>
      <w:r>
        <w:rPr>
          <w:spacing w:val="-1"/>
        </w:rPr>
        <w:t>元。期初</w:t>
      </w:r>
      <w:r>
        <w:rPr>
          <w:spacing w:val="-77"/>
        </w:rPr>
        <w:t> </w:t>
      </w:r>
      <w:r>
        <w:rPr>
          <w:spacing w:val="-77"/>
        </w:rPr>
      </w:r>
      <w:r>
        <w:rPr/>
        <w:t>尚余</w:t>
      </w:r>
      <w:r>
        <w:rPr>
          <w:rFonts w:ascii="宋体" w:hAnsi="宋体" w:cs="宋体" w:eastAsia="宋体" w:hint="default"/>
        </w:rPr>
        <w:t>1,536,206.64</w:t>
      </w:r>
      <w:r>
        <w:rPr/>
        <w:t>元，本期计入损益</w:t>
      </w:r>
      <w:r>
        <w:rPr>
          <w:rFonts w:ascii="宋体" w:hAnsi="宋体" w:cs="宋体" w:eastAsia="宋体" w:hint="default"/>
        </w:rPr>
        <w:t>341,379.36</w:t>
      </w:r>
      <w:r>
        <w:rPr/>
        <w:t>元，期末余额</w:t>
      </w:r>
      <w:r>
        <w:rPr>
          <w:rFonts w:ascii="宋体" w:hAnsi="宋体" w:cs="宋体" w:eastAsia="宋体" w:hint="default"/>
        </w:rPr>
        <w:t>1,194,827.28</w:t>
      </w:r>
      <w:r>
        <w:rPr/>
        <w:t>元。</w:t>
      </w:r>
    </w:p>
    <w:p>
      <w:pPr>
        <w:pStyle w:val="BodyText"/>
        <w:spacing w:line="420" w:lineRule="auto" w:before="47"/>
        <w:ind w:right="0"/>
        <w:jc w:val="left"/>
      </w:pPr>
      <w:r>
        <w:rPr>
          <w:rFonts w:ascii="宋体" w:hAnsi="宋体" w:cs="宋体" w:eastAsia="宋体" w:hint="default"/>
        </w:rPr>
        <w:t>*10</w:t>
      </w:r>
      <w:r>
        <w:rPr/>
        <w:t>本公司之子公司陕西黄马甲收到</w:t>
      </w:r>
      <w:r>
        <w:rPr>
          <w:rFonts w:ascii="宋体" w:hAnsi="宋体" w:cs="宋体" w:eastAsia="宋体" w:hint="default"/>
        </w:rPr>
        <w:t>2014</w:t>
      </w:r>
      <w:r>
        <w:rPr/>
        <w:t>年西安市服务业综合改革试点专项资金第三批（城市电子商务快 </w:t>
      </w:r>
      <w:r>
        <w:rPr>
          <w:spacing w:val="-1"/>
        </w:rPr>
        <w:t>捷配送项目）补贴资金</w:t>
      </w:r>
      <w:r>
        <w:rPr>
          <w:rFonts w:ascii="宋体" w:hAnsi="宋体" w:cs="宋体" w:eastAsia="宋体" w:hint="default"/>
          <w:spacing w:val="-1"/>
        </w:rPr>
        <w:t>350,000.00</w:t>
      </w:r>
      <w:r>
        <w:rPr>
          <w:spacing w:val="-1"/>
        </w:rPr>
        <w:t>元，本期增加补贴资金</w:t>
      </w:r>
      <w:r>
        <w:rPr>
          <w:rFonts w:ascii="宋体" w:hAnsi="宋体" w:cs="宋体" w:eastAsia="宋体" w:hint="default"/>
          <w:spacing w:val="-1"/>
        </w:rPr>
        <w:t>150,000.00</w:t>
      </w:r>
      <w:r>
        <w:rPr>
          <w:spacing w:val="-1"/>
        </w:rPr>
        <w:t>元。期初尚余</w:t>
      </w:r>
      <w:r>
        <w:rPr>
          <w:rFonts w:ascii="宋体" w:hAnsi="宋体" w:cs="宋体" w:eastAsia="宋体" w:hint="default"/>
          <w:spacing w:val="-1"/>
        </w:rPr>
        <w:t>500,000.00</w:t>
      </w:r>
      <w:r>
        <w:rPr>
          <w:spacing w:val="-1"/>
        </w:rPr>
        <w:t>元，本期计</w:t>
      </w:r>
      <w:r>
        <w:rPr>
          <w:spacing w:val="-72"/>
        </w:rPr>
        <w:t> </w:t>
      </w:r>
      <w:r>
        <w:rPr>
          <w:spacing w:val="-72"/>
        </w:rPr>
      </w:r>
      <w:r>
        <w:rPr/>
        <w:t>入损益</w:t>
      </w:r>
      <w:r>
        <w:rPr>
          <w:rFonts w:ascii="宋体" w:hAnsi="宋体" w:cs="宋体" w:eastAsia="宋体" w:hint="default"/>
        </w:rPr>
        <w:t>187,499.97</w:t>
      </w:r>
      <w:r>
        <w:rPr/>
        <w:t>元，期末余额</w:t>
      </w:r>
      <w:r>
        <w:rPr>
          <w:rFonts w:ascii="宋体" w:hAnsi="宋体" w:cs="宋体" w:eastAsia="宋体" w:hint="default"/>
        </w:rPr>
        <w:t>312,500.03</w:t>
      </w:r>
      <w:r>
        <w:rPr/>
        <w:t>元。</w:t>
      </w:r>
    </w:p>
    <w:p>
      <w:pPr>
        <w:pStyle w:val="BodyText"/>
        <w:spacing w:line="420" w:lineRule="auto" w:before="48"/>
        <w:ind w:right="1108"/>
        <w:jc w:val="both"/>
      </w:pPr>
      <w:r>
        <w:rPr>
          <w:rFonts w:ascii="宋体" w:hAnsi="宋体" w:cs="宋体" w:eastAsia="宋体" w:hint="default"/>
          <w:spacing w:val="-1"/>
        </w:rPr>
        <w:t>*11</w:t>
      </w:r>
      <w:r>
        <w:rPr>
          <w:spacing w:val="-1"/>
        </w:rPr>
        <w:t>根据西安经济技术开发区管委会西经开发</w:t>
      </w:r>
      <w:r>
        <w:rPr>
          <w:rFonts w:ascii="宋体" w:hAnsi="宋体" w:cs="宋体" w:eastAsia="宋体" w:hint="default"/>
          <w:spacing w:val="-1"/>
        </w:rPr>
        <w:t>[2014]271</w:t>
      </w:r>
      <w:r>
        <w:rPr>
          <w:spacing w:val="-1"/>
        </w:rPr>
        <w:t>号《西安经济技术开发区管委会关于下达</w:t>
      </w:r>
      <w:r>
        <w:rPr>
          <w:rFonts w:ascii="宋体" w:hAnsi="宋体" w:cs="宋体" w:eastAsia="宋体" w:hint="default"/>
          <w:spacing w:val="-1"/>
        </w:rPr>
        <w:t>2014</w:t>
      </w:r>
      <w:r>
        <w:rPr>
          <w:spacing w:val="-1"/>
        </w:rPr>
        <w:t>年度</w:t>
      </w:r>
      <w:r>
        <w:rPr>
          <w:spacing w:val="-76"/>
        </w:rPr>
        <w:t> </w:t>
      </w:r>
      <w:r>
        <w:rPr>
          <w:spacing w:val="-1"/>
        </w:rPr>
        <w:t>支持产业发展专项资金第一批计划项目的通知》对本公司之子公司华商数码印刷生产线升级改造项目补助</w:t>
      </w:r>
      <w:r>
        <w:rPr>
          <w:spacing w:val="-81"/>
        </w:rPr>
        <w:t> </w:t>
      </w:r>
      <w:r>
        <w:rPr>
          <w:spacing w:val="-81"/>
        </w:rPr>
      </w:r>
      <w:r>
        <w:rPr>
          <w:rFonts w:ascii="宋体" w:hAnsi="宋体" w:cs="宋体" w:eastAsia="宋体" w:hint="default"/>
        </w:rPr>
        <w:t>1,200,000.00</w:t>
      </w:r>
      <w:r>
        <w:rPr/>
        <w:t>元，用于购买土地和印刷设备。期初尚余</w:t>
      </w:r>
      <w:r>
        <w:rPr>
          <w:rFonts w:ascii="宋体" w:hAnsi="宋体" w:cs="宋体" w:eastAsia="宋体" w:hint="default"/>
        </w:rPr>
        <w:t>605,607.63</w:t>
      </w:r>
      <w:r>
        <w:rPr/>
        <w:t>元，本期计入当期损益</w:t>
      </w:r>
      <w:r>
        <w:rPr>
          <w:rFonts w:ascii="宋体" w:hAnsi="宋体" w:cs="宋体" w:eastAsia="宋体" w:hint="default"/>
        </w:rPr>
        <w:t>134,579.40</w:t>
      </w:r>
      <w:r>
        <w:rPr/>
        <w:t>元，</w:t>
      </w:r>
      <w:r>
        <w:rPr>
          <w:spacing w:val="1"/>
        </w:rPr>
        <w:t> </w:t>
      </w:r>
      <w:r>
        <w:rPr/>
        <w:t>期末余额</w:t>
      </w:r>
      <w:r>
        <w:rPr>
          <w:rFonts w:ascii="宋体" w:hAnsi="宋体" w:cs="宋体" w:eastAsia="宋体" w:hint="default"/>
        </w:rPr>
        <w:t>471,028.23</w:t>
      </w:r>
      <w:r>
        <w:rPr/>
        <w:t>元。</w:t>
      </w:r>
    </w:p>
    <w:p>
      <w:pPr>
        <w:pStyle w:val="BodyText"/>
        <w:spacing w:line="420" w:lineRule="auto" w:before="47"/>
        <w:ind w:right="0"/>
        <w:jc w:val="left"/>
      </w:pPr>
      <w:r>
        <w:rPr>
          <w:rFonts w:ascii="宋体" w:hAnsi="宋体" w:cs="宋体" w:eastAsia="宋体" w:hint="default"/>
        </w:rPr>
        <w:t>*12</w:t>
      </w:r>
      <w:r>
        <w:rPr/>
        <w:t>根据国家工业和信息化部工信部信函</w:t>
      </w:r>
      <w:r>
        <w:rPr>
          <w:rFonts w:ascii="宋体" w:hAnsi="宋体" w:cs="宋体" w:eastAsia="宋体" w:hint="default"/>
        </w:rPr>
        <w:t>[2012]325</w:t>
      </w:r>
      <w:r>
        <w:rPr/>
        <w:t>号《工业和信息化部关于下达</w:t>
      </w:r>
      <w:r>
        <w:rPr>
          <w:rFonts w:ascii="宋体" w:hAnsi="宋体" w:cs="宋体" w:eastAsia="宋体" w:hint="default"/>
        </w:rPr>
        <w:t>2012</w:t>
      </w:r>
      <w:r>
        <w:rPr/>
        <w:t>年信息化和工业化深 </w:t>
      </w:r>
      <w:r>
        <w:rPr>
          <w:spacing w:val="-3"/>
        </w:rPr>
        <w:t>度融合专项资金使用计划的通知》，对本公司之子公司陕西黄马甲配送信息化建设项目补贴</w:t>
      </w:r>
      <w:r>
        <w:rPr>
          <w:rFonts w:ascii="宋体" w:hAnsi="宋体" w:cs="宋体" w:eastAsia="宋体" w:hint="default"/>
          <w:spacing w:val="-3"/>
        </w:rPr>
        <w:t>600,000.00</w:t>
      </w:r>
      <w:r>
        <w:rPr>
          <w:spacing w:val="-3"/>
        </w:rPr>
        <w:t>元。</w:t>
      </w:r>
      <w:r>
        <w:rPr>
          <w:spacing w:val="-76"/>
        </w:rPr>
        <w:t> </w:t>
      </w:r>
      <w:r>
        <w:rPr/>
        <w:t>期初尚余</w:t>
      </w:r>
      <w:r>
        <w:rPr>
          <w:rFonts w:ascii="宋体" w:hAnsi="宋体" w:cs="宋体" w:eastAsia="宋体" w:hint="default"/>
        </w:rPr>
        <w:t>434,095.38</w:t>
      </w:r>
      <w:r>
        <w:rPr/>
        <w:t>元，本期计入当期损益</w:t>
      </w:r>
      <w:r>
        <w:rPr>
          <w:rFonts w:ascii="宋体" w:hAnsi="宋体" w:cs="宋体" w:eastAsia="宋体" w:hint="default"/>
        </w:rPr>
        <w:t>21,759.00</w:t>
      </w:r>
      <w:r>
        <w:rPr/>
        <w:t>元，期末余额</w:t>
      </w:r>
      <w:r>
        <w:rPr>
          <w:rFonts w:ascii="宋体" w:hAnsi="宋体" w:cs="宋体" w:eastAsia="宋体" w:hint="default"/>
        </w:rPr>
        <w:t>412,336.38</w:t>
      </w:r>
      <w:r>
        <w:rPr/>
        <w:t>元</w:t>
      </w:r>
    </w:p>
    <w:p>
      <w:pPr>
        <w:pStyle w:val="BodyText"/>
        <w:spacing w:line="420" w:lineRule="auto" w:before="47"/>
        <w:ind w:right="1130"/>
        <w:jc w:val="left"/>
      </w:pPr>
      <w:r>
        <w:rPr>
          <w:rFonts w:ascii="宋体" w:hAnsi="宋体" w:cs="宋体" w:eastAsia="宋体" w:hint="default"/>
          <w:spacing w:val="-1"/>
        </w:rPr>
        <w:t>*13</w:t>
      </w:r>
      <w:r>
        <w:rPr>
          <w:spacing w:val="-1"/>
        </w:rPr>
        <w:t>根据西安经济技术开发区管委会西经开发</w:t>
      </w:r>
      <w:r>
        <w:rPr>
          <w:rFonts w:ascii="宋体" w:hAnsi="宋体" w:cs="宋体" w:eastAsia="宋体" w:hint="default"/>
          <w:spacing w:val="-1"/>
        </w:rPr>
        <w:t>[2013]304</w:t>
      </w:r>
      <w:r>
        <w:rPr>
          <w:spacing w:val="-1"/>
        </w:rPr>
        <w:t>号《西安经济技术开发区管委会关于下达</w:t>
      </w:r>
      <w:r>
        <w:rPr>
          <w:rFonts w:ascii="宋体" w:hAnsi="宋体" w:cs="宋体" w:eastAsia="宋体" w:hint="default"/>
          <w:spacing w:val="-1"/>
        </w:rPr>
        <w:t>2013</w:t>
      </w:r>
      <w:r>
        <w:rPr>
          <w:spacing w:val="-1"/>
        </w:rPr>
        <w:t>年度</w:t>
      </w:r>
      <w:r>
        <w:rPr>
          <w:spacing w:val="-76"/>
        </w:rPr>
        <w:t> </w:t>
      </w:r>
      <w:r>
        <w:rPr/>
        <w:t>支持产业发展专项资金第一批计划项目的通知》，对本公司之子公司陕西黄马甲高技术服务促进专项</w:t>
      </w:r>
      <w:r>
        <w:rPr>
          <w:rFonts w:ascii="宋体" w:hAnsi="宋体" w:cs="宋体" w:eastAsia="宋体" w:hint="default"/>
        </w:rPr>
        <w:t>-</w:t>
      </w:r>
      <w:r>
        <w:rPr/>
        <w:t>电 子商务物流信息平台建设项目补贴</w:t>
      </w:r>
      <w:r>
        <w:rPr>
          <w:rFonts w:ascii="宋体" w:hAnsi="宋体" w:cs="宋体" w:eastAsia="宋体" w:hint="default"/>
        </w:rPr>
        <w:t>300,000.00</w:t>
      </w:r>
      <w:r>
        <w:rPr/>
        <w:t>元。期末余额</w:t>
      </w:r>
      <w:r>
        <w:rPr>
          <w:rFonts w:ascii="宋体" w:hAnsi="宋体" w:cs="宋体" w:eastAsia="宋体" w:hint="default"/>
        </w:rPr>
        <w:t>171,092.00</w:t>
      </w:r>
      <w:r>
        <w:rPr/>
        <w:t>元。</w:t>
      </w:r>
    </w:p>
    <w:p>
      <w:pPr>
        <w:pStyle w:val="BodyText"/>
        <w:spacing w:line="420" w:lineRule="auto" w:before="47"/>
        <w:ind w:right="1203"/>
        <w:jc w:val="left"/>
      </w:pPr>
      <w:r>
        <w:rPr>
          <w:rFonts w:ascii="宋体" w:hAnsi="宋体" w:cs="宋体" w:eastAsia="宋体" w:hint="default"/>
        </w:rPr>
        <w:t>*14</w:t>
      </w:r>
      <w:r>
        <w:rPr>
          <w:rFonts w:ascii="宋体" w:hAnsi="宋体" w:cs="宋体" w:eastAsia="宋体" w:hint="default"/>
          <w:spacing w:val="-6"/>
        </w:rPr>
        <w:t> </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18</w:t>
      </w:r>
      <w:r>
        <w:rPr/>
        <w:t>日，根据西安曲江新区财政局下发的西曲财发</w:t>
      </w:r>
      <w:r>
        <w:rPr>
          <w:rFonts w:ascii="宋体" w:hAnsi="宋体" w:cs="宋体" w:eastAsia="宋体" w:hint="default"/>
        </w:rPr>
        <w:t>[2016]56</w:t>
      </w:r>
      <w:r>
        <w:rPr/>
        <w:t>号文，本公司之子公司华商传媒 收到财政补助</w:t>
      </w:r>
      <w:r>
        <w:rPr>
          <w:rFonts w:ascii="宋体" w:hAnsi="宋体" w:cs="宋体" w:eastAsia="宋体" w:hint="default"/>
        </w:rPr>
        <w:t>9,000,000.00</w:t>
      </w:r>
      <w:r>
        <w:rPr/>
        <w:t>元。期末余额</w:t>
      </w:r>
      <w:r>
        <w:rPr>
          <w:rFonts w:ascii="宋体" w:hAnsi="宋体" w:cs="宋体" w:eastAsia="宋体" w:hint="default"/>
        </w:rPr>
        <w:t>9,000,000.00</w:t>
      </w:r>
      <w:r>
        <w:rPr/>
        <w:t>元。</w:t>
      </w:r>
    </w:p>
    <w:p>
      <w:pPr>
        <w:pStyle w:val="BodyText"/>
        <w:spacing w:line="420" w:lineRule="auto" w:before="48"/>
        <w:ind w:right="1130"/>
        <w:jc w:val="both"/>
      </w:pPr>
      <w:r>
        <w:rPr>
          <w:rFonts w:ascii="宋体" w:hAnsi="宋体" w:cs="宋体" w:eastAsia="宋体" w:hint="default"/>
          <w:spacing w:val="-1"/>
        </w:rPr>
        <w:t>*15</w:t>
      </w:r>
      <w:r>
        <w:rPr>
          <w:spacing w:val="-1"/>
        </w:rPr>
        <w:t>根据西安经济技术开发区管委会西经开发</w:t>
      </w:r>
      <w:r>
        <w:rPr>
          <w:rFonts w:ascii="宋体" w:hAnsi="宋体" w:cs="宋体" w:eastAsia="宋体" w:hint="default"/>
          <w:spacing w:val="-1"/>
        </w:rPr>
        <w:t>[2017]485</w:t>
      </w:r>
      <w:r>
        <w:rPr>
          <w:spacing w:val="-1"/>
        </w:rPr>
        <w:t>号《西安经济技术开发区管委会关于下达</w:t>
      </w:r>
      <w:r>
        <w:rPr>
          <w:rFonts w:ascii="宋体" w:hAnsi="宋体" w:cs="宋体" w:eastAsia="宋体" w:hint="default"/>
          <w:spacing w:val="-1"/>
        </w:rPr>
        <w:t>2018</w:t>
      </w:r>
      <w:r>
        <w:rPr>
          <w:spacing w:val="-1"/>
        </w:rPr>
        <w:t>年度</w:t>
      </w:r>
      <w:r>
        <w:rPr>
          <w:spacing w:val="-76"/>
        </w:rPr>
        <w:t> </w:t>
      </w:r>
      <w:r>
        <w:rPr>
          <w:spacing w:val="-1"/>
        </w:rPr>
        <w:t>支持产业发展专项资金第一批计划项目的通知》对本公司之子公司陕西黄马甲项目补助</w:t>
      </w:r>
      <w:r>
        <w:rPr>
          <w:rFonts w:ascii="宋体" w:hAnsi="宋体" w:cs="宋体" w:eastAsia="宋体" w:hint="default"/>
          <w:spacing w:val="-1"/>
        </w:rPr>
        <w:t>600,000.00</w:t>
      </w:r>
      <w:r>
        <w:rPr>
          <w:spacing w:val="-1"/>
        </w:rPr>
        <w:t>元，本</w:t>
      </w:r>
      <w:r>
        <w:rPr>
          <w:spacing w:val="-75"/>
        </w:rPr>
        <w:t> </w:t>
      </w:r>
      <w:r>
        <w:rPr>
          <w:spacing w:val="-75"/>
        </w:rPr>
      </w:r>
      <w:r>
        <w:rPr/>
        <w:t>期计入当期损益</w:t>
      </w:r>
      <w:r>
        <w:rPr>
          <w:rFonts w:ascii="宋体" w:hAnsi="宋体" w:cs="宋体" w:eastAsia="宋体" w:hint="default"/>
        </w:rPr>
        <w:t>600,000.00</w:t>
      </w:r>
      <w:r>
        <w:rPr/>
        <w:t>元。</w:t>
      </w:r>
    </w:p>
    <w:p>
      <w:pPr>
        <w:spacing w:after="0" w:line="420"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197"/>
        <w:jc w:val="left"/>
      </w:pPr>
      <w:r>
        <w:rPr>
          <w:rFonts w:ascii="宋体" w:hAnsi="宋体" w:cs="宋体" w:eastAsia="宋体" w:hint="default"/>
        </w:rPr>
        <w:t>*16</w:t>
      </w:r>
      <w:r>
        <w:rPr/>
        <w:t>子公司黄马甲快递收到西安经济技术开发区管委会</w:t>
      </w:r>
      <w:r>
        <w:rPr>
          <w:rFonts w:ascii="宋体" w:hAnsi="宋体" w:cs="宋体" w:eastAsia="宋体" w:hint="default"/>
        </w:rPr>
        <w:t>2017</w:t>
      </w:r>
      <w:r>
        <w:rPr/>
        <w:t>年度支持产业发展专项资金第一批（服务业促 进专项）项目补助</w:t>
      </w:r>
      <w:r>
        <w:rPr>
          <w:rFonts w:ascii="宋体" w:hAnsi="宋体" w:cs="宋体" w:eastAsia="宋体" w:hint="default"/>
        </w:rPr>
        <w:t>770,000.00</w:t>
      </w:r>
      <w:r>
        <w:rPr/>
        <w:t>元，本期计入当期损益</w:t>
      </w:r>
      <w:r>
        <w:rPr>
          <w:rFonts w:ascii="宋体" w:hAnsi="宋体" w:cs="宋体" w:eastAsia="宋体" w:hint="default"/>
        </w:rPr>
        <w:t>770,000.00</w:t>
      </w:r>
      <w:r>
        <w:rPr/>
        <w:t>元。</w:t>
      </w:r>
    </w:p>
    <w:p>
      <w:pPr>
        <w:pStyle w:val="BodyText"/>
        <w:spacing w:line="420" w:lineRule="auto" w:before="47"/>
        <w:ind w:right="1213"/>
        <w:jc w:val="both"/>
      </w:pPr>
      <w:r>
        <w:rPr>
          <w:rFonts w:ascii="宋体" w:hAnsi="宋体" w:cs="宋体" w:eastAsia="宋体" w:hint="default"/>
        </w:rPr>
        <w:t>*17</w:t>
      </w:r>
      <w:r>
        <w:rPr/>
        <w:t>根据西安经济技术开发区管委会西经开发</w:t>
      </w:r>
      <w:r>
        <w:rPr>
          <w:rFonts w:ascii="宋体" w:hAnsi="宋体" w:cs="宋体" w:eastAsia="宋体" w:hint="default"/>
        </w:rPr>
        <w:t>[2017]4507</w:t>
      </w:r>
      <w:r>
        <w:rPr/>
        <w:t>号《西安经济技术开发区管委会关于下达</w:t>
      </w:r>
      <w:r>
        <w:rPr>
          <w:rFonts w:ascii="宋体" w:hAnsi="宋体" w:cs="宋体" w:eastAsia="宋体" w:hint="default"/>
        </w:rPr>
        <w:t>2018</w:t>
      </w:r>
      <w:r>
        <w:rPr/>
        <w:t>年 度支持产业发展专项资金第二批计划项目的通知》对本公司之子公司陕西黄马甲项目补助</w:t>
      </w:r>
      <w:r>
        <w:rPr>
          <w:rFonts w:ascii="宋体" w:hAnsi="宋体" w:cs="宋体" w:eastAsia="宋体" w:hint="default"/>
        </w:rPr>
        <w:t>10,000.00</w:t>
      </w:r>
      <w:r>
        <w:rPr/>
        <w:t>元， 本期计入当期损益</w:t>
      </w:r>
      <w:r>
        <w:rPr>
          <w:rFonts w:ascii="宋体" w:hAnsi="宋体" w:cs="宋体" w:eastAsia="宋体" w:hint="default"/>
        </w:rPr>
        <w:t>10,000.00</w:t>
      </w:r>
      <w:r>
        <w:rPr/>
        <w:t>元。</w:t>
      </w:r>
    </w:p>
    <w:p>
      <w:pPr>
        <w:pStyle w:val="BodyText"/>
        <w:spacing w:line="420" w:lineRule="auto" w:before="47"/>
        <w:ind w:right="0"/>
        <w:jc w:val="left"/>
      </w:pPr>
      <w:r>
        <w:rPr>
          <w:rFonts w:ascii="宋体" w:hAnsi="宋体" w:cs="宋体" w:eastAsia="宋体" w:hint="default"/>
          <w:spacing w:val="-3"/>
        </w:rPr>
        <w:t>*18</w:t>
      </w:r>
      <w:r>
        <w:rPr>
          <w:spacing w:val="-3"/>
        </w:rPr>
        <w:t>根据西安市财政局市财函</w:t>
      </w:r>
      <w:r>
        <w:rPr>
          <w:rFonts w:ascii="宋体" w:hAnsi="宋体" w:cs="宋体" w:eastAsia="宋体" w:hint="default"/>
          <w:spacing w:val="-3"/>
        </w:rPr>
        <w:t>[2016]2277</w:t>
      </w:r>
      <w:r>
        <w:rPr>
          <w:spacing w:val="-3"/>
        </w:rPr>
        <w:t>号《西安市财政局关于下达</w:t>
      </w:r>
      <w:r>
        <w:rPr>
          <w:rFonts w:ascii="宋体" w:hAnsi="宋体" w:cs="宋体" w:eastAsia="宋体" w:hint="default"/>
          <w:spacing w:val="-3"/>
        </w:rPr>
        <w:t>2016</w:t>
      </w:r>
      <w:r>
        <w:rPr>
          <w:spacing w:val="-3"/>
        </w:rPr>
        <w:t>年度现代服务业发展专项资金（第</w:t>
      </w:r>
      <w:r>
        <w:rPr>
          <w:spacing w:val="-70"/>
        </w:rPr>
        <w:t> </w:t>
      </w:r>
      <w:r>
        <w:rPr>
          <w:spacing w:val="-70"/>
        </w:rPr>
      </w:r>
      <w:r>
        <w:rPr/>
        <w:t>三批）的通知》</w:t>
      </w:r>
      <w:r>
        <w:rPr>
          <w:rFonts w:ascii="宋体" w:hAnsi="宋体" w:cs="宋体" w:eastAsia="宋体" w:hint="default"/>
        </w:rPr>
        <w:t>,</w:t>
      </w:r>
      <w:r>
        <w:rPr/>
        <w:t>对本公司之子公司黄马甲快递落地配一站式配送中心网络升级改造项目划拨，本期收到 补助</w:t>
      </w:r>
      <w:r>
        <w:rPr>
          <w:rFonts w:ascii="宋体" w:hAnsi="宋体" w:cs="宋体" w:eastAsia="宋体" w:hint="default"/>
        </w:rPr>
        <w:t>600,000.00</w:t>
      </w:r>
      <w:r>
        <w:rPr/>
        <w:t>元，本期计入当期损益</w:t>
      </w:r>
      <w:r>
        <w:rPr>
          <w:rFonts w:ascii="宋体" w:hAnsi="宋体" w:cs="宋体" w:eastAsia="宋体" w:hint="default"/>
        </w:rPr>
        <w:t>350,000.00</w:t>
      </w:r>
      <w:r>
        <w:rPr/>
        <w:t>元，期末余额</w:t>
      </w:r>
      <w:r>
        <w:rPr>
          <w:rFonts w:ascii="宋体" w:hAnsi="宋体" w:cs="宋体" w:eastAsia="宋体" w:hint="default"/>
        </w:rPr>
        <w:t>250,000.00</w:t>
      </w:r>
      <w:r>
        <w:rPr/>
        <w:t>元。</w:t>
      </w:r>
    </w:p>
    <w:p>
      <w:pPr>
        <w:pStyle w:val="BodyText"/>
        <w:spacing w:line="420" w:lineRule="auto" w:before="47"/>
        <w:ind w:right="1197"/>
        <w:jc w:val="left"/>
      </w:pPr>
      <w:r>
        <w:rPr>
          <w:rFonts w:ascii="宋体" w:hAnsi="宋体" w:cs="宋体" w:eastAsia="宋体" w:hint="default"/>
        </w:rPr>
        <w:t>*19</w:t>
      </w:r>
      <w:r>
        <w:rPr/>
        <w:t>依据西安市财政局市财函</w:t>
      </w:r>
      <w:r>
        <w:rPr>
          <w:rFonts w:ascii="宋体" w:hAnsi="宋体" w:cs="宋体" w:eastAsia="宋体" w:hint="default"/>
        </w:rPr>
        <w:t>[2018]1859</w:t>
      </w:r>
      <w:r>
        <w:rPr/>
        <w:t>号文件，拨付子公司黄马甲物流公司</w:t>
      </w:r>
      <w:r>
        <w:rPr>
          <w:rFonts w:ascii="宋体" w:hAnsi="宋体" w:cs="宋体" w:eastAsia="宋体" w:hint="default"/>
        </w:rPr>
        <w:t>2018</w:t>
      </w:r>
      <w:r>
        <w:rPr/>
        <w:t>年省级商贸流通专项资 金</w:t>
      </w:r>
      <w:r>
        <w:rPr>
          <w:rFonts w:ascii="宋体" w:hAnsi="宋体" w:cs="宋体" w:eastAsia="宋体" w:hint="default"/>
        </w:rPr>
        <w:t>350,000.00</w:t>
      </w:r>
      <w:r>
        <w:rPr/>
        <w:t>元，本期计入当期损益</w:t>
      </w:r>
      <w:r>
        <w:rPr>
          <w:rFonts w:ascii="宋体" w:hAnsi="宋体" w:cs="宋体" w:eastAsia="宋体" w:hint="default"/>
        </w:rPr>
        <w:t>87,500.01</w:t>
      </w:r>
      <w:r>
        <w:rPr/>
        <w:t>元，期末余额</w:t>
      </w:r>
      <w:r>
        <w:rPr>
          <w:rFonts w:ascii="宋体" w:hAnsi="宋体" w:cs="宋体" w:eastAsia="宋体" w:hint="default"/>
        </w:rPr>
        <w:t>262,499.99</w:t>
      </w:r>
      <w:r>
        <w:rPr/>
        <w:t>元。</w:t>
      </w:r>
    </w:p>
    <w:p>
      <w:pPr>
        <w:pStyle w:val="BodyText"/>
        <w:spacing w:line="420" w:lineRule="auto" w:before="47"/>
        <w:ind w:right="0"/>
        <w:jc w:val="left"/>
      </w:pPr>
      <w:r>
        <w:rPr>
          <w:rFonts w:ascii="宋体" w:hAnsi="宋体" w:cs="宋体" w:eastAsia="宋体" w:hint="default"/>
        </w:rPr>
        <w:t>*20</w:t>
      </w:r>
      <w:r>
        <w:rPr/>
        <w:t>依据西安市财政局市财函</w:t>
      </w:r>
      <w:r>
        <w:rPr>
          <w:rFonts w:ascii="宋体" w:hAnsi="宋体" w:cs="宋体" w:eastAsia="宋体" w:hint="default"/>
        </w:rPr>
        <w:t>[2018]1856</w:t>
      </w:r>
      <w:r>
        <w:rPr/>
        <w:t>号《西安市财政局关于拨付供应链体系建设项目补助资金的通 </w:t>
      </w:r>
      <w:r>
        <w:rPr>
          <w:spacing w:val="-5"/>
        </w:rPr>
        <w:t>知》，对本公司之子公司陕西黄马甲快递公司拨付补助资金</w:t>
      </w:r>
      <w:r>
        <w:rPr>
          <w:rFonts w:ascii="宋体" w:hAnsi="宋体" w:cs="宋体" w:eastAsia="宋体" w:hint="default"/>
          <w:spacing w:val="-5"/>
        </w:rPr>
        <w:t>2,100,000.00</w:t>
      </w:r>
      <w:r>
        <w:rPr>
          <w:spacing w:val="-5"/>
        </w:rPr>
        <w:t>元，本期计入当期损益</w:t>
      </w:r>
      <w:r>
        <w:rPr>
          <w:rFonts w:ascii="宋体" w:hAnsi="宋体" w:cs="宋体" w:eastAsia="宋体" w:hint="default"/>
          <w:spacing w:val="-5"/>
        </w:rPr>
        <w:t>350,000.00</w:t>
      </w:r>
      <w:r>
        <w:rPr>
          <w:rFonts w:ascii="宋体" w:hAnsi="宋体" w:cs="宋体" w:eastAsia="宋体" w:hint="default"/>
          <w:spacing w:val="-50"/>
        </w:rPr>
        <w:t> </w:t>
      </w:r>
      <w:r>
        <w:rPr/>
        <w:t>元，期末余额</w:t>
      </w:r>
      <w:r>
        <w:rPr>
          <w:rFonts w:ascii="宋体" w:hAnsi="宋体" w:cs="宋体" w:eastAsia="宋体" w:hint="default"/>
        </w:rPr>
        <w:t>1,750,000.00</w:t>
      </w:r>
      <w:r>
        <w:rPr/>
        <w:t>元。</w:t>
      </w:r>
    </w:p>
    <w:p>
      <w:pPr>
        <w:pStyle w:val="BodyText"/>
        <w:spacing w:line="420" w:lineRule="auto" w:before="47"/>
        <w:ind w:right="0"/>
        <w:jc w:val="left"/>
      </w:pPr>
      <w:r>
        <w:rPr>
          <w:rFonts w:ascii="宋体" w:hAnsi="宋体" w:cs="宋体" w:eastAsia="宋体" w:hint="default"/>
        </w:rPr>
        <w:t>*21</w:t>
      </w:r>
      <w:r>
        <w:rPr/>
        <w:t>依据西安市财政局市财函</w:t>
      </w:r>
      <w:r>
        <w:rPr>
          <w:rFonts w:ascii="宋体" w:hAnsi="宋体" w:cs="宋体" w:eastAsia="宋体" w:hint="default"/>
        </w:rPr>
        <w:t>[2018]1069</w:t>
      </w:r>
      <w:r>
        <w:rPr/>
        <w:t>号《西安市财政局关于拨付</w:t>
      </w:r>
      <w:r>
        <w:rPr>
          <w:rFonts w:ascii="宋体" w:hAnsi="宋体" w:cs="宋体" w:eastAsia="宋体" w:hint="default"/>
        </w:rPr>
        <w:t>2017</w:t>
      </w:r>
      <w:r>
        <w:rPr/>
        <w:t>年创业创新建设类（商贸类）专 </w:t>
      </w:r>
      <w:r>
        <w:rPr>
          <w:spacing w:val="-3"/>
        </w:rPr>
        <w:t>项资金的通知》，对本公司之子公司陕西黄马甲物流公司物流配送中心升级改造项目拨付</w:t>
      </w:r>
      <w:r>
        <w:rPr>
          <w:rFonts w:ascii="宋体" w:hAnsi="宋体" w:cs="宋体" w:eastAsia="宋体" w:hint="default"/>
          <w:spacing w:val="-3"/>
        </w:rPr>
        <w:t>2,000,000.00</w:t>
      </w:r>
      <w:r>
        <w:rPr>
          <w:spacing w:val="-3"/>
        </w:rPr>
        <w:t>元，</w:t>
      </w:r>
      <w:r>
        <w:rPr>
          <w:spacing w:val="-73"/>
        </w:rPr>
        <w:t> </w:t>
      </w:r>
      <w:r>
        <w:rPr/>
        <w:t>本期计入当期损益</w:t>
      </w:r>
      <w:r>
        <w:rPr>
          <w:rFonts w:ascii="宋体" w:hAnsi="宋体" w:cs="宋体" w:eastAsia="宋体" w:hint="default"/>
        </w:rPr>
        <w:t>499,999.98</w:t>
      </w:r>
      <w:r>
        <w:rPr/>
        <w:t>元，期末余额</w:t>
      </w:r>
      <w:r>
        <w:rPr>
          <w:rFonts w:ascii="宋体" w:hAnsi="宋体" w:cs="宋体" w:eastAsia="宋体" w:hint="default"/>
        </w:rPr>
        <w:t>1,500,000.02</w:t>
      </w:r>
      <w:r>
        <w:rPr/>
        <w:t>元。</w:t>
      </w:r>
    </w:p>
    <w:p>
      <w:pPr>
        <w:pStyle w:val="BodyText"/>
        <w:spacing w:line="420" w:lineRule="auto" w:before="47"/>
        <w:ind w:right="1132"/>
        <w:jc w:val="left"/>
      </w:pPr>
      <w:r>
        <w:rPr>
          <w:rFonts w:ascii="宋体" w:hAnsi="宋体" w:cs="宋体" w:eastAsia="宋体" w:hint="default"/>
        </w:rPr>
        <w:t>*22</w:t>
      </w:r>
      <w:r>
        <w:rPr/>
        <w:t>本公司之子公司上海车音申请承担交通运输部科技司委托的营运车辆低速跟随系统性能要求和测试规 </w:t>
      </w:r>
      <w:r>
        <w:rPr>
          <w:spacing w:val="-1"/>
        </w:rPr>
        <w:t>程标准制修订项目，该项目预算为</w:t>
      </w:r>
      <w:r>
        <w:rPr>
          <w:rFonts w:ascii="宋体" w:hAnsi="宋体" w:cs="宋体" w:eastAsia="宋体" w:hint="default"/>
          <w:spacing w:val="-1"/>
        </w:rPr>
        <w:t>300,000.00</w:t>
      </w:r>
      <w:r>
        <w:rPr>
          <w:spacing w:val="-1"/>
        </w:rPr>
        <w:t>元，项目期限为：</w:t>
      </w:r>
      <w:r>
        <w:rPr>
          <w:rFonts w:ascii="宋体" w:hAnsi="宋体" w:cs="宋体" w:eastAsia="宋体" w:hint="default"/>
          <w:spacing w:val="-1"/>
        </w:rPr>
        <w:t>2018</w:t>
      </w:r>
      <w:r>
        <w:rPr>
          <w:spacing w:val="-1"/>
        </w:rPr>
        <w:t>年</w:t>
      </w:r>
      <w:r>
        <w:rPr>
          <w:rFonts w:ascii="宋体" w:hAnsi="宋体" w:cs="宋体" w:eastAsia="宋体" w:hint="default"/>
          <w:spacing w:val="-1"/>
        </w:rPr>
        <w:t>-2019</w:t>
      </w:r>
      <w:r>
        <w:rPr>
          <w:spacing w:val="-1"/>
        </w:rPr>
        <w:t>年，</w:t>
      </w:r>
      <w:r>
        <w:rPr>
          <w:rFonts w:ascii="宋体" w:hAnsi="宋体" w:cs="宋体" w:eastAsia="宋体" w:hint="default"/>
          <w:spacing w:val="-1"/>
        </w:rPr>
        <w:t>2018</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31</w:t>
      </w:r>
      <w:r>
        <w:rPr>
          <w:spacing w:val="-1"/>
        </w:rPr>
        <w:t>号交通运输</w:t>
      </w:r>
      <w:r>
        <w:rPr>
          <w:spacing w:val="-77"/>
        </w:rPr>
        <w:t> </w:t>
      </w:r>
      <w:r>
        <w:rPr>
          <w:spacing w:val="-77"/>
        </w:rPr>
      </w:r>
      <w:r>
        <w:rPr/>
        <w:t>部审计司拨付</w:t>
      </w:r>
      <w:r>
        <w:rPr>
          <w:rFonts w:ascii="宋体" w:hAnsi="宋体" w:cs="宋体" w:eastAsia="宋体" w:hint="default"/>
        </w:rPr>
        <w:t>200,000.00</w:t>
      </w:r>
      <w:r>
        <w:rPr/>
        <w:t>元专项资金。</w:t>
      </w:r>
    </w:p>
    <w:p>
      <w:pPr>
        <w:spacing w:line="240" w:lineRule="auto" w:before="12"/>
        <w:rPr>
          <w:rFonts w:ascii="宋体" w:hAnsi="宋体" w:cs="宋体" w:eastAsia="宋体" w:hint="default"/>
          <w:sz w:val="14"/>
          <w:szCs w:val="14"/>
        </w:rPr>
      </w:pPr>
    </w:p>
    <w:p>
      <w:pPr>
        <w:pStyle w:val="Heading4"/>
        <w:spacing w:line="240" w:lineRule="auto"/>
        <w:ind w:right="0"/>
        <w:jc w:val="left"/>
        <w:rPr>
          <w:b w:val="0"/>
          <w:bCs w:val="0"/>
        </w:rPr>
      </w:pPr>
      <w:bookmarkStart w:name="33、其他非流动负债" w:id="307"/>
      <w:bookmarkEnd w:id="307"/>
      <w:r>
        <w:rPr>
          <w:b w:val="0"/>
          <w:bCs w:val="0"/>
        </w:rPr>
      </w:r>
      <w:r>
        <w:rPr>
          <w:rFonts w:ascii="宋体" w:hAnsi="宋体" w:cs="宋体" w:eastAsia="宋体" w:hint="default"/>
        </w:rPr>
        <w:t>33</w:t>
      </w:r>
      <w:r>
        <w:rPr/>
        <w:t>、其他非流动负债</w:t>
      </w:r>
      <w:r>
        <w:rPr>
          <w:b w:val="0"/>
          <w:bCs w:val="0"/>
        </w:rPr>
      </w:r>
    </w:p>
    <w:p>
      <w:pPr>
        <w:spacing w:line="240" w:lineRule="auto" w:before="9"/>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3,143,347.00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3,275,259.28</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3,143,347.00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3,275,259.28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4、股本" w:id="308"/>
      <w:bookmarkEnd w:id="308"/>
      <w:r>
        <w:rPr>
          <w:b w:val="0"/>
          <w:bCs w:val="0"/>
        </w:rPr>
      </w:r>
      <w:r>
        <w:rPr>
          <w:rFonts w:ascii="宋体" w:hAnsi="宋体" w:cs="宋体" w:eastAsia="宋体" w:hint="default"/>
        </w:rPr>
        <w:t>34</w:t>
      </w:r>
      <w:r>
        <w:rPr/>
        <w:t>、股本</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983"/>
        <w:gridCol w:w="1700"/>
        <w:gridCol w:w="850"/>
        <w:gridCol w:w="852"/>
        <w:gridCol w:w="991"/>
        <w:gridCol w:w="1358"/>
        <w:gridCol w:w="1263"/>
        <w:gridCol w:w="1571"/>
      </w:tblGrid>
      <w:tr>
        <w:trPr>
          <w:trHeight w:val="167" w:hRule="exact"/>
        </w:trPr>
        <w:tc>
          <w:tcPr>
            <w:tcW w:w="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5315"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left="1712"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p>
        </w:tc>
        <w:tc>
          <w:tcPr>
            <w:tcW w:w="157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983" w:type="dxa"/>
            <w:vMerge w:val="restart"/>
            <w:tcBorders>
              <w:top w:val="nil" w:sz="6" w:space="0" w:color="auto"/>
              <w:left w:val="single" w:sz="4" w:space="0" w:color="000000"/>
              <w:right w:val="single" w:sz="4" w:space="0" w:color="000000"/>
            </w:tcBorders>
            <w:shd w:val="clear" w:color="auto" w:fill="D2D2D2"/>
          </w:tcPr>
          <w:p>
            <w:pPr/>
          </w:p>
        </w:tc>
        <w:tc>
          <w:tcPr>
            <w:tcW w:w="17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5" w:type="dxa"/>
            <w:gridSpan w:val="5"/>
            <w:vMerge/>
            <w:tcBorders>
              <w:left w:val="single" w:sz="4" w:space="0" w:color="000000"/>
              <w:bottom w:val="single" w:sz="4" w:space="0" w:color="000000"/>
              <w:right w:val="single" w:sz="4" w:space="0" w:color="000000"/>
            </w:tcBorders>
            <w:shd w:val="clear" w:color="auto" w:fill="D2D2D2"/>
          </w:tcPr>
          <w:p>
            <w:pPr/>
          </w:p>
        </w:tc>
        <w:tc>
          <w:tcPr>
            <w:tcW w:w="1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2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1" w:hRule="exact"/>
        </w:trPr>
        <w:tc>
          <w:tcPr>
            <w:tcW w:w="983" w:type="dxa"/>
            <w:vMerge/>
            <w:tcBorders>
              <w:left w:val="single" w:sz="4" w:space="0" w:color="000000"/>
              <w:bottom w:val="nil" w:sz="6" w:space="0" w:color="auto"/>
              <w:right w:val="single" w:sz="4" w:space="0" w:color="000000"/>
            </w:tcBorders>
            <w:shd w:val="clear" w:color="auto" w:fill="D2D2D2"/>
          </w:tcPr>
          <w:p>
            <w:pPr/>
          </w:p>
        </w:tc>
        <w:tc>
          <w:tcPr>
            <w:tcW w:w="1700"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4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3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71"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358" w:type="dxa"/>
            <w:vMerge/>
            <w:tcBorders>
              <w:left w:val="single" w:sz="4" w:space="0" w:color="000000"/>
              <w:bottom w:val="single" w:sz="4" w:space="0" w:color="000000"/>
              <w:right w:val="single" w:sz="4" w:space="0" w:color="000000"/>
            </w:tcBorders>
            <w:shd w:val="clear" w:color="auto" w:fill="D2D2D2"/>
          </w:tcPr>
          <w:p>
            <w:pPr/>
          </w:p>
        </w:tc>
        <w:tc>
          <w:tcPr>
            <w:tcW w:w="1263" w:type="dxa"/>
            <w:vMerge/>
            <w:tcBorders>
              <w:left w:val="single" w:sz="4" w:space="0" w:color="000000"/>
              <w:bottom w:val="single" w:sz="4" w:space="0" w:color="000000"/>
              <w:right w:val="single" w:sz="4" w:space="0" w:color="000000"/>
            </w:tcBorders>
            <w:shd w:val="clear" w:color="auto" w:fill="D2D2D2"/>
          </w:tcPr>
          <w:p>
            <w:pPr/>
          </w:p>
        </w:tc>
        <w:tc>
          <w:tcPr>
            <w:tcW w:w="157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3"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7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5" w:right="0"/>
              <w:jc w:val="left"/>
              <w:rPr>
                <w:rFonts w:ascii="宋体" w:hAnsi="宋体" w:cs="宋体" w:eastAsia="宋体" w:hint="default"/>
                <w:sz w:val="18"/>
                <w:szCs w:val="18"/>
              </w:rPr>
            </w:pPr>
            <w:r>
              <w:rPr>
                <w:rFonts w:ascii="宋体"/>
                <w:sz w:val="18"/>
              </w:rPr>
              <w:t>2,001,294,740.00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4" w:right="0"/>
              <w:jc w:val="left"/>
              <w:rPr>
                <w:rFonts w:ascii="宋体" w:hAnsi="宋体" w:cs="宋体" w:eastAsia="宋体" w:hint="default"/>
                <w:sz w:val="18"/>
                <w:szCs w:val="18"/>
              </w:rPr>
            </w:pPr>
            <w:r>
              <w:rPr>
                <w:rFonts w:ascii="宋体"/>
                <w:sz w:val="18"/>
              </w:rPr>
              <w:t>-4,049,283.00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 w:right="0"/>
              <w:jc w:val="left"/>
              <w:rPr>
                <w:rFonts w:ascii="宋体" w:hAnsi="宋体" w:cs="宋体" w:eastAsia="宋体" w:hint="default"/>
                <w:sz w:val="18"/>
                <w:szCs w:val="18"/>
              </w:rPr>
            </w:pPr>
            <w:r>
              <w:rPr>
                <w:rFonts w:ascii="宋体"/>
                <w:sz w:val="18"/>
              </w:rPr>
              <w:t>-4,049,283.00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sz w:val="18"/>
              </w:rPr>
              <w:t>1,997,245,457.00</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left="394" w:right="8652"/>
        <w:jc w:val="left"/>
      </w:pPr>
      <w:r>
        <w:rPr/>
        <w:t>其他说明： 本期减少详见附注三。</w:t>
      </w:r>
    </w:p>
    <w:p>
      <w:pPr>
        <w:spacing w:line="240" w:lineRule="auto" w:before="12"/>
        <w:rPr>
          <w:rFonts w:ascii="宋体" w:hAnsi="宋体" w:cs="宋体" w:eastAsia="宋体" w:hint="default"/>
          <w:sz w:val="14"/>
          <w:szCs w:val="14"/>
        </w:rPr>
      </w:pPr>
    </w:p>
    <w:p>
      <w:pPr>
        <w:pStyle w:val="Heading4"/>
        <w:spacing w:line="240" w:lineRule="auto"/>
        <w:ind w:left="394" w:right="0"/>
        <w:jc w:val="left"/>
        <w:rPr>
          <w:b w:val="0"/>
          <w:bCs w:val="0"/>
        </w:rPr>
      </w:pPr>
      <w:bookmarkStart w:name="35、资本公积" w:id="309"/>
      <w:bookmarkEnd w:id="309"/>
      <w:r>
        <w:rPr>
          <w:b w:val="0"/>
          <w:bCs w:val="0"/>
        </w:rPr>
      </w:r>
      <w:r>
        <w:rPr>
          <w:rFonts w:ascii="宋体" w:hAnsi="宋体" w:cs="宋体" w:eastAsia="宋体" w:hint="default"/>
        </w:rPr>
        <w:t>35</w:t>
      </w:r>
      <w:r>
        <w:rPr/>
        <w:t>、资本公积</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40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3,485,511,711.90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3,485,511,711.90</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235,889,841.16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98,862,986.21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49,535,218.41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285,217,608.96</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3,721,401,553.06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98,862,986.21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49,535,218.41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3,770,729,320.86</w:t>
            </w:r>
          </w:p>
        </w:tc>
      </w:tr>
    </w:tbl>
    <w:p>
      <w:pPr>
        <w:spacing w:line="240" w:lineRule="auto" w:before="12"/>
        <w:rPr>
          <w:rFonts w:ascii="宋体" w:hAnsi="宋体" w:cs="宋体" w:eastAsia="宋体" w:hint="default"/>
          <w:sz w:val="7"/>
          <w:szCs w:val="7"/>
        </w:rPr>
      </w:pPr>
    </w:p>
    <w:p>
      <w:pPr>
        <w:pStyle w:val="BodyText"/>
        <w:spacing w:line="420" w:lineRule="auto" w:before="35"/>
        <w:ind w:left="394" w:right="1117"/>
        <w:jc w:val="left"/>
      </w:pPr>
      <w:r>
        <w:rPr/>
        <w:t>其他说明，包括本期增减变动情况、变动原因说明： </w:t>
      </w:r>
      <w:r>
        <w:rPr>
          <w:spacing w:val="-1"/>
        </w:rPr>
        <w:t>本期增加系：（</w:t>
      </w:r>
      <w:r>
        <w:rPr>
          <w:rFonts w:ascii="宋体" w:hAnsi="宋体" w:cs="宋体" w:eastAsia="宋体" w:hint="default"/>
          <w:spacing w:val="-1"/>
        </w:rPr>
        <w:t>1</w:t>
      </w:r>
      <w:r>
        <w:rPr>
          <w:spacing w:val="-1"/>
        </w:rPr>
        <w:t>）本期增加资本公积</w:t>
      </w:r>
      <w:r>
        <w:rPr>
          <w:rFonts w:ascii="宋体" w:hAnsi="宋体" w:cs="宋体" w:eastAsia="宋体" w:hint="default"/>
          <w:spacing w:val="-1"/>
        </w:rPr>
        <w:t>4,049,283.00</w:t>
      </w:r>
      <w:r>
        <w:rPr>
          <w:spacing w:val="-1"/>
        </w:rPr>
        <w:t>元，详见附注三。（</w:t>
      </w:r>
      <w:r>
        <w:rPr>
          <w:rFonts w:ascii="宋体" w:hAnsi="宋体" w:cs="宋体" w:eastAsia="宋体" w:hint="default"/>
          <w:spacing w:val="-1"/>
        </w:rPr>
        <w:t>2</w:t>
      </w:r>
      <w:r>
        <w:rPr>
          <w:spacing w:val="-1"/>
        </w:rPr>
        <w:t>）华商广告与华商盈通少数股东</w:t>
      </w:r>
      <w:r>
        <w:rPr>
          <w:spacing w:val="-80"/>
        </w:rPr>
        <w:t> </w:t>
      </w:r>
      <w:r>
        <w:rPr>
          <w:spacing w:val="-80"/>
        </w:rPr>
      </w:r>
      <w:r>
        <w:rPr/>
        <w:t>签订股权收购协议，收购后持股比例由</w:t>
      </w:r>
      <w:r>
        <w:rPr>
          <w:rFonts w:ascii="宋体" w:hAnsi="宋体" w:cs="宋体" w:eastAsia="宋体" w:hint="default"/>
        </w:rPr>
        <w:t>61.25%</w:t>
      </w:r>
      <w:r>
        <w:rPr/>
        <w:t>上升为</w:t>
      </w:r>
      <w:r>
        <w:rPr>
          <w:rFonts w:ascii="宋体" w:hAnsi="宋体" w:cs="宋体" w:eastAsia="宋体" w:hint="default"/>
        </w:rPr>
        <w:t>100.00%</w:t>
      </w:r>
      <w:r>
        <w:rPr/>
        <w:t>，增加资本公积</w:t>
      </w:r>
      <w:r>
        <w:rPr>
          <w:rFonts w:ascii="宋体" w:hAnsi="宋体" w:cs="宋体" w:eastAsia="宋体" w:hint="default"/>
        </w:rPr>
        <w:t>94,789,002.70</w:t>
      </w:r>
      <w:r>
        <w:rPr/>
        <w:t>元。（</w:t>
      </w:r>
      <w:r>
        <w:rPr>
          <w:rFonts w:ascii="宋体" w:hAnsi="宋体" w:cs="宋体" w:eastAsia="宋体" w:hint="default"/>
        </w:rPr>
        <w:t>3</w:t>
      </w:r>
      <w:r>
        <w:rPr/>
        <w:t>）华 </w:t>
      </w:r>
      <w:r>
        <w:rPr>
          <w:spacing w:val="-1"/>
        </w:rPr>
        <w:t>商数码之联营企业辽宁印刷所有者权益变动，所享有的所有者权益份额增加</w:t>
      </w:r>
      <w:r>
        <w:rPr>
          <w:rFonts w:ascii="宋体" w:hAnsi="宋体" w:cs="宋体" w:eastAsia="宋体" w:hint="default"/>
          <w:spacing w:val="-1"/>
        </w:rPr>
        <w:t>34.39</w:t>
      </w:r>
      <w:r>
        <w:rPr>
          <w:spacing w:val="-1"/>
        </w:rPr>
        <w:t>元。（</w:t>
      </w:r>
      <w:r>
        <w:rPr>
          <w:rFonts w:ascii="宋体" w:hAnsi="宋体" w:cs="宋体" w:eastAsia="宋体" w:hint="default"/>
          <w:spacing w:val="-1"/>
        </w:rPr>
        <w:t>4</w:t>
      </w:r>
      <w:r>
        <w:rPr>
          <w:spacing w:val="-1"/>
        </w:rPr>
        <w:t>）山南华闻之联</w:t>
      </w:r>
      <w:r>
        <w:rPr>
          <w:spacing w:val="-83"/>
        </w:rPr>
        <w:t> </w:t>
      </w:r>
      <w:r>
        <w:rPr>
          <w:spacing w:val="-83"/>
        </w:rPr>
      </w:r>
      <w:r>
        <w:rPr/>
        <w:t>营企业国广联合所有者权益变动，所享有的所有者权益份额增加</w:t>
      </w:r>
      <w:r>
        <w:rPr>
          <w:rFonts w:ascii="宋体" w:hAnsi="宋体" w:cs="宋体" w:eastAsia="宋体" w:hint="default"/>
        </w:rPr>
        <w:t>24,056.54</w:t>
      </w:r>
      <w:r>
        <w:rPr/>
        <w:t>元。</w:t>
      </w:r>
      <w:r>
        <w:rPr>
          <w:rFonts w:ascii="宋体" w:hAnsi="宋体" w:cs="宋体" w:eastAsia="宋体" w:hint="default"/>
        </w:rPr>
        <w:t>(5)</w:t>
      </w:r>
      <w:r>
        <w:rPr>
          <w:rFonts w:ascii="宋体" w:hAnsi="宋体" w:cs="宋体" w:eastAsia="宋体" w:hint="default"/>
          <w:spacing w:val="-4"/>
        </w:rPr>
        <w:t> </w:t>
      </w:r>
      <w:r>
        <w:rPr>
          <w:rFonts w:ascii="黑体" w:hAnsi="黑体" w:cs="黑体" w:eastAsia="黑体" w:hint="default"/>
          <w:b/>
          <w:bCs/>
        </w:rPr>
        <w:t>本公司之联营企业国</w:t>
      </w:r>
      <w:r>
        <w:rPr>
          <w:rFonts w:ascii="黑体" w:hAnsi="黑体" w:cs="黑体" w:eastAsia="黑体" w:hint="default"/>
          <w:b/>
          <w:bCs/>
          <w:w w:val="99"/>
        </w:rPr>
        <w:t> </w:t>
      </w:r>
      <w:r>
        <w:rPr>
          <w:rFonts w:ascii="黑体" w:hAnsi="黑体" w:cs="黑体" w:eastAsia="黑体" w:hint="default"/>
          <w:b/>
          <w:bCs/>
        </w:rPr>
        <w:t>广东方所有者权益变动，所享有的所有者权益份额增加</w:t>
      </w:r>
      <w:r>
        <w:rPr>
          <w:rFonts w:ascii="黑体" w:hAnsi="黑体" w:cs="黑体" w:eastAsia="黑体" w:hint="default"/>
          <w:b/>
          <w:bCs/>
        </w:rPr>
        <w:t>609.58</w:t>
      </w:r>
      <w:r>
        <w:rPr>
          <w:rFonts w:ascii="黑体" w:hAnsi="黑体" w:cs="黑体" w:eastAsia="黑体" w:hint="default"/>
          <w:b/>
          <w:bCs/>
        </w:rPr>
        <w:t>元</w:t>
      </w:r>
      <w:r>
        <w:rPr/>
        <w:t>。 </w:t>
      </w:r>
      <w:r>
        <w:rPr>
          <w:spacing w:val="-1"/>
        </w:rPr>
        <w:t>本期减少系：（</w:t>
      </w:r>
      <w:r>
        <w:rPr>
          <w:rFonts w:ascii="宋体" w:hAnsi="宋体" w:cs="宋体" w:eastAsia="宋体" w:hint="default"/>
          <w:spacing w:val="-1"/>
        </w:rPr>
        <w:t>1</w:t>
      </w:r>
      <w:r>
        <w:rPr>
          <w:spacing w:val="-1"/>
        </w:rPr>
        <w:t>）</w:t>
      </w:r>
      <w:r>
        <w:rPr>
          <w:rFonts w:ascii="黑体" w:hAnsi="黑体" w:cs="黑体" w:eastAsia="黑体" w:hint="default"/>
          <w:b/>
          <w:bCs/>
          <w:spacing w:val="-1"/>
        </w:rPr>
        <w:t>本公司处置国广东方</w:t>
      </w:r>
      <w:r>
        <w:rPr>
          <w:rFonts w:ascii="黑体" w:hAnsi="黑体" w:cs="黑体" w:eastAsia="黑体" w:hint="default"/>
          <w:b/>
          <w:bCs/>
          <w:spacing w:val="-1"/>
        </w:rPr>
        <w:t>19%</w:t>
      </w:r>
      <w:r>
        <w:rPr>
          <w:rFonts w:ascii="黑体" w:hAnsi="黑体" w:cs="黑体" w:eastAsia="黑体" w:hint="default"/>
          <w:b/>
          <w:bCs/>
          <w:spacing w:val="-1"/>
        </w:rPr>
        <w:t>股权按比例转出减少</w:t>
      </w:r>
      <w:r>
        <w:rPr>
          <w:rFonts w:ascii="黑体" w:hAnsi="黑体" w:cs="黑体" w:eastAsia="黑体" w:hint="default"/>
          <w:b/>
          <w:bCs/>
          <w:spacing w:val="-1"/>
        </w:rPr>
        <w:t>35,677,739.45</w:t>
      </w:r>
      <w:r>
        <w:rPr>
          <w:rFonts w:ascii="黑体" w:hAnsi="黑体" w:cs="黑体" w:eastAsia="黑体" w:hint="default"/>
          <w:b/>
          <w:bCs/>
          <w:spacing w:val="-1"/>
        </w:rPr>
        <w:t>元。</w:t>
      </w:r>
      <w:r>
        <w:rPr>
          <w:spacing w:val="-1"/>
        </w:rPr>
        <w:t>（</w:t>
      </w:r>
      <w:r>
        <w:rPr>
          <w:rFonts w:ascii="宋体" w:hAnsi="宋体" w:cs="宋体" w:eastAsia="宋体" w:hint="default"/>
          <w:spacing w:val="-1"/>
        </w:rPr>
        <w:t>2</w:t>
      </w:r>
      <w:r>
        <w:rPr>
          <w:spacing w:val="-1"/>
        </w:rPr>
        <w:t>）时报传媒之联营</w:t>
      </w:r>
      <w:r>
        <w:rPr/>
        <w:t> 企业点石创新所有者权益变动，所享有的所有者权益份额减少</w:t>
      </w:r>
      <w:r>
        <w:rPr>
          <w:rFonts w:ascii="宋体" w:hAnsi="宋体" w:cs="宋体" w:eastAsia="宋体" w:hint="default"/>
        </w:rPr>
        <w:t>5,736,106.29</w:t>
      </w:r>
      <w:r>
        <w:rPr/>
        <w:t>元。（</w:t>
      </w:r>
      <w:r>
        <w:rPr>
          <w:rFonts w:ascii="宋体" w:hAnsi="宋体" w:cs="宋体" w:eastAsia="宋体" w:hint="default"/>
        </w:rPr>
        <w:t>3</w:t>
      </w:r>
      <w:r>
        <w:rPr/>
        <w:t>）时报传媒之联营企 业价值在线所有者权益变动，所享有的所有者权益份额减少</w:t>
      </w:r>
      <w:r>
        <w:rPr>
          <w:rFonts w:ascii="宋体" w:hAnsi="宋体" w:cs="宋体" w:eastAsia="宋体" w:hint="default"/>
        </w:rPr>
        <w:t>1,243,772.67</w:t>
      </w:r>
      <w:r>
        <w:rPr/>
        <w:t>元。（</w:t>
      </w:r>
      <w:r>
        <w:rPr>
          <w:rFonts w:ascii="宋体" w:hAnsi="宋体" w:cs="宋体" w:eastAsia="宋体" w:hint="default"/>
        </w:rPr>
        <w:t>4</w:t>
      </w:r>
      <w:r>
        <w:rPr/>
        <w:t>）本公司与丰泽投资少 数股东签订股权收购协议，收购后持股比例由</w:t>
      </w:r>
      <w:r>
        <w:rPr>
          <w:rFonts w:ascii="宋体" w:hAnsi="宋体" w:cs="宋体" w:eastAsia="宋体" w:hint="default"/>
        </w:rPr>
        <w:t>50.00%</w:t>
      </w:r>
      <w:r>
        <w:rPr/>
        <w:t>上升为</w:t>
      </w:r>
      <w:r>
        <w:rPr>
          <w:rFonts w:ascii="宋体" w:hAnsi="宋体" w:cs="宋体" w:eastAsia="宋体" w:hint="default"/>
        </w:rPr>
        <w:t>80.00%</w:t>
      </w:r>
      <w:r>
        <w:rPr/>
        <w:t>，冲减资本公积</w:t>
      </w:r>
      <w:r>
        <w:rPr>
          <w:rFonts w:ascii="宋体" w:hAnsi="宋体" w:cs="宋体" w:eastAsia="宋体" w:hint="default"/>
        </w:rPr>
        <w:t>6,877,600.00</w:t>
      </w:r>
      <w:r>
        <w:rPr/>
        <w:t>元。</w:t>
      </w:r>
    </w:p>
    <w:p>
      <w:pPr>
        <w:spacing w:line="240" w:lineRule="auto" w:before="12"/>
        <w:rPr>
          <w:rFonts w:ascii="宋体" w:hAnsi="宋体" w:cs="宋体" w:eastAsia="宋体" w:hint="default"/>
          <w:sz w:val="14"/>
          <w:szCs w:val="14"/>
        </w:rPr>
      </w:pPr>
    </w:p>
    <w:p>
      <w:pPr>
        <w:pStyle w:val="Heading4"/>
        <w:spacing w:line="240" w:lineRule="auto"/>
        <w:ind w:left="394" w:right="0"/>
        <w:jc w:val="left"/>
        <w:rPr>
          <w:b w:val="0"/>
          <w:bCs w:val="0"/>
        </w:rPr>
      </w:pPr>
      <w:bookmarkStart w:name="36、其他综合收益" w:id="310"/>
      <w:bookmarkEnd w:id="310"/>
      <w:r>
        <w:rPr>
          <w:b w:val="0"/>
          <w:bCs w:val="0"/>
        </w:rPr>
      </w:r>
      <w:r>
        <w:rPr>
          <w:rFonts w:ascii="宋体" w:hAnsi="宋体" w:cs="宋体" w:eastAsia="宋体" w:hint="default"/>
        </w:rPr>
        <w:t>36</w:t>
      </w:r>
      <w:r>
        <w:rPr/>
        <w:t>、其他综合收益</w:t>
      </w:r>
      <w:r>
        <w:rPr>
          <w:b w:val="0"/>
          <w:bCs w:val="0"/>
        </w:rPr>
      </w:r>
    </w:p>
    <w:p>
      <w:pPr>
        <w:spacing w:line="240" w:lineRule="auto" w:before="9"/>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679"/>
        <w:gridCol w:w="1429"/>
        <w:gridCol w:w="1277"/>
        <w:gridCol w:w="1274"/>
        <w:gridCol w:w="1134"/>
        <w:gridCol w:w="1134"/>
        <w:gridCol w:w="1134"/>
        <w:gridCol w:w="1134"/>
      </w:tblGrid>
      <w:tr>
        <w:trPr>
          <w:trHeight w:val="317" w:hRule="exact"/>
        </w:trPr>
        <w:tc>
          <w:tcPr>
            <w:tcW w:w="1679" w:type="dxa"/>
            <w:vMerge w:val="restart"/>
            <w:tcBorders>
              <w:top w:val="single" w:sz="4" w:space="0" w:color="000000"/>
              <w:left w:val="single" w:sz="4" w:space="0" w:color="000000"/>
              <w:right w:val="single" w:sz="4" w:space="0" w:color="000000"/>
            </w:tcBorders>
            <w:shd w:val="clear" w:color="auto" w:fill="D2D2D2"/>
          </w:tcPr>
          <w:p>
            <w:pPr/>
          </w:p>
        </w:tc>
        <w:tc>
          <w:tcPr>
            <w:tcW w:w="1429" w:type="dxa"/>
            <w:vMerge w:val="restart"/>
            <w:tcBorders>
              <w:top w:val="single" w:sz="4" w:space="0" w:color="000000"/>
              <w:left w:val="single" w:sz="4" w:space="0" w:color="000000"/>
              <w:right w:val="single" w:sz="4" w:space="0" w:color="000000"/>
            </w:tcBorders>
            <w:shd w:val="clear" w:color="auto" w:fill="D2D2D2"/>
          </w:tcPr>
          <w:p>
            <w:pPr/>
          </w:p>
        </w:tc>
        <w:tc>
          <w:tcPr>
            <w:tcW w:w="59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134" w:type="dxa"/>
            <w:vMerge w:val="restart"/>
            <w:tcBorders>
              <w:top w:val="single" w:sz="4" w:space="0" w:color="000000"/>
              <w:left w:val="single" w:sz="4" w:space="0" w:color="000000"/>
              <w:right w:val="single" w:sz="4" w:space="0" w:color="000000"/>
            </w:tcBorders>
            <w:shd w:val="clear" w:color="auto" w:fill="D2D2D2"/>
          </w:tcPr>
          <w:p>
            <w:pPr/>
          </w:p>
        </w:tc>
      </w:tr>
      <w:tr>
        <w:trPr>
          <w:trHeight w:val="163"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
              <w:ind w:left="22" w:right="20"/>
              <w:jc w:val="center"/>
              <w:rPr>
                <w:rFonts w:ascii="宋体" w:hAnsi="宋体" w:cs="宋体" w:eastAsia="宋体" w:hint="default"/>
                <w:sz w:val="18"/>
                <w:szCs w:val="18"/>
              </w:rPr>
            </w:pPr>
            <w:r>
              <w:rPr>
                <w:rFonts w:ascii="宋体" w:hAnsi="宋体" w:cs="宋体" w:eastAsia="宋体" w:hint="default"/>
                <w:spacing w:val="-6"/>
                <w:sz w:val="18"/>
                <w:szCs w:val="18"/>
              </w:rPr>
              <w:t>减：前期计入其</w:t>
            </w:r>
            <w:r>
              <w:rPr>
                <w:rFonts w:ascii="宋体" w:hAnsi="宋体" w:cs="宋体" w:eastAsia="宋体" w:hint="default"/>
                <w:sz w:val="18"/>
                <w:szCs w:val="18"/>
              </w:rPr>
              <w:t> 他综合收益当 期转入损益</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310" w:hRule="exact"/>
        </w:trPr>
        <w:tc>
          <w:tcPr>
            <w:tcW w:w="1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3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3"/>
              <w:ind w:left="363" w:right="93" w:hanging="270"/>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274"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3"/>
              <w:ind w:left="471" w:right="21" w:hanging="449"/>
              <w:jc w:val="left"/>
              <w:rPr>
                <w:rFonts w:ascii="宋体" w:hAnsi="宋体" w:cs="宋体" w:eastAsia="宋体" w:hint="default"/>
                <w:sz w:val="18"/>
                <w:szCs w:val="18"/>
              </w:rPr>
            </w:pPr>
            <w:r>
              <w:rPr>
                <w:rFonts w:ascii="宋体" w:hAnsi="宋体" w:cs="宋体" w:eastAsia="宋体" w:hint="default"/>
                <w:sz w:val="18"/>
                <w:szCs w:val="18"/>
              </w:rPr>
              <w:t>减：所得税费 用</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3"/>
              <w:ind w:left="291" w:right="111"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3"/>
              <w:ind w:left="201" w:right="110" w:hanging="90"/>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7"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79" w:type="dxa"/>
            <w:vMerge/>
            <w:tcBorders>
              <w:left w:val="single" w:sz="4" w:space="0" w:color="000000"/>
              <w:bottom w:val="single" w:sz="4" w:space="0" w:color="000000"/>
              <w:right w:val="single" w:sz="4" w:space="0" w:color="000000"/>
            </w:tcBorders>
            <w:shd w:val="clear" w:color="auto" w:fill="D2D2D2"/>
          </w:tcPr>
          <w:p>
            <w:pPr/>
          </w:p>
        </w:tc>
        <w:tc>
          <w:tcPr>
            <w:tcW w:w="1429"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635"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2" w:right="5"/>
              <w:jc w:val="left"/>
              <w:rPr>
                <w:rFonts w:ascii="宋体" w:hAnsi="宋体" w:cs="宋体" w:eastAsia="宋体" w:hint="default"/>
                <w:sz w:val="18"/>
                <w:szCs w:val="18"/>
              </w:rPr>
            </w:pPr>
            <w:r>
              <w:rPr>
                <w:rFonts w:ascii="宋体" w:hAnsi="宋体" w:cs="宋体" w:eastAsia="宋体" w:hint="default"/>
                <w:spacing w:val="2"/>
                <w:sz w:val="18"/>
                <w:szCs w:val="18"/>
              </w:rPr>
              <w:t>二、将重分类进损益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的其他综合收益</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19,233,933.64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-58,774,415.89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1" w:right="0"/>
              <w:jc w:val="center"/>
              <w:rPr>
                <w:rFonts w:ascii="宋体" w:hAnsi="宋体" w:cs="宋体" w:eastAsia="宋体" w:hint="default"/>
                <w:sz w:val="15"/>
                <w:szCs w:val="15"/>
              </w:rPr>
            </w:pPr>
            <w:r>
              <w:rPr>
                <w:rFonts w:ascii="宋体"/>
                <w:sz w:val="15"/>
              </w:rPr>
              <w:t>-5,752,974.00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-51,021,192.23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-2,000,249.66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-31,787,258.59</w:t>
            </w:r>
          </w:p>
        </w:tc>
      </w:tr>
      <w:tr>
        <w:trPr>
          <w:trHeight w:val="634"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 w:right="10"/>
              <w:jc w:val="left"/>
              <w:rPr>
                <w:rFonts w:ascii="宋体" w:hAnsi="宋体" w:cs="宋体" w:eastAsia="宋体" w:hint="default"/>
                <w:sz w:val="18"/>
                <w:szCs w:val="18"/>
              </w:rPr>
            </w:pPr>
            <w:r>
              <w:rPr>
                <w:rFonts w:ascii="宋体" w:hAnsi="宋体" w:cs="宋体" w:eastAsia="宋体" w:hint="default"/>
                <w:spacing w:val="2"/>
                <w:sz w:val="18"/>
                <w:szCs w:val="18"/>
              </w:rPr>
              <w:t>其中：权益法下可转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损益的其他综合收益</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-8,053,235.46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-35,723,400.28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-33,758,269.02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-1,965,131.26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-41,811,504.48</w:t>
            </w:r>
          </w:p>
        </w:tc>
      </w:tr>
      <w:tr>
        <w:trPr>
          <w:trHeight w:val="946"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2" w:right="10" w:firstLine="550"/>
              <w:jc w:val="both"/>
              <w:rPr>
                <w:rFonts w:ascii="宋体" w:hAnsi="宋体" w:cs="宋体" w:eastAsia="宋体" w:hint="default"/>
                <w:sz w:val="18"/>
                <w:szCs w:val="18"/>
              </w:rPr>
            </w:pPr>
            <w:r>
              <w:rPr>
                <w:rFonts w:ascii="宋体" w:hAnsi="宋体" w:cs="宋体" w:eastAsia="宋体" w:hint="default"/>
                <w:spacing w:val="2"/>
                <w:sz w:val="18"/>
                <w:szCs w:val="18"/>
              </w:rPr>
              <w:t>可供出售金融</w:t>
            </w:r>
            <w:r>
              <w:rPr>
                <w:rFonts w:ascii="宋体" w:hAnsi="宋体" w:cs="宋体" w:eastAsia="宋体" w:hint="default"/>
                <w:sz w:val="18"/>
                <w:szCs w:val="18"/>
              </w:rPr>
              <w:t> </w:t>
            </w:r>
            <w:r>
              <w:rPr>
                <w:rFonts w:ascii="宋体" w:hAnsi="宋体" w:cs="宋体" w:eastAsia="宋体" w:hint="default"/>
                <w:spacing w:val="2"/>
                <w:sz w:val="18"/>
                <w:szCs w:val="18"/>
              </w:rPr>
              <w:t>资产公允价值变动损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27,287,169.10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-22,996,143.12</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1" w:right="0"/>
              <w:jc w:val="center"/>
              <w:rPr>
                <w:rFonts w:ascii="宋体" w:hAnsi="宋体" w:cs="宋体" w:eastAsia="宋体" w:hint="default"/>
                <w:sz w:val="15"/>
                <w:szCs w:val="15"/>
              </w:rPr>
            </w:pPr>
            <w:r>
              <w:rPr>
                <w:rFonts w:ascii="宋体"/>
                <w:sz w:val="15"/>
              </w:rPr>
              <w:t>-5,752,974.00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-17,243,169.12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10,043,999.98</w:t>
            </w:r>
          </w:p>
        </w:tc>
      </w:tr>
      <w:tr>
        <w:trPr>
          <w:trHeight w:val="635"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2" w:right="10" w:firstLine="550"/>
              <w:jc w:val="left"/>
              <w:rPr>
                <w:rFonts w:ascii="宋体" w:hAnsi="宋体" w:cs="宋体" w:eastAsia="宋体" w:hint="default"/>
                <w:sz w:val="18"/>
                <w:szCs w:val="18"/>
              </w:rPr>
            </w:pPr>
            <w:r>
              <w:rPr>
                <w:rFonts w:ascii="宋体" w:hAnsi="宋体" w:cs="宋体" w:eastAsia="宋体" w:hint="default"/>
                <w:spacing w:val="2"/>
                <w:sz w:val="18"/>
                <w:szCs w:val="18"/>
              </w:rPr>
              <w:t>外币财务报表</w:t>
            </w:r>
            <w:r>
              <w:rPr>
                <w:rFonts w:ascii="宋体" w:hAnsi="宋体" w:cs="宋体" w:eastAsia="宋体" w:hint="default"/>
                <w:sz w:val="18"/>
                <w:szCs w:val="18"/>
              </w:rPr>
              <w:t> 折算差额</w:t>
            </w:r>
          </w:p>
        </w:tc>
        <w:tc>
          <w:tcPr>
            <w:tcW w:w="1429"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-54,872.49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-19,754.09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-35,118.40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-19,754.09</w:t>
            </w:r>
          </w:p>
        </w:tc>
      </w:tr>
      <w:tr>
        <w:trPr>
          <w:trHeight w:val="32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19,233,933.64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-58,774,415.89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1" w:right="0"/>
              <w:jc w:val="center"/>
              <w:rPr>
                <w:rFonts w:ascii="宋体" w:hAnsi="宋体" w:cs="宋体" w:eastAsia="宋体" w:hint="default"/>
                <w:sz w:val="15"/>
                <w:szCs w:val="15"/>
              </w:rPr>
            </w:pPr>
            <w:r>
              <w:rPr>
                <w:rFonts w:ascii="宋体"/>
                <w:sz w:val="15"/>
              </w:rPr>
              <w:t>-5,752,974.00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宋体" w:hAnsi="宋体" w:cs="宋体" w:eastAsia="宋体" w:hint="default"/>
                <w:sz w:val="15"/>
                <w:szCs w:val="15"/>
              </w:rPr>
            </w:pPr>
            <w:r>
              <w:rPr>
                <w:rFonts w:ascii="宋体"/>
                <w:spacing w:val="-1"/>
                <w:sz w:val="15"/>
              </w:rPr>
              <w:t>-51,021,192.23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宋体" w:hAnsi="宋体" w:cs="宋体" w:eastAsia="宋体" w:hint="default"/>
                <w:sz w:val="15"/>
                <w:szCs w:val="15"/>
              </w:rPr>
            </w:pPr>
            <w:r>
              <w:rPr>
                <w:rFonts w:ascii="宋体"/>
                <w:spacing w:val="-1"/>
                <w:sz w:val="15"/>
              </w:rPr>
              <w:t>-2,000,249.66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宋体" w:hAnsi="宋体" w:cs="宋体" w:eastAsia="宋体" w:hint="default"/>
                <w:sz w:val="15"/>
                <w:szCs w:val="15"/>
              </w:rPr>
            </w:pPr>
            <w:r>
              <w:rPr>
                <w:rFonts w:ascii="宋体"/>
                <w:spacing w:val="-1"/>
                <w:sz w:val="15"/>
              </w:rPr>
              <w:t>-31,787,258.59</w:t>
            </w:r>
          </w:p>
        </w:tc>
      </w:tr>
    </w:tbl>
    <w:p>
      <w:pPr>
        <w:spacing w:after="0" w:line="240" w:lineRule="auto"/>
        <w:jc w:val="right"/>
        <w:rPr>
          <w:rFonts w:ascii="宋体" w:hAnsi="宋体" w:cs="宋体" w:eastAsia="宋体" w:hint="default"/>
          <w:sz w:val="15"/>
          <w:szCs w:val="15"/>
        </w:rPr>
        <w:sectPr>
          <w:pgSz w:w="11910" w:h="16840"/>
          <w:pgMar w:header="877" w:footer="979" w:top="1100" w:bottom="1160" w:left="74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37、盈余公积" w:id="311"/>
      <w:bookmarkEnd w:id="311"/>
      <w:r>
        <w:rPr>
          <w:b w:val="0"/>
          <w:bCs w:val="0"/>
        </w:rPr>
      </w:r>
      <w:r>
        <w:rPr>
          <w:rFonts w:ascii="宋体" w:hAnsi="宋体" w:cs="宋体" w:eastAsia="宋体" w:hint="default"/>
        </w:rPr>
        <w:t>37</w:t>
      </w:r>
      <w:r>
        <w:rPr/>
        <w:t>、盈余公积</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786"/>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left="623" w:right="0"/>
              <w:jc w:val="left"/>
              <w:rPr>
                <w:rFonts w:ascii="宋体" w:hAnsi="宋体" w:cs="宋体" w:eastAsia="宋体" w:hint="default"/>
                <w:sz w:val="18"/>
                <w:szCs w:val="18"/>
              </w:rPr>
            </w:pPr>
            <w:r>
              <w:rPr>
                <w:rFonts w:ascii="宋体"/>
                <w:sz w:val="18"/>
              </w:rPr>
              <w:t>384,109,971.11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620" w:right="0"/>
              <w:jc w:val="left"/>
              <w:rPr>
                <w:rFonts w:ascii="宋体" w:hAnsi="宋体" w:cs="宋体" w:eastAsia="宋体" w:hint="default"/>
                <w:sz w:val="18"/>
                <w:szCs w:val="18"/>
              </w:rPr>
            </w:pPr>
            <w:r>
              <w:rPr>
                <w:rFonts w:ascii="宋体"/>
                <w:sz w:val="18"/>
              </w:rPr>
              <w:t>384,109,971.11</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758"/>
              <w:jc w:val="righ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623" w:right="0"/>
              <w:jc w:val="left"/>
              <w:rPr>
                <w:rFonts w:ascii="宋体" w:hAnsi="宋体" w:cs="宋体" w:eastAsia="宋体" w:hint="default"/>
                <w:sz w:val="18"/>
                <w:szCs w:val="18"/>
              </w:rPr>
            </w:pPr>
            <w:r>
              <w:rPr>
                <w:rFonts w:ascii="宋体"/>
                <w:sz w:val="18"/>
              </w:rPr>
              <w:t>384,109,971.11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0" w:right="0"/>
              <w:jc w:val="left"/>
              <w:rPr>
                <w:rFonts w:ascii="宋体" w:hAnsi="宋体" w:cs="宋体" w:eastAsia="宋体" w:hint="default"/>
                <w:sz w:val="18"/>
                <w:szCs w:val="18"/>
              </w:rPr>
            </w:pPr>
            <w:r>
              <w:rPr>
                <w:rFonts w:ascii="宋体"/>
                <w:sz w:val="18"/>
              </w:rPr>
              <w:t>384,109,971.11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8、未分配利润" w:id="312"/>
      <w:bookmarkEnd w:id="312"/>
      <w:r>
        <w:rPr>
          <w:b w:val="0"/>
          <w:bCs w:val="0"/>
        </w:rPr>
      </w:r>
      <w:r>
        <w:rPr>
          <w:rFonts w:ascii="宋体" w:hAnsi="宋体" w:cs="宋体" w:eastAsia="宋体" w:hint="default"/>
        </w:rPr>
        <w:t>38</w:t>
      </w:r>
      <w:r>
        <w:rPr/>
        <w:t>、未分配利润</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725"/>
        <w:gridCol w:w="2925"/>
        <w:gridCol w:w="2919"/>
      </w:tblGrid>
      <w:tr>
        <w:trPr>
          <w:trHeight w:val="32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3,636,292,086.82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5"/>
              <w:jc w:val="right"/>
              <w:rPr>
                <w:rFonts w:ascii="宋体" w:hAnsi="宋体" w:cs="宋体" w:eastAsia="宋体" w:hint="default"/>
                <w:sz w:val="18"/>
                <w:szCs w:val="18"/>
              </w:rPr>
            </w:pPr>
            <w:r>
              <w:rPr>
                <w:rFonts w:ascii="宋体"/>
                <w:sz w:val="18"/>
              </w:rPr>
              <w:t>3,449,835,468.69</w:t>
            </w:r>
          </w:p>
        </w:tc>
      </w:tr>
      <w:tr>
        <w:trPr>
          <w:trHeight w:val="42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宋体" w:hAnsi="宋体" w:cs="宋体" w:eastAsia="宋体" w:hint="default"/>
                <w:sz w:val="18"/>
                <w:szCs w:val="18"/>
              </w:rPr>
              <w:t>+</w:t>
            </w:r>
            <w:r>
              <w:rPr>
                <w:rFonts w:ascii="宋体" w:hAnsi="宋体" w:cs="宋体" w:eastAsia="宋体" w:hint="default"/>
                <w:sz w:val="18"/>
                <w:szCs w:val="18"/>
              </w:rPr>
              <w:t>，调减</w:t>
            </w:r>
            <w:r>
              <w:rPr>
                <w:rFonts w:ascii="宋体" w:hAnsi="宋体" w:cs="宋体" w:eastAsia="宋体" w:hint="default"/>
                <w:sz w:val="18"/>
                <w:szCs w:val="18"/>
              </w:rPr>
              <w:t>-</w:t>
            </w:r>
            <w:r>
              <w:rPr>
                <w:rFonts w:ascii="宋体" w:hAnsi="宋体" w:cs="宋体" w:eastAsia="宋体" w:hint="default"/>
                <w:sz w:val="18"/>
                <w:szCs w:val="18"/>
              </w:rPr>
              <w:t>）</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-32,538,250.72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right"/>
              <w:rPr>
                <w:rFonts w:ascii="宋体" w:hAnsi="宋体" w:cs="宋体" w:eastAsia="宋体" w:hint="default"/>
                <w:sz w:val="18"/>
                <w:szCs w:val="18"/>
              </w:rPr>
            </w:pPr>
            <w:r>
              <w:rPr>
                <w:rFonts w:ascii="宋体"/>
                <w:sz w:val="18"/>
              </w:rPr>
              <w:t>-32,405,064.33</w:t>
            </w:r>
          </w:p>
        </w:tc>
      </w:tr>
      <w:tr>
        <w:trPr>
          <w:trHeight w:val="38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sz w:val="18"/>
              </w:rPr>
              <w:t>3,603,753,836.10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sz w:val="18"/>
              </w:rPr>
              <w:t>3,417,430,404.36</w:t>
            </w:r>
          </w:p>
        </w:tc>
      </w:tr>
      <w:tr>
        <w:trPr>
          <w:trHeight w:val="32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-4,990,610,136.34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277,104,888.34</w:t>
            </w:r>
          </w:p>
        </w:tc>
      </w:tr>
      <w:tr>
        <w:trPr>
          <w:trHeight w:val="32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30,019,409.89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90,781,456.60</w:t>
            </w:r>
          </w:p>
        </w:tc>
      </w:tr>
      <w:tr>
        <w:trPr>
          <w:trHeight w:val="32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-1,416,875,710.13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3,603,753,836.10</w:t>
            </w:r>
          </w:p>
        </w:tc>
      </w:tr>
    </w:tbl>
    <w:p>
      <w:pPr>
        <w:spacing w:line="240" w:lineRule="auto" w:before="12"/>
        <w:rPr>
          <w:rFonts w:ascii="宋体" w:hAnsi="宋体" w:cs="宋体" w:eastAsia="宋体" w:hint="default"/>
          <w:sz w:val="7"/>
          <w:szCs w:val="7"/>
        </w:rPr>
      </w:pPr>
    </w:p>
    <w:p>
      <w:pPr>
        <w:pStyle w:val="BodyText"/>
        <w:spacing w:line="420" w:lineRule="auto" w:before="35"/>
        <w:ind w:right="2458"/>
        <w:jc w:val="left"/>
      </w:pPr>
      <w:r>
        <w:rPr/>
        <w:t>调整期初未分配利润明细： </w:t>
      </w:r>
      <w:r>
        <w:rPr>
          <w:rFonts w:ascii="宋体" w:hAnsi="宋体" w:cs="宋体" w:eastAsia="宋体" w:hint="default"/>
        </w:rPr>
        <w:t>1)</w:t>
      </w:r>
      <w:r>
        <w:rPr/>
        <w:t>、由于《企业会计准则》及其相关新规定进行追溯调整，影响期初未分配利润</w:t>
      </w:r>
      <w:r>
        <w:rPr>
          <w:spacing w:val="-52"/>
        </w:rPr>
        <w:t> </w:t>
      </w:r>
      <w:r>
        <w:rPr>
          <w:rFonts w:ascii="宋体" w:hAnsi="宋体" w:cs="宋体" w:eastAsia="宋体" w:hint="default"/>
        </w:rPr>
        <w:t>0.00</w:t>
      </w:r>
      <w:r>
        <w:rPr>
          <w:rFonts w:ascii="宋体" w:hAnsi="宋体" w:cs="宋体" w:eastAsia="宋体" w:hint="default"/>
          <w:spacing w:val="-54"/>
        </w:rPr>
        <w:t> </w:t>
      </w:r>
      <w:r>
        <w:rPr/>
        <w:t>元。</w:t>
      </w:r>
    </w:p>
    <w:p>
      <w:pPr>
        <w:pStyle w:val="BodyText"/>
        <w:spacing w:line="240" w:lineRule="auto" w:before="47"/>
        <w:ind w:right="0"/>
        <w:jc w:val="left"/>
      </w:pPr>
      <w:r>
        <w:rPr>
          <w:rFonts w:ascii="宋体" w:hAnsi="宋体" w:cs="宋体" w:eastAsia="宋体" w:hint="default"/>
        </w:rPr>
        <w:t>2)</w:t>
      </w:r>
      <w:r>
        <w:rPr/>
        <w:t>、由于会计政策变更，影响期初未分配利润</w:t>
      </w:r>
      <w:r>
        <w:rPr>
          <w:spacing w:val="-53"/>
        </w:rPr>
        <w:t>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9"/>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3)</w:t>
      </w:r>
      <w:r>
        <w:rPr/>
        <w:t>、由于重大会计差错更正，影响期初未分配利润</w:t>
      </w:r>
      <w:r>
        <w:rPr>
          <w:rFonts w:ascii="宋体" w:hAnsi="宋体" w:cs="宋体" w:eastAsia="宋体" w:hint="default"/>
        </w:rPr>
        <w:t>-32,538,250.72</w:t>
      </w:r>
      <w:r>
        <w:rPr>
          <w:rFonts w:ascii="宋体" w:hAnsi="宋体" w:cs="宋体" w:eastAsia="宋体" w:hint="default"/>
          <w:spacing w:val="-56"/>
        </w:rPr>
        <w:t> </w:t>
      </w:r>
      <w:r>
        <w:rPr/>
        <w:t>元。</w:t>
      </w:r>
    </w:p>
    <w:p>
      <w:pPr>
        <w:spacing w:line="240" w:lineRule="auto" w:before="9"/>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4)</w:t>
      </w:r>
      <w:r>
        <w:rPr/>
        <w:t>、由于同一控制导致的合并范围变更，影响期初未分配利润</w:t>
      </w:r>
      <w:r>
        <w:rPr>
          <w:spacing w:val="-55"/>
        </w:rPr>
        <w:t> </w:t>
      </w:r>
      <w:r>
        <w:rPr>
          <w:rFonts w:ascii="宋体" w:hAnsi="宋体" w:cs="宋体" w:eastAsia="宋体" w:hint="default"/>
        </w:rPr>
        <w:t>0.00</w:t>
      </w:r>
      <w:r>
        <w:rPr>
          <w:rFonts w:ascii="宋体" w:hAnsi="宋体" w:cs="宋体" w:eastAsia="宋体" w:hint="default"/>
          <w:spacing w:val="-56"/>
        </w:rPr>
        <w:t> </w:t>
      </w:r>
      <w:r>
        <w:rPr/>
        <w:t>元。</w:t>
      </w:r>
    </w:p>
    <w:p>
      <w:pPr>
        <w:spacing w:line="240" w:lineRule="auto" w:before="9"/>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5)</w:t>
      </w:r>
      <w:r>
        <w:rPr/>
        <w:t>、其他调整合计影响期初未分配利润</w:t>
      </w:r>
      <w:r>
        <w:rPr>
          <w:spacing w:val="-55"/>
        </w:rPr>
        <w:t> </w:t>
      </w:r>
      <w:r>
        <w:rPr>
          <w:rFonts w:ascii="宋体" w:hAnsi="宋体" w:cs="宋体" w:eastAsia="宋体" w:hint="default"/>
        </w:rPr>
        <w:t>0.00</w:t>
      </w:r>
      <w:r>
        <w:rPr>
          <w:rFonts w:ascii="宋体" w:hAnsi="宋体" w:cs="宋体" w:eastAsia="宋体" w:hint="default"/>
          <w:spacing w:val="-55"/>
        </w:rPr>
        <w:t> </w:t>
      </w:r>
      <w:r>
        <w:rPr/>
        <w:t>元。</w:t>
      </w:r>
    </w:p>
    <w:p>
      <w:pPr>
        <w:spacing w:line="240" w:lineRule="auto" w:before="13"/>
        <w:rPr>
          <w:rFonts w:ascii="宋体" w:hAnsi="宋体" w:cs="宋体" w:eastAsia="宋体" w:hint="default"/>
          <w:sz w:val="26"/>
          <w:szCs w:val="26"/>
        </w:rPr>
      </w:pPr>
    </w:p>
    <w:p>
      <w:pPr>
        <w:pStyle w:val="Heading4"/>
        <w:spacing w:line="240" w:lineRule="auto"/>
        <w:ind w:right="0"/>
        <w:jc w:val="left"/>
        <w:rPr>
          <w:b w:val="0"/>
          <w:bCs w:val="0"/>
        </w:rPr>
      </w:pPr>
      <w:bookmarkStart w:name="39、营业收入和营业成本" w:id="313"/>
      <w:bookmarkEnd w:id="313"/>
      <w:r>
        <w:rPr>
          <w:b w:val="0"/>
          <w:bCs w:val="0"/>
        </w:rPr>
      </w:r>
      <w:r>
        <w:rPr>
          <w:rFonts w:ascii="宋体" w:hAnsi="宋体" w:cs="宋体" w:eastAsia="宋体" w:hint="default"/>
        </w:rPr>
        <w:t>39</w:t>
      </w:r>
      <w:r>
        <w:rPr/>
        <w:t>、营业收入和营业成本</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5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6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3,731,154,989.64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2,825,684,615.49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3,381,403,565.51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2,010,616,401.36</w:t>
            </w: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53,609,301.56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22,567,978.41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39,462,372.09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14,902,212.04</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3,784,764,291.20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2,848,252,593.90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3,420,865,937.60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2,025,518,613.40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0、税金及附加" w:id="314"/>
      <w:bookmarkEnd w:id="314"/>
      <w:r>
        <w:rPr>
          <w:b w:val="0"/>
          <w:bCs w:val="0"/>
        </w:rPr>
      </w:r>
      <w:r>
        <w:rPr>
          <w:rFonts w:ascii="宋体" w:hAnsi="宋体" w:cs="宋体" w:eastAsia="宋体" w:hint="default"/>
        </w:rPr>
        <w:t>40</w:t>
      </w:r>
      <w:r>
        <w:rPr/>
        <w:t>、税金及附加</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5,932,723.51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7,706,557.52</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4,241,007.87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5,428,291.24</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146,310.15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251,161.72</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4,295,063.43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4,041,403.48</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房产税及土地使用税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6,946,797.42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2,908,645.60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9,920,094.04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9,475,225.32</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31,481,996.42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29,811,284.88</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1、销售费用" w:id="315"/>
      <w:bookmarkEnd w:id="315"/>
      <w:r>
        <w:rPr>
          <w:b w:val="0"/>
          <w:bCs w:val="0"/>
        </w:rPr>
      </w:r>
      <w:r>
        <w:rPr>
          <w:rFonts w:ascii="宋体" w:hAnsi="宋体" w:cs="宋体" w:eastAsia="宋体" w:hint="default"/>
        </w:rPr>
        <w:t>41</w:t>
      </w:r>
      <w:r>
        <w:rPr/>
        <w:t>、销售费用</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283,209,185.90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254,349,851.83</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8,382,994.36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20,330,172.12</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9,007,166.21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5,725,000.26</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11,754,937.54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13,614,771.08</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小车费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7,798,697.21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6,977,868.20</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1,661,601.26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5,506,984.49</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22,616.30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7,699,511.49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5,846,075.66</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904,174.22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3,219,430.04</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233,619.09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1,279,033.86</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17,215,567.84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19,659,689.90</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29,445,302.86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36,498,927.51</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3,685,605.42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6,347,077.20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3,068,047.44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3,626,433.69</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16,549,629.61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25,069,646.64</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8,030,609.88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19,708,264.55</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408,646,650.33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427,781,843.33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2、管理费用" w:id="316"/>
      <w:bookmarkEnd w:id="316"/>
      <w:r>
        <w:rPr>
          <w:b w:val="0"/>
          <w:bCs w:val="0"/>
        </w:rPr>
      </w:r>
      <w:r>
        <w:rPr>
          <w:rFonts w:ascii="宋体" w:hAnsi="宋体" w:cs="宋体" w:eastAsia="宋体" w:hint="default"/>
        </w:rPr>
        <w:t>42</w:t>
      </w:r>
      <w:r>
        <w:rPr/>
        <w:t>、管理费用</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176,620,884.68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157,552,030.62</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11,003,002.90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12,875,366.31</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11,109,173.23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9,954,904.47</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20,646,058.85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14,318,306.81</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9,106,609.59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8,945,791.22</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31,501,000.31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11,752,873.19</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27,552,830.78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35,278,616.19</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19,601,771.13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26,109,566.89</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20,708,195.42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25,972,071.49</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2,938,362.28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6,027,135.81</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14,046,430.49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13,578,479.25</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2,034,351.31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2,082,393.70</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委托管理费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9,800,871.44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10,329,819.59</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7,390,577.49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27,214,014.22</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364,060,119.90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361,991,369.76</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3、研发费用" w:id="317"/>
      <w:bookmarkEnd w:id="317"/>
      <w:r>
        <w:rPr>
          <w:b w:val="0"/>
          <w:bCs w:val="0"/>
        </w:rPr>
      </w:r>
      <w:r>
        <w:rPr>
          <w:rFonts w:ascii="宋体" w:hAnsi="宋体" w:cs="宋体" w:eastAsia="宋体" w:hint="default"/>
        </w:rPr>
        <w:t>43</w:t>
      </w:r>
      <w:r>
        <w:rPr/>
        <w:t>、研发费用</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42,785,300.59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12,861,032.31</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直接投入费用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1,028,540.56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1,017,201.32</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折旧费用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733,626.08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329,661.29</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248,478.54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3,080.34</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9,255,952.37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6,113,351.36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2,315,785.26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1,361,202.04</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62,481,034.76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15,572,177.30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4、财务费用" w:id="318"/>
      <w:bookmarkEnd w:id="318"/>
      <w:r>
        <w:rPr>
          <w:b w:val="0"/>
          <w:bCs w:val="0"/>
        </w:rPr>
      </w:r>
      <w:r>
        <w:rPr>
          <w:rFonts w:ascii="宋体" w:hAnsi="宋体" w:cs="宋体" w:eastAsia="宋体" w:hint="default"/>
        </w:rPr>
        <w:t>44</w:t>
      </w:r>
      <w:r>
        <w:rPr/>
        <w:t>、财务费用</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274,105,479.24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161,964,477.77</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26,009,630.78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64,426,572.47</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资金占用费收入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61,245,028.23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2,011,353.76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2,580,674.85</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188,862,173.99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100,118,580.15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5、资产减值损失" w:id="319"/>
      <w:bookmarkEnd w:id="319"/>
      <w:r>
        <w:rPr>
          <w:b w:val="0"/>
          <w:bCs w:val="0"/>
        </w:rPr>
      </w:r>
      <w:r>
        <w:rPr>
          <w:rFonts w:ascii="宋体" w:hAnsi="宋体" w:cs="宋体" w:eastAsia="宋体" w:hint="default"/>
        </w:rPr>
        <w:t>45</w:t>
      </w:r>
      <w:r>
        <w:rPr/>
        <w:t>、资产减值损失</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550,327,759.04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18,269,115.99</w:t>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5,614,025.75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3,496,812.72</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552,440,141.74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2,009,274.52</w:t>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四、长期股权投资减值损失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877,990,143.44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26,865,341.60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19,997,093.77</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六、商誉减值损失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1,955,802,305.43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688,834,974.22</w:t>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3,969,039,717.00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732,607,271.22</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6、其他收益" w:id="320"/>
      <w:bookmarkEnd w:id="320"/>
      <w:r>
        <w:rPr>
          <w:b w:val="0"/>
          <w:bCs w:val="0"/>
        </w:rPr>
      </w:r>
      <w:r>
        <w:rPr>
          <w:rFonts w:ascii="宋体" w:hAnsi="宋体" w:cs="宋体" w:eastAsia="宋体" w:hint="default"/>
        </w:rPr>
        <w:t>46</w:t>
      </w:r>
      <w:r>
        <w:rPr/>
        <w:t>、其他收益</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87" w:right="0"/>
              <w:jc w:val="left"/>
              <w:rPr>
                <w:rFonts w:ascii="宋体" w:hAnsi="宋体" w:cs="宋体" w:eastAsia="宋体" w:hint="default"/>
                <w:sz w:val="18"/>
                <w:szCs w:val="18"/>
              </w:rPr>
            </w:pPr>
            <w:r>
              <w:rPr>
                <w:rFonts w:ascii="宋体"/>
                <w:sz w:val="18"/>
              </w:rPr>
              <w:t>12,056,486.40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77" w:right="0"/>
              <w:jc w:val="left"/>
              <w:rPr>
                <w:rFonts w:ascii="宋体" w:hAnsi="宋体" w:cs="宋体" w:eastAsia="宋体" w:hint="default"/>
                <w:sz w:val="18"/>
                <w:szCs w:val="18"/>
              </w:rPr>
            </w:pPr>
            <w:r>
              <w:rPr>
                <w:rFonts w:ascii="宋体"/>
                <w:sz w:val="18"/>
              </w:rPr>
              <w:t>4,653,488.99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7、投资收益" w:id="321"/>
      <w:bookmarkEnd w:id="321"/>
      <w:r>
        <w:rPr>
          <w:b w:val="0"/>
          <w:bCs w:val="0"/>
        </w:rPr>
      </w:r>
      <w:r>
        <w:rPr>
          <w:rFonts w:ascii="宋体" w:hAnsi="宋体" w:cs="宋体" w:eastAsia="宋体" w:hint="default"/>
        </w:rPr>
        <w:t>47</w:t>
      </w:r>
      <w:r>
        <w:rPr/>
        <w:t>、投资收益</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32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-1,028,057,020.04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11,166,717.33</w:t>
            </w:r>
          </w:p>
        </w:tc>
      </w:tr>
      <w:tr>
        <w:trPr>
          <w:trHeight w:val="323"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186,144,881.49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224,991,132.73</w:t>
            </w:r>
          </w:p>
        </w:tc>
      </w:tr>
      <w:tr>
        <w:trPr>
          <w:trHeight w:val="634"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22" w:right="18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2,444,505.88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332,935.24</w:t>
            </w:r>
          </w:p>
        </w:tc>
      </w:tr>
      <w:tr>
        <w:trPr>
          <w:trHeight w:val="634"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22" w:right="18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1,015,884.64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3,184,801.76</w:t>
            </w:r>
          </w:p>
        </w:tc>
      </w:tr>
      <w:tr>
        <w:trPr>
          <w:trHeight w:val="323"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14,039,148.88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394,845,961.73</w:t>
            </w:r>
          </w:p>
        </w:tc>
      </w:tr>
      <w:tr>
        <w:trPr>
          <w:trHeight w:val="32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6,020,407.95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187,747,451.19</w:t>
            </w:r>
          </w:p>
        </w:tc>
      </w:tr>
      <w:tr>
        <w:trPr>
          <w:trHeight w:val="32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31,023,113.28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20,845,740.45</w:t>
            </w:r>
          </w:p>
        </w:tc>
      </w:tr>
      <w:tr>
        <w:trPr>
          <w:trHeight w:val="323"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-787,369,077.92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843,114,740.43</w:t>
            </w:r>
          </w:p>
        </w:tc>
      </w:tr>
    </w:tbl>
    <w:p>
      <w:pPr>
        <w:spacing w:line="240" w:lineRule="auto" w:before="2"/>
        <w:rPr>
          <w:rFonts w:ascii="宋体" w:hAnsi="宋体" w:cs="宋体" w:eastAsia="宋体" w:hint="default"/>
          <w:sz w:val="16"/>
          <w:szCs w:val="16"/>
        </w:rPr>
      </w:pPr>
    </w:p>
    <w:p>
      <w:pPr>
        <w:pStyle w:val="Heading4"/>
        <w:spacing w:line="240" w:lineRule="auto" w:before="35"/>
        <w:ind w:right="0"/>
        <w:jc w:val="left"/>
        <w:rPr>
          <w:b w:val="0"/>
          <w:bCs w:val="0"/>
        </w:rPr>
      </w:pPr>
      <w:bookmarkStart w:name="48、公允价值变动收益" w:id="322"/>
      <w:bookmarkEnd w:id="322"/>
      <w:r>
        <w:rPr>
          <w:b w:val="0"/>
          <w:bCs w:val="0"/>
        </w:rPr>
      </w:r>
      <w:r>
        <w:rPr>
          <w:rFonts w:ascii="宋体" w:hAnsi="宋体" w:cs="宋体" w:eastAsia="宋体" w:hint="default"/>
        </w:rPr>
        <w:t>48</w:t>
      </w:r>
      <w:r>
        <w:rPr/>
        <w:t>、公允价值变动收益</w:t>
      </w:r>
      <w:r>
        <w:rPr>
          <w:b w:val="0"/>
          <w:bCs w:val="0"/>
        </w:rPr>
      </w:r>
    </w:p>
    <w:p>
      <w:pPr>
        <w:spacing w:line="240" w:lineRule="auto" w:before="10"/>
        <w:rPr>
          <w:rFonts w:ascii="宋体" w:hAnsi="宋体" w:cs="宋体" w:eastAsia="宋体" w:hint="default"/>
          <w:b/>
          <w:bCs/>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35"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1"/>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-15,878,649.09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-4,947,703.73</w:t>
            </w:r>
          </w:p>
        </w:tc>
      </w:tr>
      <w:tr>
        <w:trPr>
          <w:trHeight w:val="32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-15,878,649.09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-4,947,703.73</w:t>
            </w:r>
          </w:p>
        </w:tc>
      </w:tr>
    </w:tbl>
    <w:p>
      <w:pPr>
        <w:spacing w:line="240" w:lineRule="auto" w:before="9"/>
        <w:rPr>
          <w:rFonts w:ascii="宋体" w:hAnsi="宋体" w:cs="宋体" w:eastAsia="宋体" w:hint="default"/>
          <w:sz w:val="13"/>
          <w:szCs w:val="13"/>
        </w:rPr>
      </w:pPr>
    </w:p>
    <w:p>
      <w:pPr>
        <w:pStyle w:val="Heading4"/>
        <w:spacing w:line="240" w:lineRule="auto" w:before="35"/>
        <w:ind w:right="0"/>
        <w:jc w:val="left"/>
        <w:rPr>
          <w:b w:val="0"/>
          <w:bCs w:val="0"/>
        </w:rPr>
      </w:pPr>
      <w:bookmarkStart w:name="49、资产处置收益" w:id="323"/>
      <w:bookmarkEnd w:id="323"/>
      <w:r>
        <w:rPr>
          <w:b w:val="0"/>
          <w:bCs w:val="0"/>
        </w:rPr>
      </w:r>
      <w:r>
        <w:rPr>
          <w:rFonts w:ascii="宋体" w:hAnsi="宋体" w:cs="宋体" w:eastAsia="宋体" w:hint="default"/>
        </w:rPr>
        <w:t>49</w:t>
      </w:r>
      <w:r>
        <w:rPr/>
        <w:t>、资产处置收益</w:t>
      </w:r>
      <w:r>
        <w:rPr>
          <w:b w:val="0"/>
          <w:bCs w:val="0"/>
        </w:rPr>
      </w:r>
    </w:p>
    <w:p>
      <w:pPr>
        <w:spacing w:line="240" w:lineRule="auto" w:before="3"/>
        <w:rPr>
          <w:rFonts w:ascii="宋体" w:hAnsi="宋体" w:cs="宋体" w:eastAsia="宋体" w:hint="default"/>
          <w:b/>
          <w:bCs/>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96,110.08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87" w:right="0"/>
              <w:jc w:val="left"/>
              <w:rPr>
                <w:rFonts w:ascii="宋体" w:hAnsi="宋体" w:cs="宋体" w:eastAsia="宋体" w:hint="default"/>
                <w:sz w:val="18"/>
                <w:szCs w:val="18"/>
              </w:rPr>
            </w:pPr>
            <w:r>
              <w:rPr>
                <w:rFonts w:ascii="宋体"/>
                <w:sz w:val="18"/>
              </w:rPr>
              <w:t>-3,409,835.63</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无形资产处置收益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-22,877.75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140" w:right="0"/>
        <w:jc w:val="left"/>
        <w:rPr>
          <w:b w:val="0"/>
          <w:bCs w:val="0"/>
        </w:rPr>
      </w:pPr>
      <w:bookmarkStart w:name="50、营业外收入" w:id="324"/>
      <w:bookmarkEnd w:id="324"/>
      <w:r>
        <w:rPr>
          <w:b w:val="0"/>
          <w:bCs w:val="0"/>
        </w:rPr>
      </w:r>
      <w:r>
        <w:rPr>
          <w:rFonts w:ascii="宋体" w:hAnsi="宋体" w:cs="宋体" w:eastAsia="宋体" w:hint="default"/>
        </w:rPr>
        <w:t>50</w:t>
      </w:r>
      <w:r>
        <w:rPr/>
        <w:t>、营业外收入</w:t>
      </w:r>
      <w:r>
        <w:rPr>
          <w:b w:val="0"/>
          <w:bCs w:val="0"/>
        </w:rPr>
      </w:r>
    </w:p>
    <w:p>
      <w:pPr>
        <w:spacing w:line="240" w:lineRule="auto" w:before="10"/>
        <w:rPr>
          <w:rFonts w:ascii="宋体" w:hAnsi="宋体" w:cs="宋体" w:eastAsia="宋体" w:hint="default"/>
          <w:b/>
          <w:bCs/>
          <w:sz w:val="27"/>
          <w:szCs w:val="27"/>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2390"/>
        <w:gridCol w:w="2395"/>
        <w:gridCol w:w="2392"/>
        <w:gridCol w:w="2392"/>
      </w:tblGrid>
      <w:tr>
        <w:trPr>
          <w:trHeight w:val="63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7,009,341.70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10,609,737.16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7,009,341.70</w:t>
            </w:r>
          </w:p>
        </w:tc>
      </w:tr>
      <w:tr>
        <w:trPr>
          <w:trHeight w:val="32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罚款收入和违约金收入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3,635,111.19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308,509.57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3,635,111.19</w:t>
            </w:r>
          </w:p>
        </w:tc>
      </w:tr>
      <w:tr>
        <w:trPr>
          <w:trHeight w:val="32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15,829,842.33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6,650,880.35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15,829,842.33</w:t>
            </w: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26,474,295.22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17,569,127.08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26,474,295.22</w:t>
            </w:r>
          </w:p>
        </w:tc>
      </w:tr>
    </w:tbl>
    <w:p>
      <w:pPr>
        <w:spacing w:line="240" w:lineRule="auto" w:before="12"/>
        <w:rPr>
          <w:rFonts w:ascii="宋体" w:hAnsi="宋体" w:cs="宋体" w:eastAsia="宋体" w:hint="default"/>
          <w:sz w:val="7"/>
          <w:szCs w:val="7"/>
        </w:rPr>
      </w:pPr>
    </w:p>
    <w:p>
      <w:pPr>
        <w:spacing w:after="0" w:line="240" w:lineRule="auto"/>
        <w:rPr>
          <w:rFonts w:ascii="宋体" w:hAnsi="宋体" w:cs="宋体" w:eastAsia="宋体" w:hint="default"/>
          <w:sz w:val="7"/>
          <w:szCs w:val="7"/>
        </w:rPr>
        <w:sectPr>
          <w:headerReference w:type="default" r:id="rId55"/>
          <w:footerReference w:type="default" r:id="rId56"/>
          <w:pgSz w:w="16840" w:h="11910" w:orient="landscape"/>
          <w:pgMar w:header="867" w:footer="979" w:top="1060" w:bottom="1160" w:left="1300" w:right="820"/>
          <w:pgNumType w:start="228"/>
        </w:sectPr>
      </w:pPr>
    </w:p>
    <w:p>
      <w:pPr>
        <w:pStyle w:val="BodyText"/>
        <w:spacing w:line="240" w:lineRule="auto" w:before="35"/>
        <w:ind w:left="140" w:right="-20"/>
        <w:jc w:val="left"/>
      </w:pPr>
      <w:r>
        <w:rPr/>
        <w:t>计入当期损益的政府补助：</w:t>
      </w:r>
    </w:p>
    <w:p>
      <w:pPr>
        <w:spacing w:line="240" w:lineRule="auto" w:before="0"/>
        <w:rPr>
          <w:rFonts w:ascii="宋体" w:hAnsi="宋体" w:cs="宋体" w:eastAsia="宋体" w:hint="default"/>
          <w:sz w:val="18"/>
          <w:szCs w:val="18"/>
        </w:rPr>
      </w:pPr>
      <w:r>
        <w:rPr/>
        <w:br w:type="column"/>
      </w:r>
      <w:r>
        <w:rPr>
          <w:rFonts w:ascii="宋体"/>
          <w:sz w:val="18"/>
        </w:rPr>
      </w:r>
    </w:p>
    <w:p>
      <w:pPr>
        <w:spacing w:before="151"/>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6840" w:h="11910" w:orient="landscape"/>
          <w:pgMar w:top="1060" w:bottom="1160" w:left="1300" w:right="820"/>
          <w:cols w:num="2" w:equalWidth="0">
            <w:col w:w="2661" w:space="10489"/>
            <w:col w:w="1570"/>
          </w:cols>
        </w:sectPr>
      </w:pPr>
    </w:p>
    <w:p>
      <w:pPr>
        <w:spacing w:line="240" w:lineRule="auto" w:before="0"/>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2128"/>
        <w:gridCol w:w="1700"/>
        <w:gridCol w:w="1702"/>
        <w:gridCol w:w="2268"/>
        <w:gridCol w:w="1062"/>
        <w:gridCol w:w="1348"/>
        <w:gridCol w:w="1417"/>
        <w:gridCol w:w="1490"/>
        <w:gridCol w:w="1345"/>
      </w:tblGrid>
      <w:tr>
        <w:trPr>
          <w:trHeight w:val="634"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75" w:right="74"/>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是否特殊补贴</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307" w:right="80" w:hanging="22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 收益相关</w:t>
            </w:r>
          </w:p>
        </w:tc>
      </w:tr>
      <w:tr>
        <w:trPr>
          <w:trHeight w:val="94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绿色印刷扶持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重庆市文化委员会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9,512.00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18"/>
                <w:szCs w:val="18"/>
              </w:rPr>
            </w:pPr>
            <w:r>
              <w:rPr>
                <w:rFonts w:ascii="宋体"/>
                <w:sz w:val="18"/>
              </w:rPr>
              <w:t>40,000.00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会展业发展专项资金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西安市会展办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1,700,000.00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18"/>
                <w:szCs w:val="18"/>
              </w:rPr>
            </w:pPr>
            <w:r>
              <w:rPr>
                <w:rFonts w:ascii="宋体"/>
                <w:sz w:val="18"/>
              </w:rPr>
              <w:t>500,000.00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年西安市服务业综合 改革试点专项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西安经济技术开发区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财政局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60,000.00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绿色印刷（高宝设备）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陕西省新闻出版局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341,379.36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18"/>
                <w:szCs w:val="18"/>
              </w:rPr>
            </w:pPr>
            <w:r>
              <w:rPr>
                <w:rFonts w:ascii="宋体"/>
                <w:sz w:val="18"/>
              </w:rPr>
              <w:t>341,379.36</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2017 </w:t>
            </w:r>
            <w:r>
              <w:rPr>
                <w:rFonts w:ascii="宋体" w:hAnsi="宋体" w:cs="宋体" w:eastAsia="宋体" w:hint="default"/>
                <w:sz w:val="18"/>
                <w:szCs w:val="18"/>
              </w:rPr>
              <w:t>年惠民放心菜配送平 台项目</w:t>
            </w:r>
            <w:r>
              <w:rPr>
                <w:rFonts w:ascii="宋体" w:hAnsi="宋体" w:cs="宋体" w:eastAsia="宋体" w:hint="default"/>
                <w:sz w:val="18"/>
                <w:szCs w:val="18"/>
              </w:rPr>
              <w:t>(</w:t>
            </w:r>
            <w:r>
              <w:rPr>
                <w:rFonts w:ascii="宋体" w:hAnsi="宋体" w:cs="宋体" w:eastAsia="宋体" w:hint="default"/>
                <w:sz w:val="18"/>
                <w:szCs w:val="18"/>
              </w:rPr>
              <w:t>经开区）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西安市经济技术开发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区</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600,000.00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年城市社区生活服务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西安市财政局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center"/>
              <w:rPr>
                <w:rFonts w:ascii="宋体" w:hAnsi="宋体" w:cs="宋体" w:eastAsia="宋体" w:hint="default"/>
                <w:sz w:val="18"/>
                <w:szCs w:val="18"/>
              </w:rPr>
            </w:pPr>
            <w:r>
              <w:rPr>
                <w:rFonts w:ascii="宋体" w:hAnsi="宋体" w:cs="宋体" w:eastAsia="宋体" w:hint="default"/>
                <w:sz w:val="18"/>
                <w:szCs w:val="18"/>
              </w:rPr>
              <w:t>因从事国家鼓励和扶持特定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437,500.01</w:t>
            </w:r>
          </w:p>
        </w:tc>
        <w:tc>
          <w:tcPr>
            <w:tcW w:w="149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type w:val="continuous"/>
          <w:pgSz w:w="16840" w:h="11910" w:orient="landscape"/>
          <w:pgMar w:top="1060" w:bottom="1160" w:left="130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128"/>
        <w:gridCol w:w="1700"/>
        <w:gridCol w:w="1702"/>
        <w:gridCol w:w="2268"/>
        <w:gridCol w:w="1062"/>
        <w:gridCol w:w="1348"/>
        <w:gridCol w:w="1417"/>
        <w:gridCol w:w="1490"/>
        <w:gridCol w:w="1345"/>
      </w:tblGrid>
      <w:tr>
        <w:trPr>
          <w:trHeight w:val="648" w:hRule="exact"/>
        </w:trPr>
        <w:tc>
          <w:tcPr>
            <w:tcW w:w="212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平台项目</w:t>
            </w:r>
          </w:p>
        </w:tc>
        <w:tc>
          <w:tcPr>
            <w:tcW w:w="1700"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
        </w:tc>
        <w:tc>
          <w:tcPr>
            <w:tcW w:w="2268"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15" w:space="0" w:color="000000"/>
              <w:left w:val="single" w:sz="4" w:space="0" w:color="000000"/>
              <w:bottom w:val="single" w:sz="4" w:space="0" w:color="000000"/>
              <w:right w:val="single" w:sz="4" w:space="0" w:color="000000"/>
            </w:tcBorders>
          </w:tcPr>
          <w:p>
            <w:pPr/>
          </w:p>
        </w:tc>
        <w:tc>
          <w:tcPr>
            <w:tcW w:w="1348"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490" w:type="dxa"/>
            <w:tcBorders>
              <w:top w:val="single" w:sz="15" w:space="0" w:color="000000"/>
              <w:left w:val="single" w:sz="4" w:space="0" w:color="000000"/>
              <w:bottom w:val="single" w:sz="4" w:space="0" w:color="000000"/>
              <w:right w:val="single" w:sz="4" w:space="0" w:color="000000"/>
            </w:tcBorders>
          </w:tcPr>
          <w:p>
            <w:pPr/>
          </w:p>
        </w:tc>
        <w:tc>
          <w:tcPr>
            <w:tcW w:w="1345" w:type="dxa"/>
            <w:tcBorders>
              <w:top w:val="single" w:sz="15" w:space="0" w:color="000000"/>
              <w:left w:val="single" w:sz="4" w:space="0" w:color="000000"/>
              <w:bottom w:val="single" w:sz="4" w:space="0" w:color="000000"/>
              <w:right w:val="single" w:sz="4" w:space="0" w:color="000000"/>
            </w:tcBorders>
          </w:tcPr>
          <w:p>
            <w:pPr/>
          </w:p>
        </w:tc>
      </w:tr>
      <w:tr>
        <w:trPr>
          <w:trHeight w:val="94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2017 </w:t>
            </w:r>
            <w:r>
              <w:rPr>
                <w:rFonts w:ascii="宋体" w:hAnsi="宋体" w:cs="宋体" w:eastAsia="宋体" w:hint="default"/>
                <w:sz w:val="18"/>
                <w:szCs w:val="18"/>
              </w:rPr>
              <w:t>年度支持产业发展专 项资金第一批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西安经济技术开发区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财政局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3"/>
              <w:jc w:val="right"/>
              <w:rPr>
                <w:rFonts w:ascii="宋体" w:hAnsi="宋体" w:cs="宋体" w:eastAsia="宋体" w:hint="default"/>
                <w:sz w:val="18"/>
                <w:szCs w:val="18"/>
              </w:rPr>
            </w:pPr>
            <w:r>
              <w:rPr>
                <w:rFonts w:ascii="宋体"/>
                <w:sz w:val="18"/>
              </w:rPr>
              <w:t>770,000.00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12"/>
                <w:sz w:val="18"/>
                <w:szCs w:val="18"/>
              </w:rPr>
              <w:t> </w:t>
            </w:r>
            <w:r>
              <w:rPr>
                <w:rFonts w:ascii="宋体" w:hAnsi="宋体" w:cs="宋体" w:eastAsia="宋体" w:hint="default"/>
                <w:spacing w:val="8"/>
                <w:sz w:val="18"/>
                <w:szCs w:val="18"/>
              </w:rPr>
              <w:t>年经开区</w:t>
            </w:r>
            <w:r>
              <w:rPr>
                <w:rFonts w:ascii="宋体" w:hAnsi="宋体" w:cs="宋体" w:eastAsia="宋体" w:hint="default"/>
                <w:spacing w:val="8"/>
                <w:sz w:val="18"/>
                <w:szCs w:val="18"/>
              </w:rPr>
              <w:t>"</w:t>
            </w:r>
            <w:r>
              <w:rPr>
                <w:rFonts w:ascii="宋体" w:hAnsi="宋体" w:cs="宋体" w:eastAsia="宋体" w:hint="default"/>
                <w:spacing w:val="8"/>
                <w:sz w:val="18"/>
                <w:szCs w:val="18"/>
              </w:rPr>
              <w:t>服务业优</w:t>
            </w:r>
            <w:r>
              <w:rPr>
                <w:rFonts w:ascii="宋体" w:hAnsi="宋体" w:cs="宋体" w:eastAsia="宋体" w:hint="default"/>
                <w:sz w:val="18"/>
                <w:szCs w:val="18"/>
              </w:rPr>
              <w:t> 秀企业</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西安经济技术开发区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财政局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100,000.00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2013 </w:t>
            </w:r>
            <w:r>
              <w:rPr>
                <w:rFonts w:ascii="宋体" w:hAnsi="宋体" w:cs="宋体" w:eastAsia="宋体" w:hint="default"/>
                <w:sz w:val="18"/>
                <w:szCs w:val="18"/>
              </w:rPr>
              <w:t>年服务业发展项目省 </w:t>
            </w:r>
            <w:r>
              <w:rPr>
                <w:rFonts w:ascii="宋体" w:hAnsi="宋体" w:cs="宋体" w:eastAsia="宋体" w:hint="default"/>
                <w:spacing w:val="-8"/>
                <w:sz w:val="18"/>
                <w:szCs w:val="18"/>
              </w:rPr>
              <w:t>级基建支出预算（黄马甲快</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3"/>
                <w:sz w:val="18"/>
                <w:szCs w:val="18"/>
              </w:rPr>
              <w:t>递物流中心）】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西安市发改委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112,500.00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
              <w:jc w:val="right"/>
              <w:rPr>
                <w:rFonts w:ascii="宋体" w:hAnsi="宋体" w:cs="宋体" w:eastAsia="宋体" w:hint="default"/>
                <w:sz w:val="18"/>
                <w:szCs w:val="18"/>
              </w:rPr>
            </w:pPr>
            <w:r>
              <w:rPr>
                <w:rFonts w:ascii="宋体"/>
                <w:sz w:val="18"/>
              </w:rPr>
              <w:t>366,967.54</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印刷生产线生级改造</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西安经济开发区管委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23"/>
              <w:jc w:val="right"/>
              <w:rPr>
                <w:rFonts w:ascii="宋体" w:hAnsi="宋体" w:cs="宋体" w:eastAsia="宋体" w:hint="default"/>
                <w:sz w:val="18"/>
                <w:szCs w:val="18"/>
              </w:rPr>
            </w:pPr>
            <w:r>
              <w:rPr>
                <w:rFonts w:ascii="宋体"/>
                <w:sz w:val="18"/>
              </w:rPr>
              <w:t>134,579.40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22"/>
              <w:jc w:val="right"/>
              <w:rPr>
                <w:rFonts w:ascii="宋体" w:hAnsi="宋体" w:cs="宋体" w:eastAsia="宋体" w:hint="default"/>
                <w:sz w:val="18"/>
                <w:szCs w:val="18"/>
              </w:rPr>
            </w:pPr>
            <w:r>
              <w:rPr>
                <w:rFonts w:ascii="宋体"/>
                <w:sz w:val="18"/>
              </w:rPr>
              <w:t>134,579.40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2017 </w:t>
            </w:r>
            <w:r>
              <w:rPr>
                <w:rFonts w:ascii="宋体" w:hAnsi="宋体" w:cs="宋体" w:eastAsia="宋体" w:hint="default"/>
                <w:sz w:val="18"/>
                <w:szCs w:val="18"/>
              </w:rPr>
              <w:t>年惠民放心菜配送平 台项目（市商务局）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西安市商务局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499,999.98</w:t>
            </w:r>
          </w:p>
        </w:tc>
        <w:tc>
          <w:tcPr>
            <w:tcW w:w="149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长春市政府</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150,000.00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年品牌建设奖励</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西安市经济技术开发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3"/>
              <w:jc w:val="right"/>
              <w:rPr>
                <w:rFonts w:ascii="宋体" w:hAnsi="宋体" w:cs="宋体" w:eastAsia="宋体" w:hint="default"/>
                <w:sz w:val="18"/>
                <w:szCs w:val="18"/>
              </w:rPr>
            </w:pPr>
            <w:r>
              <w:rPr>
                <w:rFonts w:ascii="宋体"/>
                <w:sz w:val="18"/>
              </w:rPr>
              <w:t>10,000.00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2016 </w:t>
            </w:r>
            <w:r>
              <w:rPr>
                <w:rFonts w:ascii="宋体" w:hAnsi="宋体" w:cs="宋体" w:eastAsia="宋体" w:hint="default"/>
                <w:sz w:val="18"/>
                <w:szCs w:val="18"/>
              </w:rPr>
              <w:t>年度现代服务业发展 专项资金第三批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西安市财政局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350,000.00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
              <w:jc w:val="right"/>
              <w:rPr>
                <w:rFonts w:ascii="宋体" w:hAnsi="宋体" w:cs="宋体" w:eastAsia="宋体" w:hint="default"/>
                <w:sz w:val="18"/>
                <w:szCs w:val="18"/>
              </w:rPr>
            </w:pPr>
            <w:r>
              <w:rPr>
                <w:rFonts w:ascii="宋体"/>
                <w:sz w:val="18"/>
              </w:rPr>
              <w:t>1,400,000.00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2012 </w:t>
            </w:r>
            <w:r>
              <w:rPr>
                <w:rFonts w:ascii="宋体" w:hAnsi="宋体" w:cs="宋体" w:eastAsia="宋体" w:hint="default"/>
                <w:sz w:val="18"/>
                <w:szCs w:val="18"/>
              </w:rPr>
              <w:t>年信息化和工业化深 </w:t>
            </w:r>
            <w:r>
              <w:rPr>
                <w:rFonts w:ascii="宋体" w:hAnsi="宋体" w:cs="宋体" w:eastAsia="宋体" w:hint="default"/>
                <w:spacing w:val="-8"/>
                <w:sz w:val="18"/>
                <w:szCs w:val="18"/>
              </w:rPr>
              <w:t>度融合专项资金（黄马甲物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流配送信息化建设项目）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中华人民共和国工业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和信息化部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21,759.00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
              <w:jc w:val="right"/>
              <w:rPr>
                <w:rFonts w:ascii="宋体" w:hAnsi="宋体" w:cs="宋体" w:eastAsia="宋体" w:hint="default"/>
                <w:sz w:val="18"/>
                <w:szCs w:val="18"/>
              </w:rPr>
            </w:pPr>
            <w:r>
              <w:rPr>
                <w:rFonts w:ascii="宋体"/>
                <w:sz w:val="18"/>
              </w:rPr>
              <w:t>21,759.00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年度企业表彰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西安政府</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因从事国家鼓励和扶持特定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105,144.00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6840" w:h="11910" w:orient="landscape"/>
          <w:pgMar w:header="867" w:footer="979" w:top="1060" w:bottom="1160" w:left="132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128"/>
        <w:gridCol w:w="1700"/>
        <w:gridCol w:w="1702"/>
        <w:gridCol w:w="2268"/>
        <w:gridCol w:w="1062"/>
        <w:gridCol w:w="1348"/>
        <w:gridCol w:w="1417"/>
        <w:gridCol w:w="1490"/>
        <w:gridCol w:w="1345"/>
      </w:tblGrid>
      <w:tr>
        <w:trPr>
          <w:trHeight w:val="648" w:hRule="exact"/>
        </w:trPr>
        <w:tc>
          <w:tcPr>
            <w:tcW w:w="2128" w:type="dxa"/>
            <w:tcBorders>
              <w:top w:val="single" w:sz="15" w:space="0" w:color="000000"/>
              <w:left w:val="single" w:sz="4" w:space="0" w:color="000000"/>
              <w:bottom w:val="single" w:sz="4" w:space="0" w:color="000000"/>
              <w:right w:val="single" w:sz="4" w:space="0" w:color="000000"/>
            </w:tcBorders>
          </w:tcPr>
          <w:p>
            <w:pPr/>
          </w:p>
        </w:tc>
        <w:tc>
          <w:tcPr>
            <w:tcW w:w="1700"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
        </w:tc>
        <w:tc>
          <w:tcPr>
            <w:tcW w:w="2268"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15" w:space="0" w:color="000000"/>
              <w:left w:val="single" w:sz="4" w:space="0" w:color="000000"/>
              <w:bottom w:val="single" w:sz="4" w:space="0" w:color="000000"/>
              <w:right w:val="single" w:sz="4" w:space="0" w:color="000000"/>
            </w:tcBorders>
          </w:tcPr>
          <w:p>
            <w:pPr/>
          </w:p>
        </w:tc>
        <w:tc>
          <w:tcPr>
            <w:tcW w:w="1348"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490" w:type="dxa"/>
            <w:tcBorders>
              <w:top w:val="single" w:sz="15" w:space="0" w:color="000000"/>
              <w:left w:val="single" w:sz="4" w:space="0" w:color="000000"/>
              <w:bottom w:val="single" w:sz="4" w:space="0" w:color="000000"/>
              <w:right w:val="single" w:sz="4" w:space="0" w:color="000000"/>
            </w:tcBorders>
          </w:tcPr>
          <w:p>
            <w:pPr/>
          </w:p>
        </w:tc>
        <w:tc>
          <w:tcPr>
            <w:tcW w:w="1345" w:type="dxa"/>
            <w:tcBorders>
              <w:top w:val="single" w:sz="15" w:space="0" w:color="000000"/>
              <w:left w:val="single" w:sz="4" w:space="0" w:color="000000"/>
              <w:bottom w:val="single" w:sz="4" w:space="0" w:color="000000"/>
              <w:right w:val="single" w:sz="4" w:space="0" w:color="000000"/>
            </w:tcBorders>
          </w:tcPr>
          <w:p>
            <w:pPr/>
          </w:p>
        </w:tc>
      </w:tr>
      <w:tr>
        <w:trPr>
          <w:trHeight w:val="1259"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年西安市服务业综合 </w:t>
            </w:r>
            <w:r>
              <w:rPr>
                <w:rFonts w:ascii="宋体" w:hAnsi="宋体" w:cs="宋体" w:eastAsia="宋体" w:hint="default"/>
                <w:spacing w:val="7"/>
                <w:sz w:val="18"/>
                <w:szCs w:val="18"/>
              </w:rPr>
              <w:t>改革试点专项资金第三批</w:t>
            </w:r>
          </w:p>
          <w:p>
            <w:pPr>
              <w:pStyle w:val="TableParagraph"/>
              <w:spacing w:line="316" w:lineRule="auto" w:before="19"/>
              <w:ind w:left="22" w:right="24"/>
              <w:jc w:val="left"/>
              <w:rPr>
                <w:rFonts w:ascii="宋体" w:hAnsi="宋体" w:cs="宋体" w:eastAsia="宋体" w:hint="default"/>
                <w:sz w:val="18"/>
                <w:szCs w:val="18"/>
              </w:rPr>
            </w:pPr>
            <w:r>
              <w:rPr>
                <w:rFonts w:ascii="宋体" w:hAnsi="宋体" w:cs="宋体" w:eastAsia="宋体" w:hint="default"/>
                <w:spacing w:val="7"/>
                <w:sz w:val="18"/>
                <w:szCs w:val="18"/>
              </w:rPr>
              <w:t>（城市电子商务快捷配送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西安市发改委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187,499.97</w:t>
            </w:r>
          </w:p>
        </w:tc>
        <w:tc>
          <w:tcPr>
            <w:tcW w:w="149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长春经济开发区发改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80,000.00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失业保险处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216,993.13</w:t>
            </w:r>
          </w:p>
        </w:tc>
        <w:tc>
          <w:tcPr>
            <w:tcW w:w="149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2"/>
              <w:jc w:val="both"/>
              <w:rPr>
                <w:rFonts w:ascii="宋体" w:hAnsi="宋体" w:cs="宋体" w:eastAsia="宋体" w:hint="default"/>
                <w:sz w:val="18"/>
                <w:szCs w:val="18"/>
              </w:rPr>
            </w:pPr>
            <w:r>
              <w:rPr>
                <w:rFonts w:ascii="宋体" w:hAnsi="宋体" w:cs="宋体" w:eastAsia="宋体" w:hint="default"/>
                <w:sz w:val="18"/>
                <w:szCs w:val="18"/>
              </w:rPr>
              <w:t>2015 </w:t>
            </w:r>
            <w:r>
              <w:rPr>
                <w:rFonts w:ascii="宋体" w:hAnsi="宋体" w:cs="宋体" w:eastAsia="宋体" w:hint="default"/>
                <w:sz w:val="18"/>
                <w:szCs w:val="18"/>
              </w:rPr>
              <w:t>年度支持产业发展专 </w:t>
            </w:r>
            <w:r>
              <w:rPr>
                <w:rFonts w:ascii="宋体" w:hAnsi="宋体" w:cs="宋体" w:eastAsia="宋体" w:hint="default"/>
                <w:spacing w:val="-8"/>
                <w:sz w:val="18"/>
                <w:szCs w:val="18"/>
              </w:rPr>
              <w:t>项资金（鲜生活果蔬电子商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务平台）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西安市技术开发区管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委会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3"/>
              <w:jc w:val="right"/>
              <w:rPr>
                <w:rFonts w:ascii="宋体" w:hAnsi="宋体" w:cs="宋体" w:eastAsia="宋体" w:hint="default"/>
                <w:sz w:val="18"/>
                <w:szCs w:val="18"/>
              </w:rPr>
            </w:pPr>
            <w:r>
              <w:rPr>
                <w:rFonts w:ascii="宋体"/>
                <w:sz w:val="18"/>
              </w:rPr>
              <w:t>147,750.03</w:t>
            </w:r>
          </w:p>
        </w:tc>
        <w:tc>
          <w:tcPr>
            <w:tcW w:w="149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企业扶持资金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上海市崇明区财政局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151,000.00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残疾人保障金补贴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深圳市社保局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1,152.92</w:t>
            </w:r>
          </w:p>
        </w:tc>
        <w:tc>
          <w:tcPr>
            <w:tcW w:w="149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上海市崇明区税务局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23"/>
              <w:jc w:val="right"/>
              <w:rPr>
                <w:rFonts w:ascii="宋体" w:hAnsi="宋体" w:cs="宋体" w:eastAsia="宋体" w:hint="default"/>
                <w:sz w:val="18"/>
                <w:szCs w:val="18"/>
              </w:rPr>
            </w:pPr>
            <w:r>
              <w:rPr>
                <w:rFonts w:ascii="宋体"/>
                <w:sz w:val="18"/>
              </w:rPr>
              <w:t>13,000.00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上海市闵行区招商服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务中心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5"/>
              <w:jc w:val="both"/>
              <w:rPr>
                <w:rFonts w:ascii="宋体" w:hAnsi="宋体" w:cs="宋体" w:eastAsia="宋体" w:hint="default"/>
                <w:sz w:val="18"/>
                <w:szCs w:val="18"/>
              </w:rPr>
            </w:pPr>
            <w:r>
              <w:rPr>
                <w:rFonts w:ascii="宋体" w:hAnsi="宋体" w:cs="宋体" w:eastAsia="宋体" w:hint="default"/>
                <w:sz w:val="18"/>
                <w:szCs w:val="18"/>
              </w:rPr>
              <w:t>因符合地方政府招商引资等 地方性扶持政策而获得的补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670,000.00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pacing w:val="7"/>
                <w:sz w:val="18"/>
                <w:szCs w:val="18"/>
              </w:rPr>
              <w:t>生产力及创新优惠计划及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育儿补助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sz w:val="18"/>
              </w:rPr>
              <w:t>IBG GIRO GOVT IRAS</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106,712.16</w:t>
            </w:r>
          </w:p>
        </w:tc>
        <w:tc>
          <w:tcPr>
            <w:tcW w:w="149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6840" w:h="11910" w:orient="landscape"/>
          <w:pgMar w:header="867" w:footer="979" w:top="1060" w:bottom="1160" w:left="132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128"/>
        <w:gridCol w:w="1700"/>
        <w:gridCol w:w="1702"/>
        <w:gridCol w:w="2268"/>
        <w:gridCol w:w="1062"/>
        <w:gridCol w:w="1348"/>
        <w:gridCol w:w="1417"/>
        <w:gridCol w:w="1490"/>
        <w:gridCol w:w="1345"/>
      </w:tblGrid>
      <w:tr>
        <w:trPr>
          <w:trHeight w:val="960" w:hRule="exact"/>
        </w:trPr>
        <w:tc>
          <w:tcPr>
            <w:tcW w:w="212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生育津贴</w:t>
            </w:r>
          </w:p>
        </w:tc>
        <w:tc>
          <w:tcPr>
            <w:tcW w:w="17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成都市社会保险事业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管理局</w:t>
            </w:r>
          </w:p>
        </w:tc>
        <w:tc>
          <w:tcPr>
            <w:tcW w:w="17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75"/>
              <w:jc w:val="both"/>
              <w:rPr>
                <w:rFonts w:ascii="宋体" w:hAnsi="宋体" w:cs="宋体" w:eastAsia="宋体" w:hint="default"/>
                <w:sz w:val="18"/>
                <w:szCs w:val="18"/>
              </w:rPr>
            </w:pPr>
            <w:r>
              <w:rPr>
                <w:rFonts w:ascii="宋体" w:hAnsi="宋体" w:cs="宋体" w:eastAsia="宋体" w:hint="default"/>
                <w:sz w:val="18"/>
                <w:szCs w:val="18"/>
              </w:rPr>
              <w:t>因承担国家为保障某种公用 事业或社会必要产品供应或 价格控制职能而获得的补助</w:t>
            </w:r>
          </w:p>
        </w:tc>
        <w:tc>
          <w:tcPr>
            <w:tcW w:w="106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3"/>
              <w:jc w:val="right"/>
              <w:rPr>
                <w:rFonts w:ascii="宋体" w:hAnsi="宋体" w:cs="宋体" w:eastAsia="宋体" w:hint="default"/>
                <w:sz w:val="18"/>
                <w:szCs w:val="18"/>
              </w:rPr>
            </w:pPr>
            <w:r>
              <w:rPr>
                <w:rFonts w:ascii="宋体"/>
                <w:sz w:val="18"/>
              </w:rPr>
              <w:t>22,157.04</w:t>
            </w:r>
          </w:p>
        </w:tc>
        <w:tc>
          <w:tcPr>
            <w:tcW w:w="1490" w:type="dxa"/>
            <w:tcBorders>
              <w:top w:val="single" w:sz="15" w:space="0" w:color="000000"/>
              <w:left w:val="single" w:sz="4" w:space="0" w:color="000000"/>
              <w:bottom w:val="single" w:sz="4" w:space="0" w:color="000000"/>
              <w:right w:val="single" w:sz="4" w:space="0" w:color="000000"/>
            </w:tcBorders>
          </w:tcPr>
          <w:p>
            <w:pPr/>
          </w:p>
        </w:tc>
        <w:tc>
          <w:tcPr>
            <w:tcW w:w="134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社保补贴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成都市成华区就业服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务管理局</w:t>
            </w:r>
          </w:p>
        </w:tc>
        <w:tc>
          <w:tcPr>
            <w:tcW w:w="170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75"/>
              <w:jc w:val="both"/>
              <w:rPr>
                <w:rFonts w:ascii="宋体" w:hAnsi="宋体" w:cs="宋体" w:eastAsia="宋体" w:hint="default"/>
                <w:sz w:val="18"/>
                <w:szCs w:val="18"/>
              </w:rPr>
            </w:pPr>
            <w:r>
              <w:rPr>
                <w:rFonts w:ascii="宋体" w:hAnsi="宋体" w:cs="宋体" w:eastAsia="宋体" w:hint="default"/>
                <w:sz w:val="18"/>
                <w:szCs w:val="18"/>
              </w:rPr>
              <w:t>因承担国家为保障某种公用 事业或社会必要产品供应或 价格控制职能而获得的补助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3"/>
              <w:jc w:val="right"/>
              <w:rPr>
                <w:rFonts w:ascii="宋体" w:hAnsi="宋体" w:cs="宋体" w:eastAsia="宋体" w:hint="default"/>
                <w:sz w:val="18"/>
                <w:szCs w:val="18"/>
              </w:rPr>
            </w:pPr>
            <w:r>
              <w:rPr>
                <w:rFonts w:ascii="宋体"/>
                <w:sz w:val="18"/>
              </w:rPr>
              <w:t>10,702.70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2013 </w:t>
            </w:r>
            <w:r>
              <w:rPr>
                <w:rFonts w:ascii="宋体" w:hAnsi="宋体" w:cs="宋体" w:eastAsia="宋体" w:hint="default"/>
                <w:sz w:val="18"/>
                <w:szCs w:val="18"/>
              </w:rPr>
              <w:t>年度支持产业发展专 </w:t>
            </w:r>
            <w:r>
              <w:rPr>
                <w:rFonts w:ascii="宋体" w:hAnsi="宋体" w:cs="宋体" w:eastAsia="宋体" w:hint="default"/>
                <w:spacing w:val="-8"/>
                <w:sz w:val="18"/>
                <w:szCs w:val="18"/>
              </w:rPr>
              <w:t>项资金第一批（电子商务物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流信息平台建设）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西安市经济技术开发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区管理委员会文件</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
              <w:jc w:val="right"/>
              <w:rPr>
                <w:rFonts w:ascii="宋体" w:hAnsi="宋体" w:cs="宋体" w:eastAsia="宋体" w:hint="default"/>
                <w:sz w:val="18"/>
                <w:szCs w:val="18"/>
              </w:rPr>
            </w:pPr>
            <w:r>
              <w:rPr>
                <w:rFonts w:ascii="宋体"/>
                <w:sz w:val="18"/>
              </w:rPr>
              <w:t>223,429.16</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防伪税控</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
              <w:jc w:val="right"/>
              <w:rPr>
                <w:rFonts w:ascii="宋体" w:hAnsi="宋体" w:cs="宋体" w:eastAsia="宋体" w:hint="default"/>
                <w:sz w:val="18"/>
                <w:szCs w:val="18"/>
              </w:rPr>
            </w:pPr>
            <w:r>
              <w:rPr>
                <w:rFonts w:ascii="宋体"/>
                <w:sz w:val="18"/>
              </w:rPr>
              <w:t>348.00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pacing w:val="7"/>
                <w:sz w:val="18"/>
                <w:szCs w:val="18"/>
              </w:rPr>
              <w:t>天津生态城财政局财政扶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持资金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中新生态城财政局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75"/>
              <w:jc w:val="both"/>
              <w:rPr>
                <w:rFonts w:ascii="宋体" w:hAnsi="宋体" w:cs="宋体" w:eastAsia="宋体" w:hint="default"/>
                <w:sz w:val="18"/>
                <w:szCs w:val="18"/>
              </w:rPr>
            </w:pPr>
            <w:r>
              <w:rPr>
                <w:rFonts w:ascii="宋体" w:hAnsi="宋体" w:cs="宋体" w:eastAsia="宋体" w:hint="default"/>
                <w:sz w:val="18"/>
                <w:szCs w:val="18"/>
              </w:rPr>
              <w:t>因符合地方政府招商引资等 地方性扶持政策而获得的补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2"/>
              <w:jc w:val="right"/>
              <w:rPr>
                <w:rFonts w:ascii="宋体" w:hAnsi="宋体" w:cs="宋体" w:eastAsia="宋体" w:hint="default"/>
                <w:sz w:val="18"/>
                <w:szCs w:val="18"/>
              </w:rPr>
            </w:pPr>
            <w:r>
              <w:rPr>
                <w:rFonts w:ascii="宋体"/>
                <w:sz w:val="18"/>
              </w:rPr>
              <w:t>4,220,491.36</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税源经济奖励</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诸暨市次坞镇人民政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府</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5"/>
              <w:jc w:val="left"/>
              <w:rPr>
                <w:rFonts w:ascii="宋体" w:hAnsi="宋体" w:cs="宋体" w:eastAsia="宋体" w:hint="default"/>
                <w:sz w:val="18"/>
                <w:szCs w:val="18"/>
              </w:rPr>
            </w:pPr>
            <w:r>
              <w:rPr>
                <w:rFonts w:ascii="宋体" w:hAnsi="宋体" w:cs="宋体" w:eastAsia="宋体" w:hint="default"/>
                <w:sz w:val="18"/>
                <w:szCs w:val="18"/>
              </w:rPr>
              <w:t>因研究开发、技术更新及改 造等获得的补助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1,165,100.00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深圳市人力资源和社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会保障局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5"/>
              <w:jc w:val="both"/>
              <w:rPr>
                <w:rFonts w:ascii="宋体" w:hAnsi="宋体" w:cs="宋体" w:eastAsia="宋体" w:hint="default"/>
                <w:sz w:val="18"/>
                <w:szCs w:val="18"/>
              </w:rPr>
            </w:pPr>
            <w:r>
              <w:rPr>
                <w:rFonts w:ascii="宋体" w:hAnsi="宋体" w:cs="宋体" w:eastAsia="宋体" w:hint="default"/>
                <w:sz w:val="18"/>
                <w:szCs w:val="18"/>
              </w:rPr>
              <w:t>因符合地方政府招商引资等 地方性扶持政策而获得的补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
              <w:jc w:val="right"/>
              <w:rPr>
                <w:rFonts w:ascii="宋体" w:hAnsi="宋体" w:cs="宋体" w:eastAsia="宋体" w:hint="default"/>
                <w:sz w:val="18"/>
                <w:szCs w:val="18"/>
              </w:rPr>
            </w:pPr>
            <w:r>
              <w:rPr>
                <w:rFonts w:ascii="宋体"/>
                <w:sz w:val="18"/>
              </w:rPr>
              <w:t>16,718.08</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2" w:right="21"/>
              <w:jc w:val="both"/>
              <w:rPr>
                <w:rFonts w:ascii="宋体" w:hAnsi="宋体" w:cs="宋体" w:eastAsia="宋体" w:hint="default"/>
                <w:sz w:val="18"/>
                <w:szCs w:val="18"/>
              </w:rPr>
            </w:pPr>
            <w:r>
              <w:rPr>
                <w:rFonts w:ascii="宋体" w:hAnsi="宋体" w:cs="宋体" w:eastAsia="宋体" w:hint="default"/>
                <w:spacing w:val="2"/>
                <w:sz w:val="18"/>
                <w:szCs w:val="18"/>
              </w:rPr>
              <w:t>新疆维吾尔自治区霍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尔果斯经济开发区管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理委员会财政局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2" w:right="75"/>
              <w:jc w:val="both"/>
              <w:rPr>
                <w:rFonts w:ascii="宋体" w:hAnsi="宋体" w:cs="宋体" w:eastAsia="宋体" w:hint="default"/>
                <w:sz w:val="18"/>
                <w:szCs w:val="18"/>
              </w:rPr>
            </w:pPr>
            <w:r>
              <w:rPr>
                <w:rFonts w:ascii="宋体" w:hAnsi="宋体" w:cs="宋体" w:eastAsia="宋体" w:hint="default"/>
                <w:sz w:val="18"/>
                <w:szCs w:val="18"/>
              </w:rPr>
              <w:t>因符合地方政府招商引资等 地方性扶持政策而获得的补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2"/>
              <w:jc w:val="right"/>
              <w:rPr>
                <w:rFonts w:ascii="宋体" w:hAnsi="宋体" w:cs="宋体" w:eastAsia="宋体" w:hint="default"/>
                <w:sz w:val="18"/>
                <w:szCs w:val="18"/>
              </w:rPr>
            </w:pPr>
            <w:r>
              <w:rPr>
                <w:rFonts w:ascii="宋体"/>
                <w:sz w:val="18"/>
              </w:rPr>
              <w:t>200,000.00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pacing w:val="2"/>
                <w:sz w:val="18"/>
                <w:szCs w:val="18"/>
              </w:rPr>
              <w:t>新疆维吾尔自治区霍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尔果斯经济开发区管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理委员会财政局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
              <w:jc w:val="right"/>
              <w:rPr>
                <w:rFonts w:ascii="宋体" w:hAnsi="宋体" w:cs="宋体" w:eastAsia="宋体" w:hint="default"/>
                <w:sz w:val="18"/>
                <w:szCs w:val="18"/>
              </w:rPr>
            </w:pPr>
            <w:r>
              <w:rPr>
                <w:rFonts w:ascii="宋体"/>
                <w:sz w:val="18"/>
              </w:rPr>
              <w:t>180,000.00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广州市社保局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5"/>
              <w:jc w:val="both"/>
              <w:rPr>
                <w:rFonts w:ascii="宋体" w:hAnsi="宋体" w:cs="宋体" w:eastAsia="宋体" w:hint="default"/>
                <w:sz w:val="18"/>
                <w:szCs w:val="18"/>
              </w:rPr>
            </w:pPr>
            <w:r>
              <w:rPr>
                <w:rFonts w:ascii="宋体" w:hAnsi="宋体" w:cs="宋体" w:eastAsia="宋体" w:hint="default"/>
                <w:sz w:val="18"/>
                <w:szCs w:val="18"/>
              </w:rPr>
              <w:t>因符合地方政府招商引资等 地方性扶持政策而获得的补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
              <w:jc w:val="right"/>
              <w:rPr>
                <w:rFonts w:ascii="宋体" w:hAnsi="宋体" w:cs="宋体" w:eastAsia="宋体" w:hint="default"/>
                <w:sz w:val="18"/>
                <w:szCs w:val="18"/>
              </w:rPr>
            </w:pPr>
            <w:r>
              <w:rPr>
                <w:rFonts w:ascii="宋体"/>
                <w:sz w:val="18"/>
              </w:rPr>
              <w:t>12,065.28</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企业贡献奖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2"/>
                <w:sz w:val="18"/>
                <w:szCs w:val="18"/>
              </w:rPr>
              <w:t>天河科技园管委会产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1,000,000.00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6840" w:h="11910" w:orient="landscape"/>
          <w:pgMar w:header="867" w:footer="979" w:top="1060" w:bottom="1160" w:left="132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128"/>
        <w:gridCol w:w="1700"/>
        <w:gridCol w:w="1702"/>
        <w:gridCol w:w="2268"/>
        <w:gridCol w:w="1062"/>
        <w:gridCol w:w="1348"/>
        <w:gridCol w:w="1417"/>
        <w:gridCol w:w="1490"/>
        <w:gridCol w:w="1345"/>
      </w:tblGrid>
      <w:tr>
        <w:trPr>
          <w:trHeight w:val="648" w:hRule="exact"/>
        </w:trPr>
        <w:tc>
          <w:tcPr>
            <w:tcW w:w="2128" w:type="dxa"/>
            <w:tcBorders>
              <w:top w:val="single" w:sz="15" w:space="0" w:color="000000"/>
              <w:left w:val="single" w:sz="4" w:space="0" w:color="000000"/>
              <w:bottom w:val="single" w:sz="4" w:space="0" w:color="000000"/>
              <w:right w:val="single" w:sz="4" w:space="0" w:color="000000"/>
            </w:tcBorders>
          </w:tcPr>
          <w:p>
            <w:pPr/>
          </w:p>
        </w:tc>
        <w:tc>
          <w:tcPr>
            <w:tcW w:w="17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业处</w:t>
            </w:r>
          </w:p>
        </w:tc>
        <w:tc>
          <w:tcPr>
            <w:tcW w:w="1702" w:type="dxa"/>
            <w:tcBorders>
              <w:top w:val="single" w:sz="15" w:space="0" w:color="000000"/>
              <w:left w:val="single" w:sz="4" w:space="0" w:color="000000"/>
              <w:bottom w:val="single" w:sz="4" w:space="0" w:color="000000"/>
              <w:right w:val="single" w:sz="4" w:space="0" w:color="000000"/>
            </w:tcBorders>
          </w:tcPr>
          <w:p>
            <w:pPr/>
          </w:p>
        </w:tc>
        <w:tc>
          <w:tcPr>
            <w:tcW w:w="2268"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75"/>
              <w:jc w:val="left"/>
              <w:rPr>
                <w:rFonts w:ascii="宋体" w:hAnsi="宋体" w:cs="宋体" w:eastAsia="宋体" w:hint="default"/>
                <w:sz w:val="18"/>
                <w:szCs w:val="18"/>
              </w:rPr>
            </w:pPr>
            <w:r>
              <w:rPr>
                <w:rFonts w:ascii="宋体" w:hAnsi="宋体" w:cs="宋体" w:eastAsia="宋体" w:hint="default"/>
                <w:sz w:val="18"/>
                <w:szCs w:val="18"/>
              </w:rPr>
              <w:t>地方性扶持政策而获得的补 助</w:t>
            </w:r>
          </w:p>
        </w:tc>
        <w:tc>
          <w:tcPr>
            <w:tcW w:w="1062" w:type="dxa"/>
            <w:tcBorders>
              <w:top w:val="single" w:sz="15" w:space="0" w:color="000000"/>
              <w:left w:val="single" w:sz="4" w:space="0" w:color="000000"/>
              <w:bottom w:val="single" w:sz="4" w:space="0" w:color="000000"/>
              <w:right w:val="single" w:sz="4" w:space="0" w:color="000000"/>
            </w:tcBorders>
          </w:tcPr>
          <w:p>
            <w:pPr/>
          </w:p>
        </w:tc>
        <w:tc>
          <w:tcPr>
            <w:tcW w:w="1348"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490" w:type="dxa"/>
            <w:tcBorders>
              <w:top w:val="single" w:sz="15" w:space="0" w:color="000000"/>
              <w:left w:val="single" w:sz="4" w:space="0" w:color="000000"/>
              <w:bottom w:val="single" w:sz="4" w:space="0" w:color="000000"/>
              <w:right w:val="single" w:sz="4" w:space="0" w:color="000000"/>
            </w:tcBorders>
          </w:tcPr>
          <w:p>
            <w:pPr/>
          </w:p>
        </w:tc>
        <w:tc>
          <w:tcPr>
            <w:tcW w:w="1345" w:type="dxa"/>
            <w:tcBorders>
              <w:top w:val="single" w:sz="15" w:space="0" w:color="000000"/>
              <w:left w:val="single" w:sz="4" w:space="0" w:color="000000"/>
              <w:bottom w:val="single" w:sz="4" w:space="0" w:color="000000"/>
              <w:right w:val="single" w:sz="4" w:space="0" w:color="000000"/>
            </w:tcBorders>
          </w:tcPr>
          <w:p>
            <w:pPr/>
          </w:p>
        </w:tc>
      </w:tr>
      <w:tr>
        <w:trPr>
          <w:trHeight w:val="94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高新企业奖励补贴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广州市科技创新委员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75"/>
              <w:jc w:val="both"/>
              <w:rPr>
                <w:rFonts w:ascii="宋体" w:hAnsi="宋体" w:cs="宋体" w:eastAsia="宋体" w:hint="default"/>
                <w:sz w:val="18"/>
                <w:szCs w:val="18"/>
              </w:rPr>
            </w:pPr>
            <w:r>
              <w:rPr>
                <w:rFonts w:ascii="宋体" w:hAnsi="宋体" w:cs="宋体" w:eastAsia="宋体" w:hint="default"/>
                <w:sz w:val="18"/>
                <w:szCs w:val="18"/>
              </w:rPr>
              <w:t>因符合地方政府招商引资等 地方性扶持政策而获得的补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2"/>
              <w:jc w:val="right"/>
              <w:rPr>
                <w:rFonts w:ascii="宋体" w:hAnsi="宋体" w:cs="宋体" w:eastAsia="宋体" w:hint="default"/>
                <w:sz w:val="18"/>
                <w:szCs w:val="18"/>
              </w:rPr>
            </w:pPr>
            <w:r>
              <w:rPr>
                <w:rFonts w:ascii="宋体"/>
                <w:sz w:val="18"/>
              </w:rPr>
              <w:t>400,000.00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研发费用后补贴款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both"/>
              <w:rPr>
                <w:rFonts w:ascii="宋体" w:hAnsi="宋体" w:cs="宋体" w:eastAsia="宋体" w:hint="default"/>
                <w:sz w:val="18"/>
                <w:szCs w:val="18"/>
              </w:rPr>
            </w:pPr>
            <w:r>
              <w:rPr>
                <w:rFonts w:ascii="宋体" w:hAnsi="宋体" w:cs="宋体" w:eastAsia="宋体" w:hint="default"/>
                <w:spacing w:val="2"/>
                <w:sz w:val="18"/>
                <w:szCs w:val="18"/>
              </w:rPr>
              <w:t>广州市科技创新委员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会、广东省科学技术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因从事国家鼓励和扶持特定 </w:t>
            </w:r>
            <w:r>
              <w:rPr>
                <w:rFonts w:ascii="宋体" w:hAnsi="宋体" w:cs="宋体" w:eastAsia="宋体" w:hint="default"/>
                <w:spacing w:val="-10"/>
                <w:sz w:val="18"/>
                <w:szCs w:val="18"/>
              </w:rPr>
              <w:t>行业、产业而获得的补助（按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国家级政策规定依法取得）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
              <w:jc w:val="right"/>
              <w:rPr>
                <w:rFonts w:ascii="宋体" w:hAnsi="宋体" w:cs="宋体" w:eastAsia="宋体" w:hint="default"/>
                <w:sz w:val="18"/>
                <w:szCs w:val="18"/>
              </w:rPr>
            </w:pPr>
            <w:r>
              <w:rPr>
                <w:rFonts w:ascii="宋体"/>
                <w:sz w:val="18"/>
              </w:rPr>
              <w:t>89,400.00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天河区财政局 </w:t>
            </w:r>
            <w:r>
              <w:rPr>
                <w:rFonts w:ascii="宋体" w:hAnsi="宋体" w:cs="宋体" w:eastAsia="宋体" w:hint="default"/>
                <w:sz w:val="18"/>
                <w:szCs w:val="18"/>
              </w:rPr>
              <w:t>ISO</w:t>
            </w:r>
            <w:r>
              <w:rPr>
                <w:rFonts w:ascii="宋体" w:hAnsi="宋体" w:cs="宋体" w:eastAsia="宋体" w:hint="default"/>
                <w:spacing w:val="1"/>
                <w:sz w:val="18"/>
                <w:szCs w:val="18"/>
              </w:rPr>
              <w:t> </w:t>
            </w:r>
            <w:r>
              <w:rPr>
                <w:rFonts w:ascii="宋体" w:hAnsi="宋体" w:cs="宋体" w:eastAsia="宋体" w:hint="default"/>
                <w:sz w:val="18"/>
                <w:szCs w:val="18"/>
              </w:rPr>
              <w:t>资质奖 励资金支持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天河科技园管委会产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5"/>
              <w:jc w:val="both"/>
              <w:rPr>
                <w:rFonts w:ascii="宋体" w:hAnsi="宋体" w:cs="宋体" w:eastAsia="宋体" w:hint="default"/>
                <w:sz w:val="18"/>
                <w:szCs w:val="18"/>
              </w:rPr>
            </w:pPr>
            <w:r>
              <w:rPr>
                <w:rFonts w:ascii="宋体" w:hAnsi="宋体" w:cs="宋体" w:eastAsia="宋体" w:hint="default"/>
                <w:sz w:val="18"/>
                <w:szCs w:val="18"/>
              </w:rPr>
              <w:t>因符合地方政府招商引资等 地方性扶持政策而获得的补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
              <w:jc w:val="right"/>
              <w:rPr>
                <w:rFonts w:ascii="宋体" w:hAnsi="宋体" w:cs="宋体" w:eastAsia="宋体" w:hint="default"/>
                <w:sz w:val="18"/>
                <w:szCs w:val="18"/>
              </w:rPr>
            </w:pPr>
            <w:r>
              <w:rPr>
                <w:rFonts w:ascii="宋体"/>
                <w:sz w:val="18"/>
              </w:rPr>
              <w:t>40,000.00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pacing w:val="7"/>
                <w:sz w:val="18"/>
                <w:szCs w:val="18"/>
              </w:rPr>
              <w:t>天河区财政局知识产权证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书奖励</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天河科技园管委会产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2" w:right="75"/>
              <w:jc w:val="both"/>
              <w:rPr>
                <w:rFonts w:ascii="宋体" w:hAnsi="宋体" w:cs="宋体" w:eastAsia="宋体" w:hint="default"/>
                <w:sz w:val="18"/>
                <w:szCs w:val="18"/>
              </w:rPr>
            </w:pPr>
            <w:r>
              <w:rPr>
                <w:rFonts w:ascii="宋体" w:hAnsi="宋体" w:cs="宋体" w:eastAsia="宋体" w:hint="default"/>
                <w:sz w:val="18"/>
                <w:szCs w:val="18"/>
              </w:rPr>
              <w:t>因符合地方政府招商引资等 地方性扶持政策而获得的补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22"/>
              <w:jc w:val="right"/>
              <w:rPr>
                <w:rFonts w:ascii="宋体" w:hAnsi="宋体" w:cs="宋体" w:eastAsia="宋体" w:hint="default"/>
                <w:sz w:val="18"/>
                <w:szCs w:val="18"/>
              </w:rPr>
            </w:pPr>
            <w:r>
              <w:rPr>
                <w:rFonts w:ascii="宋体"/>
                <w:sz w:val="18"/>
              </w:rPr>
              <w:t>5,000.00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pacing w:val="7"/>
                <w:sz w:val="18"/>
                <w:szCs w:val="18"/>
              </w:rPr>
              <w:t>海口市天然气第二气源厂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海口市财政局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5"/>
              <w:jc w:val="both"/>
              <w:rPr>
                <w:rFonts w:ascii="宋体" w:hAnsi="宋体" w:cs="宋体" w:eastAsia="宋体" w:hint="default"/>
                <w:sz w:val="18"/>
                <w:szCs w:val="18"/>
              </w:rPr>
            </w:pPr>
            <w:r>
              <w:rPr>
                <w:rFonts w:ascii="宋体" w:hAnsi="宋体" w:cs="宋体" w:eastAsia="宋体" w:hint="default"/>
                <w:sz w:val="18"/>
                <w:szCs w:val="18"/>
              </w:rPr>
              <w:t>因承担国家为保障某种公用 事业或社会必要产品供应或 价格控制职能而获得的补助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2"/>
              <w:jc w:val="right"/>
              <w:rPr>
                <w:rFonts w:ascii="宋体" w:hAnsi="宋体" w:cs="宋体" w:eastAsia="宋体" w:hint="default"/>
                <w:sz w:val="18"/>
                <w:szCs w:val="18"/>
              </w:rPr>
            </w:pPr>
            <w:r>
              <w:rPr>
                <w:rFonts w:ascii="宋体"/>
                <w:sz w:val="18"/>
              </w:rPr>
              <w:t>212,499.99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3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海口市</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年重大科技创 新项目</w:t>
            </w:r>
            <w:r>
              <w:rPr>
                <w:rFonts w:ascii="宋体" w:hAnsi="宋体" w:cs="宋体" w:eastAsia="宋体" w:hint="default"/>
                <w:sz w:val="18"/>
                <w:szCs w:val="18"/>
              </w:rPr>
              <w:t>-3G</w:t>
            </w:r>
            <w:r>
              <w:rPr>
                <w:rFonts w:ascii="宋体" w:hAnsi="宋体" w:cs="宋体" w:eastAsia="宋体" w:hint="default"/>
                <w:spacing w:val="-46"/>
                <w:sz w:val="18"/>
                <w:szCs w:val="18"/>
              </w:rPr>
              <w:t> </w:t>
            </w:r>
            <w:r>
              <w:rPr>
                <w:rFonts w:ascii="宋体" w:hAnsi="宋体" w:cs="宋体" w:eastAsia="宋体" w:hint="default"/>
                <w:sz w:val="18"/>
                <w:szCs w:val="18"/>
              </w:rPr>
              <w:t>燃气</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海口市科学技术工业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信息化局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5"/>
              <w:jc w:val="left"/>
              <w:rPr>
                <w:rFonts w:ascii="宋体" w:hAnsi="宋体" w:cs="宋体" w:eastAsia="宋体" w:hint="default"/>
                <w:sz w:val="18"/>
                <w:szCs w:val="18"/>
              </w:rPr>
            </w:pPr>
            <w:r>
              <w:rPr>
                <w:rFonts w:ascii="宋体" w:hAnsi="宋体" w:cs="宋体" w:eastAsia="宋体" w:hint="default"/>
                <w:sz w:val="18"/>
                <w:szCs w:val="18"/>
              </w:rPr>
              <w:t>因研究开发、技术更新及改 造等获得的补助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7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39,999.99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6840" w:h="11910" w:orient="landscape"/>
          <w:pgMar w:header="867" w:footer="979" w:top="1060" w:bottom="1160" w:left="1320" w:right="820"/>
        </w:sectPr>
      </w:pPr>
    </w:p>
    <w:p>
      <w:pPr>
        <w:spacing w:line="240" w:lineRule="auto" w:before="7"/>
        <w:rPr>
          <w:rFonts w:ascii="Times New Roman" w:hAnsi="Times New Roman" w:cs="Times New Roman" w:eastAsia="Times New Roman" w:hint="default"/>
          <w:sz w:val="23"/>
          <w:szCs w:val="23"/>
        </w:rPr>
      </w:pPr>
    </w:p>
    <w:p>
      <w:pPr>
        <w:pStyle w:val="Heading4"/>
        <w:spacing w:line="240" w:lineRule="auto" w:before="35"/>
        <w:ind w:right="0"/>
        <w:jc w:val="left"/>
        <w:rPr>
          <w:b w:val="0"/>
          <w:bCs w:val="0"/>
        </w:rPr>
      </w:pPr>
      <w:bookmarkStart w:name="51、营业外支出" w:id="325"/>
      <w:bookmarkEnd w:id="325"/>
      <w:r>
        <w:rPr>
          <w:b w:val="0"/>
          <w:bCs w:val="0"/>
        </w:rPr>
      </w:r>
      <w:r>
        <w:rPr>
          <w:rFonts w:ascii="宋体" w:hAnsi="宋体" w:cs="宋体" w:eastAsia="宋体" w:hint="default"/>
        </w:rPr>
        <w:t>51</w:t>
      </w:r>
      <w:r>
        <w:rPr/>
        <w:t>、营业外支出</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1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008"/>
              <w:jc w:val="right"/>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104,000.00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104,000.00</w:t>
            </w:r>
          </w:p>
        </w:tc>
      </w:tr>
      <w:tr>
        <w:trPr>
          <w:trHeight w:val="32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161,388.22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144,047.55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161,388.22</w:t>
            </w:r>
          </w:p>
        </w:tc>
      </w:tr>
      <w:tr>
        <w:trPr>
          <w:trHeight w:val="32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4,421,029.14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4,421,029.14</w:t>
            </w: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赔偿损失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3,941,762.85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3,941,762.85</w:t>
            </w:r>
          </w:p>
        </w:tc>
      </w:tr>
      <w:tr>
        <w:trPr>
          <w:trHeight w:val="32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15,482,045.27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5,911,641.55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15,482,045.27</w:t>
            </w: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008"/>
              <w:jc w:val="righ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24,110,225.48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6,055,689.10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24,110,225.48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2、所得税费用" w:id="326"/>
      <w:bookmarkEnd w:id="326"/>
      <w:r>
        <w:rPr>
          <w:b w:val="0"/>
          <w:bCs w:val="0"/>
        </w:rPr>
      </w:r>
      <w:r>
        <w:rPr>
          <w:rFonts w:ascii="宋体" w:hAnsi="宋体" w:cs="宋体" w:eastAsia="宋体" w:hint="default"/>
        </w:rPr>
        <w:t>52</w:t>
      </w:r>
      <w:r>
        <w:rPr/>
        <w:t>、所得税费用</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0"/>
        <w:jc w:val="left"/>
        <w:rPr>
          <w:b w:val="0"/>
          <w:bCs w:val="0"/>
        </w:rPr>
      </w:pPr>
      <w:bookmarkStart w:name="（1）所得税费用表" w:id="327"/>
      <w:bookmarkEnd w:id="327"/>
      <w:r>
        <w:rPr>
          <w:b w:val="0"/>
          <w:bCs w:val="0"/>
        </w:rPr>
      </w:r>
      <w:r>
        <w:rPr/>
        <w:t>（</w:t>
      </w:r>
      <w:r>
        <w:rPr>
          <w:rFonts w:ascii="宋体" w:hAnsi="宋体" w:cs="宋体" w:eastAsia="宋体" w:hint="default"/>
        </w:rPr>
        <w:t>1</w:t>
      </w:r>
      <w:r>
        <w:rPr/>
        <w:t>）所得税费用表</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64,540,836.07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158,726,370.15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-7,048,995.25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-3,008,069.47</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57,491,840.82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155,718,300.68</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328"/>
      <w:bookmarkEnd w:id="328"/>
      <w:r>
        <w:rPr>
          <w:b w:val="0"/>
          <w:bCs w:val="0"/>
        </w:rPr>
      </w:r>
      <w:r>
        <w:rPr/>
        <w:t>（</w:t>
      </w:r>
      <w:r>
        <w:rPr>
          <w:rFonts w:ascii="宋体" w:hAnsi="宋体" w:cs="宋体" w:eastAsia="宋体" w:hint="default"/>
        </w:rPr>
        <w:t>2</w:t>
      </w:r>
      <w:r>
        <w:rPr/>
        <w:t>）会计利润与所得税费用调整过程</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69"/>
        <w:gridCol w:w="4788"/>
      </w:tblGrid>
      <w:tr>
        <w:trPr>
          <w:trHeight w:val="322"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-4,876,813,933.64</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-1,219,203,483.41</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-129,718,390.81</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47,621,657.83</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63,541,244.04</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1,256,774.44</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-4,467,348.59</w:t>
            </w:r>
          </w:p>
        </w:tc>
      </w:tr>
      <w:tr>
        <w:trPr>
          <w:trHeight w:val="635"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26"/>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损的影响</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1,299,284,644.23</w:t>
            </w:r>
          </w:p>
        </w:tc>
      </w:tr>
      <w:tr>
        <w:trPr>
          <w:trHeight w:val="322" w:hRule="exact"/>
        </w:trPr>
        <w:tc>
          <w:tcPr>
            <w:tcW w:w="4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-823,256.91</w:t>
            </w:r>
          </w:p>
        </w:tc>
      </w:tr>
      <w:tr>
        <w:trPr>
          <w:trHeight w:val="323"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57,491,840.82</w:t>
            </w:r>
          </w:p>
        </w:tc>
      </w:tr>
    </w:tbl>
    <w:p>
      <w:pPr>
        <w:spacing w:after="0" w:line="240" w:lineRule="auto"/>
        <w:jc w:val="right"/>
        <w:rPr>
          <w:rFonts w:ascii="宋体" w:hAnsi="宋体" w:cs="宋体" w:eastAsia="宋体" w:hint="default"/>
          <w:sz w:val="18"/>
          <w:szCs w:val="18"/>
        </w:rPr>
        <w:sectPr>
          <w:headerReference w:type="default" r:id="rId57"/>
          <w:footerReference w:type="default" r:id="rId58"/>
          <w:pgSz w:w="11910" w:h="16840"/>
          <w:pgMar w:header="877" w:footer="979" w:top="1100" w:bottom="1160" w:left="980" w:right="0"/>
          <w:pgNumType w:start="233"/>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53、现金流量表项目" w:id="329"/>
      <w:bookmarkEnd w:id="329"/>
      <w:r>
        <w:rPr>
          <w:b w:val="0"/>
          <w:bCs w:val="0"/>
        </w:rPr>
      </w:r>
      <w:r>
        <w:rPr>
          <w:rFonts w:ascii="宋体" w:hAnsi="宋体" w:cs="宋体" w:eastAsia="宋体" w:hint="default"/>
        </w:rPr>
        <w:t>53</w:t>
      </w:r>
      <w:r>
        <w:rPr/>
        <w:t>、现金流量表项目</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0"/>
        <w:jc w:val="left"/>
        <w:rPr>
          <w:b w:val="0"/>
          <w:bCs w:val="0"/>
        </w:rPr>
      </w:pPr>
      <w:bookmarkStart w:name="（1）收到的其他与经营活动有关的现金" w:id="330"/>
      <w:bookmarkEnd w:id="330"/>
      <w:r>
        <w:rPr>
          <w:b w:val="0"/>
          <w:bCs w:val="0"/>
        </w:rPr>
      </w:r>
      <w:r>
        <w:rPr/>
        <w:t>（</w:t>
      </w:r>
      <w:r>
        <w:rPr>
          <w:rFonts w:ascii="宋体" w:hAnsi="宋体" w:cs="宋体" w:eastAsia="宋体" w:hint="default"/>
        </w:rPr>
        <w:t>1</w:t>
      </w:r>
      <w:r>
        <w:rPr/>
        <w:t>）收到的其他与经营活动有关的现金</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352,629,602.43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369,190,502.23</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204,904,164.14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141,666,150.31</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26,376,622.09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25,759,510.40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14,880,996.97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9,395,821.76</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84,323,517.49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76,305,181.74</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职工往来借款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39,135,606.50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39,777,069.95</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111,135,089.45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35,824,867.32</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833,385,599.07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697,919,103.71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0"/>
        <w:jc w:val="left"/>
        <w:rPr>
          <w:b w:val="0"/>
          <w:bCs w:val="0"/>
        </w:rPr>
      </w:pPr>
      <w:bookmarkStart w:name="（2）支付的其他与经营活动有关的现金" w:id="331"/>
      <w:bookmarkEnd w:id="331"/>
      <w:r>
        <w:rPr>
          <w:b w:val="0"/>
          <w:bCs w:val="0"/>
        </w:rPr>
      </w:r>
      <w:r>
        <w:rPr/>
        <w:t>（</w:t>
      </w:r>
      <w:r>
        <w:rPr>
          <w:rFonts w:ascii="宋体" w:hAnsi="宋体" w:cs="宋体" w:eastAsia="宋体" w:hint="default"/>
        </w:rPr>
        <w:t>2</w:t>
      </w:r>
      <w:r>
        <w:rPr/>
        <w:t>）支付的其他与经营活动有关的现金</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147,328,886.31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161,269,603.00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82,497,314.59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93,623,856.33</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278,884,498.78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425,466,433.76</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159,425,171.75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143,317,753.37</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职工往来借款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80,231,900.92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67,695,218.97</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107,450,426.02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115,636,606.25</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37,876,970.24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24,454,640.87</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893,695,168.61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1,031,464,112.55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收到的其他与投资活动有关的现金" w:id="332"/>
      <w:bookmarkEnd w:id="332"/>
      <w:r>
        <w:rPr>
          <w:b w:val="0"/>
          <w:bCs w:val="0"/>
        </w:rPr>
      </w:r>
      <w:r>
        <w:rPr/>
        <w:t>（</w:t>
      </w:r>
      <w:r>
        <w:rPr>
          <w:rFonts w:ascii="宋体" w:hAnsi="宋体" w:cs="宋体" w:eastAsia="宋体" w:hint="default"/>
        </w:rPr>
        <w:t>3</w:t>
      </w:r>
      <w:r>
        <w:rPr/>
        <w:t>）收到的其他与投资活动有关的现金</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取得上海鸿立收到的现金净额</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2,100,000.00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2,100,000.00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支付的其他与筹资活动有关的现金" w:id="333"/>
      <w:bookmarkEnd w:id="333"/>
      <w:r>
        <w:rPr>
          <w:b w:val="0"/>
          <w:bCs w:val="0"/>
        </w:rPr>
      </w:r>
      <w:r>
        <w:rPr/>
        <w:t>（</w:t>
      </w:r>
      <w:r>
        <w:rPr>
          <w:rFonts w:ascii="宋体" w:hAnsi="宋体" w:cs="宋体" w:eastAsia="宋体" w:hint="default"/>
        </w:rPr>
        <w:t>4</w:t>
      </w:r>
      <w:r>
        <w:rPr/>
        <w:t>）支付的其他与筹资活动有关的现金</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295,000,000.00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295,000,000.00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宋体" w:hAnsi="宋体" w:cs="宋体" w:eastAsia="宋体" w:hint="default"/>
          <w:sz w:val="20"/>
          <w:szCs w:val="20"/>
        </w:rPr>
      </w:pPr>
      <w:r>
        <w:rPr/>
        <w:pict>
          <v:group style="position:absolute;margin-left:223.339996pt;margin-top:308.869995pt;width:151.25pt;height:16.75pt;mso-position-horizontal-relative:page;mso-position-vertical-relative:page;z-index:-1491112" coordorigin="4467,6177" coordsize="3025,335">
            <v:group style="position:absolute;left:4478;top:6189;width:2;height:312" coordorigin="4478,6189" coordsize="2,312">
              <v:shape style="position:absolute;left:4478;top:6189;width:2;height:312" coordorigin="4478,6189" coordsize="0,312" path="m4478,6189l4478,6501e" filled="false" stroked="true" strokeweight="1.140pt" strokecolor="#ffffff">
                <v:path arrowok="t"/>
              </v:shape>
            </v:group>
            <v:group style="position:absolute;left:4490;top:6189;width:3002;height:312" coordorigin="4490,6189" coordsize="3002,312">
              <v:shape style="position:absolute;left:4490;top:6189;width:3002;height:312" coordorigin="4490,6189" coordsize="3002,312" path="m4490,6501l7491,6501,7491,6189,4490,6189,4490,6501xe" filled="true" fillcolor="#ffffff" stroked="false">
                <v:path arrowok="t"/>
                <v:fill type="solid"/>
              </v:shape>
            </v:group>
            <w10:wrap type="none"/>
          </v:group>
        </w:pict>
      </w:r>
    </w:p>
    <w:p>
      <w:pPr>
        <w:pStyle w:val="Heading4"/>
        <w:spacing w:line="240" w:lineRule="auto" w:before="35"/>
        <w:ind w:right="0"/>
        <w:jc w:val="left"/>
        <w:rPr>
          <w:b w:val="0"/>
          <w:bCs w:val="0"/>
        </w:rPr>
      </w:pPr>
      <w:bookmarkStart w:name="54、现金流量表补充资料" w:id="334"/>
      <w:bookmarkEnd w:id="334"/>
      <w:r>
        <w:rPr>
          <w:b w:val="0"/>
          <w:bCs w:val="0"/>
        </w:rPr>
      </w:r>
      <w:r>
        <w:rPr>
          <w:rFonts w:ascii="宋体" w:hAnsi="宋体" w:cs="宋体" w:eastAsia="宋体" w:hint="default"/>
        </w:rPr>
        <w:t>54</w:t>
      </w:r>
      <w:r>
        <w:rPr/>
        <w:t>、现金流量表补充资料</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0"/>
        <w:jc w:val="left"/>
        <w:rPr>
          <w:b w:val="0"/>
          <w:bCs w:val="0"/>
        </w:rPr>
      </w:pPr>
      <w:bookmarkStart w:name="（1）现金流量表补充资料" w:id="335"/>
      <w:bookmarkEnd w:id="335"/>
      <w:r>
        <w:rPr>
          <w:b w:val="0"/>
          <w:bCs w:val="0"/>
        </w:rPr>
      </w:r>
      <w:r>
        <w:rPr/>
        <w:t>（</w:t>
      </w:r>
      <w:r>
        <w:rPr>
          <w:rFonts w:ascii="宋体" w:hAnsi="宋体" w:cs="宋体" w:eastAsia="宋体" w:hint="default"/>
        </w:rPr>
        <w:t>1</w:t>
      </w:r>
      <w:r>
        <w:rPr/>
        <w:t>）现金流量表补充资料</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5"/>
        <w:gridCol w:w="972"/>
        <w:gridCol w:w="2097"/>
        <w:gridCol w:w="3184"/>
      </w:tblGrid>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494" w:right="0"/>
              <w:jc w:val="left"/>
              <w:rPr>
                <w:rFonts w:ascii="宋体" w:hAnsi="宋体" w:cs="宋体" w:eastAsia="宋体" w:hint="default"/>
                <w:sz w:val="18"/>
                <w:szCs w:val="18"/>
              </w:rPr>
            </w:pPr>
            <w:r>
              <w:rPr>
                <w:rFonts w:ascii="宋体"/>
                <w:sz w:val="18"/>
              </w:rPr>
              <w:t>-4,934,305,774.46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422,670,624.92</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584" w:right="0"/>
              <w:jc w:val="left"/>
              <w:rPr>
                <w:rFonts w:ascii="宋体" w:hAnsi="宋体" w:cs="宋体" w:eastAsia="宋体" w:hint="default"/>
                <w:sz w:val="18"/>
                <w:szCs w:val="18"/>
              </w:rPr>
            </w:pPr>
            <w:r>
              <w:rPr>
                <w:rFonts w:ascii="宋体"/>
                <w:sz w:val="18"/>
              </w:rPr>
              <w:t>3,969,039,717.00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732,607,271.22</w:t>
            </w:r>
          </w:p>
        </w:tc>
      </w:tr>
      <w:tr>
        <w:trPr>
          <w:trHeight w:val="63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54" w:right="0"/>
              <w:jc w:val="left"/>
              <w:rPr>
                <w:rFonts w:ascii="宋体" w:hAnsi="宋体" w:cs="宋体" w:eastAsia="宋体" w:hint="default"/>
                <w:sz w:val="18"/>
                <w:szCs w:val="18"/>
              </w:rPr>
            </w:pPr>
            <w:r>
              <w:rPr>
                <w:rFonts w:ascii="宋体"/>
                <w:sz w:val="18"/>
              </w:rPr>
              <w:t>77,723,985.49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73,411,011.98</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854" w:right="0"/>
              <w:jc w:val="left"/>
              <w:rPr>
                <w:rFonts w:ascii="宋体" w:hAnsi="宋体" w:cs="宋体" w:eastAsia="宋体" w:hint="default"/>
                <w:sz w:val="18"/>
                <w:szCs w:val="18"/>
              </w:rPr>
            </w:pPr>
            <w:r>
              <w:rPr>
                <w:rFonts w:ascii="宋体"/>
                <w:sz w:val="18"/>
              </w:rPr>
              <w:t>23,693,956.04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27,043,348.57</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854" w:right="0"/>
              <w:jc w:val="left"/>
              <w:rPr>
                <w:rFonts w:ascii="宋体" w:hAnsi="宋体" w:cs="宋体" w:eastAsia="宋体" w:hint="default"/>
                <w:sz w:val="18"/>
                <w:szCs w:val="18"/>
              </w:rPr>
            </w:pPr>
            <w:r>
              <w:rPr>
                <w:rFonts w:ascii="宋体"/>
                <w:sz w:val="18"/>
              </w:rPr>
              <w:t>42,660,270.14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16,861,506.88</w:t>
            </w:r>
          </w:p>
        </w:tc>
      </w:tr>
      <w:tr>
        <w:trPr>
          <w:trHeight w:val="63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44" w:right="0"/>
              <w:jc w:val="left"/>
              <w:rPr>
                <w:rFonts w:ascii="宋体" w:hAnsi="宋体" w:cs="宋体" w:eastAsia="宋体" w:hint="default"/>
                <w:sz w:val="18"/>
                <w:szCs w:val="18"/>
              </w:rPr>
            </w:pPr>
            <w:r>
              <w:rPr>
                <w:rFonts w:ascii="宋体"/>
                <w:sz w:val="18"/>
              </w:rPr>
              <w:t>2,780,671.93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3,409,835.63</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4"/>
                <w:sz w:val="18"/>
                <w:szCs w:val="18"/>
              </w:rPr>
              <w:t>公允价值变动损失（收益以“－”号填列</w:t>
            </w:r>
          </w:p>
        </w:tc>
        <w:tc>
          <w:tcPr>
            <w:tcW w:w="97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898" w:right="0"/>
              <w:jc w:val="left"/>
              <w:rPr>
                <w:rFonts w:ascii="宋体" w:hAnsi="宋体" w:cs="宋体" w:eastAsia="宋体" w:hint="default"/>
                <w:sz w:val="18"/>
                <w:szCs w:val="18"/>
              </w:rPr>
            </w:pPr>
            <w:r>
              <w:rPr>
                <w:rFonts w:ascii="宋体"/>
                <w:sz w:val="18"/>
              </w:rPr>
              <w:t>15,878,649.09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4,947,703.73</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764" w:right="0"/>
              <w:jc w:val="left"/>
              <w:rPr>
                <w:rFonts w:ascii="宋体" w:hAnsi="宋体" w:cs="宋体" w:eastAsia="宋体" w:hint="default"/>
                <w:sz w:val="18"/>
                <w:szCs w:val="18"/>
              </w:rPr>
            </w:pPr>
            <w:r>
              <w:rPr>
                <w:rFonts w:ascii="宋体"/>
                <w:sz w:val="18"/>
              </w:rPr>
              <w:t>301,717,825.22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184,647,560.00</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764" w:right="0"/>
              <w:jc w:val="left"/>
              <w:rPr>
                <w:rFonts w:ascii="宋体" w:hAnsi="宋体" w:cs="宋体" w:eastAsia="宋体" w:hint="default"/>
                <w:sz w:val="18"/>
                <w:szCs w:val="18"/>
              </w:rPr>
            </w:pPr>
            <w:r>
              <w:rPr>
                <w:rFonts w:ascii="宋体"/>
                <w:sz w:val="18"/>
              </w:rPr>
              <w:t>787,369,077.92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-843,114,740.43</w:t>
            </w:r>
          </w:p>
        </w:tc>
      </w:tr>
      <w:tr>
        <w:trPr>
          <w:trHeight w:val="63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54" w:right="0"/>
              <w:jc w:val="left"/>
              <w:rPr>
                <w:rFonts w:ascii="宋体" w:hAnsi="宋体" w:cs="宋体" w:eastAsia="宋体" w:hint="default"/>
                <w:sz w:val="18"/>
                <w:szCs w:val="18"/>
              </w:rPr>
            </w:pPr>
            <w:r>
              <w:rPr>
                <w:rFonts w:ascii="宋体"/>
                <w:sz w:val="18"/>
              </w:rPr>
              <w:t>-8,580,161.56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1,857,896.35</w:t>
            </w:r>
          </w:p>
        </w:tc>
      </w:tr>
      <w:tr>
        <w:trPr>
          <w:trHeight w:val="63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54" w:right="0"/>
              <w:jc w:val="left"/>
              <w:rPr>
                <w:rFonts w:ascii="宋体" w:hAnsi="宋体" w:cs="宋体" w:eastAsia="宋体" w:hint="default"/>
                <w:sz w:val="18"/>
                <w:szCs w:val="18"/>
              </w:rPr>
            </w:pPr>
            <w:r>
              <w:rPr>
                <w:rFonts w:ascii="宋体"/>
                <w:sz w:val="18"/>
              </w:rPr>
              <w:t>-5,788,442.16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-6,341,785.55</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854" w:right="0"/>
              <w:jc w:val="left"/>
              <w:rPr>
                <w:rFonts w:ascii="宋体" w:hAnsi="宋体" w:cs="宋体" w:eastAsia="宋体" w:hint="default"/>
                <w:sz w:val="18"/>
                <w:szCs w:val="18"/>
              </w:rPr>
            </w:pPr>
            <w:r>
              <w:rPr>
                <w:rFonts w:ascii="宋体"/>
                <w:sz w:val="18"/>
              </w:rPr>
              <w:t>37,731,752.40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-311,821,990.41</w:t>
            </w:r>
          </w:p>
        </w:tc>
      </w:tr>
      <w:tr>
        <w:trPr>
          <w:trHeight w:val="63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94" w:right="0"/>
              <w:jc w:val="left"/>
              <w:rPr>
                <w:rFonts w:ascii="宋体" w:hAnsi="宋体" w:cs="宋体" w:eastAsia="宋体" w:hint="default"/>
                <w:sz w:val="18"/>
                <w:szCs w:val="18"/>
              </w:rPr>
            </w:pPr>
            <w:r>
              <w:rPr>
                <w:rFonts w:ascii="宋体"/>
                <w:sz w:val="18"/>
              </w:rPr>
              <w:t>-1,568,408,331.31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122,996,861.82</w:t>
            </w:r>
          </w:p>
        </w:tc>
      </w:tr>
      <w:tr>
        <w:trPr>
          <w:trHeight w:val="63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64" w:right="0"/>
              <w:jc w:val="left"/>
              <w:rPr>
                <w:rFonts w:ascii="宋体" w:hAnsi="宋体" w:cs="宋体" w:eastAsia="宋体" w:hint="default"/>
                <w:sz w:val="18"/>
                <w:szCs w:val="18"/>
              </w:rPr>
            </w:pPr>
            <w:r>
              <w:rPr>
                <w:rFonts w:ascii="宋体"/>
                <w:sz w:val="18"/>
              </w:rPr>
              <w:t>897,066,052.45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228,689,657.75</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674" w:right="0"/>
              <w:jc w:val="left"/>
              <w:rPr>
                <w:rFonts w:ascii="宋体" w:hAnsi="宋体" w:cs="宋体" w:eastAsia="宋体" w:hint="default"/>
                <w:sz w:val="18"/>
                <w:szCs w:val="18"/>
              </w:rPr>
            </w:pPr>
            <w:r>
              <w:rPr>
                <w:rFonts w:ascii="宋体"/>
                <w:sz w:val="18"/>
              </w:rPr>
              <w:t>-361,420,751.81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657,864,762.46</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11" w:right="13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584" w:right="0"/>
              <w:jc w:val="left"/>
              <w:rPr>
                <w:rFonts w:ascii="宋体" w:hAnsi="宋体" w:cs="宋体" w:eastAsia="宋体" w:hint="default"/>
                <w:sz w:val="18"/>
                <w:szCs w:val="18"/>
              </w:rPr>
            </w:pPr>
            <w:r>
              <w:rPr>
                <w:rFonts w:ascii="宋体"/>
                <w:sz w:val="18"/>
              </w:rPr>
              <w:t>1,003,030,675.25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2,868,555,257.15</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584" w:right="0"/>
              <w:jc w:val="left"/>
              <w:rPr>
                <w:rFonts w:ascii="宋体" w:hAnsi="宋体" w:cs="宋体" w:eastAsia="宋体" w:hint="default"/>
                <w:sz w:val="18"/>
                <w:szCs w:val="18"/>
              </w:rPr>
            </w:pPr>
            <w:r>
              <w:rPr>
                <w:rFonts w:ascii="宋体"/>
                <w:sz w:val="18"/>
              </w:rPr>
              <w:t>2,868,555,257.15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2,754,720,894.46</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494" w:right="0"/>
              <w:jc w:val="left"/>
              <w:rPr>
                <w:rFonts w:ascii="宋体" w:hAnsi="宋体" w:cs="宋体" w:eastAsia="宋体" w:hint="default"/>
                <w:sz w:val="18"/>
                <w:szCs w:val="18"/>
              </w:rPr>
            </w:pPr>
            <w:r>
              <w:rPr>
                <w:rFonts w:ascii="宋体"/>
                <w:sz w:val="18"/>
              </w:rPr>
              <w:t>-1,865,524,581.90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113,834,362.69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本期支付的取得子公司的现金净额" w:id="336"/>
      <w:bookmarkEnd w:id="336"/>
      <w:r>
        <w:rPr>
          <w:b w:val="0"/>
          <w:bCs w:val="0"/>
        </w:rPr>
      </w:r>
      <w:r>
        <w:rPr/>
        <w:t>（</w:t>
      </w:r>
      <w:r>
        <w:rPr>
          <w:rFonts w:ascii="宋体" w:hAnsi="宋体" w:cs="宋体" w:eastAsia="宋体" w:hint="default"/>
        </w:rPr>
        <w:t>2</w:t>
      </w:r>
      <w:r>
        <w:rPr/>
        <w:t>）本期支付的取得子公司的现金净额</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32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1,773,640,000.00</w:t>
            </w:r>
          </w:p>
        </w:tc>
      </w:tr>
      <w:tr>
        <w:trPr>
          <w:trHeight w:val="32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r>
      <w:tr>
        <w:trPr>
          <w:trHeight w:val="32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麦游互动</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185,640,000.00</w:t>
            </w:r>
          </w:p>
        </w:tc>
      </w:tr>
      <w:tr>
        <w:trPr>
          <w:trHeight w:val="32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1,588,000,000.00</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32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25,581,585.30</w:t>
            </w:r>
          </w:p>
        </w:tc>
      </w:tr>
      <w:tr>
        <w:trPr>
          <w:trHeight w:val="32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95" w:right="0"/>
              <w:jc w:val="left"/>
              <w:rPr>
                <w:rFonts w:ascii="宋体" w:hAnsi="宋体" w:cs="宋体" w:eastAsia="宋体" w:hint="default"/>
                <w:sz w:val="18"/>
                <w:szCs w:val="18"/>
              </w:rPr>
            </w:pPr>
            <w:r>
              <w:rPr>
                <w:rFonts w:ascii="宋体"/>
                <w:sz w:val="18"/>
              </w:rPr>
              <w:t>--</w:t>
            </w:r>
          </w:p>
        </w:tc>
      </w:tr>
      <w:tr>
        <w:trPr>
          <w:trHeight w:val="32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麦游互动</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12,267,637.55</w:t>
            </w:r>
          </w:p>
        </w:tc>
      </w:tr>
      <w:tr>
        <w:trPr>
          <w:trHeight w:val="32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13,313,947.75</w:t>
            </w:r>
          </w:p>
        </w:tc>
      </w:tr>
      <w:tr>
        <w:trPr>
          <w:trHeight w:val="32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195" w:right="0"/>
              <w:jc w:val="left"/>
              <w:rPr>
                <w:rFonts w:ascii="宋体" w:hAnsi="宋体" w:cs="宋体" w:eastAsia="宋体" w:hint="default"/>
                <w:sz w:val="18"/>
                <w:szCs w:val="18"/>
              </w:rPr>
            </w:pPr>
            <w:r>
              <w:rPr>
                <w:rFonts w:ascii="宋体"/>
                <w:sz w:val="18"/>
              </w:rPr>
              <w:t>--</w:t>
            </w:r>
          </w:p>
        </w:tc>
      </w:tr>
      <w:tr>
        <w:trPr>
          <w:trHeight w:val="32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1,748,058,414.70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收到的处置子公司的现金净额" w:id="337"/>
      <w:bookmarkEnd w:id="337"/>
      <w:r>
        <w:rPr>
          <w:b w:val="0"/>
          <w:bCs w:val="0"/>
        </w:rPr>
      </w:r>
      <w:r>
        <w:rPr/>
        <w:t>（</w:t>
      </w:r>
      <w:r>
        <w:rPr>
          <w:rFonts w:ascii="宋体" w:hAnsi="宋体" w:cs="宋体" w:eastAsia="宋体" w:hint="default"/>
        </w:rPr>
        <w:t>3</w:t>
      </w:r>
      <w:r>
        <w:rPr/>
        <w:t>）本期收到的处置子公司的现金净额</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32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71,673,912.33</w:t>
            </w:r>
          </w:p>
        </w:tc>
      </w:tr>
      <w:tr>
        <w:trPr>
          <w:trHeight w:val="32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r>
        <w:trPr>
          <w:trHeight w:val="32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广州邦富</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65,170,000.00</w:t>
            </w:r>
          </w:p>
        </w:tc>
      </w:tr>
      <w:tr>
        <w:trPr>
          <w:trHeight w:val="32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华闻糖心</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6,000,000.00</w:t>
            </w:r>
          </w:p>
        </w:tc>
      </w:tr>
      <w:tr>
        <w:trPr>
          <w:trHeight w:val="32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生龙广告</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503,912.33</w:t>
            </w:r>
          </w:p>
        </w:tc>
      </w:tr>
      <w:tr>
        <w:trPr>
          <w:trHeight w:val="32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42,710,207.09</w:t>
            </w:r>
          </w:p>
        </w:tc>
      </w:tr>
      <w:tr>
        <w:trPr>
          <w:trHeight w:val="32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r>
        <w:trPr>
          <w:trHeight w:val="32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广州邦富</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41,889,459.01</w:t>
            </w:r>
          </w:p>
        </w:tc>
      </w:tr>
      <w:tr>
        <w:trPr>
          <w:trHeight w:val="32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华闻糖心</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150,025.04</w:t>
            </w:r>
          </w:p>
        </w:tc>
      </w:tr>
      <w:tr>
        <w:trPr>
          <w:trHeight w:val="32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生龙广告</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643,570.19</w:t>
            </w:r>
          </w:p>
        </w:tc>
      </w:tr>
      <w:tr>
        <w:trPr>
          <w:trHeight w:val="32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精视精框</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27,152.85</w:t>
            </w:r>
          </w:p>
        </w:tc>
      </w:tr>
      <w:tr>
        <w:trPr>
          <w:trHeight w:val="32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r>
      <w:tr>
        <w:trPr>
          <w:trHeight w:val="32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28,963,705.24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现金和现金等价物的构成" w:id="338"/>
      <w:bookmarkEnd w:id="338"/>
      <w:r>
        <w:rPr>
          <w:b w:val="0"/>
          <w:bCs w:val="0"/>
        </w:rPr>
      </w:r>
      <w:r>
        <w:rPr/>
        <w:t>（</w:t>
      </w:r>
      <w:r>
        <w:rPr>
          <w:rFonts w:ascii="宋体" w:hAnsi="宋体" w:cs="宋体" w:eastAsia="宋体" w:hint="default"/>
        </w:rPr>
        <w:t>4</w:t>
      </w:r>
      <w:r>
        <w:rPr/>
        <w:t>）现金和现金等价物的构成</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1,003,030,675.25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2,868,555,257.15</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415,090.11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347,840.51</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927,309,454.45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2,282,259,873.29</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75,306,130.69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585,947,543.35</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1,003,030,675.25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2,868,555,257.15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5、所有权或使用权受到限制的资产" w:id="339"/>
      <w:bookmarkEnd w:id="339"/>
      <w:r>
        <w:rPr>
          <w:b w:val="0"/>
          <w:bCs w:val="0"/>
        </w:rPr>
      </w:r>
      <w:r>
        <w:rPr>
          <w:rFonts w:ascii="宋体" w:hAnsi="宋体" w:cs="宋体" w:eastAsia="宋体" w:hint="default"/>
        </w:rPr>
        <w:t>55</w:t>
      </w:r>
      <w:r>
        <w:rPr/>
        <w:t>、所有权或使用权受到限制的资产</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65"/>
              <w:jc w:val="right"/>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304,277,018.59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38,446,610.01</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65"/>
              <w:jc w:val="righ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10"/>
              <w:ind w:right="14"/>
              <w:jc w:val="right"/>
              <w:rPr>
                <w:rFonts w:ascii="宋体" w:hAnsi="宋体" w:cs="宋体" w:eastAsia="宋体" w:hint="default"/>
                <w:sz w:val="18"/>
                <w:szCs w:val="18"/>
              </w:rPr>
            </w:pPr>
            <w:r>
              <w:rPr>
                <w:rFonts w:ascii="宋体"/>
                <w:sz w:val="18"/>
              </w:rPr>
              <w:t>342,723,628.60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56、外币货币性项目" w:id="340"/>
      <w:bookmarkEnd w:id="340"/>
      <w:r>
        <w:rPr>
          <w:b w:val="0"/>
          <w:bCs w:val="0"/>
        </w:rPr>
      </w:r>
      <w:r>
        <w:rPr>
          <w:rFonts w:ascii="宋体" w:hAnsi="宋体" w:cs="宋体" w:eastAsia="宋体" w:hint="default"/>
        </w:rPr>
        <w:t>56</w:t>
      </w:r>
      <w:r>
        <w:rPr/>
        <w:t>、外币货币性项目</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0"/>
        <w:jc w:val="left"/>
        <w:rPr>
          <w:b w:val="0"/>
          <w:bCs w:val="0"/>
        </w:rPr>
      </w:pPr>
      <w:bookmarkStart w:name="（1）外币货币性项目" w:id="341"/>
      <w:bookmarkEnd w:id="341"/>
      <w:r>
        <w:rPr>
          <w:b w:val="0"/>
          <w:bCs w:val="0"/>
        </w:rPr>
      </w:r>
      <w:r>
        <w:rPr/>
        <w:t>（</w:t>
      </w:r>
      <w:r>
        <w:rPr>
          <w:rFonts w:ascii="宋体" w:hAnsi="宋体" w:cs="宋体" w:eastAsia="宋体" w:hint="default"/>
        </w:rPr>
        <w:t>1</w:t>
      </w:r>
      <w:r>
        <w:rPr/>
        <w:t>）外币货币性项目</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32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2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32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2,544.45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17,456.70</w:t>
            </w:r>
          </w:p>
        </w:tc>
      </w:tr>
      <w:tr>
        <w:trPr>
          <w:trHeight w:val="32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32,800.35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0.88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28,739.67</w:t>
            </w:r>
          </w:p>
        </w:tc>
      </w:tr>
      <w:tr>
        <w:trPr>
          <w:trHeight w:val="32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4,613.65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8.68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40,046.48</w:t>
            </w:r>
          </w:p>
        </w:tc>
      </w:tr>
      <w:tr>
        <w:trPr>
          <w:trHeight w:val="32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434.43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5.04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2,189.53</w:t>
            </w:r>
          </w:p>
        </w:tc>
      </w:tr>
      <w:tr>
        <w:trPr>
          <w:trHeight w:val="323"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631.20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3,048.70</w:t>
            </w:r>
          </w:p>
        </w:tc>
      </w:tr>
      <w:tr>
        <w:trPr>
          <w:trHeight w:val="32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56,812.76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284,416.04</w:t>
            </w:r>
          </w:p>
        </w:tc>
      </w:tr>
      <w:tr>
        <w:trPr>
          <w:trHeight w:val="32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8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8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7"/>
          <w:szCs w:val="7"/>
        </w:rPr>
      </w:pPr>
    </w:p>
    <w:p>
      <w:pPr>
        <w:pStyle w:val="BodyText"/>
        <w:spacing w:line="240" w:lineRule="auto" w:before="35"/>
        <w:ind w:right="0"/>
        <w:jc w:val="left"/>
      </w:pPr>
      <w:r>
        <w:rPr/>
        <w:t>其他说明：</w:t>
      </w:r>
    </w:p>
    <w:p>
      <w:pPr>
        <w:spacing w:line="240" w:lineRule="auto" w:before="1"/>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552"/>
        <w:gridCol w:w="2552"/>
        <w:gridCol w:w="2268"/>
        <w:gridCol w:w="2126"/>
      </w:tblGrid>
      <w:tr>
        <w:trPr>
          <w:trHeight w:val="334" w:hRule="exact"/>
        </w:trPr>
        <w:tc>
          <w:tcPr>
            <w:tcW w:w="2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727"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24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47" w:hRule="exact"/>
        </w:trPr>
        <w:tc>
          <w:tcPr>
            <w:tcW w:w="2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52" w:type="dxa"/>
            <w:tcBorders>
              <w:top w:val="single" w:sz="10" w:space="0" w:color="000000"/>
              <w:left w:val="single" w:sz="7" w:space="0" w:color="000000"/>
              <w:bottom w:val="single" w:sz="6" w:space="0" w:color="000000"/>
              <w:right w:val="single" w:sz="6" w:space="0" w:color="000000"/>
            </w:tcBorders>
          </w:tcPr>
          <w:p>
            <w:pPr/>
          </w:p>
        </w:tc>
        <w:tc>
          <w:tcPr>
            <w:tcW w:w="2268" w:type="dxa"/>
            <w:tcBorders>
              <w:top w:val="single" w:sz="10" w:space="0" w:color="000000"/>
              <w:left w:val="single" w:sz="6" w:space="0" w:color="000000"/>
              <w:bottom w:val="single" w:sz="6" w:space="0" w:color="000000"/>
              <w:right w:val="single" w:sz="6" w:space="0" w:color="000000"/>
            </w:tcBorders>
          </w:tcPr>
          <w:p>
            <w:pPr/>
          </w:p>
        </w:tc>
        <w:tc>
          <w:tcPr>
            <w:tcW w:w="2126" w:type="dxa"/>
            <w:tcBorders>
              <w:top w:val="single" w:sz="10" w:space="0" w:color="000000"/>
              <w:left w:val="single" w:sz="6" w:space="0" w:color="000000"/>
              <w:bottom w:val="single" w:sz="6" w:space="0" w:color="000000"/>
              <w:right w:val="single" w:sz="6" w:space="0" w:color="000000"/>
            </w:tcBorders>
          </w:tcPr>
          <w:p>
            <w:pPr/>
          </w:p>
        </w:tc>
      </w:tr>
      <w:tr>
        <w:trPr>
          <w:trHeight w:val="347" w:hRule="exact"/>
        </w:trPr>
        <w:tc>
          <w:tcPr>
            <w:tcW w:w="2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55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1,271,335.87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6.86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8,725,432.32</w:t>
            </w:r>
          </w:p>
        </w:tc>
      </w:tr>
      <w:tr>
        <w:trPr>
          <w:trHeight w:val="347" w:hRule="exact"/>
        </w:trPr>
        <w:tc>
          <w:tcPr>
            <w:tcW w:w="2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52" w:type="dxa"/>
            <w:tcBorders>
              <w:top w:val="single" w:sz="6" w:space="0" w:color="000000"/>
              <w:left w:val="single" w:sz="7"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55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889,475.66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6.86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6,104,649.32</w:t>
            </w:r>
          </w:p>
        </w:tc>
      </w:tr>
      <w:tr>
        <w:trPr>
          <w:trHeight w:val="347" w:hRule="exact"/>
        </w:trPr>
        <w:tc>
          <w:tcPr>
            <w:tcW w:w="2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7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55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1,128,000.00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0.88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988,353.60</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八、合并范围的变更" w:id="342"/>
      <w:bookmarkEnd w:id="342"/>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非同一控制下企业合并" w:id="343"/>
      <w:bookmarkEnd w:id="343"/>
      <w:r>
        <w:rPr>
          <w:b w:val="0"/>
          <w:bCs w:val="0"/>
        </w:rPr>
      </w:r>
      <w:r>
        <w:rPr>
          <w:rFonts w:ascii="宋体" w:hAnsi="宋体" w:cs="宋体" w:eastAsia="宋体" w:hint="default"/>
        </w:rPr>
        <w:t>1</w:t>
      </w:r>
      <w:r>
        <w:rPr/>
        <w:t>、非同一控制下企业合并</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bookmarkStart w:name="（1）本期发生的非同一控制下企业合并" w:id="344"/>
      <w:bookmarkEnd w:id="344"/>
      <w:r>
        <w:rPr>
          <w:b w:val="0"/>
          <w:bCs w:val="0"/>
        </w:rPr>
      </w:r>
      <w:r>
        <w:rPr/>
        <w:t>（</w:t>
      </w:r>
      <w:r>
        <w:rPr>
          <w:rFonts w:ascii="宋体" w:hAnsi="宋体" w:cs="宋体" w:eastAsia="宋体" w:hint="default"/>
        </w:rPr>
        <w:t>1</w:t>
      </w:r>
      <w:r>
        <w:rPr/>
        <w:t>）本期发生的非同一控制下企业合并</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851"/>
        <w:gridCol w:w="992"/>
        <w:gridCol w:w="1559"/>
        <w:gridCol w:w="922"/>
        <w:gridCol w:w="851"/>
        <w:gridCol w:w="1063"/>
        <w:gridCol w:w="1062"/>
        <w:gridCol w:w="1418"/>
        <w:gridCol w:w="1276"/>
      </w:tblGrid>
      <w:tr>
        <w:trPr>
          <w:trHeight w:val="946"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76" w:right="94"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41" w:right="59"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64" w:right="72" w:hanging="90"/>
              <w:jc w:val="left"/>
              <w:rPr>
                <w:rFonts w:ascii="宋体" w:hAnsi="宋体" w:cs="宋体" w:eastAsia="宋体" w:hint="default"/>
                <w:sz w:val="18"/>
                <w:szCs w:val="18"/>
              </w:rPr>
            </w:pPr>
            <w:r>
              <w:rPr>
                <w:rFonts w:ascii="宋体" w:hAnsi="宋体" w:cs="宋体" w:eastAsia="宋体" w:hint="default"/>
                <w:sz w:val="18"/>
                <w:szCs w:val="18"/>
              </w:rPr>
              <w:t>购买日至期末被 购买方的收入</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92" w:right="91"/>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947"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麦游互动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185,640,000.00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51.00%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现金购买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06</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126"/>
              <w:jc w:val="both"/>
              <w:rPr>
                <w:rFonts w:ascii="宋体" w:hAnsi="宋体" w:cs="宋体" w:eastAsia="宋体" w:hint="default"/>
                <w:sz w:val="18"/>
                <w:szCs w:val="18"/>
              </w:rPr>
            </w:pPr>
            <w:r>
              <w:rPr>
                <w:rFonts w:ascii="宋体" w:hAnsi="宋体" w:cs="宋体" w:eastAsia="宋体" w:hint="default"/>
                <w:sz w:val="18"/>
                <w:szCs w:val="18"/>
              </w:rPr>
              <w:t>为实际控制 被购买方的 日期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70,188,920.74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10,167,426.87</w:t>
            </w:r>
          </w:p>
        </w:tc>
      </w:tr>
      <w:tr>
        <w:trPr>
          <w:trHeight w:val="94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车音智能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1,668,000,000.00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60.00%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现金购买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08</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26"/>
              <w:jc w:val="both"/>
              <w:rPr>
                <w:rFonts w:ascii="宋体" w:hAnsi="宋体" w:cs="宋体" w:eastAsia="宋体" w:hint="default"/>
                <w:sz w:val="18"/>
                <w:szCs w:val="18"/>
              </w:rPr>
            </w:pPr>
            <w:r>
              <w:rPr>
                <w:rFonts w:ascii="宋体" w:hAnsi="宋体" w:cs="宋体" w:eastAsia="宋体" w:hint="default"/>
                <w:sz w:val="18"/>
                <w:szCs w:val="18"/>
              </w:rPr>
              <w:t>为实际控制 被购买方的 日期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666,839,977.01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90,272,593.81</w:t>
            </w:r>
          </w:p>
        </w:tc>
      </w:tr>
    </w:tbl>
    <w:p>
      <w:pPr>
        <w:spacing w:line="240" w:lineRule="auto" w:before="12"/>
        <w:rPr>
          <w:rFonts w:ascii="宋体" w:hAnsi="宋体" w:cs="宋体" w:eastAsia="宋体" w:hint="default"/>
          <w:sz w:val="7"/>
          <w:szCs w:val="7"/>
        </w:rPr>
      </w:pPr>
    </w:p>
    <w:p>
      <w:pPr>
        <w:pStyle w:val="BodyText"/>
        <w:spacing w:line="420" w:lineRule="auto" w:before="35"/>
        <w:ind w:right="4872"/>
        <w:jc w:val="left"/>
      </w:pPr>
      <w:r>
        <w:rPr/>
        <w:pict>
          <v:shape style="position:absolute;margin-left:61.98pt;margin-top:43.083649pt;width:443.5pt;height:255.3pt;mso-position-horizontal-relative:page;mso-position-vertical-relative:paragraph;z-index:3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61"/>
                    <w:gridCol w:w="2473"/>
                    <w:gridCol w:w="2880"/>
                    <w:gridCol w:w="2541"/>
                  </w:tblGrid>
                  <w:tr>
                    <w:trPr>
                      <w:trHeight w:val="331" w:hRule="exact"/>
                    </w:trPr>
                    <w:tc>
                      <w:tcPr>
                        <w:tcW w:w="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4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8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增加原因</w:t>
                        </w:r>
                      </w:p>
                    </w:tc>
                    <w:tc>
                      <w:tcPr>
                        <w:tcW w:w="2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7" w:hRule="exact"/>
                    </w:trPr>
                    <w:tc>
                      <w:tcPr>
                        <w:tcW w:w="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1"/>
                          <w:jc w:val="center"/>
                          <w:rPr>
                            <w:rFonts w:ascii="宋体" w:hAnsi="宋体" w:cs="宋体" w:eastAsia="宋体" w:hint="default"/>
                            <w:sz w:val="18"/>
                            <w:szCs w:val="18"/>
                          </w:rPr>
                        </w:pPr>
                        <w:r>
                          <w:rPr>
                            <w:rFonts w:ascii="宋体"/>
                            <w:sz w:val="18"/>
                          </w:rPr>
                          <w:t>1</w:t>
                        </w:r>
                      </w:p>
                    </w:tc>
                    <w:tc>
                      <w:tcPr>
                        <w:tcW w:w="2473"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麦游互动</w:t>
                        </w:r>
                      </w:p>
                    </w:tc>
                    <w:tc>
                      <w:tcPr>
                        <w:tcW w:w="288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541" w:type="dxa"/>
                        <w:tcBorders>
                          <w:top w:val="single" w:sz="8" w:space="0" w:color="000000"/>
                          <w:left w:val="single" w:sz="4" w:space="0" w:color="000000"/>
                          <w:bottom w:val="single" w:sz="4" w:space="0" w:color="000000"/>
                          <w:right w:val="single" w:sz="4" w:space="0" w:color="000000"/>
                        </w:tcBorders>
                      </w:tcPr>
                      <w:p>
                        <w:pPr/>
                      </w:p>
                    </w:tc>
                  </w:tr>
                  <w:tr>
                    <w:trPr>
                      <w:trHeight w:val="342" w:hRule="exact"/>
                    </w:trPr>
                    <w:tc>
                      <w:tcPr>
                        <w:tcW w:w="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2</w:t>
                        </w:r>
                      </w:p>
                    </w:tc>
                    <w:tc>
                      <w:tcPr>
                        <w:tcW w:w="24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车音智能</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54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3</w:t>
                        </w:r>
                      </w:p>
                    </w:tc>
                    <w:tc>
                      <w:tcPr>
                        <w:tcW w:w="24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深圳车音电子</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车音智能之子公司</w:t>
                        </w:r>
                      </w:p>
                    </w:tc>
                  </w:tr>
                  <w:tr>
                    <w:trPr>
                      <w:trHeight w:val="342" w:hRule="exact"/>
                    </w:trPr>
                    <w:tc>
                      <w:tcPr>
                        <w:tcW w:w="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4</w:t>
                        </w:r>
                      </w:p>
                    </w:tc>
                    <w:tc>
                      <w:tcPr>
                        <w:tcW w:w="24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上海车音</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车音智能之子公司</w:t>
                        </w:r>
                      </w:p>
                    </w:tc>
                  </w:tr>
                  <w:tr>
                    <w:trPr>
                      <w:trHeight w:val="342" w:hRule="exact"/>
                    </w:trPr>
                    <w:tc>
                      <w:tcPr>
                        <w:tcW w:w="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5</w:t>
                        </w:r>
                      </w:p>
                    </w:tc>
                    <w:tc>
                      <w:tcPr>
                        <w:tcW w:w="24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北京亚越</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车音智能之子公司</w:t>
                        </w:r>
                      </w:p>
                    </w:tc>
                  </w:tr>
                  <w:tr>
                    <w:trPr>
                      <w:trHeight w:val="342" w:hRule="exact"/>
                    </w:trPr>
                    <w:tc>
                      <w:tcPr>
                        <w:tcW w:w="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6</w:t>
                        </w:r>
                      </w:p>
                    </w:tc>
                    <w:tc>
                      <w:tcPr>
                        <w:tcW w:w="24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上海逊睿</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车音智能之子公司</w:t>
                        </w:r>
                      </w:p>
                    </w:tc>
                  </w:tr>
                  <w:tr>
                    <w:trPr>
                      <w:trHeight w:val="342" w:hRule="exact"/>
                    </w:trPr>
                    <w:tc>
                      <w:tcPr>
                        <w:tcW w:w="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7</w:t>
                        </w:r>
                      </w:p>
                    </w:tc>
                    <w:tc>
                      <w:tcPr>
                        <w:tcW w:w="24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广州粤瑛纬</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车音智能之子公司</w:t>
                        </w:r>
                      </w:p>
                    </w:tc>
                  </w:tr>
                  <w:tr>
                    <w:trPr>
                      <w:trHeight w:val="342" w:hRule="exact"/>
                    </w:trPr>
                    <w:tc>
                      <w:tcPr>
                        <w:tcW w:w="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8</w:t>
                        </w:r>
                      </w:p>
                    </w:tc>
                    <w:tc>
                      <w:tcPr>
                        <w:tcW w:w="24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北京车音</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车音智能之子公司</w:t>
                        </w:r>
                      </w:p>
                    </w:tc>
                  </w:tr>
                  <w:tr>
                    <w:trPr>
                      <w:trHeight w:val="342" w:hRule="exact"/>
                    </w:trPr>
                    <w:tc>
                      <w:tcPr>
                        <w:tcW w:w="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9</w:t>
                        </w:r>
                      </w:p>
                    </w:tc>
                    <w:tc>
                      <w:tcPr>
                        <w:tcW w:w="24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成都融智汽车</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车音智能之子公司</w:t>
                        </w:r>
                      </w:p>
                    </w:tc>
                  </w:tr>
                  <w:tr>
                    <w:trPr>
                      <w:trHeight w:val="342" w:hRule="exact"/>
                    </w:trPr>
                    <w:tc>
                      <w:tcPr>
                        <w:tcW w:w="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sz w:val="18"/>
                          </w:rPr>
                          <w:t>10</w:t>
                        </w:r>
                      </w:p>
                    </w:tc>
                    <w:tc>
                      <w:tcPr>
                        <w:tcW w:w="24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四川融智昇拓</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车音智能之子公司</w:t>
                        </w:r>
                      </w:p>
                    </w:tc>
                  </w:tr>
                  <w:tr>
                    <w:trPr>
                      <w:trHeight w:val="342" w:hRule="exact"/>
                    </w:trPr>
                    <w:tc>
                      <w:tcPr>
                        <w:tcW w:w="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sz w:val="18"/>
                          </w:rPr>
                          <w:t>11</w:t>
                        </w:r>
                      </w:p>
                    </w:tc>
                    <w:tc>
                      <w:tcPr>
                        <w:tcW w:w="24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上海祥隆</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车音智能之子公司</w:t>
                        </w:r>
                      </w:p>
                    </w:tc>
                  </w:tr>
                  <w:tr>
                    <w:trPr>
                      <w:trHeight w:val="342" w:hRule="exact"/>
                    </w:trPr>
                    <w:tc>
                      <w:tcPr>
                        <w:tcW w:w="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sz w:val="18"/>
                          </w:rPr>
                          <w:t>12</w:t>
                        </w:r>
                      </w:p>
                    </w:tc>
                    <w:tc>
                      <w:tcPr>
                        <w:tcW w:w="247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新加坡车音</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车音智能之子公司</w:t>
                        </w:r>
                      </w:p>
                    </w:tc>
                  </w:tr>
                  <w:tr>
                    <w:trPr>
                      <w:trHeight w:val="655" w:hRule="exact"/>
                    </w:trPr>
                    <w:tc>
                      <w:tcPr>
                        <w:tcW w:w="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13</w:t>
                        </w:r>
                      </w:p>
                    </w:tc>
                    <w:tc>
                      <w:tcPr>
                        <w:tcW w:w="2473" w:type="dxa"/>
                        <w:tcBorders>
                          <w:top w:val="single" w:sz="4" w:space="0" w:color="000000"/>
                          <w:left w:val="single" w:sz="6" w:space="0" w:color="000000"/>
                          <w:bottom w:val="single" w:sz="4" w:space="0" w:color="000000"/>
                          <w:right w:val="single" w:sz="4" w:space="0" w:color="000000"/>
                        </w:tcBorders>
                      </w:tcPr>
                      <w:p>
                        <w:pPr>
                          <w:pStyle w:val="TableParagraph"/>
                          <w:spacing w:line="316" w:lineRule="auto" w:before="21"/>
                          <w:ind w:left="148" w:right="2" w:hanging="147"/>
                          <w:jc w:val="left"/>
                          <w:rPr>
                            <w:rFonts w:ascii="宋体" w:hAnsi="宋体" w:cs="宋体" w:eastAsia="宋体" w:hint="default"/>
                            <w:sz w:val="18"/>
                            <w:szCs w:val="18"/>
                          </w:rPr>
                        </w:pPr>
                        <w:r>
                          <w:rPr>
                            <w:rFonts w:ascii="宋体" w:hAnsi="宋体" w:cs="宋体" w:eastAsia="宋体" w:hint="default"/>
                            <w:spacing w:val="-5"/>
                            <w:sz w:val="18"/>
                            <w:szCs w:val="18"/>
                          </w:rPr>
                          <w:t>北京车音中安科技有限公司（以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下简称“北京车音中安”）</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车音智能之子公司</w:t>
                        </w:r>
                      </w:p>
                    </w:tc>
                  </w:tr>
                </w:tbl>
                <w:p>
                  <w:pPr/>
                </w:p>
              </w:txbxContent>
            </v:textbox>
            <w10:wrap type="none"/>
          </v:shape>
        </w:pict>
      </w:r>
      <w:r>
        <w:rPr/>
        <w:t>其他说明： </w:t>
      </w:r>
      <w:r>
        <w:rPr>
          <w:rFonts w:ascii="宋体" w:hAnsi="宋体" w:cs="宋体" w:eastAsia="宋体" w:hint="default"/>
        </w:rPr>
        <w:t>2018</w:t>
      </w:r>
      <w:r>
        <w:rPr/>
        <w:t>年度发生非同一控制下企业合并增加单位</w:t>
      </w:r>
      <w:r>
        <w:rPr>
          <w:rFonts w:ascii="宋体" w:hAnsi="宋体" w:cs="宋体" w:eastAsia="宋体" w:hint="default"/>
        </w:rPr>
        <w:t>13</w:t>
      </w:r>
      <w:r>
        <w:rPr/>
        <w:t>家，明细如下。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2"/>
        <w:ind w:right="0"/>
        <w:jc w:val="left"/>
        <w:rPr>
          <w:b w:val="0"/>
          <w:bCs w:val="0"/>
        </w:rPr>
      </w:pPr>
      <w:bookmarkStart w:name="（2）合并成本及商誉" w:id="345"/>
      <w:bookmarkEnd w:id="345"/>
      <w:r>
        <w:rPr>
          <w:b w:val="0"/>
          <w:bCs w:val="0"/>
        </w:rPr>
      </w:r>
      <w:r>
        <w:rPr/>
        <w:t>（</w:t>
      </w:r>
      <w:r>
        <w:rPr>
          <w:rFonts w:ascii="宋体" w:hAnsi="宋体" w:cs="宋体" w:eastAsia="宋体" w:hint="default"/>
        </w:rPr>
        <w:t>2</w:t>
      </w:r>
      <w:r>
        <w:rPr/>
        <w:t>）合并成本及商誉</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麦游互动</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车音智能</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185,640,000.00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1,668,000,000.00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185,640,000.00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1,668,000,000.00</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24,015,060.99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162,221,870.63</w:t>
            </w:r>
          </w:p>
        </w:tc>
      </w:tr>
      <w:tr>
        <w:trPr>
          <w:trHeight w:val="63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185"/>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w:t>
            </w:r>
            <w:r>
              <w:rPr>
                <w:rFonts w:ascii="宋体" w:hAnsi="宋体" w:cs="宋体" w:eastAsia="宋体" w:hint="default"/>
                <w:sz w:val="18"/>
                <w:szCs w:val="18"/>
              </w:rPr>
              <w:t>合并成本小于取得的可辨认净资 产公允价值份额的金额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161,624,939.01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1,505,778,129.37</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被购买方于购买日可辨认资产、负债" w:id="346"/>
      <w:bookmarkEnd w:id="346"/>
      <w:r>
        <w:rPr>
          <w:b w:val="0"/>
          <w:bCs w:val="0"/>
        </w:rPr>
      </w:r>
      <w:r>
        <w:rPr/>
        <w:t>（</w:t>
      </w:r>
      <w:r>
        <w:rPr>
          <w:rFonts w:ascii="宋体" w:hAnsi="宋体" w:cs="宋体" w:eastAsia="宋体" w:hint="default"/>
        </w:rPr>
        <w:t>3</w:t>
      </w:r>
      <w:r>
        <w:rPr/>
        <w:t>）被购买方于购买日可辨认资产、负债</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22" w:hRule="exact"/>
        </w:trPr>
        <w:tc>
          <w:tcPr>
            <w:tcW w:w="1914" w:type="dxa"/>
            <w:tcBorders>
              <w:top w:val="single" w:sz="4" w:space="0" w:color="000000"/>
              <w:left w:val="single" w:sz="4" w:space="0" w:color="000000"/>
              <w:bottom w:val="single" w:sz="4" w:space="0" w:color="000000"/>
              <w:right w:val="single" w:sz="9" w:space="0" w:color="D9D9D9"/>
            </w:tcBorders>
            <w:shd w:val="clear" w:color="auto" w:fill="D2D2D2"/>
          </w:tcPr>
          <w:p>
            <w:pPr/>
          </w:p>
        </w:tc>
        <w:tc>
          <w:tcPr>
            <w:tcW w:w="3828" w:type="dxa"/>
            <w:gridSpan w:val="2"/>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z w:val="18"/>
                <w:szCs w:val="18"/>
              </w:rPr>
              <w:t>麦游互动</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车音智能</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12,267,637.55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12,267,637.55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14,313,947.75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14,313,947.75</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225,109.30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225,109.30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4,728,504.83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4,728,504.83</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4"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2,578,990.99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2,578,990.99</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3,207,666.09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3,207,666.09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271,097,005.27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271,097,005.27</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2,356,615.79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2,356,615.79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102,556,616.14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102,556,616.14</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195,290.40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195,290.40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41,171,859.83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41,171,859.83</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45,368,455.70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45,368,455.70</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35,534,631.16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35,534,631.16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5,584,208.12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5,584,208.12</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25,600,000.00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25,600,000.00</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69,897.44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69,897.44</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73,904,561.33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73,904,561.33</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2,240,491.15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2,240,491.15</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4,359.24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4,359.24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2,938,921.02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2,938,921.02</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648,800.00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648,800.00</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3,958,709.57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3,958,709.57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74,597,306.46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74,597,306.46</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27,638,350.67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27,638,350.67</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495,787.88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495,787.88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9,342,123.66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9,342,123.66</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526,151.60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526,151.60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7,079,488.44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7,079,488.44</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1,455,461.79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1,455,461.79</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98,228,865.53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98,228,865.53</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86,700,000.00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86,700,000.00</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1,722,305.60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1,722,305.60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200,000.00</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47,088,354.88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47,088,354.88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287,560,663.02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287,560,663.02</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17,190,878.64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17,190,878.64</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47,088,354.88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47,088,354.88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270,369,784.38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270,369,784.38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同一控制下企业合并" w:id="347"/>
      <w:bookmarkEnd w:id="347"/>
      <w:r>
        <w:rPr>
          <w:b w:val="0"/>
          <w:bCs w:val="0"/>
        </w:rPr>
      </w:r>
      <w:r>
        <w:rPr>
          <w:rFonts w:ascii="宋体" w:hAnsi="宋体" w:cs="宋体" w:eastAsia="宋体" w:hint="default"/>
        </w:rPr>
        <w:t>2</w:t>
      </w:r>
      <w:r>
        <w:rPr/>
        <w:t>、同一控制下企业合并</w:t>
      </w:r>
      <w:r>
        <w:rPr>
          <w:b w:val="0"/>
          <w:bCs w:val="0"/>
        </w:rPr>
      </w:r>
    </w:p>
    <w:p>
      <w:pPr>
        <w:spacing w:line="240" w:lineRule="auto" w:before="10"/>
        <w:rPr>
          <w:rFonts w:ascii="宋体" w:hAnsi="宋体" w:cs="宋体" w:eastAsia="宋体" w:hint="default"/>
          <w:b/>
          <w:bCs/>
          <w:sz w:val="25"/>
          <w:szCs w:val="25"/>
        </w:rPr>
      </w:pPr>
    </w:p>
    <w:p>
      <w:pPr>
        <w:pStyle w:val="Heading4"/>
        <w:spacing w:line="535" w:lineRule="auto"/>
        <w:ind w:right="6591"/>
        <w:jc w:val="left"/>
        <w:rPr>
          <w:b w:val="0"/>
          <w:bCs w:val="0"/>
        </w:rPr>
      </w:pPr>
      <w:bookmarkStart w:name="（1）2018年度未发生同一控制下企业合并。" w:id="348"/>
      <w:bookmarkEnd w:id="348"/>
      <w:r>
        <w:rPr>
          <w:b w:val="0"/>
          <w:bCs w:val="0"/>
        </w:rPr>
      </w:r>
      <w:r>
        <w:rPr/>
        <w:t>（</w:t>
      </w:r>
      <w:r>
        <w:rPr>
          <w:rFonts w:ascii="宋体" w:hAnsi="宋体" w:cs="宋体" w:eastAsia="宋体" w:hint="default"/>
        </w:rPr>
        <w:t>1</w:t>
      </w:r>
      <w:r>
        <w:rPr/>
        <w:t>）</w:t>
      </w:r>
      <w:r>
        <w:rPr>
          <w:rFonts w:ascii="宋体" w:hAnsi="宋体" w:cs="宋体" w:eastAsia="宋体" w:hint="default"/>
        </w:rPr>
        <w:t>2018</w:t>
      </w:r>
      <w:r>
        <w:rPr>
          <w:rFonts w:ascii="宋体" w:hAnsi="宋体" w:cs="宋体" w:eastAsia="宋体" w:hint="default"/>
          <w:spacing w:val="-58"/>
        </w:rPr>
        <w:t> </w:t>
      </w:r>
      <w:r>
        <w:rPr/>
        <w:t>年度未发生同一控制下企业合并。</w:t>
      </w:r>
      <w:r>
        <w:rPr>
          <w:w w:val="99"/>
        </w:rPr>
        <w:t> </w:t>
      </w:r>
      <w:bookmarkStart w:name="3、其他原因的合并范围变动" w:id="349"/>
      <w:bookmarkEnd w:id="349"/>
      <w:r>
        <w:rPr>
          <w:w w:val="99"/>
        </w:rPr>
      </w:r>
      <w:r>
        <w:rPr>
          <w:rFonts w:ascii="宋体" w:hAnsi="宋体" w:cs="宋体" w:eastAsia="宋体" w:hint="default"/>
        </w:rPr>
        <w:t>3</w:t>
      </w:r>
      <w:r>
        <w:rPr/>
        <w:t>、其他原因的合并范围变动</w:t>
      </w:r>
      <w:r>
        <w:rPr>
          <w:b w:val="0"/>
          <w:bCs w:val="0"/>
        </w:rPr>
      </w:r>
    </w:p>
    <w:p>
      <w:pPr>
        <w:spacing w:line="240" w:lineRule="auto" w:before="10"/>
        <w:rPr>
          <w:rFonts w:ascii="宋体" w:hAnsi="宋体" w:cs="宋体" w:eastAsia="宋体" w:hint="default"/>
          <w:b/>
          <w:bCs/>
          <w:sz w:val="17"/>
          <w:szCs w:val="17"/>
        </w:rPr>
      </w:pPr>
    </w:p>
    <w:p>
      <w:pPr>
        <w:pStyle w:val="BodyText"/>
        <w:spacing w:line="240" w:lineRule="auto"/>
        <w:ind w:right="0"/>
        <w:jc w:val="left"/>
      </w:pPr>
      <w:r>
        <w:rPr/>
        <w:t>说明其他原因导致的合并范围变动（如，新设子公司、清算子公司等）及其相关情况：</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1</w:t>
      </w:r>
      <w:r>
        <w:rPr/>
        <w:t>、本期新增合并单位</w:t>
      </w:r>
      <w:r>
        <w:rPr>
          <w:rFonts w:ascii="宋体" w:hAnsi="宋体" w:cs="宋体" w:eastAsia="宋体" w:hint="default"/>
        </w:rPr>
        <w:t>35</w:t>
      </w:r>
      <w:r>
        <w:rPr/>
        <w:t>家，明细如下：</w:t>
      </w:r>
    </w:p>
    <w:p>
      <w:pPr>
        <w:spacing w:line="240" w:lineRule="auto" w:before="6"/>
        <w:rPr>
          <w:rFonts w:ascii="宋体" w:hAnsi="宋体" w:cs="宋体" w:eastAsia="宋体" w:hint="default"/>
          <w:sz w:val="5"/>
          <w:szCs w:val="5"/>
        </w:rPr>
      </w:pPr>
    </w:p>
    <w:tbl>
      <w:tblPr>
        <w:tblW w:w="0" w:type="auto"/>
        <w:jc w:val="left"/>
        <w:tblInd w:w="259" w:type="dxa"/>
        <w:tblLayout w:type="fixed"/>
        <w:tblCellMar>
          <w:top w:w="0" w:type="dxa"/>
          <w:left w:w="0" w:type="dxa"/>
          <w:bottom w:w="0" w:type="dxa"/>
          <w:right w:w="0" w:type="dxa"/>
        </w:tblCellMar>
        <w:tblLook w:val="01E0"/>
      </w:tblPr>
      <w:tblGrid>
        <w:gridCol w:w="1252"/>
        <w:gridCol w:w="2532"/>
        <w:gridCol w:w="2302"/>
        <w:gridCol w:w="2616"/>
      </w:tblGrid>
      <w:tr>
        <w:trPr>
          <w:trHeight w:val="331"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5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增加原因</w:t>
            </w:r>
          </w:p>
        </w:tc>
        <w:tc>
          <w:tcPr>
            <w:tcW w:w="26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设立日期</w:t>
            </w:r>
          </w:p>
        </w:tc>
      </w:tr>
      <w:tr>
        <w:trPr>
          <w:trHeight w:val="347"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2"/>
              <w:jc w:val="center"/>
              <w:rPr>
                <w:rFonts w:ascii="宋体" w:hAnsi="宋体" w:cs="宋体" w:eastAsia="宋体" w:hint="default"/>
                <w:sz w:val="18"/>
                <w:szCs w:val="18"/>
              </w:rPr>
            </w:pPr>
            <w:r>
              <w:rPr>
                <w:rFonts w:ascii="宋体"/>
                <w:sz w:val="18"/>
              </w:rPr>
              <w:t>1</w:t>
            </w:r>
          </w:p>
        </w:tc>
        <w:tc>
          <w:tcPr>
            <w:tcW w:w="253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陕西华商通用航空</w:t>
            </w:r>
          </w:p>
        </w:tc>
        <w:tc>
          <w:tcPr>
            <w:tcW w:w="230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2"/>
              <w:jc w:val="center"/>
              <w:rPr>
                <w:rFonts w:ascii="宋体" w:hAnsi="宋体" w:cs="宋体" w:eastAsia="宋体" w:hint="default"/>
                <w:sz w:val="18"/>
                <w:szCs w:val="18"/>
              </w:rPr>
            </w:pPr>
            <w:r>
              <w:rPr>
                <w:rFonts w:ascii="宋体"/>
                <w:sz w:val="18"/>
              </w:rPr>
              <w:t>2</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拉萨悦胜</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2"/>
              <w:jc w:val="center"/>
              <w:rPr>
                <w:rFonts w:ascii="宋体" w:hAnsi="宋体" w:cs="宋体" w:eastAsia="宋体" w:hint="default"/>
                <w:sz w:val="18"/>
                <w:szCs w:val="18"/>
              </w:rPr>
            </w:pPr>
            <w:r>
              <w:rPr>
                <w:rFonts w:ascii="宋体"/>
                <w:sz w:val="18"/>
              </w:rPr>
              <w:t>3</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北京城事文化</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2"/>
              <w:jc w:val="center"/>
              <w:rPr>
                <w:rFonts w:ascii="宋体" w:hAnsi="宋体" w:cs="宋体" w:eastAsia="宋体" w:hint="default"/>
                <w:sz w:val="18"/>
                <w:szCs w:val="18"/>
              </w:rPr>
            </w:pPr>
            <w:r>
              <w:rPr>
                <w:rFonts w:ascii="宋体"/>
                <w:sz w:val="18"/>
              </w:rPr>
              <w:t>4</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陕西华商文化产业园</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2"/>
              <w:jc w:val="center"/>
              <w:rPr>
                <w:rFonts w:ascii="宋体" w:hAnsi="宋体" w:cs="宋体" w:eastAsia="宋体" w:hint="default"/>
                <w:sz w:val="18"/>
                <w:szCs w:val="18"/>
              </w:rPr>
            </w:pPr>
            <w:r>
              <w:rPr>
                <w:rFonts w:ascii="宋体"/>
                <w:sz w:val="18"/>
              </w:rPr>
              <w:t>5</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海南文旅</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2"/>
              <w:jc w:val="center"/>
              <w:rPr>
                <w:rFonts w:ascii="宋体" w:hAnsi="宋体" w:cs="宋体" w:eastAsia="宋体" w:hint="default"/>
                <w:sz w:val="18"/>
                <w:szCs w:val="18"/>
              </w:rPr>
            </w:pPr>
            <w:r>
              <w:rPr>
                <w:rFonts w:ascii="宋体"/>
                <w:sz w:val="18"/>
              </w:rPr>
              <w:t>6</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海南文咖</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2"/>
              <w:jc w:val="center"/>
              <w:rPr>
                <w:rFonts w:ascii="宋体" w:hAnsi="宋体" w:cs="宋体" w:eastAsia="宋体" w:hint="default"/>
                <w:sz w:val="18"/>
                <w:szCs w:val="18"/>
              </w:rPr>
            </w:pPr>
            <w:r>
              <w:rPr>
                <w:rFonts w:ascii="宋体"/>
                <w:sz w:val="18"/>
              </w:rPr>
              <w:t>7</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海南文春</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2"/>
              <w:jc w:val="center"/>
              <w:rPr>
                <w:rFonts w:ascii="宋体" w:hAnsi="宋体" w:cs="宋体" w:eastAsia="宋体" w:hint="default"/>
                <w:sz w:val="18"/>
                <w:szCs w:val="18"/>
              </w:rPr>
            </w:pPr>
            <w:r>
              <w:rPr>
                <w:rFonts w:ascii="宋体"/>
                <w:sz w:val="18"/>
              </w:rPr>
              <w:t>8</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海南文绚</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2"/>
              <w:jc w:val="center"/>
              <w:rPr>
                <w:rFonts w:ascii="宋体" w:hAnsi="宋体" w:cs="宋体" w:eastAsia="宋体" w:hint="default"/>
                <w:sz w:val="18"/>
                <w:szCs w:val="18"/>
              </w:rPr>
            </w:pPr>
            <w:r>
              <w:rPr>
                <w:rFonts w:ascii="宋体"/>
                <w:sz w:val="18"/>
              </w:rPr>
              <w:t>9</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海南文诺</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10</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海南文楷</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11</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海南文贤</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12</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海南创道</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13</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海南文宴</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14</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海南文昂</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15</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海南创傲</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16</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海南文妙</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17</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海南创模</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18</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海南文泽</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19</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海南祺乐</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20</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海南文筱</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21</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海南创雄</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22</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海南文舒</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23</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海南达闻</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24</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海南创贵</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25</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海南禧闻</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26</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海南创铭</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27</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海南创标</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28</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海南文珠</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29</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海南创闻</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30</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海南文聚</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31</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海南文乐</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32</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海南创祺</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33</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海南创牌</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34</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海南歌闻</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r>
        <w:trPr>
          <w:trHeight w:val="342" w:hRule="exact"/>
        </w:trPr>
        <w:tc>
          <w:tcPr>
            <w:tcW w:w="12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35</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海南文颂</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2</w:t>
      </w:r>
      <w:r>
        <w:rPr/>
        <w:t>、本期减少合并单位</w:t>
      </w:r>
      <w:r>
        <w:rPr>
          <w:rFonts w:ascii="宋体" w:hAnsi="宋体" w:cs="宋体" w:eastAsia="宋体" w:hint="default"/>
        </w:rPr>
        <w:t>17</w:t>
      </w:r>
      <w:r>
        <w:rPr/>
        <w:t>家，明细如下：</w:t>
      </w:r>
    </w:p>
    <w:p>
      <w:pPr>
        <w:spacing w:line="240" w:lineRule="auto" w:before="6"/>
        <w:rPr>
          <w:rFonts w:ascii="宋体" w:hAnsi="宋体" w:cs="宋体" w:eastAsia="宋体" w:hint="default"/>
          <w:sz w:val="5"/>
          <w:szCs w:val="5"/>
        </w:rPr>
      </w:pPr>
    </w:p>
    <w:tbl>
      <w:tblPr>
        <w:tblW w:w="0" w:type="auto"/>
        <w:jc w:val="left"/>
        <w:tblInd w:w="290" w:type="dxa"/>
        <w:tblLayout w:type="fixed"/>
        <w:tblCellMar>
          <w:top w:w="0" w:type="dxa"/>
          <w:left w:w="0" w:type="dxa"/>
          <w:bottom w:w="0" w:type="dxa"/>
          <w:right w:w="0" w:type="dxa"/>
        </w:tblCellMar>
        <w:tblLook w:val="01E0"/>
      </w:tblPr>
      <w:tblGrid>
        <w:gridCol w:w="665"/>
        <w:gridCol w:w="2596"/>
        <w:gridCol w:w="1362"/>
        <w:gridCol w:w="1265"/>
        <w:gridCol w:w="1134"/>
        <w:gridCol w:w="2267"/>
      </w:tblGrid>
      <w:tr>
        <w:trPr>
          <w:trHeight w:val="331" w:hRule="exact"/>
        </w:trPr>
        <w:tc>
          <w:tcPr>
            <w:tcW w:w="6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3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以下公司简称</w:t>
            </w:r>
          </w:p>
        </w:tc>
        <w:tc>
          <w:tcPr>
            <w:tcW w:w="12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减少日期</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注销或转让</w:t>
            </w:r>
          </w:p>
        </w:tc>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60" w:hRule="exact"/>
        </w:trPr>
        <w:tc>
          <w:tcPr>
            <w:tcW w:w="6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w:t>
            </w:r>
          </w:p>
        </w:tc>
        <w:tc>
          <w:tcPr>
            <w:tcW w:w="2596" w:type="dxa"/>
            <w:tcBorders>
              <w:top w:val="single" w:sz="8" w:space="0" w:color="000000"/>
              <w:left w:val="single" w:sz="4" w:space="0" w:color="000000"/>
              <w:bottom w:val="single" w:sz="4" w:space="0" w:color="000000"/>
              <w:right w:val="single" w:sz="4" w:space="0" w:color="000000"/>
            </w:tcBorders>
          </w:tcPr>
          <w:p>
            <w:pPr>
              <w:pStyle w:val="TableParagraph"/>
              <w:spacing w:line="319" w:lineRule="auto" w:before="21"/>
              <w:ind w:left="4" w:right="4"/>
              <w:jc w:val="left"/>
              <w:rPr>
                <w:rFonts w:ascii="宋体" w:hAnsi="宋体" w:cs="宋体" w:eastAsia="宋体" w:hint="default"/>
                <w:sz w:val="18"/>
                <w:szCs w:val="18"/>
              </w:rPr>
            </w:pPr>
            <w:r>
              <w:rPr>
                <w:rFonts w:ascii="宋体" w:hAnsi="宋体" w:cs="宋体" w:eastAsia="宋体" w:hint="default"/>
                <w:spacing w:val="3"/>
                <w:sz w:val="18"/>
                <w:szCs w:val="18"/>
              </w:rPr>
              <w:t>苏州华闻糖心动漫投资有限责任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36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华闻糖心</w:t>
            </w:r>
          </w:p>
        </w:tc>
        <w:tc>
          <w:tcPr>
            <w:tcW w:w="126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c>
          <w:tcPr>
            <w:tcW w:w="113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转让</w:t>
            </w:r>
          </w:p>
        </w:tc>
        <w:tc>
          <w:tcPr>
            <w:tcW w:w="226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2" w:hRule="exact"/>
        </w:trPr>
        <w:tc>
          <w:tcPr>
            <w:tcW w:w="6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sz w:val="18"/>
              </w:rPr>
              <w:t>2</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海南生龙广告有限公司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生龙广告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转让</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2" w:hRule="exact"/>
        </w:trPr>
        <w:tc>
          <w:tcPr>
            <w:tcW w:w="6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sz w:val="18"/>
              </w:rPr>
              <w:t>3</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广州酷食餐饮有限公司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酷食餐饮</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注销</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2" w:hRule="exact"/>
        </w:trPr>
        <w:tc>
          <w:tcPr>
            <w:tcW w:w="6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sz w:val="18"/>
              </w:rPr>
              <w:t>4</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上海精框广告传播有限公司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精视精框</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转让</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2" w:hRule="exact"/>
        </w:trPr>
        <w:tc>
          <w:tcPr>
            <w:tcW w:w="6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sz w:val="18"/>
              </w:rPr>
              <w:t>5</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136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转让</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2" w:hRule="exact"/>
        </w:trPr>
        <w:tc>
          <w:tcPr>
            <w:tcW w:w="6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sz w:val="18"/>
              </w:rPr>
              <w:t>6</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北京国广风尚文化传媒有限公司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国广风尚</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注销</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654" w:hRule="exact"/>
        </w:trPr>
        <w:tc>
          <w:tcPr>
            <w:tcW w:w="6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7</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pacing w:val="3"/>
                <w:sz w:val="18"/>
                <w:szCs w:val="18"/>
              </w:rPr>
              <w:t>西安华商盈泰金融服务外包有限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责任公司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华商盈泰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注销</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2" w:hRule="exact"/>
        </w:trPr>
        <w:tc>
          <w:tcPr>
            <w:tcW w:w="6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sz w:val="18"/>
              </w:rPr>
              <w:t>8</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乌鲁木齐黄马甲配送有限公司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乌鲁木齐黄马甲</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注销</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2" w:hRule="exact"/>
        </w:trPr>
        <w:tc>
          <w:tcPr>
            <w:tcW w:w="6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sz w:val="18"/>
              </w:rPr>
              <w:t>9</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拉萨掌视亿通信息技术有限公司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拉萨掌视</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注销</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2" w:hRule="exact"/>
        </w:trPr>
        <w:tc>
          <w:tcPr>
            <w:tcW w:w="6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sz w:val="18"/>
              </w:rPr>
              <w:t>10</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沈阳辽一网络有限公司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沈阳辽一网络</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注销</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2" w:hRule="exact"/>
        </w:trPr>
        <w:tc>
          <w:tcPr>
            <w:tcW w:w="6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sz w:val="18"/>
              </w:rPr>
              <w:t>11</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海口新海岸酒店管理有限公司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新海岸酒店</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注销</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2" w:hRule="exact"/>
        </w:trPr>
        <w:tc>
          <w:tcPr>
            <w:tcW w:w="6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sz w:val="18"/>
              </w:rPr>
              <w:t>12</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深圳市怀远天下旅行社有限公司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怀远天下</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注销</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2" w:hRule="exact"/>
        </w:trPr>
        <w:tc>
          <w:tcPr>
            <w:tcW w:w="6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sz w:val="18"/>
              </w:rPr>
              <w:t>13</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山南国视通讯有限公司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山南国视</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注销</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2" w:hRule="exact"/>
        </w:trPr>
        <w:tc>
          <w:tcPr>
            <w:tcW w:w="6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sz w:val="18"/>
              </w:rPr>
              <w:t>14</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重庆爱达投资有限公司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爱达投资</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经侦立案停业</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不再纳入合并范围</w:t>
            </w:r>
          </w:p>
        </w:tc>
      </w:tr>
      <w:tr>
        <w:trPr>
          <w:trHeight w:val="342" w:hRule="exact"/>
        </w:trPr>
        <w:tc>
          <w:tcPr>
            <w:tcW w:w="6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sz w:val="18"/>
              </w:rPr>
              <w:t>15</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重庆有个表情网络科技有限公司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有个表情</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税务已注销</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2" w:hRule="exact"/>
        </w:trPr>
        <w:tc>
          <w:tcPr>
            <w:tcW w:w="6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sz w:val="18"/>
              </w:rPr>
              <w:t>16</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北京华商盈捷广告传媒有限公司</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北京华商盈捷</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税务已注销</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r>
        <w:trPr>
          <w:trHeight w:val="342" w:hRule="exact"/>
        </w:trPr>
        <w:tc>
          <w:tcPr>
            <w:tcW w:w="6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sz w:val="18"/>
              </w:rPr>
              <w:t>17</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北京车音中安</w:t>
            </w:r>
          </w:p>
        </w:tc>
        <w:tc>
          <w:tcPr>
            <w:tcW w:w="136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注销</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处置后不再纳入合并范围</w:t>
            </w:r>
          </w:p>
        </w:tc>
      </w:tr>
    </w:tbl>
    <w:p>
      <w:pPr>
        <w:spacing w:line="240" w:lineRule="auto" w:before="12"/>
        <w:rPr>
          <w:rFonts w:ascii="宋体" w:hAnsi="宋体" w:cs="宋体" w:eastAsia="宋体" w:hint="default"/>
          <w:sz w:val="7"/>
          <w:szCs w:val="7"/>
        </w:rPr>
      </w:pPr>
    </w:p>
    <w:p>
      <w:pPr>
        <w:pStyle w:val="BodyText"/>
        <w:spacing w:line="240" w:lineRule="auto" w:before="35"/>
        <w:ind w:right="0"/>
        <w:jc w:val="left"/>
      </w:pPr>
      <w:r>
        <w:rPr/>
        <w:t>说明：</w:t>
      </w:r>
    </w:p>
    <w:p>
      <w:pPr>
        <w:spacing w:line="240" w:lineRule="auto" w:before="9"/>
        <w:rPr>
          <w:rFonts w:ascii="宋体" w:hAnsi="宋体" w:cs="宋体" w:eastAsia="宋体" w:hint="default"/>
          <w:sz w:val="15"/>
          <w:szCs w:val="15"/>
        </w:rPr>
      </w:pPr>
    </w:p>
    <w:p>
      <w:pPr>
        <w:pStyle w:val="BodyText"/>
        <w:spacing w:line="420" w:lineRule="auto"/>
        <w:ind w:right="1109" w:firstLine="420"/>
        <w:jc w:val="both"/>
      </w:pPr>
      <w:r>
        <w:rPr>
          <w:spacing w:val="-1"/>
        </w:rPr>
        <w:t>（</w:t>
      </w:r>
      <w:r>
        <w:rPr>
          <w:rFonts w:ascii="宋体" w:hAnsi="宋体" w:cs="宋体" w:eastAsia="宋体" w:hint="default"/>
          <w:spacing w:val="-1"/>
        </w:rPr>
        <w:t>1</w:t>
      </w:r>
      <w:r>
        <w:rPr>
          <w:spacing w:val="-1"/>
        </w:rPr>
        <w:t>）爱达投资是依法设立并有效存续的有限责任公司，爱达投资运营的网络贷款交易撮合（</w:t>
      </w:r>
      <w:r>
        <w:rPr>
          <w:rFonts w:ascii="宋体" w:hAnsi="宋体" w:cs="宋体" w:eastAsia="宋体" w:hint="default"/>
          <w:spacing w:val="-1"/>
        </w:rPr>
        <w:t>P2P</w:t>
      </w:r>
      <w:r>
        <w:rPr>
          <w:spacing w:val="-1"/>
        </w:rPr>
        <w:t>）平</w:t>
      </w:r>
      <w:r>
        <w:rPr>
          <w:spacing w:val="-6"/>
        </w:rPr>
        <w:t> </w:t>
      </w:r>
      <w:r>
        <w:rPr>
          <w:spacing w:val="-1"/>
        </w:rPr>
        <w:t>台“爱达财富”，于</w:t>
      </w:r>
      <w:r>
        <w:rPr>
          <w:rFonts w:ascii="宋体" w:hAnsi="宋体" w:cs="宋体" w:eastAsia="宋体" w:hint="default"/>
          <w:spacing w:val="-1"/>
        </w:rPr>
        <w:t>2018</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9</w:t>
      </w:r>
      <w:r>
        <w:rPr>
          <w:spacing w:val="-1"/>
        </w:rPr>
        <w:t>日发布了《爱达财富暂停网贷业务的公告》，决定暂停网贷业务，立即启</w:t>
      </w:r>
      <w:r>
        <w:rPr>
          <w:spacing w:val="-83"/>
        </w:rPr>
        <w:t> </w:t>
      </w:r>
      <w:r>
        <w:rPr>
          <w:spacing w:val="-83"/>
        </w:rPr>
      </w:r>
      <w:r>
        <w:rPr/>
        <w:t>动良性退出预案，公安经侦部门立案介入，未能达到控制，因此</w:t>
      </w:r>
      <w:r>
        <w:rPr>
          <w:rFonts w:ascii="宋体" w:hAnsi="宋体" w:cs="宋体" w:eastAsia="宋体" w:hint="default"/>
        </w:rPr>
        <w:t>2018</w:t>
      </w:r>
      <w:r>
        <w:rPr/>
        <w:t>年在经侦立案后不再纳入合并范围。</w:t>
      </w:r>
    </w:p>
    <w:p>
      <w:pPr>
        <w:pStyle w:val="BodyText"/>
        <w:spacing w:line="420" w:lineRule="auto" w:before="47"/>
        <w:ind w:right="0" w:firstLine="420"/>
        <w:jc w:val="left"/>
      </w:pPr>
      <w:r>
        <w:rPr>
          <w:spacing w:val="-1"/>
        </w:rPr>
        <w:t>（</w:t>
      </w:r>
      <w:r>
        <w:rPr>
          <w:rFonts w:ascii="宋体" w:hAnsi="宋体" w:cs="宋体" w:eastAsia="宋体" w:hint="default"/>
          <w:spacing w:val="-1"/>
        </w:rPr>
        <w:t>2</w:t>
      </w:r>
      <w:r>
        <w:rPr>
          <w:spacing w:val="-1"/>
        </w:rPr>
        <w:t>）有个表情于</w:t>
      </w:r>
      <w:r>
        <w:rPr>
          <w:rFonts w:ascii="宋体" w:hAnsi="宋体" w:cs="宋体" w:eastAsia="宋体" w:hint="default"/>
          <w:spacing w:val="-1"/>
        </w:rPr>
        <w:t>2018</w:t>
      </w:r>
      <w:r>
        <w:rPr>
          <w:spacing w:val="-1"/>
        </w:rPr>
        <w:t>年</w:t>
      </w:r>
      <w:r>
        <w:rPr>
          <w:rFonts w:ascii="宋体" w:hAnsi="宋体" w:cs="宋体" w:eastAsia="宋体" w:hint="default"/>
          <w:spacing w:val="-1"/>
        </w:rPr>
        <w:t>10</w:t>
      </w:r>
      <w:r>
        <w:rPr>
          <w:spacing w:val="-1"/>
        </w:rPr>
        <w:t>月已取得税务注销核准通知书，于</w:t>
      </w:r>
      <w:r>
        <w:rPr>
          <w:rFonts w:ascii="宋体" w:hAnsi="宋体" w:cs="宋体" w:eastAsia="宋体" w:hint="default"/>
          <w:spacing w:val="-1"/>
        </w:rPr>
        <w:t>2019</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8</w:t>
      </w:r>
      <w:r>
        <w:rPr>
          <w:spacing w:val="-1"/>
        </w:rPr>
        <w:t>日已工商注销，因此</w:t>
      </w:r>
      <w:r>
        <w:rPr>
          <w:rFonts w:ascii="宋体" w:hAnsi="宋体" w:cs="宋体" w:eastAsia="宋体" w:hint="default"/>
          <w:spacing w:val="-1"/>
        </w:rPr>
        <w:t>2018</w:t>
      </w:r>
      <w:r>
        <w:rPr>
          <w:spacing w:val="-1"/>
        </w:rPr>
        <w:t>年</w:t>
      </w:r>
      <w:r>
        <w:rPr/>
        <w:t> 在税务注销后不再纳入合并范围。</w:t>
      </w:r>
    </w:p>
    <w:p>
      <w:pPr>
        <w:pStyle w:val="BodyText"/>
        <w:spacing w:line="420" w:lineRule="auto" w:before="47"/>
        <w:ind w:right="1132" w:firstLine="420"/>
        <w:jc w:val="both"/>
      </w:pPr>
      <w:r>
        <w:rPr>
          <w:spacing w:val="-5"/>
        </w:rPr>
        <w:t>（</w:t>
      </w:r>
      <w:r>
        <w:rPr>
          <w:rFonts w:ascii="宋体" w:hAnsi="宋体" w:cs="宋体" w:eastAsia="宋体" w:hint="default"/>
          <w:spacing w:val="-5"/>
        </w:rPr>
        <w:t>3</w:t>
      </w:r>
      <w:r>
        <w:rPr>
          <w:spacing w:val="-5"/>
        </w:rPr>
        <w:t>）北京华商盈捷于</w:t>
      </w:r>
      <w:r>
        <w:rPr>
          <w:rFonts w:ascii="宋体" w:hAnsi="宋体" w:cs="宋体" w:eastAsia="宋体" w:hint="default"/>
          <w:spacing w:val="-5"/>
        </w:rPr>
        <w:t>2018</w:t>
      </w:r>
      <w:r>
        <w:rPr>
          <w:spacing w:val="-5"/>
        </w:rPr>
        <w:t>年</w:t>
      </w:r>
      <w:r>
        <w:rPr>
          <w:rFonts w:ascii="宋体" w:hAnsi="宋体" w:cs="宋体" w:eastAsia="宋体" w:hint="default"/>
          <w:spacing w:val="-5"/>
        </w:rPr>
        <w:t>12</w:t>
      </w:r>
      <w:r>
        <w:rPr>
          <w:spacing w:val="-5"/>
        </w:rPr>
        <w:t>月已取得税务注销核准通知书，于</w:t>
      </w:r>
      <w:r>
        <w:rPr>
          <w:rFonts w:ascii="宋体" w:hAnsi="宋体" w:cs="宋体" w:eastAsia="宋体" w:hint="default"/>
          <w:spacing w:val="-5"/>
        </w:rPr>
        <w:t>2019</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22</w:t>
      </w:r>
      <w:r>
        <w:rPr>
          <w:spacing w:val="-5"/>
        </w:rPr>
        <w:t>日已工商注销，因此</w:t>
      </w:r>
      <w:r>
        <w:rPr>
          <w:rFonts w:ascii="宋体" w:hAnsi="宋体" w:cs="宋体" w:eastAsia="宋体" w:hint="default"/>
          <w:spacing w:val="-5"/>
        </w:rPr>
        <w:t>2018</w:t>
      </w:r>
      <w:r>
        <w:rPr>
          <w:rFonts w:ascii="宋体" w:hAnsi="宋体" w:cs="宋体" w:eastAsia="宋体" w:hint="default"/>
        </w:rPr>
        <w:t> </w:t>
      </w:r>
      <w:r>
        <w:rPr/>
        <w:t>年在税务注销后不再纳入合并范围。</w:t>
      </w:r>
    </w:p>
    <w:p>
      <w:pPr>
        <w:spacing w:after="0" w:line="420" w:lineRule="auto"/>
        <w:jc w:val="both"/>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九、在其他主体中的权益" w:id="350"/>
      <w:bookmarkEnd w:id="350"/>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在子公司中的权益" w:id="351"/>
      <w:bookmarkEnd w:id="351"/>
      <w:r>
        <w:rPr>
          <w:b w:val="0"/>
          <w:bCs w:val="0"/>
        </w:rPr>
      </w:r>
      <w:r>
        <w:rPr>
          <w:rFonts w:ascii="宋体" w:hAnsi="宋体" w:cs="宋体" w:eastAsia="宋体" w:hint="default"/>
        </w:rPr>
        <w:t>1</w:t>
      </w:r>
      <w:r>
        <w:rPr/>
        <w:t>、在子公司中的权益</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bookmarkStart w:name="（1）企业集团的构成" w:id="352"/>
      <w:bookmarkEnd w:id="352"/>
      <w:r>
        <w:rPr>
          <w:b w:val="0"/>
          <w:bCs w:val="0"/>
        </w:rPr>
      </w:r>
      <w:r>
        <w:rPr/>
        <w:t>（</w:t>
      </w:r>
      <w:r>
        <w:rPr>
          <w:rFonts w:ascii="宋体" w:hAnsi="宋体" w:cs="宋体" w:eastAsia="宋体" w:hint="default"/>
        </w:rPr>
        <w:t>1</w:t>
      </w:r>
      <w:r>
        <w:rPr/>
        <w:t>）企业集团的构成</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192"/>
        <w:gridCol w:w="1134"/>
        <w:gridCol w:w="1950"/>
      </w:tblGrid>
      <w:tr>
        <w:trPr>
          <w:trHeight w:val="32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3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9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60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2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950"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时报传媒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84.00%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新视野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华商传媒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华商广告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华商医药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华商卓越文化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陕西华商会展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西安华迅直递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北京华商圣锐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华商盈通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北京盈通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吉林华商传媒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85.00%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长春华锐营销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长春华晟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大吉之家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商贸</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辽宁盈丰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85.00%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沈阳北联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盈广丰广告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93.50%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重庆华博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85.00%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爱达生活网络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45.00%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陕西黄马甲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49.38%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50.63%</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黄马甲快递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重庆黄马甲快递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吉林黄马甲快递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兰州黄马甲物流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西宁黄马甲物流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银川黄马甲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银川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银川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沈阳黄马甲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哈尔滨黄马甲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华商数码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79.60%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吉林华商数码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华商网络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78.00%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吉林盈通网络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华商泰昌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华商通达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192"/>
        <w:gridCol w:w="1134"/>
        <w:gridCol w:w="1950"/>
      </w:tblGrid>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通达云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上海鸿立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鸿立华享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74.25%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丰泽投资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澄迈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澄迈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椰德利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房地产</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国广光荣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拉萨环球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拉萨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澄怀科技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成功启航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培领环球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澄怀观道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澄怀众合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51.00%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腾踔投资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霍尔果斯澄怀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华闻视讯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国视上海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国广华屏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移动视频</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81.33%</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华屏国际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掌视亿通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精视文化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精视广告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精视尚峰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精视浙江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漫友文化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动漫服务业</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85.61%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民享投资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商业</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酷视网络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动漫服务业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华闻影视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文化业</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华闻香港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华闻海外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英属维京群岛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华闻研究院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32.67%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34.00%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山南华闻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山南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山南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新海岸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中上联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投资咨询</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瀚祥拓睿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霍尔果斯国视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浙江掌视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诸暨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北大荒华商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南京精视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常州精视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山南国广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山南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掌视广通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成都精视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二三里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192"/>
        <w:gridCol w:w="1134"/>
        <w:gridCol w:w="1950"/>
      </w:tblGrid>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华闻体育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文化业</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麦游互动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网络游戏</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51.00%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63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90" w:right="51" w:hanging="541"/>
              <w:jc w:val="left"/>
              <w:rPr>
                <w:rFonts w:ascii="宋体" w:hAnsi="宋体" w:cs="宋体" w:eastAsia="宋体" w:hint="default"/>
                <w:sz w:val="18"/>
                <w:szCs w:val="18"/>
              </w:rPr>
            </w:pPr>
            <w:r>
              <w:rPr>
                <w:rFonts w:ascii="宋体" w:hAnsi="宋体" w:cs="宋体" w:eastAsia="宋体" w:hint="default"/>
                <w:sz w:val="18"/>
                <w:szCs w:val="18"/>
              </w:rPr>
              <w:t>陕西华商通用航 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80.00%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拉萨悦胜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拉萨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北京城事文化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00" w:right="51" w:hanging="451"/>
              <w:jc w:val="left"/>
              <w:rPr>
                <w:rFonts w:ascii="宋体" w:hAnsi="宋体" w:cs="宋体" w:eastAsia="宋体" w:hint="default"/>
                <w:sz w:val="18"/>
                <w:szCs w:val="18"/>
              </w:rPr>
            </w:pPr>
            <w:r>
              <w:rPr>
                <w:rFonts w:ascii="宋体" w:hAnsi="宋体" w:cs="宋体" w:eastAsia="宋体" w:hint="default"/>
                <w:sz w:val="18"/>
                <w:szCs w:val="18"/>
              </w:rPr>
              <w:t>陕西华商文化产 业园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车音智能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深圳车音电子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上海车音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北京亚越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上海逊睿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广州粤瑛纬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北京车音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成都融智汽车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四川融智昇拓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上海祥隆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新加坡车音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海南文旅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55.00%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海南文咖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海南文春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海南文绚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海南文诺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海南文楷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海南文贤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海南创道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海南文宴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海南文昂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海南创傲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海南文妙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海南创模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海南文泽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海南祺乐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海南文筱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海南创雄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海南文舒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海南达闻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海南创贵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海南禧闻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海南创铭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海南创标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海南文珠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192"/>
        <w:gridCol w:w="1134"/>
        <w:gridCol w:w="1950"/>
      </w:tblGrid>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海南创闻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海南文聚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07"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海南文乐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海南创祺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海南创牌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07"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海南歌闻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海南文颂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0"/>
        <w:rPr>
          <w:rFonts w:ascii="Times New Roman" w:hAnsi="Times New Roman" w:cs="Times New Roman" w:eastAsia="Times New Roman" w:hint="default"/>
          <w:sz w:val="9"/>
          <w:szCs w:val="9"/>
        </w:rPr>
      </w:pPr>
    </w:p>
    <w:p>
      <w:pPr>
        <w:pStyle w:val="BodyText"/>
        <w:spacing w:line="240" w:lineRule="auto" w:before="35"/>
        <w:ind w:right="0"/>
        <w:jc w:val="left"/>
      </w:pPr>
      <w:r>
        <w:rPr/>
        <w:t>持有半数或以下表决权但仍控制被投资单位、以及持有半数以上表决权但不控制被投资单位的依据：</w:t>
      </w:r>
    </w:p>
    <w:p>
      <w:pPr>
        <w:spacing w:line="240" w:lineRule="auto" w:before="9"/>
        <w:rPr>
          <w:rFonts w:ascii="宋体" w:hAnsi="宋体" w:cs="宋体" w:eastAsia="宋体" w:hint="default"/>
          <w:sz w:val="15"/>
          <w:szCs w:val="15"/>
        </w:rPr>
      </w:pPr>
    </w:p>
    <w:p>
      <w:pPr>
        <w:pStyle w:val="BodyText"/>
        <w:spacing w:line="420" w:lineRule="auto"/>
        <w:ind w:right="1214" w:firstLine="420"/>
        <w:jc w:val="both"/>
      </w:pPr>
      <w:r>
        <w:rPr>
          <w:rFonts w:ascii="宋体" w:hAnsi="宋体" w:cs="宋体" w:eastAsia="宋体" w:hint="default"/>
        </w:rPr>
        <w:t>*1</w:t>
      </w:r>
      <w:r>
        <w:rPr/>
        <w:t>、本公司的全资子公司华商广告持有北大荒华商</w:t>
      </w:r>
      <w:r>
        <w:rPr>
          <w:rFonts w:ascii="宋体" w:hAnsi="宋体" w:cs="宋体" w:eastAsia="宋体" w:hint="default"/>
        </w:rPr>
        <w:t>40%</w:t>
      </w:r>
      <w:r>
        <w:rPr/>
        <w:t>的股份，但仍控制被投资单位的依据为：黑龙 江北大荒丰威食品有限公司、长春市森罗商贸有限公司分别持有北大荒华商</w:t>
      </w:r>
      <w:r>
        <w:rPr>
          <w:rFonts w:ascii="宋体" w:hAnsi="宋体" w:cs="宋体" w:eastAsia="宋体" w:hint="default"/>
        </w:rPr>
        <w:t>30%</w:t>
      </w:r>
      <w:r>
        <w:rPr/>
        <w:t>、</w:t>
      </w:r>
      <w:r>
        <w:rPr>
          <w:rFonts w:ascii="宋体" w:hAnsi="宋体" w:cs="宋体" w:eastAsia="宋体" w:hint="default"/>
        </w:rPr>
        <w:t>30%</w:t>
      </w:r>
      <w:r>
        <w:rPr/>
        <w:t>，共计</w:t>
      </w:r>
      <w:r>
        <w:rPr>
          <w:rFonts w:ascii="宋体" w:hAnsi="宋体" w:cs="宋体" w:eastAsia="宋体" w:hint="default"/>
        </w:rPr>
        <w:t>60%</w:t>
      </w:r>
      <w:r>
        <w:rPr/>
        <w:t>的股份， 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29</w:t>
      </w:r>
      <w:r>
        <w:rPr/>
        <w:t>日作出《承诺函》，承认华商广告为实际控制人，在行使董事会、股东会等类似权利机构 职权时，按实际控制人意愿进行表决，由实际控制人主导北大荒华商的相关活动。</w:t>
      </w:r>
    </w:p>
    <w:p>
      <w:pPr>
        <w:spacing w:line="240" w:lineRule="auto" w:before="12"/>
        <w:rPr>
          <w:rFonts w:ascii="宋体" w:hAnsi="宋体" w:cs="宋体" w:eastAsia="宋体" w:hint="default"/>
          <w:sz w:val="14"/>
          <w:szCs w:val="14"/>
        </w:rPr>
      </w:pPr>
    </w:p>
    <w:p>
      <w:pPr>
        <w:pStyle w:val="Heading4"/>
        <w:spacing w:line="240" w:lineRule="auto"/>
        <w:ind w:right="0"/>
        <w:jc w:val="left"/>
        <w:rPr>
          <w:b w:val="0"/>
          <w:bCs w:val="0"/>
        </w:rPr>
      </w:pPr>
      <w:bookmarkStart w:name="（2）重要的非全资子公司" w:id="353"/>
      <w:bookmarkEnd w:id="353"/>
      <w:r>
        <w:rPr>
          <w:b w:val="0"/>
          <w:bCs w:val="0"/>
        </w:rPr>
      </w:r>
      <w:r>
        <w:rPr/>
        <w:t>（</w:t>
      </w:r>
      <w:r>
        <w:rPr>
          <w:rFonts w:ascii="宋体" w:hAnsi="宋体" w:cs="宋体" w:eastAsia="宋体" w:hint="default"/>
        </w:rPr>
        <w:t>2</w:t>
      </w:r>
      <w:r>
        <w:rPr/>
        <w:t>）重要的非全资子公司</w:t>
      </w:r>
      <w:r>
        <w:rPr>
          <w:b w:val="0"/>
          <w:bCs w:val="0"/>
        </w:rPr>
      </w:r>
    </w:p>
    <w:p>
      <w:pPr>
        <w:spacing w:line="240" w:lineRule="auto" w:before="9"/>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1880"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9" w:lineRule="auto"/>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9" w:lineRule="auto"/>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323"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精视文化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-13,635,311.74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44,145,238.14</w:t>
            </w:r>
          </w:p>
        </w:tc>
      </w:tr>
      <w:tr>
        <w:trPr>
          <w:trHeight w:val="32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漫友文化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14.39%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-5,845,798.56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10,721,683.11</w:t>
            </w:r>
          </w:p>
        </w:tc>
      </w:tr>
      <w:tr>
        <w:trPr>
          <w:trHeight w:val="32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时报传媒</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9,152,032.71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132,457,586.98</w:t>
            </w:r>
          </w:p>
        </w:tc>
      </w:tr>
      <w:tr>
        <w:trPr>
          <w:trHeight w:val="323"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黄马甲快递</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9,144,814.51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60,575,015.78</w:t>
            </w:r>
          </w:p>
        </w:tc>
      </w:tr>
      <w:tr>
        <w:trPr>
          <w:trHeight w:val="32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二三里网络</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-6,325,903.09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-11,307,327.04</w:t>
            </w:r>
          </w:p>
        </w:tc>
      </w:tr>
      <w:tr>
        <w:trPr>
          <w:trHeight w:val="32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上海祥隆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7,189,572.17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20,550,742.29</w:t>
            </w:r>
          </w:p>
        </w:tc>
      </w:tr>
      <w:tr>
        <w:trPr>
          <w:trHeight w:val="323"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麦游互动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9,768,704.24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28,340,858.13</w:t>
            </w:r>
          </w:p>
        </w:tc>
      </w:tr>
      <w:tr>
        <w:trPr>
          <w:trHeight w:val="32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车音智能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60,181,729.21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168,316,473.56</w:t>
            </w:r>
          </w:p>
        </w:tc>
      </w:tr>
      <w:tr>
        <w:trPr>
          <w:trHeight w:val="323"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海南文旅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-5,289,967.20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309,710,032.80</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
          <w:szCs w:val="2"/>
        </w:rPr>
      </w:pPr>
    </w:p>
    <w:p>
      <w:pPr>
        <w:spacing w:line="20" w:lineRule="exact"/>
        <w:ind w:left="78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820" w:right="0"/>
        <w:jc w:val="left"/>
        <w:rPr>
          <w:b w:val="0"/>
          <w:bCs w:val="0"/>
        </w:rPr>
      </w:pPr>
      <w:bookmarkStart w:name="（3）重要非全资子公司的主要财务信息" w:id="354"/>
      <w:bookmarkEnd w:id="354"/>
      <w:r>
        <w:rPr>
          <w:b w:val="0"/>
          <w:bCs w:val="0"/>
        </w:rPr>
      </w:r>
      <w:r>
        <w:rPr/>
        <w:t>（</w:t>
      </w:r>
      <w:r>
        <w:rPr>
          <w:rFonts w:ascii="宋体" w:hAnsi="宋体" w:cs="宋体" w:eastAsia="宋体" w:hint="default"/>
        </w:rPr>
        <w:t>3</w:t>
      </w:r>
      <w:r>
        <w:rPr/>
        <w:t>）重要非全资子公司的主要财务信息</w:t>
      </w:r>
      <w:r>
        <w:rPr>
          <w:b w:val="0"/>
          <w:bCs w:val="0"/>
        </w:rPr>
      </w:r>
    </w:p>
    <w:p>
      <w:pPr>
        <w:spacing w:line="240" w:lineRule="auto" w:before="5"/>
        <w:rPr>
          <w:rFonts w:ascii="宋体" w:hAnsi="宋体" w:cs="宋体" w:eastAsia="宋体" w:hint="default"/>
          <w:b/>
          <w:bCs/>
          <w:sz w:val="24"/>
          <w:szCs w:val="24"/>
        </w:rPr>
      </w:pPr>
    </w:p>
    <w:p>
      <w:pPr>
        <w:spacing w:before="44"/>
        <w:ind w:left="0" w:right="75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1134"/>
        <w:gridCol w:w="1136"/>
        <w:gridCol w:w="1276"/>
        <w:gridCol w:w="1417"/>
        <w:gridCol w:w="1276"/>
        <w:gridCol w:w="1134"/>
        <w:gridCol w:w="1276"/>
        <w:gridCol w:w="1134"/>
        <w:gridCol w:w="1134"/>
        <w:gridCol w:w="1134"/>
        <w:gridCol w:w="1134"/>
        <w:gridCol w:w="994"/>
        <w:gridCol w:w="1134"/>
      </w:tblGrid>
      <w:tr>
        <w:trPr>
          <w:trHeight w:val="322"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5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66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1"/>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4"/>
              <w:jc w:val="right"/>
              <w:rPr>
                <w:rFonts w:ascii="Times New Roman" w:hAnsi="Times New Roman" w:cs="Times New Roman" w:eastAsia="Times New Roman" w:hint="default"/>
                <w:sz w:val="15"/>
                <w:szCs w:val="15"/>
              </w:rPr>
            </w:pPr>
            <w:r>
              <w:rPr>
                <w:rFonts w:ascii="Times New Roman"/>
                <w:spacing w:val="-1"/>
                <w:sz w:val="15"/>
              </w:rPr>
              <w:t>116,268,022.06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12,011,393.18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5"/>
                <w:szCs w:val="15"/>
              </w:rPr>
            </w:pPr>
            <w:r>
              <w:rPr>
                <w:rFonts w:ascii="Times New Roman"/>
                <w:spacing w:val="-1"/>
                <w:sz w:val="15"/>
              </w:rPr>
              <w:t>128,279,415.24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26,829,653.27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5"/>
                <w:szCs w:val="15"/>
              </w:rPr>
            </w:pPr>
            <w:r>
              <w:rPr>
                <w:rFonts w:ascii="Times New Roman"/>
                <w:spacing w:val="-1"/>
                <w:sz w:val="15"/>
              </w:rPr>
              <w:t>26,829,653.27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5"/>
                <w:szCs w:val="15"/>
              </w:rPr>
            </w:pPr>
            <w:r>
              <w:rPr>
                <w:rFonts w:ascii="Times New Roman"/>
                <w:spacing w:val="-1"/>
                <w:sz w:val="15"/>
              </w:rPr>
              <w:t>169,607,580.86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15,620,725.76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5"/>
                <w:szCs w:val="15"/>
              </w:rPr>
            </w:pPr>
            <w:r>
              <w:rPr>
                <w:rFonts w:ascii="Times New Roman"/>
                <w:spacing w:val="-1"/>
                <w:sz w:val="15"/>
              </w:rPr>
              <w:t>185,228,306.62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7" w:right="0"/>
              <w:jc w:val="left"/>
              <w:rPr>
                <w:rFonts w:ascii="Times New Roman" w:hAnsi="Times New Roman" w:cs="Times New Roman" w:eastAsia="Times New Roman" w:hint="default"/>
                <w:sz w:val="15"/>
                <w:szCs w:val="15"/>
              </w:rPr>
            </w:pPr>
            <w:r>
              <w:rPr>
                <w:rFonts w:ascii="Times New Roman"/>
                <w:sz w:val="15"/>
              </w:rPr>
              <w:t>51,216,193.77</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51,216,193.77</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126,086,477.73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12,345,976.04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5"/>
                <w:szCs w:val="15"/>
              </w:rPr>
            </w:pPr>
            <w:r>
              <w:rPr>
                <w:rFonts w:ascii="Times New Roman"/>
                <w:spacing w:val="-1"/>
                <w:sz w:val="15"/>
              </w:rPr>
              <w:t>138,432,453.77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82,223,704.35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5"/>
                <w:szCs w:val="15"/>
              </w:rPr>
            </w:pPr>
            <w:r>
              <w:rPr>
                <w:rFonts w:ascii="Times New Roman"/>
                <w:spacing w:val="-1"/>
                <w:sz w:val="15"/>
              </w:rPr>
              <w:t>1,696,981.65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5"/>
                <w:szCs w:val="15"/>
              </w:rPr>
            </w:pPr>
            <w:r>
              <w:rPr>
                <w:rFonts w:ascii="Times New Roman"/>
                <w:spacing w:val="-1"/>
                <w:sz w:val="15"/>
              </w:rPr>
              <w:t>83,920,686.00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5"/>
                <w:szCs w:val="15"/>
              </w:rPr>
            </w:pPr>
            <w:r>
              <w:rPr>
                <w:rFonts w:ascii="Times New Roman"/>
                <w:spacing w:val="-1"/>
                <w:sz w:val="15"/>
              </w:rPr>
              <w:t>148,714,405.38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10,805,761.37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5"/>
                <w:szCs w:val="15"/>
              </w:rPr>
            </w:pPr>
            <w:r>
              <w:rPr>
                <w:rFonts w:ascii="Times New Roman"/>
                <w:spacing w:val="-1"/>
                <w:sz w:val="15"/>
              </w:rPr>
              <w:t>159,520,166.75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7" w:right="0"/>
              <w:jc w:val="left"/>
              <w:rPr>
                <w:rFonts w:ascii="Times New Roman" w:hAnsi="Times New Roman" w:cs="Times New Roman" w:eastAsia="Times New Roman" w:hint="default"/>
                <w:sz w:val="15"/>
                <w:szCs w:val="15"/>
              </w:rPr>
            </w:pPr>
            <w:r>
              <w:rPr>
                <w:rFonts w:ascii="Times New Roman"/>
                <w:sz w:val="15"/>
              </w:rPr>
              <w:t>52,236,857.81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5"/>
                <w:szCs w:val="15"/>
              </w:rPr>
            </w:pPr>
            <w:r>
              <w:rPr>
                <w:rFonts w:ascii="Times New Roman"/>
                <w:spacing w:val="-1"/>
                <w:sz w:val="15"/>
              </w:rPr>
              <w:t>3,762,847.75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55,999,705.56</w:t>
            </w:r>
          </w:p>
        </w:tc>
      </w:tr>
      <w:tr>
        <w:trPr>
          <w:trHeight w:val="32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Times New Roman" w:hAnsi="Times New Roman" w:cs="Times New Roman" w:eastAsia="Times New Roman" w:hint="default"/>
                <w:sz w:val="15"/>
                <w:szCs w:val="15"/>
              </w:rPr>
            </w:pPr>
            <w:r>
              <w:rPr>
                <w:rFonts w:ascii="Times New Roman"/>
                <w:spacing w:val="-1"/>
                <w:sz w:val="15"/>
              </w:rPr>
              <w:t>482,616,762.83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Times New Roman" w:hAnsi="Times New Roman" w:cs="Times New Roman" w:eastAsia="Times New Roman" w:hint="default"/>
                <w:sz w:val="15"/>
                <w:szCs w:val="15"/>
              </w:rPr>
            </w:pPr>
            <w:r>
              <w:rPr>
                <w:rFonts w:ascii="Times New Roman"/>
                <w:spacing w:val="-1"/>
                <w:sz w:val="15"/>
              </w:rPr>
              <w:t>689,119,167.34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1,171,735,930.17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Times New Roman" w:hAnsi="Times New Roman" w:cs="Times New Roman" w:eastAsia="Times New Roman" w:hint="default"/>
                <w:sz w:val="15"/>
                <w:szCs w:val="15"/>
              </w:rPr>
            </w:pPr>
            <w:r>
              <w:rPr>
                <w:rFonts w:ascii="Times New Roman"/>
                <w:spacing w:val="-1"/>
                <w:sz w:val="15"/>
              </w:rPr>
              <w:t>343,876,011.53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343,876,011.53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right"/>
              <w:rPr>
                <w:rFonts w:ascii="Times New Roman" w:hAnsi="Times New Roman" w:cs="Times New Roman" w:eastAsia="Times New Roman" w:hint="default"/>
                <w:sz w:val="15"/>
                <w:szCs w:val="15"/>
              </w:rPr>
            </w:pPr>
            <w:r>
              <w:rPr>
                <w:rFonts w:ascii="Times New Roman"/>
                <w:spacing w:val="-1"/>
                <w:sz w:val="15"/>
              </w:rPr>
              <w:t>425,102,424.02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right"/>
              <w:rPr>
                <w:rFonts w:ascii="Times New Roman" w:hAnsi="Times New Roman" w:cs="Times New Roman" w:eastAsia="Times New Roman" w:hint="default"/>
                <w:sz w:val="15"/>
                <w:szCs w:val="15"/>
              </w:rPr>
            </w:pPr>
            <w:r>
              <w:rPr>
                <w:rFonts w:ascii="Times New Roman"/>
                <w:spacing w:val="-1"/>
                <w:sz w:val="15"/>
              </w:rPr>
              <w:t>699,961,926.80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Times New Roman" w:hAnsi="Times New Roman" w:cs="Times New Roman" w:eastAsia="Times New Roman" w:hint="default"/>
                <w:sz w:val="15"/>
                <w:szCs w:val="15"/>
              </w:rPr>
            </w:pPr>
            <w:r>
              <w:rPr>
                <w:rFonts w:ascii="Times New Roman"/>
                <w:spacing w:val="-1"/>
                <w:sz w:val="15"/>
              </w:rPr>
              <w:t>1,125,064,350.82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63" w:right="0"/>
              <w:jc w:val="left"/>
              <w:rPr>
                <w:rFonts w:ascii="Times New Roman" w:hAnsi="Times New Roman" w:cs="Times New Roman" w:eastAsia="Times New Roman" w:hint="default"/>
                <w:sz w:val="15"/>
                <w:szCs w:val="15"/>
              </w:rPr>
            </w:pPr>
            <w:r>
              <w:rPr>
                <w:rFonts w:ascii="Times New Roman"/>
                <w:sz w:val="15"/>
              </w:rPr>
              <w:t>333,813,186.57</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333,813,186.57</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黄马甲快递</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207,632,827.73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17,045,565.88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5"/>
                <w:szCs w:val="15"/>
              </w:rPr>
            </w:pPr>
            <w:r>
              <w:rPr>
                <w:rFonts w:ascii="Times New Roman"/>
                <w:spacing w:val="-1"/>
                <w:sz w:val="15"/>
              </w:rPr>
              <w:t>224,678,393.61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72,420,537.75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5"/>
                <w:szCs w:val="15"/>
              </w:rPr>
            </w:pPr>
            <w:r>
              <w:rPr>
                <w:rFonts w:ascii="Times New Roman"/>
                <w:spacing w:val="-1"/>
                <w:sz w:val="15"/>
              </w:rPr>
              <w:t>2,000,000.00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5"/>
                <w:szCs w:val="15"/>
              </w:rPr>
            </w:pPr>
            <w:r>
              <w:rPr>
                <w:rFonts w:ascii="Times New Roman"/>
                <w:spacing w:val="-1"/>
                <w:sz w:val="15"/>
              </w:rPr>
              <w:t>74,420,537.75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5"/>
                <w:szCs w:val="15"/>
              </w:rPr>
            </w:pPr>
            <w:r>
              <w:rPr>
                <w:rFonts w:ascii="Times New Roman"/>
                <w:spacing w:val="-1"/>
                <w:sz w:val="15"/>
              </w:rPr>
              <w:t>168,642,724.28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14,961,492.52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5"/>
                <w:szCs w:val="15"/>
              </w:rPr>
            </w:pPr>
            <w:r>
              <w:rPr>
                <w:rFonts w:ascii="Times New Roman"/>
                <w:spacing w:val="-1"/>
                <w:sz w:val="15"/>
              </w:rPr>
              <w:t>183,604,216.80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7" w:right="0"/>
              <w:jc w:val="left"/>
              <w:rPr>
                <w:rFonts w:ascii="Times New Roman" w:hAnsi="Times New Roman" w:cs="Times New Roman" w:eastAsia="Times New Roman" w:hint="default"/>
                <w:sz w:val="15"/>
                <w:szCs w:val="15"/>
              </w:rPr>
            </w:pPr>
            <w:r>
              <w:rPr>
                <w:rFonts w:ascii="Times New Roman"/>
                <w:sz w:val="15"/>
              </w:rPr>
              <w:t>57,258,713.62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5"/>
                <w:szCs w:val="15"/>
              </w:rPr>
            </w:pPr>
            <w:r>
              <w:rPr>
                <w:rFonts w:ascii="Times New Roman"/>
                <w:spacing w:val="-1"/>
                <w:sz w:val="15"/>
              </w:rPr>
              <w:t>770,000.00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58,028,713.62</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二三里网络</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1,749,743.12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5"/>
                <w:szCs w:val="15"/>
              </w:rPr>
            </w:pPr>
            <w:r>
              <w:rPr>
                <w:rFonts w:ascii="Times New Roman"/>
                <w:spacing w:val="-1"/>
                <w:sz w:val="15"/>
              </w:rPr>
              <w:t>245,200.41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5"/>
                <w:szCs w:val="15"/>
              </w:rPr>
            </w:pPr>
            <w:r>
              <w:rPr>
                <w:rFonts w:ascii="Times New Roman"/>
                <w:spacing w:val="-1"/>
                <w:sz w:val="15"/>
              </w:rPr>
              <w:t>1,994,943.53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29,658,735.09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5"/>
                <w:szCs w:val="15"/>
              </w:rPr>
            </w:pPr>
            <w:r>
              <w:rPr>
                <w:rFonts w:ascii="Times New Roman"/>
                <w:spacing w:val="-1"/>
                <w:sz w:val="15"/>
              </w:rPr>
              <w:t>29,658,735.09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5"/>
                <w:szCs w:val="15"/>
              </w:rPr>
            </w:pPr>
            <w:r>
              <w:rPr>
                <w:rFonts w:ascii="Times New Roman"/>
                <w:spacing w:val="-1"/>
                <w:sz w:val="15"/>
              </w:rPr>
              <w:t>4,470,172.83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47,263.19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5"/>
                <w:szCs w:val="15"/>
              </w:rPr>
            </w:pPr>
            <w:r>
              <w:rPr>
                <w:rFonts w:ascii="Times New Roman"/>
                <w:spacing w:val="-1"/>
                <w:sz w:val="15"/>
              </w:rPr>
              <w:t>4,517,436.02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7" w:right="0"/>
              <w:jc w:val="left"/>
              <w:rPr>
                <w:rFonts w:ascii="Times New Roman" w:hAnsi="Times New Roman" w:cs="Times New Roman" w:eastAsia="Times New Roman" w:hint="default"/>
                <w:sz w:val="15"/>
                <w:szCs w:val="15"/>
              </w:rPr>
            </w:pPr>
            <w:r>
              <w:rPr>
                <w:rFonts w:ascii="Times New Roman"/>
                <w:sz w:val="15"/>
              </w:rPr>
              <w:t>14,107,218.74</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14,107,218.74</w:t>
            </w:r>
          </w:p>
        </w:tc>
      </w:tr>
      <w:tr>
        <w:trPr>
          <w:trHeight w:val="32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上海祥隆</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4"/>
              <w:jc w:val="right"/>
              <w:rPr>
                <w:rFonts w:ascii="Times New Roman" w:hAnsi="Times New Roman" w:cs="Times New Roman" w:eastAsia="Times New Roman" w:hint="default"/>
                <w:sz w:val="15"/>
                <w:szCs w:val="15"/>
              </w:rPr>
            </w:pPr>
            <w:r>
              <w:rPr>
                <w:rFonts w:ascii="Times New Roman"/>
                <w:spacing w:val="-1"/>
                <w:sz w:val="15"/>
              </w:rPr>
              <w:t>66,034,446.40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Times New Roman" w:hAnsi="Times New Roman" w:cs="Times New Roman" w:eastAsia="Times New Roman" w:hint="default"/>
                <w:sz w:val="15"/>
                <w:szCs w:val="15"/>
              </w:rPr>
            </w:pPr>
            <w:r>
              <w:rPr>
                <w:rFonts w:ascii="Times New Roman"/>
                <w:spacing w:val="-1"/>
                <w:sz w:val="15"/>
              </w:rPr>
              <w:t>1,118,142.15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67,152,588.55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Times New Roman" w:hAnsi="Times New Roman" w:cs="Times New Roman" w:eastAsia="Times New Roman" w:hint="default"/>
                <w:sz w:val="15"/>
                <w:szCs w:val="15"/>
              </w:rPr>
            </w:pPr>
            <w:r>
              <w:rPr>
                <w:rFonts w:ascii="Times New Roman"/>
                <w:spacing w:val="-1"/>
                <w:sz w:val="15"/>
              </w:rPr>
              <w:t>15,775,732.83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15,775,732.83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麦游互动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4"/>
              <w:jc w:val="right"/>
              <w:rPr>
                <w:rFonts w:ascii="Times New Roman" w:hAnsi="Times New Roman" w:cs="Times New Roman" w:eastAsia="Times New Roman" w:hint="default"/>
                <w:sz w:val="15"/>
                <w:szCs w:val="15"/>
              </w:rPr>
            </w:pPr>
            <w:r>
              <w:rPr>
                <w:rFonts w:ascii="Times New Roman"/>
                <w:spacing w:val="-1"/>
                <w:sz w:val="15"/>
              </w:rPr>
              <w:t>65,197,564.12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5"/>
                <w:szCs w:val="15"/>
              </w:rPr>
            </w:pPr>
            <w:r>
              <w:rPr>
                <w:rFonts w:ascii="Times New Roman"/>
                <w:spacing w:val="-1"/>
                <w:sz w:val="15"/>
              </w:rPr>
              <w:t>338,466.13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5"/>
                <w:szCs w:val="15"/>
              </w:rPr>
            </w:pPr>
            <w:r>
              <w:rPr>
                <w:rFonts w:ascii="Times New Roman"/>
                <w:spacing w:val="-1"/>
                <w:sz w:val="15"/>
              </w:rPr>
              <w:t>65,536,030.25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5"/>
                <w:szCs w:val="15"/>
              </w:rPr>
            </w:pPr>
            <w:r>
              <w:rPr>
                <w:rFonts w:ascii="Times New Roman"/>
                <w:spacing w:val="-1"/>
                <w:sz w:val="15"/>
              </w:rPr>
              <w:t>5,135,858.38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5"/>
                <w:szCs w:val="15"/>
              </w:rPr>
            </w:pPr>
            <w:r>
              <w:rPr>
                <w:rFonts w:ascii="Times New Roman"/>
                <w:spacing w:val="-1"/>
                <w:sz w:val="15"/>
              </w:rPr>
              <w:t>2,561,685.88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5"/>
                <w:szCs w:val="15"/>
              </w:rPr>
            </w:pPr>
            <w:r>
              <w:rPr>
                <w:rFonts w:ascii="Times New Roman"/>
                <w:spacing w:val="-1"/>
                <w:sz w:val="15"/>
              </w:rPr>
              <w:t>7,697,544.26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875,277,824.03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118,275,549.91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5"/>
                <w:szCs w:val="15"/>
              </w:rPr>
            </w:pPr>
            <w:r>
              <w:rPr>
                <w:rFonts w:ascii="Times New Roman"/>
                <w:spacing w:val="-1"/>
                <w:sz w:val="15"/>
              </w:rPr>
              <w:t>993,553,373.94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5"/>
                <w:szCs w:val="15"/>
              </w:rPr>
            </w:pPr>
            <w:r>
              <w:rPr>
                <w:rFonts w:ascii="Times New Roman"/>
                <w:spacing w:val="-1"/>
                <w:sz w:val="15"/>
              </w:rPr>
              <w:t>550,437,930.37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5"/>
                <w:szCs w:val="15"/>
              </w:rPr>
            </w:pPr>
            <w:r>
              <w:rPr>
                <w:rFonts w:ascii="Times New Roman"/>
                <w:spacing w:val="-1"/>
                <w:sz w:val="15"/>
              </w:rPr>
              <w:t>200,000.00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5"/>
                <w:szCs w:val="15"/>
              </w:rPr>
            </w:pPr>
            <w:r>
              <w:rPr>
                <w:rFonts w:ascii="Times New Roman"/>
                <w:spacing w:val="-1"/>
                <w:sz w:val="15"/>
              </w:rPr>
              <w:t>550,637,930.37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海南文旅</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Times New Roman" w:hAnsi="Times New Roman" w:cs="Times New Roman" w:eastAsia="Times New Roman" w:hint="default"/>
                <w:sz w:val="15"/>
                <w:szCs w:val="15"/>
              </w:rPr>
            </w:pPr>
            <w:r>
              <w:rPr>
                <w:rFonts w:ascii="Times New Roman"/>
                <w:spacing w:val="-1"/>
                <w:sz w:val="15"/>
              </w:rPr>
              <w:t>331,870,641.94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right"/>
              <w:rPr>
                <w:rFonts w:ascii="Times New Roman" w:hAnsi="Times New Roman" w:cs="Times New Roman" w:eastAsia="Times New Roman" w:hint="default"/>
                <w:sz w:val="15"/>
                <w:szCs w:val="15"/>
              </w:rPr>
            </w:pPr>
            <w:r>
              <w:rPr>
                <w:rFonts w:ascii="Times New Roman"/>
                <w:spacing w:val="-1"/>
                <w:sz w:val="15"/>
              </w:rPr>
              <w:t>780,086,240.17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2"/>
                <w:sz w:val="15"/>
              </w:rPr>
              <w:t>1,111,956,882.11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right"/>
              <w:rPr>
                <w:rFonts w:ascii="Times New Roman" w:hAnsi="Times New Roman" w:cs="Times New Roman" w:eastAsia="Times New Roman" w:hint="default"/>
                <w:sz w:val="15"/>
                <w:szCs w:val="15"/>
              </w:rPr>
            </w:pPr>
            <w:r>
              <w:rPr>
                <w:rFonts w:ascii="Times New Roman"/>
                <w:spacing w:val="-1"/>
                <w:sz w:val="15"/>
              </w:rPr>
              <w:t>148,462,364.77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right"/>
              <w:rPr>
                <w:rFonts w:ascii="Times New Roman" w:hAnsi="Times New Roman" w:cs="Times New Roman" w:eastAsia="Times New Roman" w:hint="default"/>
                <w:sz w:val="15"/>
                <w:szCs w:val="15"/>
              </w:rPr>
            </w:pPr>
            <w:r>
              <w:rPr>
                <w:rFonts w:ascii="Times New Roman"/>
                <w:spacing w:val="-1"/>
                <w:sz w:val="15"/>
              </w:rPr>
              <w:t>275,250,000.00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423,712,364.77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bl>
    <w:p>
      <w:pPr>
        <w:spacing w:before="10"/>
        <w:ind w:left="0" w:right="75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815" w:type="dxa"/>
        <w:tblLayout w:type="fixed"/>
        <w:tblCellMar>
          <w:top w:w="0" w:type="dxa"/>
          <w:left w:w="0" w:type="dxa"/>
          <w:bottom w:w="0" w:type="dxa"/>
          <w:right w:w="0" w:type="dxa"/>
        </w:tblCellMar>
        <w:tblLook w:val="01E0"/>
      </w:tblPr>
      <w:tblGrid>
        <w:gridCol w:w="1061"/>
        <w:gridCol w:w="1634"/>
        <w:gridCol w:w="1702"/>
        <w:gridCol w:w="1559"/>
        <w:gridCol w:w="1559"/>
        <w:gridCol w:w="1559"/>
        <w:gridCol w:w="1560"/>
        <w:gridCol w:w="1702"/>
        <w:gridCol w:w="1559"/>
      </w:tblGrid>
      <w:tr>
        <w:trPr>
          <w:trHeight w:val="32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4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3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5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53"/>
              <w:jc w:val="righ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0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4"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32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0" w:right="0"/>
              <w:jc w:val="left"/>
              <w:rPr>
                <w:rFonts w:ascii="宋体" w:hAnsi="宋体" w:cs="宋体" w:eastAsia="宋体" w:hint="default"/>
                <w:sz w:val="18"/>
                <w:szCs w:val="18"/>
              </w:rPr>
            </w:pPr>
            <w:r>
              <w:rPr>
                <w:rFonts w:ascii="宋体"/>
                <w:sz w:val="18"/>
              </w:rPr>
              <w:t>66,925,543.00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8" w:right="0"/>
              <w:jc w:val="left"/>
              <w:rPr>
                <w:rFonts w:ascii="宋体" w:hAnsi="宋体" w:cs="宋体" w:eastAsia="宋体" w:hint="default"/>
                <w:sz w:val="18"/>
                <w:szCs w:val="18"/>
              </w:rPr>
            </w:pPr>
            <w:r>
              <w:rPr>
                <w:rFonts w:ascii="宋体"/>
                <w:sz w:val="18"/>
              </w:rPr>
              <w:t>-32,562,350.88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4" w:right="0"/>
              <w:jc w:val="left"/>
              <w:rPr>
                <w:rFonts w:ascii="宋体" w:hAnsi="宋体" w:cs="宋体" w:eastAsia="宋体" w:hint="default"/>
                <w:sz w:val="18"/>
                <w:szCs w:val="18"/>
              </w:rPr>
            </w:pPr>
            <w:r>
              <w:rPr>
                <w:rFonts w:ascii="宋体"/>
                <w:sz w:val="18"/>
              </w:rPr>
              <w:t>-32,562,350.88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-31,261,241.10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5" w:right="0"/>
              <w:jc w:val="left"/>
              <w:rPr>
                <w:rFonts w:ascii="宋体" w:hAnsi="宋体" w:cs="宋体" w:eastAsia="宋体" w:hint="default"/>
                <w:sz w:val="18"/>
                <w:szCs w:val="18"/>
              </w:rPr>
            </w:pPr>
            <w:r>
              <w:rPr>
                <w:rFonts w:ascii="宋体"/>
                <w:sz w:val="18"/>
              </w:rPr>
              <w:t>84,176,013.91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6,932,963.30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6,932,963.30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5" w:right="0"/>
              <w:jc w:val="left"/>
              <w:rPr>
                <w:rFonts w:ascii="宋体" w:hAnsi="宋体" w:cs="宋体" w:eastAsia="宋体" w:hint="default"/>
                <w:sz w:val="18"/>
                <w:szCs w:val="18"/>
              </w:rPr>
            </w:pPr>
            <w:r>
              <w:rPr>
                <w:rFonts w:ascii="宋体"/>
                <w:sz w:val="18"/>
              </w:rPr>
              <w:t>95,526,509.22</w:t>
            </w:r>
          </w:p>
        </w:tc>
      </w:tr>
      <w:tr>
        <w:trPr>
          <w:trHeight w:val="32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0" w:right="0"/>
              <w:jc w:val="left"/>
              <w:rPr>
                <w:rFonts w:ascii="宋体" w:hAnsi="宋体" w:cs="宋体" w:eastAsia="宋体" w:hint="default"/>
                <w:sz w:val="18"/>
                <w:szCs w:val="18"/>
              </w:rPr>
            </w:pPr>
            <w:r>
              <w:rPr>
                <w:rFonts w:ascii="宋体"/>
                <w:sz w:val="18"/>
              </w:rPr>
              <w:t>57,651,331.95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8" w:right="0"/>
              <w:jc w:val="left"/>
              <w:rPr>
                <w:rFonts w:ascii="宋体" w:hAnsi="宋体" w:cs="宋体" w:eastAsia="宋体" w:hint="default"/>
                <w:sz w:val="18"/>
                <w:szCs w:val="18"/>
              </w:rPr>
            </w:pPr>
            <w:r>
              <w:rPr>
                <w:rFonts w:ascii="宋体"/>
                <w:sz w:val="18"/>
              </w:rPr>
              <w:t>-38,724,817.58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4" w:right="0"/>
              <w:jc w:val="left"/>
              <w:rPr>
                <w:rFonts w:ascii="宋体" w:hAnsi="宋体" w:cs="宋体" w:eastAsia="宋体" w:hint="default"/>
                <w:sz w:val="18"/>
                <w:szCs w:val="18"/>
              </w:rPr>
            </w:pPr>
            <w:r>
              <w:rPr>
                <w:rFonts w:ascii="宋体"/>
                <w:sz w:val="18"/>
              </w:rPr>
              <w:t>-38,724,817.58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27,423,561.10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5" w:right="0"/>
              <w:jc w:val="left"/>
              <w:rPr>
                <w:rFonts w:ascii="宋体" w:hAnsi="宋体" w:cs="宋体" w:eastAsia="宋体" w:hint="default"/>
                <w:sz w:val="18"/>
                <w:szCs w:val="18"/>
              </w:rPr>
            </w:pPr>
            <w:r>
              <w:rPr>
                <w:rFonts w:ascii="宋体"/>
                <w:sz w:val="18"/>
              </w:rPr>
              <w:t>70,018,460.19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7" w:right="0"/>
              <w:jc w:val="left"/>
              <w:rPr>
                <w:rFonts w:ascii="宋体" w:hAnsi="宋体" w:cs="宋体" w:eastAsia="宋体" w:hint="default"/>
                <w:sz w:val="18"/>
                <w:szCs w:val="18"/>
              </w:rPr>
            </w:pPr>
            <w:r>
              <w:rPr>
                <w:rFonts w:ascii="宋体"/>
                <w:sz w:val="18"/>
              </w:rPr>
              <w:t>-9,514,573.33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-9,502,168.13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5" w:right="0"/>
              <w:jc w:val="left"/>
              <w:rPr>
                <w:rFonts w:ascii="宋体" w:hAnsi="宋体" w:cs="宋体" w:eastAsia="宋体" w:hint="default"/>
                <w:sz w:val="18"/>
                <w:szCs w:val="18"/>
              </w:rPr>
            </w:pPr>
            <w:r>
              <w:rPr>
                <w:rFonts w:ascii="宋体"/>
                <w:sz w:val="18"/>
              </w:rPr>
              <w:t>-2,673,751.77</w:t>
            </w:r>
          </w:p>
        </w:tc>
      </w:tr>
      <w:tr>
        <w:trPr>
          <w:trHeight w:val="32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0" w:right="0"/>
              <w:jc w:val="left"/>
              <w:rPr>
                <w:rFonts w:ascii="宋体" w:hAnsi="宋体" w:cs="宋体" w:eastAsia="宋体" w:hint="default"/>
                <w:sz w:val="18"/>
                <w:szCs w:val="18"/>
              </w:rPr>
            </w:pPr>
            <w:r>
              <w:rPr>
                <w:rFonts w:ascii="宋体"/>
                <w:sz w:val="18"/>
              </w:rPr>
              <w:t>856,725,478.86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57,200,204.45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4" w:right="0"/>
              <w:jc w:val="left"/>
              <w:rPr>
                <w:rFonts w:ascii="宋体" w:hAnsi="宋体" w:cs="宋体" w:eastAsia="宋体" w:hint="default"/>
                <w:sz w:val="18"/>
                <w:szCs w:val="18"/>
              </w:rPr>
            </w:pPr>
            <w:r>
              <w:rPr>
                <w:rFonts w:ascii="宋体"/>
                <w:sz w:val="18"/>
              </w:rPr>
              <w:t>44,918,134.10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19,937,115.81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5" w:right="0"/>
              <w:jc w:val="left"/>
              <w:rPr>
                <w:rFonts w:ascii="宋体" w:hAnsi="宋体" w:cs="宋体" w:eastAsia="宋体" w:hint="default"/>
                <w:sz w:val="18"/>
                <w:szCs w:val="18"/>
              </w:rPr>
            </w:pPr>
            <w:r>
              <w:rPr>
                <w:rFonts w:ascii="宋体"/>
                <w:sz w:val="18"/>
              </w:rPr>
              <w:t>904,882,715.70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7" w:right="0"/>
              <w:jc w:val="left"/>
              <w:rPr>
                <w:rFonts w:ascii="宋体" w:hAnsi="宋体" w:cs="宋体" w:eastAsia="宋体" w:hint="default"/>
                <w:sz w:val="18"/>
                <w:szCs w:val="18"/>
              </w:rPr>
            </w:pPr>
            <w:r>
              <w:rPr>
                <w:rFonts w:ascii="宋体"/>
                <w:sz w:val="18"/>
              </w:rPr>
              <w:t>208,206,596.36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8" w:right="0"/>
              <w:jc w:val="left"/>
              <w:rPr>
                <w:rFonts w:ascii="宋体" w:hAnsi="宋体" w:cs="宋体" w:eastAsia="宋体" w:hint="default"/>
                <w:sz w:val="18"/>
                <w:szCs w:val="18"/>
              </w:rPr>
            </w:pPr>
            <w:r>
              <w:rPr>
                <w:rFonts w:ascii="宋体"/>
                <w:sz w:val="18"/>
              </w:rPr>
              <w:t>201,172,389.65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4" w:right="0"/>
              <w:jc w:val="left"/>
              <w:rPr>
                <w:rFonts w:ascii="宋体" w:hAnsi="宋体" w:cs="宋体" w:eastAsia="宋体" w:hint="default"/>
                <w:sz w:val="18"/>
                <w:szCs w:val="18"/>
              </w:rPr>
            </w:pPr>
            <w:r>
              <w:rPr>
                <w:rFonts w:ascii="宋体"/>
                <w:sz w:val="18"/>
              </w:rPr>
              <w:t>253,778,522.72</w:t>
            </w:r>
          </w:p>
        </w:tc>
      </w:tr>
      <w:tr>
        <w:trPr>
          <w:trHeight w:val="32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黄马甲快递</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491,912,691.41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24,682,352.68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24,682,352.68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-10,316,410.29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324,216,294.73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28,369,330.86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28,369,330.86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38,994,575.87</w:t>
            </w:r>
          </w:p>
        </w:tc>
      </w:tr>
      <w:tr>
        <w:trPr>
          <w:trHeight w:val="32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二三里网络</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5,647,665.21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-18,074,008.84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-18,074,008.84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-2,637,263.03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332,830.08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-17,089,782.72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-17,089,782.72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-3,387,716.98</w:t>
            </w:r>
          </w:p>
        </w:tc>
      </w:tr>
      <w:tr>
        <w:trPr>
          <w:trHeight w:val="32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上海祥隆</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79,955,289.23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17,973,930.42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17,973,930.42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-122,636.62</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麦游互动</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120,377,822.13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41,816,660.55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41,816,660.55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59,595,205.14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车音智能</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1,023,142,460.82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205,171,794.68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205,075,626.35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-8,558,318.47</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海南文旅</w:t>
            </w:r>
          </w:p>
        </w:tc>
        <w:tc>
          <w:tcPr>
            <w:tcW w:w="163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-11,755,482.66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-11,755,482.66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1,047,958.99</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9"/>
          <w:footerReference w:type="default" r:id="rId60"/>
          <w:pgSz w:w="16840" w:h="11910" w:orient="landscape"/>
          <w:pgMar w:header="867" w:footer="979" w:top="1060" w:bottom="1160" w:left="620" w:right="680"/>
          <w:pgNumType w:start="246"/>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140" w:right="0"/>
        <w:jc w:val="left"/>
        <w:rPr>
          <w:b w:val="0"/>
          <w:bCs w:val="0"/>
        </w:rPr>
      </w:pPr>
      <w:bookmarkStart w:name="2、在合营安排或联营企业中的权益" w:id="355"/>
      <w:bookmarkEnd w:id="355"/>
      <w:r>
        <w:rPr>
          <w:b w:val="0"/>
          <w:bCs w:val="0"/>
        </w:rPr>
      </w:r>
      <w:r>
        <w:rPr>
          <w:rFonts w:ascii="宋体" w:hAnsi="宋体" w:cs="宋体" w:eastAsia="宋体" w:hint="default"/>
        </w:rPr>
        <w:t>2</w:t>
      </w:r>
      <w:r>
        <w:rPr/>
        <w:t>、在合营安排或联营企业中的权益</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left="140" w:right="10928"/>
        <w:jc w:val="left"/>
        <w:rPr>
          <w:b w:val="0"/>
          <w:bCs w:val="0"/>
        </w:rPr>
      </w:pPr>
      <w:bookmarkStart w:name="（1）重要的合营企业或联营企业" w:id="356"/>
      <w:bookmarkEnd w:id="356"/>
      <w:r>
        <w:rPr>
          <w:b w:val="0"/>
          <w:bCs w:val="0"/>
        </w:rPr>
      </w:r>
      <w:r>
        <w:rPr/>
        <w:t>（</w:t>
      </w:r>
      <w:r>
        <w:rPr>
          <w:rFonts w:ascii="宋体" w:hAnsi="宋体" w:cs="宋体" w:eastAsia="宋体" w:hint="default"/>
        </w:rPr>
        <w:t>1</w:t>
      </w:r>
      <w:r>
        <w:rPr/>
        <w:t>）重要的合营企业或联营企业</w:t>
      </w:r>
      <w:r>
        <w:rPr>
          <w:b w:val="0"/>
          <w:bCs w:val="0"/>
        </w:rPr>
      </w:r>
    </w:p>
    <w:p>
      <w:pPr>
        <w:spacing w:line="240" w:lineRule="auto" w:before="12"/>
        <w:rPr>
          <w:rFonts w:ascii="宋体" w:hAnsi="宋体" w:cs="宋体" w:eastAsia="宋体" w:hint="default"/>
          <w:b/>
          <w:bCs/>
          <w:sz w:val="26"/>
          <w:szCs w:val="26"/>
        </w:rPr>
      </w:pPr>
    </w:p>
    <w:tbl>
      <w:tblPr>
        <w:tblW w:w="0" w:type="auto"/>
        <w:jc w:val="left"/>
        <w:tblInd w:w="135" w:type="dxa"/>
        <w:tblLayout w:type="fixed"/>
        <w:tblCellMar>
          <w:top w:w="0" w:type="dxa"/>
          <w:left w:w="0" w:type="dxa"/>
          <w:bottom w:w="0" w:type="dxa"/>
          <w:right w:w="0" w:type="dxa"/>
        </w:tblCellMar>
        <w:tblLook w:val="01E0"/>
      </w:tblPr>
      <w:tblGrid>
        <w:gridCol w:w="2128"/>
        <w:gridCol w:w="1367"/>
        <w:gridCol w:w="1367"/>
        <w:gridCol w:w="1943"/>
        <w:gridCol w:w="1367"/>
        <w:gridCol w:w="1367"/>
        <w:gridCol w:w="1944"/>
      </w:tblGrid>
      <w:tr>
        <w:trPr>
          <w:trHeight w:val="322" w:hRule="exact"/>
        </w:trPr>
        <w:tc>
          <w:tcPr>
            <w:tcW w:w="21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9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60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9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6"/>
              <w:ind w:left="157" w:right="65" w:hanging="90"/>
              <w:jc w:val="left"/>
              <w:rPr>
                <w:rFonts w:ascii="宋体" w:hAnsi="宋体" w:cs="宋体" w:eastAsia="宋体" w:hint="default"/>
                <w:sz w:val="18"/>
                <w:szCs w:val="18"/>
              </w:rPr>
            </w:pPr>
            <w:r>
              <w:rPr>
                <w:rFonts w:ascii="宋体" w:hAnsi="宋体" w:cs="宋体" w:eastAsia="宋体" w:hint="default"/>
                <w:sz w:val="18"/>
                <w:szCs w:val="18"/>
              </w:rPr>
              <w:t>对合营企业或联营企业 投资的会计处理方法</w:t>
            </w:r>
          </w:p>
        </w:tc>
      </w:tr>
      <w:tr>
        <w:trPr>
          <w:trHeight w:val="322" w:hRule="exact"/>
        </w:trPr>
        <w:tc>
          <w:tcPr>
            <w:tcW w:w="212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943"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944"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国广东方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信息传播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4" w:right="0"/>
              <w:jc w:val="left"/>
              <w:rPr>
                <w:rFonts w:ascii="宋体" w:hAnsi="宋体" w:cs="宋体" w:eastAsia="宋体" w:hint="default"/>
                <w:sz w:val="18"/>
                <w:szCs w:val="18"/>
              </w:rPr>
            </w:pPr>
            <w:r>
              <w:rPr>
                <w:rFonts w:ascii="宋体"/>
                <w:sz w:val="18"/>
              </w:rPr>
              <w:t>12.00%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辽宁印刷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辽宁省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沈阳市</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出版印刷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26.18%</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东海证券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江苏省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江苏省</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金融业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10.22%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63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爱玩网络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15" w:right="65" w:hanging="450"/>
              <w:jc w:val="left"/>
              <w:rPr>
                <w:rFonts w:ascii="宋体" w:hAnsi="宋体" w:cs="宋体" w:eastAsia="宋体" w:hint="default"/>
                <w:sz w:val="18"/>
                <w:szCs w:val="18"/>
              </w:rPr>
            </w:pPr>
            <w:r>
              <w:rPr>
                <w:rFonts w:ascii="宋体" w:hAnsi="宋体" w:cs="宋体" w:eastAsia="宋体" w:hint="default"/>
                <w:sz w:val="18"/>
                <w:szCs w:val="18"/>
              </w:rPr>
              <w:t>信息传输、软件和信息 技术服务业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20.00%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12"/>
        <w:rPr>
          <w:rFonts w:ascii="宋体" w:hAnsi="宋体" w:cs="宋体" w:eastAsia="宋体" w:hint="default"/>
          <w:b/>
          <w:bCs/>
          <w:sz w:val="2"/>
          <w:szCs w:val="2"/>
        </w:rPr>
      </w:pPr>
    </w:p>
    <w:p>
      <w:pPr>
        <w:spacing w:line="20" w:lineRule="exact"/>
        <w:ind w:left="34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380" w:right="0"/>
        <w:jc w:val="left"/>
        <w:rPr>
          <w:b w:val="0"/>
          <w:bCs w:val="0"/>
        </w:rPr>
      </w:pPr>
      <w:bookmarkStart w:name="（2）重要联营企业的主要财务信息" w:id="357"/>
      <w:bookmarkEnd w:id="357"/>
      <w:r>
        <w:rPr>
          <w:b w:val="0"/>
          <w:bCs w:val="0"/>
        </w:rPr>
      </w:r>
      <w:r>
        <w:rPr/>
        <w:t>（</w:t>
      </w:r>
      <w:r>
        <w:rPr>
          <w:rFonts w:ascii="宋体" w:hAnsi="宋体" w:cs="宋体" w:eastAsia="宋体" w:hint="default"/>
        </w:rPr>
        <w:t>2</w:t>
      </w:r>
      <w:r>
        <w:rPr/>
        <w:t>）重要联营企业的主要财务信息</w:t>
      </w:r>
      <w:r>
        <w:rPr>
          <w:b w:val="0"/>
          <w:bCs w:val="0"/>
        </w:rPr>
      </w:r>
    </w:p>
    <w:p>
      <w:pPr>
        <w:spacing w:line="240" w:lineRule="auto" w:before="5"/>
        <w:rPr>
          <w:rFonts w:ascii="宋体" w:hAnsi="宋体" w:cs="宋体" w:eastAsia="宋体" w:hint="default"/>
          <w:b/>
          <w:bCs/>
          <w:sz w:val="24"/>
          <w:szCs w:val="24"/>
        </w:rPr>
      </w:pPr>
    </w:p>
    <w:p>
      <w:pPr>
        <w:spacing w:before="44"/>
        <w:ind w:left="0" w:right="89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962"/>
        <w:gridCol w:w="1643"/>
        <w:gridCol w:w="1630"/>
        <w:gridCol w:w="1842"/>
        <w:gridCol w:w="1560"/>
        <w:gridCol w:w="1559"/>
        <w:gridCol w:w="1418"/>
        <w:gridCol w:w="1844"/>
        <w:gridCol w:w="1558"/>
      </w:tblGrid>
      <w:tr>
        <w:trPr>
          <w:trHeight w:val="32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7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63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323" w:hRule="exact"/>
        </w:trPr>
        <w:tc>
          <w:tcPr>
            <w:tcW w:w="1962" w:type="dxa"/>
            <w:tcBorders>
              <w:top w:val="single" w:sz="4" w:space="0" w:color="000000"/>
              <w:left w:val="single" w:sz="4" w:space="0" w:color="000000"/>
              <w:bottom w:val="single" w:sz="4" w:space="0" w:color="000000"/>
              <w:right w:val="single" w:sz="9" w:space="0" w:color="D9D9D9"/>
            </w:tcBorders>
            <w:shd w:val="clear" w:color="auto" w:fill="D2D2D2"/>
          </w:tcPr>
          <w:p>
            <w:pPr/>
          </w:p>
        </w:tc>
        <w:tc>
          <w:tcPr>
            <w:tcW w:w="1643"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11"/>
              <w:ind w:left="449"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6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50" w:right="0"/>
              <w:jc w:val="left"/>
              <w:rPr>
                <w:rFonts w:ascii="宋体" w:hAnsi="宋体" w:cs="宋体" w:eastAsia="宋体" w:hint="default"/>
                <w:sz w:val="18"/>
                <w:szCs w:val="18"/>
              </w:rPr>
            </w:pPr>
            <w:r>
              <w:rPr>
                <w:rFonts w:ascii="宋体" w:hAnsi="宋体" w:cs="宋体" w:eastAsia="宋体" w:hint="default"/>
                <w:sz w:val="18"/>
                <w:szCs w:val="18"/>
              </w:rPr>
              <w:t>辽宁印刷</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555" w:right="0"/>
              <w:jc w:val="left"/>
              <w:rPr>
                <w:rFonts w:ascii="宋体" w:hAnsi="宋体" w:cs="宋体" w:eastAsia="宋体" w:hint="default"/>
                <w:sz w:val="18"/>
                <w:szCs w:val="18"/>
              </w:rPr>
            </w:pPr>
            <w:r>
              <w:rPr>
                <w:rFonts w:ascii="宋体" w:hAnsi="宋体" w:cs="宋体" w:eastAsia="宋体" w:hint="default"/>
                <w:sz w:val="18"/>
                <w:szCs w:val="18"/>
              </w:rPr>
              <w:t>东海证券</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14" w:right="0"/>
              <w:jc w:val="left"/>
              <w:rPr>
                <w:rFonts w:ascii="宋体" w:hAnsi="宋体" w:cs="宋体" w:eastAsia="宋体" w:hint="default"/>
                <w:sz w:val="18"/>
                <w:szCs w:val="18"/>
              </w:rPr>
            </w:pPr>
            <w:r>
              <w:rPr>
                <w:rFonts w:ascii="宋体" w:hAnsi="宋体" w:cs="宋体" w:eastAsia="宋体" w:hint="default"/>
                <w:sz w:val="18"/>
                <w:szCs w:val="18"/>
              </w:rPr>
              <w:t>爱玩网络</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14"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43" w:right="0"/>
              <w:jc w:val="left"/>
              <w:rPr>
                <w:rFonts w:ascii="宋体" w:hAnsi="宋体" w:cs="宋体" w:eastAsia="宋体" w:hint="default"/>
                <w:sz w:val="18"/>
                <w:szCs w:val="18"/>
              </w:rPr>
            </w:pPr>
            <w:r>
              <w:rPr>
                <w:rFonts w:ascii="宋体" w:hAnsi="宋体" w:cs="宋体" w:eastAsia="宋体" w:hint="default"/>
                <w:sz w:val="18"/>
                <w:szCs w:val="18"/>
              </w:rPr>
              <w:t>辽宁印刷</w:t>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555" w:right="0"/>
              <w:jc w:val="left"/>
              <w:rPr>
                <w:rFonts w:ascii="宋体" w:hAnsi="宋体" w:cs="宋体" w:eastAsia="宋体" w:hint="default"/>
                <w:sz w:val="18"/>
                <w:szCs w:val="18"/>
              </w:rPr>
            </w:pPr>
            <w:r>
              <w:rPr>
                <w:rFonts w:ascii="宋体" w:hAnsi="宋体" w:cs="宋体" w:eastAsia="宋体" w:hint="default"/>
                <w:sz w:val="18"/>
                <w:szCs w:val="18"/>
              </w:rPr>
              <w:t>东海证券</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414" w:right="0"/>
              <w:jc w:val="left"/>
              <w:rPr>
                <w:rFonts w:ascii="宋体" w:hAnsi="宋体" w:cs="宋体" w:eastAsia="宋体" w:hint="default"/>
                <w:sz w:val="18"/>
                <w:szCs w:val="18"/>
              </w:rPr>
            </w:pPr>
            <w:r>
              <w:rPr>
                <w:rFonts w:ascii="宋体" w:hAnsi="宋体" w:cs="宋体" w:eastAsia="宋体" w:hint="default"/>
                <w:sz w:val="18"/>
                <w:szCs w:val="18"/>
              </w:rPr>
              <w:t>爱玩网络</w:t>
            </w:r>
          </w:p>
        </w:tc>
      </w:tr>
      <w:tr>
        <w:trPr>
          <w:trHeight w:val="322" w:hRule="exact"/>
        </w:trPr>
        <w:tc>
          <w:tcPr>
            <w:tcW w:w="1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4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663,751,043.90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465,843,191.96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15,160,398,604.13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141,442,559.82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542,874,780.05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485,465,073.97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13,788,429,137.24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166,973,330.31</w:t>
            </w:r>
          </w:p>
        </w:tc>
      </w:tr>
      <w:tr>
        <w:trPr>
          <w:trHeight w:val="322" w:hRule="exact"/>
        </w:trPr>
        <w:tc>
          <w:tcPr>
            <w:tcW w:w="1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4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304,189,075.41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232,327,760.15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20,099,866,775.28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60,705,184.59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344,279,543.20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274,197,990.73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20,660,110,724.37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36,130,670.47</w:t>
            </w:r>
          </w:p>
        </w:tc>
      </w:tr>
      <w:tr>
        <w:trPr>
          <w:trHeight w:val="323" w:hRule="exact"/>
        </w:trPr>
        <w:tc>
          <w:tcPr>
            <w:tcW w:w="1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64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967,940,119.31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698,170,952.11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35,260,265,379.41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202,147,744.41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887,154,323.25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759,663,064.70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34,448,539,861.61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203,104,000.78</w:t>
            </w:r>
          </w:p>
        </w:tc>
      </w:tr>
      <w:tr>
        <w:trPr>
          <w:trHeight w:val="322" w:hRule="exact"/>
        </w:trPr>
        <w:tc>
          <w:tcPr>
            <w:tcW w:w="1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4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492,396,550.20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301,478,315.82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15,214,034,300.63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9,439,822.09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190,158,035.55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314,220,896.59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15,704,717,716.15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4,639,811.75</w:t>
            </w:r>
          </w:p>
        </w:tc>
      </w:tr>
      <w:tr>
        <w:trPr>
          <w:trHeight w:val="322" w:hRule="exact"/>
        </w:trPr>
        <w:tc>
          <w:tcPr>
            <w:tcW w:w="1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4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27,305,046.41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60,496,439.60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11,573,083,664.42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3,478,642.30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19,315,614.76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61,822,181.92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10,076,339,867.23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2,082,549.18</w:t>
            </w:r>
          </w:p>
        </w:tc>
      </w:tr>
      <w:tr>
        <w:trPr>
          <w:trHeight w:val="323" w:hRule="exact"/>
        </w:trPr>
        <w:tc>
          <w:tcPr>
            <w:tcW w:w="1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4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519,701,596.61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361,974,755.42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26,787,117,965.05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12,918,464.39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209,473,650.31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376,043,078.51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25,781,057,583.38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6,722,360.93</w:t>
            </w:r>
          </w:p>
        </w:tc>
      </w:tr>
      <w:tr>
        <w:trPr>
          <w:trHeight w:val="322" w:hRule="exact"/>
        </w:trPr>
        <w:tc>
          <w:tcPr>
            <w:tcW w:w="1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4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82,709,856.51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28,325,328.44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258,496,676.84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78,835,577.01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27,757,575.25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268,563,652.22</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64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365,528,666.19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307,870,868.25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8,214,650,737.52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189,229,280.02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598,845,095.93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355,862,410.94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8,398,918,626.01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196,381,639.85</w:t>
            </w:r>
          </w:p>
        </w:tc>
      </w:tr>
      <w:tr>
        <w:trPr>
          <w:trHeight w:val="635" w:hRule="exact"/>
        </w:trPr>
        <w:tc>
          <w:tcPr>
            <w:tcW w:w="1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1"/>
              <w:ind w:left="12" w:right="138"/>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64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43,861,977.83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80,600,593.31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839,619,451.88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37,845,856.00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185,639,584.36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93,164,779.18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858,453,472.76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39,276,327.97</w:t>
            </w:r>
          </w:p>
        </w:tc>
      </w:tr>
      <w:tr>
        <w:trPr>
          <w:trHeight w:val="634" w:hRule="exact"/>
        </w:trPr>
        <w:tc>
          <w:tcPr>
            <w:tcW w:w="1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12" w:right="138"/>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64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57,423,162.83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80,600,593.31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1,385,276,500.00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175,114,244.82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215,510,165.05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93,164,779.18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2,257,847,351.07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176,544,716.79</w:t>
            </w:r>
          </w:p>
        </w:tc>
      </w:tr>
      <w:tr>
        <w:trPr>
          <w:trHeight w:val="322" w:hRule="exact"/>
        </w:trPr>
        <w:tc>
          <w:tcPr>
            <w:tcW w:w="1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4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1,275,197,504.35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117,317,848.80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1,492,307,832.52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59,392,890.43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1,148,971,014.11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137,765,605.47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1,968,468,261.46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43,293,401.16</w:t>
            </w:r>
          </w:p>
        </w:tc>
      </w:tr>
      <w:tr>
        <w:trPr>
          <w:trHeight w:val="323" w:hRule="exact"/>
        </w:trPr>
        <w:tc>
          <w:tcPr>
            <w:tcW w:w="1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4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-218,957,540.24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-8,385,664.07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92,963,872.21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847,640.22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27,054,073.76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-19,623,841.57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450,229,950.80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17,893,436.84</w:t>
            </w:r>
          </w:p>
        </w:tc>
      </w:tr>
      <w:tr>
        <w:trPr>
          <w:trHeight w:val="322" w:hRule="exact"/>
        </w:trPr>
        <w:tc>
          <w:tcPr>
            <w:tcW w:w="1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643" w:type="dxa"/>
            <w:tcBorders>
              <w:top w:val="single" w:sz="4" w:space="0" w:color="000000"/>
              <w:left w:val="single" w:sz="13" w:space="0" w:color="D9D9D9"/>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-39,038,257.40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-130,864,937.03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-35,713,762.68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-268,789,475.91</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4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-218,957,540.24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-47,423,921.47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-37,901,064.82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847,640.22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27,054,073.76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-55,337,604.25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181,440,474.89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17,893,436.84</w:t>
            </w:r>
          </w:p>
        </w:tc>
      </w:tr>
      <w:tr>
        <w:trPr>
          <w:trHeight w:val="323" w:hRule="exact"/>
        </w:trPr>
        <w:tc>
          <w:tcPr>
            <w:tcW w:w="1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投资溢价</w:t>
            </w:r>
          </w:p>
        </w:tc>
        <w:tc>
          <w:tcPr>
            <w:tcW w:w="164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13,561,185.00</w:t>
            </w:r>
          </w:p>
        </w:tc>
        <w:tc>
          <w:tcPr>
            <w:tcW w:w="163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545,657,048.12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137,268,388.82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29,870,580.69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1,399,393,878.31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137,268,388.82</w:t>
            </w:r>
          </w:p>
        </w:tc>
      </w:tr>
      <w:tr>
        <w:trPr>
          <w:trHeight w:val="634" w:hRule="exact"/>
        </w:trPr>
        <w:tc>
          <w:tcPr>
            <w:tcW w:w="1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12" w:right="138"/>
              <w:jc w:val="left"/>
              <w:rPr>
                <w:rFonts w:ascii="宋体" w:hAnsi="宋体" w:cs="宋体" w:eastAsia="宋体" w:hint="default"/>
                <w:sz w:val="18"/>
                <w:szCs w:val="18"/>
              </w:rPr>
            </w:pPr>
            <w:r>
              <w:rPr>
                <w:rFonts w:ascii="宋体" w:hAnsi="宋体" w:cs="宋体" w:eastAsia="宋体" w:hint="default"/>
                <w:sz w:val="18"/>
                <w:szCs w:val="18"/>
              </w:rPr>
              <w:t>本年度收到的来自联营 企业的股利</w:t>
            </w:r>
          </w:p>
        </w:tc>
        <w:tc>
          <w:tcPr>
            <w:tcW w:w="1643" w:type="dxa"/>
            <w:tcBorders>
              <w:top w:val="single" w:sz="4" w:space="0" w:color="000000"/>
              <w:left w:val="single" w:sz="13" w:space="0" w:color="D9D9D9"/>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295,280.00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1,600,000.01</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5,241,359.23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060" w:right="540"/>
        </w:sectPr>
      </w:pP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十、与金融工具相关的风险" w:id="358"/>
      <w:bookmarkEnd w:id="358"/>
      <w:r>
        <w:rPr>
          <w:b w:val="0"/>
          <w:bCs w:val="0"/>
        </w:rPr>
      </w:r>
      <w:r>
        <w:rPr/>
        <w:t>十、与金融工具相关的风险</w:t>
      </w:r>
      <w:r>
        <w:rPr>
          <w:b w:val="0"/>
          <w:bCs w:val="0"/>
        </w:rPr>
      </w:r>
    </w:p>
    <w:p>
      <w:pPr>
        <w:spacing w:line="240" w:lineRule="auto" w:before="0"/>
        <w:rPr>
          <w:rFonts w:ascii="宋体" w:hAnsi="宋体" w:cs="宋体" w:eastAsia="宋体" w:hint="default"/>
          <w:b/>
          <w:bCs/>
          <w:sz w:val="24"/>
          <w:szCs w:val="24"/>
        </w:rPr>
      </w:pPr>
    </w:p>
    <w:p>
      <w:pPr>
        <w:pStyle w:val="BodyText"/>
        <w:spacing w:line="420" w:lineRule="auto" w:before="161"/>
        <w:ind w:right="1116"/>
        <w:jc w:val="left"/>
      </w:pPr>
      <w:r>
        <w:rPr>
          <w:spacing w:val="-1"/>
        </w:rPr>
        <w:t>本公司在经营过程中面临各种金融风险：信用风险、市场风险和流动性风险。公司董事会全面负责风险管</w:t>
      </w:r>
      <w:r>
        <w:rPr>
          <w:spacing w:val="-83"/>
        </w:rPr>
        <w:t> </w:t>
      </w:r>
      <w:r>
        <w:rPr>
          <w:spacing w:val="-83"/>
        </w:rPr>
      </w:r>
      <w:r>
        <w:rPr>
          <w:spacing w:val="-1"/>
        </w:rPr>
        <w:t>理目标和政策的确定，并对风险管理目标和政策承担最终责任，但是董事会已授权本公司管理层设计和实</w:t>
      </w:r>
      <w:r>
        <w:rPr>
          <w:spacing w:val="-81"/>
        </w:rPr>
        <w:t> </w:t>
      </w:r>
      <w:r>
        <w:rPr>
          <w:spacing w:val="-81"/>
        </w:rPr>
      </w:r>
      <w:r>
        <w:rPr>
          <w:spacing w:val="-1"/>
        </w:rPr>
        <w:t>施能确保风险管理目标和政策得以有效执行的程序。董事会通过财务部递交的月度报告来审查已执行程序</w:t>
      </w:r>
      <w:r>
        <w:rPr>
          <w:spacing w:val="-81"/>
        </w:rPr>
        <w:t> </w:t>
      </w:r>
      <w:r>
        <w:rPr>
          <w:spacing w:val="-81"/>
        </w:rPr>
      </w:r>
      <w:r>
        <w:rPr/>
        <w:t>的有效性以及风险管理目标和政策的合理性。 </w:t>
      </w:r>
      <w:r>
        <w:rPr>
          <w:spacing w:val="-1"/>
        </w:rPr>
        <w:t>本公司风险管理的总体目标是在不过度影响公司竞争力和应变力的情况下，制定尽可能降低风险的风险管</w:t>
      </w:r>
      <w:r>
        <w:rPr>
          <w:spacing w:val="-81"/>
        </w:rPr>
        <w:t> </w:t>
      </w:r>
      <w:r>
        <w:rPr>
          <w:spacing w:val="-81"/>
        </w:rPr>
      </w:r>
      <w:r>
        <w:rPr/>
        <w:t>理政策。</w:t>
      </w:r>
    </w:p>
    <w:p>
      <w:pPr>
        <w:spacing w:line="240" w:lineRule="auto" w:before="10"/>
        <w:rPr>
          <w:rFonts w:ascii="宋体" w:hAnsi="宋体" w:cs="宋体" w:eastAsia="宋体" w:hint="default"/>
          <w:sz w:val="15"/>
          <w:szCs w:val="15"/>
        </w:rPr>
      </w:pPr>
    </w:p>
    <w:p>
      <w:pPr>
        <w:pStyle w:val="BodyText"/>
        <w:spacing w:line="417" w:lineRule="auto"/>
        <w:ind w:right="0"/>
        <w:jc w:val="left"/>
      </w:pPr>
      <w:r>
        <w:rPr>
          <w:rFonts w:ascii="宋体" w:hAnsi="宋体" w:cs="宋体" w:eastAsia="宋体" w:hint="default"/>
          <w:b/>
          <w:bCs/>
        </w:rPr>
        <w:t>（一）信用风险</w:t>
      </w:r>
      <w:r>
        <w:rPr>
          <w:rFonts w:ascii="宋体" w:hAnsi="宋体" w:cs="宋体" w:eastAsia="宋体" w:hint="default"/>
          <w:b/>
          <w:bCs/>
          <w:w w:val="99"/>
        </w:rPr>
        <w:t> </w:t>
      </w:r>
      <w:r>
        <w:rPr>
          <w:spacing w:val="-1"/>
        </w:rPr>
        <w:t>信用风险是指金融工具的一方不履行义务，造成另一方发生财务损失的风险。本公司主要面临赊销导致的</w:t>
      </w:r>
      <w:r>
        <w:rPr>
          <w:spacing w:val="-81"/>
        </w:rPr>
        <w:t> </w:t>
      </w:r>
      <w:r>
        <w:rPr>
          <w:spacing w:val="-81"/>
        </w:rPr>
      </w:r>
      <w:r>
        <w:rPr>
          <w:spacing w:val="-1"/>
        </w:rPr>
        <w:t>客户信用风险。针对新客户，在签订新合同之前，本公司会对新客户的信用风险进行评估。公司对每一客</w:t>
      </w:r>
      <w:r>
        <w:rPr>
          <w:spacing w:val="-86"/>
        </w:rPr>
        <w:t> </w:t>
      </w:r>
      <w:r>
        <w:rPr>
          <w:spacing w:val="-86"/>
        </w:rPr>
      </w:r>
      <w:r>
        <w:rPr/>
        <w:t>户均设置了赊销限额及赊销期限，该限额为无需获得额外批准的最大额度。 </w:t>
      </w:r>
      <w:r>
        <w:rPr>
          <w:spacing w:val="-1"/>
        </w:rPr>
        <w:t>本公司按月对应收账款进行催收，对于未及时回款的客户，公司安排专门人员进行跟踪，当客户出现超出</w:t>
      </w:r>
      <w:r>
        <w:rPr>
          <w:spacing w:val="-83"/>
        </w:rPr>
        <w:t> </w:t>
      </w:r>
      <w:r>
        <w:rPr>
          <w:spacing w:val="-83"/>
        </w:rPr>
      </w:r>
      <w:r>
        <w:rPr>
          <w:spacing w:val="-1"/>
        </w:rPr>
        <w:t>赊销限额或历史欠款严重超出授予的赊销期限时，公司财务部会同法务部门、业务部门进行评估及风险判</w:t>
      </w:r>
      <w:r>
        <w:rPr>
          <w:spacing w:val="-81"/>
        </w:rPr>
        <w:t> </w:t>
      </w:r>
      <w:r>
        <w:rPr>
          <w:spacing w:val="-81"/>
        </w:rPr>
      </w:r>
      <w:r>
        <w:rPr/>
        <w:t>断，必要时会采用法律手段。</w:t>
      </w:r>
    </w:p>
    <w:p>
      <w:pPr>
        <w:spacing w:line="240" w:lineRule="auto" w:before="12"/>
        <w:rPr>
          <w:rFonts w:ascii="宋体" w:hAnsi="宋体" w:cs="宋体" w:eastAsia="宋体" w:hint="default"/>
          <w:sz w:val="15"/>
          <w:szCs w:val="15"/>
        </w:rPr>
      </w:pPr>
    </w:p>
    <w:p>
      <w:pPr>
        <w:pStyle w:val="BodyText"/>
        <w:spacing w:line="412" w:lineRule="auto"/>
        <w:ind w:right="0"/>
        <w:jc w:val="left"/>
      </w:pPr>
      <w:r>
        <w:rPr>
          <w:rFonts w:ascii="宋体" w:hAnsi="宋体" w:cs="宋体" w:eastAsia="宋体" w:hint="default"/>
          <w:b/>
          <w:bCs/>
        </w:rPr>
        <w:t>（二）市场风险</w:t>
      </w:r>
      <w:r>
        <w:rPr>
          <w:rFonts w:ascii="宋体" w:hAnsi="宋体" w:cs="宋体" w:eastAsia="宋体" w:hint="default"/>
          <w:b/>
          <w:bCs/>
          <w:w w:val="99"/>
        </w:rPr>
        <w:t> </w:t>
      </w:r>
      <w:r>
        <w:rPr>
          <w:spacing w:val="-1"/>
        </w:rPr>
        <w:t>金融工具的市场风险，是指金融工具的公允价值或未来现金流量因市场价格变动而发生波动的风险，包括</w:t>
      </w:r>
      <w:r>
        <w:rPr>
          <w:spacing w:val="-81"/>
        </w:rPr>
        <w:t> </w:t>
      </w:r>
      <w:r>
        <w:rPr>
          <w:spacing w:val="-81"/>
        </w:rPr>
      </w:r>
      <w:r>
        <w:rPr/>
        <w:t>汇率风险、利率风险和其他价格风险。</w:t>
      </w:r>
    </w:p>
    <w:p>
      <w:pPr>
        <w:pStyle w:val="BodyText"/>
        <w:spacing w:line="420" w:lineRule="auto" w:before="54"/>
        <w:ind w:right="0"/>
        <w:jc w:val="left"/>
      </w:pPr>
      <w:r>
        <w:rPr/>
        <w:t>（</w:t>
      </w:r>
      <w:r>
        <w:rPr>
          <w:rFonts w:ascii="宋体" w:hAnsi="宋体" w:cs="宋体" w:eastAsia="宋体" w:hint="default"/>
        </w:rPr>
        <w:t>1</w:t>
      </w:r>
      <w:r>
        <w:rPr/>
        <w:t>）利率风险 </w:t>
      </w:r>
      <w:r>
        <w:rPr>
          <w:spacing w:val="-1"/>
        </w:rPr>
        <w:t>利率风险，是指金融工具的公允价值或未来现金流量因市场利率变动而发生波动的风险。本公司的利率风</w:t>
      </w:r>
      <w:r>
        <w:rPr>
          <w:spacing w:val="-81"/>
        </w:rPr>
        <w:t> </w:t>
      </w:r>
      <w:r>
        <w:rPr>
          <w:spacing w:val="-81"/>
        </w:rPr>
      </w:r>
      <w:r>
        <w:rPr>
          <w:spacing w:val="-1"/>
        </w:rPr>
        <w:t>险产生于银行借款及应付债券等带息债务。浮动利率的金融负债使本公司面临现金流量利率风险，固定利</w:t>
      </w:r>
      <w:r>
        <w:rPr>
          <w:spacing w:val="-81"/>
        </w:rPr>
        <w:t> </w:t>
      </w:r>
      <w:r>
        <w:rPr>
          <w:spacing w:val="-81"/>
        </w:rPr>
      </w:r>
      <w:r>
        <w:rPr>
          <w:spacing w:val="-1"/>
        </w:rPr>
        <w:t>率的金融负债使本公司面临公允价值利率风险。本公司根据当时的市场环境来决定固定利率及浮动利率合</w:t>
      </w:r>
      <w:r>
        <w:rPr>
          <w:spacing w:val="-81"/>
        </w:rPr>
        <w:t> </w:t>
      </w:r>
      <w:r>
        <w:rPr>
          <w:spacing w:val="-81"/>
        </w:rPr>
      </w:r>
      <w:r>
        <w:rPr>
          <w:spacing w:val="-1"/>
        </w:rPr>
        <w:t>同的相对比例。截至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日止，本公司的带息债务均为人民币计价的固定利率借款，金额为人民</w:t>
      </w:r>
      <w:r>
        <w:rPr>
          <w:spacing w:val="-83"/>
        </w:rPr>
        <w:t> </w:t>
      </w:r>
      <w:r>
        <w:rPr>
          <w:spacing w:val="-83"/>
        </w:rPr>
      </w:r>
      <w:r>
        <w:rPr/>
        <w:t>币计价的长期借款</w:t>
      </w:r>
      <w:r>
        <w:rPr>
          <w:rFonts w:ascii="宋体" w:hAnsi="宋体" w:cs="宋体" w:eastAsia="宋体" w:hint="default"/>
        </w:rPr>
        <w:t>2,222,250,000.00</w:t>
      </w:r>
      <w:r>
        <w:rPr/>
        <w:t>元和应付债券</w:t>
      </w:r>
      <w:r>
        <w:rPr>
          <w:rFonts w:ascii="宋体" w:hAnsi="宋体" w:cs="宋体" w:eastAsia="宋体" w:hint="default"/>
        </w:rPr>
        <w:t>2,294,056,062.74</w:t>
      </w:r>
      <w:r>
        <w:rPr/>
        <w:t>元。 本公司因利率变动引起金融工具公允价值变动的风险主要与固定利率银行借款有关。</w:t>
      </w:r>
    </w:p>
    <w:p>
      <w:pPr>
        <w:pStyle w:val="BodyText"/>
        <w:spacing w:line="420" w:lineRule="auto" w:before="47"/>
        <w:ind w:right="3192"/>
        <w:jc w:val="left"/>
      </w:pPr>
      <w:r>
        <w:rPr/>
        <w:t>（</w:t>
      </w:r>
      <w:r>
        <w:rPr>
          <w:rFonts w:ascii="宋体" w:hAnsi="宋体" w:cs="宋体" w:eastAsia="宋体" w:hint="default"/>
        </w:rPr>
        <w:t>2</w:t>
      </w:r>
      <w:r>
        <w:rPr/>
        <w:t>）汇率风险 本公司期末无大额外币货币性项目，因此汇率的变动不会对本公司造成较大风险。</w:t>
      </w:r>
    </w:p>
    <w:p>
      <w:pPr>
        <w:pStyle w:val="BodyText"/>
        <w:spacing w:line="420" w:lineRule="auto" w:before="47"/>
        <w:ind w:right="1512"/>
        <w:jc w:val="left"/>
      </w:pPr>
      <w:r>
        <w:rPr/>
        <w:t>（</w:t>
      </w:r>
      <w:r>
        <w:rPr>
          <w:rFonts w:ascii="宋体" w:hAnsi="宋体" w:cs="宋体" w:eastAsia="宋体" w:hint="default"/>
        </w:rPr>
        <w:t>3</w:t>
      </w:r>
      <w:r>
        <w:rPr/>
        <w:t>）其他价格风险 本公司持有其他上市公司的权益投资，管理层认为这些投资活动面临的市场价格风险是可以接受的。</w:t>
      </w:r>
    </w:p>
    <w:p>
      <w:pPr>
        <w:spacing w:after="0" w:line="420" w:lineRule="auto"/>
        <w:jc w:val="left"/>
        <w:sectPr>
          <w:headerReference w:type="default" r:id="rId61"/>
          <w:footerReference w:type="default" r:id="rId62"/>
          <w:pgSz w:w="11910" w:h="16840"/>
          <w:pgMar w:header="877" w:footer="979" w:top="1100" w:bottom="1160" w:left="980" w:right="0"/>
          <w:pgNumType w:start="249"/>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本公司持有的上市公司权益投资列示如下：</w:t>
      </w:r>
    </w:p>
    <w:p>
      <w:pPr>
        <w:spacing w:line="240" w:lineRule="auto" w:before="6"/>
        <w:rPr>
          <w:rFonts w:ascii="宋体" w:hAnsi="宋体" w:cs="宋体" w:eastAsia="宋体" w:hint="default"/>
          <w:sz w:val="5"/>
          <w:szCs w:val="5"/>
        </w:rPr>
      </w:pPr>
    </w:p>
    <w:tbl>
      <w:tblPr>
        <w:tblW w:w="0" w:type="auto"/>
        <w:jc w:val="left"/>
        <w:tblInd w:w="257" w:type="dxa"/>
        <w:tblLayout w:type="fixed"/>
        <w:tblCellMar>
          <w:top w:w="0" w:type="dxa"/>
          <w:left w:w="0" w:type="dxa"/>
          <w:bottom w:w="0" w:type="dxa"/>
          <w:right w:w="0" w:type="dxa"/>
        </w:tblCellMar>
        <w:tblLook w:val="01E0"/>
      </w:tblPr>
      <w:tblGrid>
        <w:gridCol w:w="5388"/>
        <w:gridCol w:w="2836"/>
      </w:tblGrid>
      <w:tr>
        <w:trPr>
          <w:trHeight w:val="337" w:hRule="exact"/>
        </w:trPr>
        <w:tc>
          <w:tcPr>
            <w:tcW w:w="5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68,535,329.45</w:t>
            </w:r>
          </w:p>
        </w:tc>
      </w:tr>
      <w:tr>
        <w:trPr>
          <w:trHeight w:val="342"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83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一年内到期的非流动资产（一年内到期的可供出售金融资产）</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36,432,000.00</w:t>
            </w:r>
          </w:p>
        </w:tc>
      </w:tr>
      <w:tr>
        <w:trPr>
          <w:trHeight w:val="342" w:hRule="exact"/>
        </w:trPr>
        <w:tc>
          <w:tcPr>
            <w:tcW w:w="5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104,967,329.45</w:t>
            </w:r>
          </w:p>
        </w:tc>
      </w:tr>
    </w:tbl>
    <w:p>
      <w:pPr>
        <w:spacing w:line="240" w:lineRule="auto" w:before="12"/>
        <w:rPr>
          <w:rFonts w:ascii="宋体" w:hAnsi="宋体" w:cs="宋体" w:eastAsia="宋体" w:hint="default"/>
          <w:sz w:val="7"/>
          <w:szCs w:val="7"/>
        </w:rPr>
      </w:pPr>
    </w:p>
    <w:p>
      <w:pPr>
        <w:pStyle w:val="BodyText"/>
        <w:spacing w:line="420" w:lineRule="auto" w:before="35"/>
        <w:ind w:right="1214"/>
        <w:jc w:val="both"/>
      </w:pPr>
      <w:r>
        <w:rPr/>
        <w:t>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日，在所有其他变量保持不变的情况下，如果权益工具的价值上涨或下跌</w:t>
      </w:r>
      <w:r>
        <w:rPr>
          <w:rFonts w:ascii="宋体" w:hAnsi="宋体" w:cs="宋体" w:eastAsia="宋体" w:hint="default"/>
        </w:rPr>
        <w:t>10%</w:t>
      </w:r>
      <w:r>
        <w:rPr/>
        <w:t>，则本公司 将增加或减少净利润</w:t>
      </w:r>
      <w:r>
        <w:rPr>
          <w:rFonts w:ascii="宋体" w:hAnsi="宋体" w:cs="宋体" w:eastAsia="宋体" w:hint="default"/>
        </w:rPr>
        <w:t>4,317,725.76</w:t>
      </w:r>
      <w:r>
        <w:rPr/>
        <w:t>元、其他综合收益</w:t>
      </w:r>
      <w:r>
        <w:rPr>
          <w:rFonts w:ascii="宋体" w:hAnsi="宋体" w:cs="宋体" w:eastAsia="宋体" w:hint="default"/>
        </w:rPr>
        <w:t>2,732,400.00</w:t>
      </w:r>
      <w:r>
        <w:rPr/>
        <w:t>元。管理层认为</w:t>
      </w:r>
      <w:r>
        <w:rPr>
          <w:rFonts w:ascii="宋体" w:hAnsi="宋体" w:cs="宋体" w:eastAsia="宋体" w:hint="default"/>
        </w:rPr>
        <w:t>10%</w:t>
      </w:r>
      <w:r>
        <w:rPr/>
        <w:t>合理反映了下一年 度权益工具价值可能发生变动的合理范围。</w:t>
      </w:r>
    </w:p>
    <w:p>
      <w:pPr>
        <w:spacing w:line="240" w:lineRule="auto" w:before="10"/>
        <w:rPr>
          <w:rFonts w:ascii="宋体" w:hAnsi="宋体" w:cs="宋体" w:eastAsia="宋体" w:hint="default"/>
          <w:sz w:val="15"/>
          <w:szCs w:val="15"/>
        </w:rPr>
      </w:pPr>
    </w:p>
    <w:p>
      <w:pPr>
        <w:pStyle w:val="BodyText"/>
        <w:spacing w:line="415" w:lineRule="auto"/>
        <w:ind w:right="0"/>
        <w:jc w:val="left"/>
      </w:pPr>
      <w:r>
        <w:rPr>
          <w:rFonts w:ascii="宋体" w:hAnsi="宋体" w:cs="宋体" w:eastAsia="宋体" w:hint="default"/>
          <w:b/>
          <w:bCs/>
        </w:rPr>
        <w:t>（三）流动性风险</w:t>
      </w:r>
      <w:r>
        <w:rPr>
          <w:rFonts w:ascii="宋体" w:hAnsi="宋体" w:cs="宋体" w:eastAsia="宋体" w:hint="default"/>
          <w:b/>
          <w:bCs/>
          <w:w w:val="99"/>
        </w:rPr>
        <w:t> </w:t>
      </w:r>
      <w:r>
        <w:rPr>
          <w:spacing w:val="-1"/>
        </w:rPr>
        <w:t>流动风险，是指企业在履行以交付现金或其他金融资产的方式结算的义务时发生资金短缺的风险。本公司</w:t>
      </w:r>
      <w:r>
        <w:rPr>
          <w:spacing w:val="-81"/>
        </w:rPr>
        <w:t> </w:t>
      </w:r>
      <w:r>
        <w:rPr>
          <w:spacing w:val="-81"/>
        </w:rPr>
      </w:r>
      <w:r>
        <w:rPr>
          <w:spacing w:val="-1"/>
        </w:rPr>
        <w:t>的政策是确保拥有充足的现金以偿还到期债务。流动性风险由本公司的财务部门集中控制。财务部门通过</w:t>
      </w:r>
      <w:r>
        <w:rPr>
          <w:spacing w:val="-81"/>
        </w:rPr>
        <w:t> </w:t>
      </w:r>
      <w:r>
        <w:rPr>
          <w:spacing w:val="-81"/>
        </w:rPr>
      </w:r>
      <w:r>
        <w:rPr>
          <w:spacing w:val="-1"/>
        </w:rPr>
        <w:t>监控现金余额、可随时变现的有价证券以及对未来</w:t>
      </w:r>
      <w:r>
        <w:rPr>
          <w:rFonts w:ascii="宋体" w:hAnsi="宋体" w:cs="宋体" w:eastAsia="宋体" w:hint="default"/>
          <w:spacing w:val="-1"/>
        </w:rPr>
        <w:t>12</w:t>
      </w:r>
      <w:r>
        <w:rPr>
          <w:spacing w:val="-1"/>
        </w:rPr>
        <w:t>个月现金流量的滚动预测，确保公司在所有合理预测</w:t>
      </w:r>
      <w:r>
        <w:rPr>
          <w:spacing w:val="-82"/>
        </w:rPr>
        <w:t> </w:t>
      </w:r>
      <w:r>
        <w:rPr>
          <w:spacing w:val="-82"/>
        </w:rPr>
      </w:r>
      <w:r>
        <w:rPr/>
        <w:t>的情况下拥有充足的资金偿还债务。</w:t>
      </w:r>
    </w:p>
    <w:p>
      <w:pPr>
        <w:pStyle w:val="BodyText"/>
        <w:spacing w:line="240" w:lineRule="auto" w:before="52"/>
        <w:ind w:right="0"/>
        <w:jc w:val="left"/>
      </w:pPr>
      <w:r>
        <w:rPr/>
        <w:t>本公司各项金融负债以未折现的合同现金流量按到期日列示如下：</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128"/>
        <w:gridCol w:w="1559"/>
        <w:gridCol w:w="1559"/>
        <w:gridCol w:w="1559"/>
        <w:gridCol w:w="1325"/>
        <w:gridCol w:w="1615"/>
      </w:tblGrid>
      <w:tr>
        <w:trPr>
          <w:trHeight w:val="510" w:hRule="exact"/>
        </w:trPr>
        <w:tc>
          <w:tcPr>
            <w:tcW w:w="212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617"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10" w:hRule="exact"/>
        </w:trPr>
        <w:tc>
          <w:tcPr>
            <w:tcW w:w="2128" w:type="dxa"/>
            <w:vMerge/>
            <w:tcBorders>
              <w:left w:val="single" w:sz="4" w:space="0" w:color="000000"/>
              <w:bottom w:val="single" w:sz="4" w:space="0" w:color="000000"/>
              <w:right w:val="single" w:sz="4" w:space="0" w:color="000000"/>
            </w:tcBorders>
            <w:shd w:val="clear" w:color="auto" w:fill="D9D9D9"/>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left="45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left="5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left="5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w:t>
            </w:r>
          </w:p>
        </w:tc>
        <w:tc>
          <w:tcPr>
            <w:tcW w:w="13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left="34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342,200,000.00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342,200,000.00</w:t>
            </w:r>
          </w:p>
        </w:tc>
      </w:tr>
      <w:tr>
        <w:trPr>
          <w:trHeight w:val="5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6,414,238.25</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6,414,238.25</w:t>
            </w:r>
          </w:p>
        </w:tc>
      </w:tr>
      <w:tr>
        <w:trPr>
          <w:trHeight w:val="5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397,421,189.03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34,103,674.70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24,706,220.25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right"/>
              <w:rPr>
                <w:rFonts w:ascii="宋体" w:hAnsi="宋体" w:cs="宋体" w:eastAsia="宋体" w:hint="default"/>
                <w:sz w:val="18"/>
                <w:szCs w:val="18"/>
              </w:rPr>
            </w:pPr>
            <w:r>
              <w:rPr>
                <w:rFonts w:ascii="宋体"/>
                <w:sz w:val="18"/>
              </w:rPr>
              <w:t>6,074,546.74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462,305,630.72</w:t>
            </w:r>
          </w:p>
        </w:tc>
      </w:tr>
      <w:tr>
        <w:trPr>
          <w:trHeight w:val="5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91,690,206.13</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91,690,206.13</w:t>
            </w:r>
          </w:p>
        </w:tc>
      </w:tr>
      <w:tr>
        <w:trPr>
          <w:trHeight w:val="5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357,399,058.98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128,801,469.82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22,683,751.86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
              <w:jc w:val="right"/>
              <w:rPr>
                <w:rFonts w:ascii="宋体" w:hAnsi="宋体" w:cs="宋体" w:eastAsia="宋体" w:hint="default"/>
                <w:sz w:val="18"/>
                <w:szCs w:val="18"/>
              </w:rPr>
            </w:pPr>
            <w:r>
              <w:rPr>
                <w:rFonts w:ascii="宋体"/>
                <w:sz w:val="18"/>
              </w:rPr>
              <w:t>26,333,409.11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535,217,689.77</w:t>
            </w:r>
          </w:p>
        </w:tc>
      </w:tr>
      <w:tr>
        <w:trPr>
          <w:trHeight w:val="5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
              <w:jc w:val="right"/>
              <w:rPr>
                <w:rFonts w:ascii="宋体" w:hAnsi="宋体" w:cs="宋体" w:eastAsia="宋体" w:hint="default"/>
                <w:sz w:val="18"/>
                <w:szCs w:val="18"/>
              </w:rPr>
            </w:pPr>
            <w:r>
              <w:rPr>
                <w:rFonts w:ascii="宋体"/>
                <w:sz w:val="18"/>
              </w:rPr>
              <w:t>854,322,946.26</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854,322,946.26</w:t>
            </w:r>
          </w:p>
        </w:tc>
      </w:tr>
      <w:tr>
        <w:trPr>
          <w:trHeight w:val="5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997,701,657.61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1,296,354,405.13</w:t>
            </w:r>
          </w:p>
        </w:tc>
        <w:tc>
          <w:tcPr>
            <w:tcW w:w="132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2,294,056,062.74</w:t>
            </w:r>
          </w:p>
        </w:tc>
      </w:tr>
      <w:tr>
        <w:trPr>
          <w:trHeight w:val="511"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
              <w:jc w:val="right"/>
              <w:rPr>
                <w:rFonts w:ascii="宋体" w:hAnsi="宋体" w:cs="宋体" w:eastAsia="宋体" w:hint="default"/>
                <w:sz w:val="18"/>
                <w:szCs w:val="18"/>
              </w:rPr>
            </w:pPr>
            <w:r>
              <w:rPr>
                <w:rFonts w:ascii="宋体"/>
                <w:sz w:val="18"/>
              </w:rPr>
              <w:t>2,049,447,638.65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1,160,606,802.13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1,343,744,377.24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
              <w:jc w:val="right"/>
              <w:rPr>
                <w:rFonts w:ascii="宋体" w:hAnsi="宋体" w:cs="宋体" w:eastAsia="宋体" w:hint="default"/>
                <w:sz w:val="18"/>
                <w:szCs w:val="18"/>
              </w:rPr>
            </w:pPr>
            <w:r>
              <w:rPr>
                <w:rFonts w:ascii="宋体"/>
                <w:sz w:val="18"/>
              </w:rPr>
              <w:t>32,407,955.85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4,586,206,773.87</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bookmarkStart w:name="十一、公允价值的披露" w:id="359"/>
      <w:bookmarkEnd w:id="359"/>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以公允价值计量的资产和负债的期末公允价值" w:id="360"/>
      <w:bookmarkEnd w:id="360"/>
      <w:r>
        <w:rPr>
          <w:b w:val="0"/>
          <w:bCs w:val="0"/>
        </w:rPr>
      </w:r>
      <w:r>
        <w:rPr>
          <w:rFonts w:ascii="宋体" w:hAnsi="宋体" w:cs="宋体" w:eastAsia="宋体" w:hint="default"/>
        </w:rPr>
        <w:t>1</w:t>
      </w:r>
      <w:r>
        <w:rPr/>
        <w:t>、以公允价值计量的资产和负债的期末公允价值</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32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9" w:space="0" w:color="D2D2D2"/>
              <w:right w:val="single" w:sz="9" w:space="0" w:color="D2D2D2"/>
            </w:tcBorders>
          </w:tcPr>
          <w:p>
            <w:pPr>
              <w:pStyle w:val="TableParagraph"/>
              <w:spacing w:line="240" w:lineRule="auto" w:before="10"/>
              <w:ind w:left="4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第二层次公允价值计量</w:t>
            </w:r>
            <w:r>
              <w:rPr>
                <w:rFonts w:ascii="宋体" w:hAnsi="宋体" w:cs="宋体" w:eastAsia="宋体" w:hint="default"/>
                <w:sz w:val="18"/>
                <w:szCs w:val="18"/>
              </w:rPr>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9" w:space="0" w:color="D2D2D2"/>
              <w:bottom w:val="nil" w:sz="6" w:space="0" w:color="auto"/>
              <w:right w:val="single" w:sz="9" w:space="0" w:color="D2D2D2"/>
            </w:tcBorders>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r>
        <w:trPr>
          <w:trHeight w:val="946"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10"/>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变动计入当期损益的金 融资产</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18"/>
                <w:szCs w:val="18"/>
              </w:rPr>
            </w:pPr>
            <w:r>
              <w:rPr>
                <w:rFonts w:ascii="宋体"/>
                <w:sz w:val="18"/>
              </w:rPr>
              <w:t>68,535,329.45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68,535,329.45</w:t>
            </w:r>
          </w:p>
        </w:tc>
      </w:tr>
      <w:tr>
        <w:trPr>
          <w:trHeight w:val="32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交易性金融资产</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21,267,653.52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21,267,653.52</w:t>
            </w:r>
          </w:p>
        </w:tc>
      </w:tr>
      <w:tr>
        <w:trPr>
          <w:trHeight w:val="32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）权益工具投资</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21,267,653.52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21,267,653.52</w:t>
            </w:r>
          </w:p>
        </w:tc>
      </w:tr>
      <w:tr>
        <w:trPr>
          <w:trHeight w:val="946"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148"/>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指定以公允价值计量 且其变动计入当期损益 的金融资产</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18"/>
                <w:szCs w:val="18"/>
              </w:rPr>
            </w:pPr>
            <w:r>
              <w:rPr>
                <w:rFonts w:ascii="宋体"/>
                <w:sz w:val="18"/>
              </w:rPr>
              <w:t>47,267,675.93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47,267,675.93</w:t>
            </w:r>
          </w:p>
        </w:tc>
      </w:tr>
      <w:tr>
        <w:trPr>
          <w:trHeight w:val="32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）债务工具投资</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47,267,675.93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47,267,675.93</w:t>
            </w:r>
          </w:p>
        </w:tc>
      </w:tr>
      <w:tr>
        <w:trPr>
          <w:trHeight w:val="32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36,432,000.00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36,432,000.00</w:t>
            </w:r>
          </w:p>
        </w:tc>
      </w:tr>
      <w:tr>
        <w:trPr>
          <w:trHeight w:val="32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）权益工具投资</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36,432,000.00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36,432,000.00</w:t>
            </w:r>
          </w:p>
        </w:tc>
      </w:tr>
      <w:tr>
        <w:trPr>
          <w:trHeight w:val="635"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68,535,329.45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36,432,000.00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104,967,329.45</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持续和非持续第一层次公允价值计量项目市价的确定依据" w:id="361"/>
      <w:bookmarkEnd w:id="361"/>
      <w:r>
        <w:rPr>
          <w:b w:val="0"/>
          <w:bCs w:val="0"/>
        </w:rPr>
      </w:r>
      <w:r>
        <w:rPr>
          <w:rFonts w:ascii="宋体" w:hAnsi="宋体" w:cs="宋体" w:eastAsia="宋体" w:hint="default"/>
        </w:rPr>
        <w:t>2</w:t>
      </w:r>
      <w:r>
        <w:rPr/>
        <w:t>、持续和非持续第一层次公允价值计量项目市价的确定依据</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spacing w:line="547" w:lineRule="auto"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以持有的股票资产负债表日收盘价作为公允价值。 </w:t>
      </w:r>
      <w:bookmarkStart w:name="3、持续和非持续第二层次公允价值计量项目，采用的估值技术和重要参数的定性及定量信" w:id="362"/>
      <w:bookmarkEnd w:id="362"/>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spacing w:line="240" w:lineRule="auto" w:before="13"/>
        <w:rPr>
          <w:rFonts w:ascii="宋体" w:hAnsi="宋体" w:cs="宋体" w:eastAsia="宋体" w:hint="default"/>
          <w:b/>
          <w:bCs/>
          <w:sz w:val="16"/>
          <w:szCs w:val="16"/>
        </w:rPr>
      </w:pPr>
    </w:p>
    <w:p>
      <w:pPr>
        <w:pStyle w:val="BodyText"/>
        <w:spacing w:line="420" w:lineRule="auto"/>
        <w:ind w:right="0"/>
        <w:jc w:val="left"/>
      </w:pPr>
      <w:r>
        <w:rPr>
          <w:spacing w:val="-1"/>
        </w:rPr>
        <w:t>公司持有的股票处于限售期内的股票，不能直接在二级市场公开转让，因此采用第二层次输入值作为公允</w:t>
      </w:r>
      <w:r>
        <w:rPr>
          <w:spacing w:val="-81"/>
        </w:rPr>
        <w:t> </w:t>
      </w:r>
      <w:r>
        <w:rPr>
          <w:spacing w:val="-81"/>
        </w:rPr>
      </w:r>
      <w:r>
        <w:rPr/>
        <w:t>价值，具体计算方法如下： 如果估值日非公开发行有明确锁定期的股票的初始取得成本高于在证券交易所上市交易的同一股票的市 价，采用在证券交易所上市交易的同一股票的市价作为估值日该股票的价值。 如果估值日非公开发行有明确锁定期的股票的初始取得成本低于在证券交易所上市交易的同一股票的市 价，应按以下公式确定该股票的价值：</w:t>
      </w:r>
    </w:p>
    <w:p>
      <w:pPr>
        <w:pStyle w:val="BodyText"/>
        <w:spacing w:line="240" w:lineRule="auto" w:before="47"/>
        <w:ind w:right="0"/>
        <w:jc w:val="left"/>
        <w:rPr>
          <w:rFonts w:ascii="宋体" w:hAnsi="宋体" w:cs="宋体" w:eastAsia="宋体" w:hint="default"/>
        </w:rPr>
      </w:pPr>
      <w:r>
        <w:rPr>
          <w:rFonts w:ascii="宋体" w:hAnsi="宋体" w:cs="宋体" w:eastAsia="宋体" w:hint="default"/>
        </w:rPr>
        <w:t>FV=C+</w:t>
      </w:r>
      <w:r>
        <w:rPr/>
        <w:t>（</w:t>
      </w:r>
      <w:r>
        <w:rPr>
          <w:rFonts w:ascii="宋体" w:hAnsi="宋体" w:cs="宋体" w:eastAsia="宋体" w:hint="default"/>
        </w:rPr>
        <w:t>P-C</w:t>
      </w:r>
      <w:r>
        <w:rPr/>
        <w:t>）×（</w:t>
      </w:r>
      <w:r>
        <w:rPr>
          <w:rFonts w:ascii="宋体" w:hAnsi="宋体" w:cs="宋体" w:eastAsia="宋体" w:hint="default"/>
        </w:rPr>
        <w:t>D1-Dr</w:t>
      </w:r>
      <w:r>
        <w:rPr/>
        <w:t>）／</w:t>
      </w:r>
      <w:r>
        <w:rPr>
          <w:rFonts w:ascii="宋体" w:hAnsi="宋体" w:cs="宋体" w:eastAsia="宋体" w:hint="default"/>
        </w:rPr>
        <w:t>D1</w:t>
      </w:r>
    </w:p>
    <w:p>
      <w:pPr>
        <w:spacing w:line="240" w:lineRule="auto" w:before="9"/>
        <w:rPr>
          <w:rFonts w:ascii="宋体" w:hAnsi="宋体" w:cs="宋体" w:eastAsia="宋体" w:hint="default"/>
          <w:sz w:val="15"/>
          <w:szCs w:val="15"/>
        </w:rPr>
      </w:pPr>
    </w:p>
    <w:p>
      <w:pPr>
        <w:pStyle w:val="BodyText"/>
        <w:spacing w:line="240" w:lineRule="auto"/>
        <w:ind w:right="0"/>
        <w:jc w:val="left"/>
      </w:pPr>
      <w:r>
        <w:rPr/>
        <w:t>其中：</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197"/>
        <w:jc w:val="left"/>
      </w:pPr>
      <w:r>
        <w:rPr>
          <w:rFonts w:ascii="宋体" w:hAnsi="宋体" w:cs="宋体" w:eastAsia="宋体" w:hint="default"/>
        </w:rPr>
        <w:t>FV</w:t>
      </w:r>
      <w:r>
        <w:rPr/>
        <w:t>为估值日该非公开发行有明确锁定期的股票的价值； </w:t>
      </w:r>
      <w:r>
        <w:rPr>
          <w:rFonts w:ascii="宋体" w:hAnsi="宋体" w:cs="宋体" w:eastAsia="宋体" w:hint="default"/>
        </w:rPr>
        <w:t>C</w:t>
      </w:r>
      <w:r>
        <w:rPr/>
        <w:t>为该非公开发行有明确锁定期的股票的初始取得成本（因权益业务导致市场价格除权时，应于除权日对 其初始取得成本作相应调整）；</w:t>
      </w:r>
    </w:p>
    <w:p>
      <w:pPr>
        <w:pStyle w:val="BodyText"/>
        <w:spacing w:line="420" w:lineRule="auto" w:before="48"/>
        <w:ind w:right="2142"/>
        <w:jc w:val="left"/>
      </w:pPr>
      <w:r>
        <w:rPr>
          <w:rFonts w:ascii="宋体" w:hAnsi="宋体" w:cs="宋体" w:eastAsia="宋体" w:hint="default"/>
        </w:rPr>
        <w:t>P</w:t>
      </w:r>
      <w:r>
        <w:rPr/>
        <w:t>为估值日在证券交易所上市交易的同一股票的市价； </w:t>
      </w:r>
      <w:r>
        <w:rPr>
          <w:rFonts w:ascii="宋体" w:hAnsi="宋体" w:cs="宋体" w:eastAsia="宋体" w:hint="default"/>
        </w:rPr>
        <w:t>Dl</w:t>
      </w:r>
      <w:r>
        <w:rPr/>
        <w:t>为该非公开发行有明确锁定期的股票锁定期所含的交易所的交易天数； </w:t>
      </w:r>
      <w:r>
        <w:rPr>
          <w:rFonts w:ascii="宋体" w:hAnsi="宋体" w:cs="宋体" w:eastAsia="宋体" w:hint="default"/>
        </w:rPr>
        <w:t>Dr</w:t>
      </w:r>
      <w:r>
        <w:rPr/>
        <w:t>为估值日剩余锁定期，即估值日至锁定期结束所含的交易所的交易天数（不含估值日当天）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2"/>
        <w:spacing w:line="240" w:lineRule="auto" w:before="0"/>
        <w:ind w:right="0"/>
        <w:jc w:val="left"/>
        <w:rPr>
          <w:b w:val="0"/>
          <w:bCs w:val="0"/>
        </w:rPr>
      </w:pPr>
      <w:bookmarkStart w:name="十二、关联方及关联交易" w:id="363"/>
      <w:bookmarkEnd w:id="363"/>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pict>
          <v:group style="position:absolute;margin-left:296.140015pt;margin-top:63.563671pt;width:79.2pt;height:31.2pt;mso-position-horizontal-relative:page;mso-position-vertical-relative:paragraph;z-index:-1490992" coordorigin="5923,1271" coordsize="1584,624">
            <v:shape style="position:absolute;left:5923;top:1271;width:1584;height:624" coordorigin="5923,1271" coordsize="1584,624" path="m5923,1895l7507,1895,7507,1271,5923,1271,5923,1895xe" filled="true" fillcolor="#ffffff" stroked="false">
              <v:path arrowok="t"/>
              <v:fill type="solid"/>
            </v:shape>
            <w10:wrap type="none"/>
          </v:group>
        </w:pict>
      </w:r>
      <w:bookmarkStart w:name="1、本企业的母公司情况" w:id="364"/>
      <w:bookmarkEnd w:id="364"/>
      <w:r>
        <w:rPr>
          <w:b w:val="0"/>
          <w:bCs w:val="0"/>
        </w:rPr>
      </w:r>
      <w:r>
        <w:rPr>
          <w:rFonts w:ascii="宋体" w:hAnsi="宋体" w:cs="宋体" w:eastAsia="宋体" w:hint="default"/>
        </w:rPr>
        <w:t>1</w:t>
      </w:r>
      <w:r>
        <w:rPr/>
        <w:t>、本企业的母公司情况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63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57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国广资产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1"/>
              <w:jc w:val="left"/>
              <w:rPr>
                <w:rFonts w:ascii="宋体" w:hAnsi="宋体" w:cs="宋体" w:eastAsia="宋体" w:hint="default"/>
                <w:sz w:val="18"/>
                <w:szCs w:val="18"/>
              </w:rPr>
            </w:pPr>
            <w:r>
              <w:rPr>
                <w:rFonts w:ascii="宋体" w:hAnsi="宋体" w:cs="宋体" w:eastAsia="宋体" w:hint="default"/>
                <w:sz w:val="18"/>
                <w:szCs w:val="18"/>
              </w:rPr>
              <w:t>资产管理，投资管 理，商务信息咨询 </w:t>
            </w:r>
            <w:r>
              <w:rPr>
                <w:rFonts w:ascii="宋体" w:hAnsi="宋体" w:cs="宋体" w:eastAsia="宋体" w:hint="default"/>
                <w:spacing w:val="-10"/>
                <w:sz w:val="18"/>
                <w:szCs w:val="18"/>
              </w:rPr>
              <w:t>企业管理咨询，国内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贸易（专项审批除 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sz w:val="18"/>
              </w:rPr>
              <w:t>70,650.00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8.20%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21" w:right="0"/>
              <w:jc w:val="left"/>
              <w:rPr>
                <w:rFonts w:ascii="宋体" w:hAnsi="宋体" w:cs="宋体" w:eastAsia="宋体" w:hint="default"/>
                <w:sz w:val="18"/>
                <w:szCs w:val="18"/>
              </w:rPr>
            </w:pPr>
            <w:r>
              <w:rPr>
                <w:rFonts w:ascii="宋体"/>
                <w:sz w:val="18"/>
              </w:rPr>
              <w:t>12.13%</w:t>
            </w:r>
          </w:p>
        </w:tc>
      </w:tr>
    </w:tbl>
    <w:p>
      <w:pPr>
        <w:spacing w:line="240" w:lineRule="auto" w:before="12"/>
        <w:rPr>
          <w:rFonts w:ascii="宋体" w:hAnsi="宋体" w:cs="宋体" w:eastAsia="宋体" w:hint="default"/>
          <w:b/>
          <w:bCs/>
          <w:sz w:val="7"/>
          <w:szCs w:val="7"/>
        </w:rPr>
      </w:pPr>
    </w:p>
    <w:p>
      <w:pPr>
        <w:pStyle w:val="BodyText"/>
        <w:spacing w:line="420" w:lineRule="auto" w:before="35"/>
        <w:ind w:right="0"/>
        <w:jc w:val="left"/>
      </w:pPr>
      <w:r>
        <w:rPr/>
        <w:t>本企业的母公司情况的说明 </w:t>
      </w:r>
      <w:r>
        <w:rPr>
          <w:spacing w:val="-1"/>
        </w:rPr>
        <w:t>本公司的母公司国广资产直接持有本公司</w:t>
      </w:r>
      <w:r>
        <w:rPr>
          <w:rFonts w:ascii="宋体" w:hAnsi="宋体" w:cs="宋体" w:eastAsia="宋体" w:hint="default"/>
          <w:spacing w:val="-1"/>
        </w:rPr>
        <w:t>8.20%</w:t>
      </w:r>
      <w:r>
        <w:rPr>
          <w:spacing w:val="-1"/>
        </w:rPr>
        <w:t>的股份，国广资产通过四川信托有限公司－四川信托•星光</w:t>
      </w:r>
      <w:r>
        <w:rPr>
          <w:spacing w:val="-79"/>
        </w:rPr>
        <w:t> </w:t>
      </w:r>
      <w:r>
        <w:rPr>
          <w:spacing w:val="-79"/>
        </w:rPr>
      </w:r>
      <w:r>
        <w:rPr>
          <w:rFonts w:ascii="宋体" w:hAnsi="宋体" w:cs="宋体" w:eastAsia="宋体" w:hint="default"/>
        </w:rPr>
        <w:t>5</w:t>
      </w:r>
      <w:r>
        <w:rPr/>
        <w:t>号单一资金信托间接持股</w:t>
      </w:r>
      <w:r>
        <w:rPr>
          <w:rFonts w:ascii="宋体" w:hAnsi="宋体" w:cs="宋体" w:eastAsia="宋体" w:hint="default"/>
        </w:rPr>
        <w:t>3.93%</w:t>
      </w:r>
      <w:r>
        <w:rPr/>
        <w:t>，因此母公司对本公司的表决权比例为</w:t>
      </w:r>
      <w:r>
        <w:rPr>
          <w:rFonts w:ascii="宋体" w:hAnsi="宋体" w:cs="宋体" w:eastAsia="宋体" w:hint="default"/>
        </w:rPr>
        <w:t>12.13%</w:t>
      </w:r>
      <w:r>
        <w:rPr/>
        <w:t>。 本公司的实际控制人为国广控股，本公司最终实际控制人为中国国际广播电台和和融浙联。</w:t>
      </w:r>
    </w:p>
    <w:p>
      <w:pPr>
        <w:spacing w:line="240" w:lineRule="auto" w:before="6"/>
        <w:rPr>
          <w:rFonts w:ascii="宋体" w:hAnsi="宋体" w:cs="宋体" w:eastAsia="宋体" w:hint="default"/>
          <w:sz w:val="27"/>
          <w:szCs w:val="27"/>
        </w:rPr>
      </w:pPr>
    </w:p>
    <w:p>
      <w:pPr>
        <w:spacing w:line="547" w:lineRule="auto" w:before="0"/>
        <w:ind w:left="154" w:right="4872" w:firstLine="0"/>
        <w:jc w:val="left"/>
        <w:rPr>
          <w:rFonts w:ascii="宋体" w:hAnsi="宋体" w:cs="宋体" w:eastAsia="宋体" w:hint="default"/>
          <w:sz w:val="21"/>
          <w:szCs w:val="21"/>
        </w:rPr>
      </w:pPr>
      <w:r>
        <w:rPr>
          <w:rFonts w:ascii="宋体" w:hAnsi="宋体" w:cs="宋体" w:eastAsia="宋体" w:hint="default"/>
          <w:sz w:val="21"/>
          <w:szCs w:val="21"/>
        </w:rPr>
        <w:t>本企业最终控制方是中国国际广播电台和和融浙联。 </w:t>
      </w:r>
      <w:bookmarkStart w:name="2、本企业的子公司情况" w:id="365"/>
      <w:bookmarkEnd w:id="365"/>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13"/>
        <w:rPr>
          <w:rFonts w:ascii="宋体" w:hAnsi="宋体" w:cs="宋体" w:eastAsia="宋体" w:hint="default"/>
          <w:b/>
          <w:bCs/>
          <w:sz w:val="16"/>
          <w:szCs w:val="16"/>
        </w:rPr>
      </w:pPr>
    </w:p>
    <w:p>
      <w:pPr>
        <w:spacing w:line="547" w:lineRule="auto" w:before="0"/>
        <w:ind w:left="154" w:right="4872" w:firstLine="0"/>
        <w:jc w:val="left"/>
        <w:rPr>
          <w:rFonts w:ascii="宋体" w:hAnsi="宋体" w:cs="宋体" w:eastAsia="宋体" w:hint="default"/>
          <w:sz w:val="21"/>
          <w:szCs w:val="21"/>
        </w:rPr>
      </w:pPr>
      <w:r>
        <w:rPr>
          <w:rFonts w:ascii="宋体" w:hAnsi="宋体" w:cs="宋体" w:eastAsia="宋体" w:hint="default"/>
          <w:sz w:val="21"/>
          <w:szCs w:val="21"/>
        </w:rPr>
        <w:t>本企业子公司的情况详见附注九、在其他主体中的权益。 </w:t>
      </w:r>
      <w:bookmarkStart w:name="3、本企业合营和联营企业情况" w:id="366"/>
      <w:bookmarkEnd w:id="366"/>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240" w:lineRule="auto" w:before="13"/>
        <w:rPr>
          <w:rFonts w:ascii="宋体" w:hAnsi="宋体" w:cs="宋体" w:eastAsia="宋体" w:hint="default"/>
          <w:b/>
          <w:bCs/>
          <w:sz w:val="16"/>
          <w:szCs w:val="16"/>
        </w:rPr>
      </w:pPr>
    </w:p>
    <w:p>
      <w:pPr>
        <w:pStyle w:val="BodyText"/>
        <w:spacing w:line="420" w:lineRule="auto"/>
        <w:ind w:right="1302"/>
        <w:jc w:val="left"/>
      </w:pPr>
      <w:r>
        <w:rPr/>
        <w:t>本企业重要的合营或联营企业详见附注九、在其他主体中的权益。 本期与本公司发生关联方交易，或前期与本公司发生关联方交易形成余额的其他合营或联营企业情况如 下：</w:t>
      </w:r>
    </w:p>
    <w:p>
      <w:pPr>
        <w:spacing w:after="0" w:line="420" w:lineRule="auto"/>
        <w:jc w:val="lef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国文管理公司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益正金融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大连闻音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北京恒丰保险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其他关联方情况" w:id="367"/>
      <w:bookmarkEnd w:id="367"/>
      <w:r>
        <w:rPr>
          <w:b w:val="0"/>
          <w:bCs w:val="0"/>
        </w:rPr>
      </w:r>
      <w:r>
        <w:rPr>
          <w:rFonts w:ascii="宋体" w:hAnsi="宋体" w:cs="宋体" w:eastAsia="宋体" w:hint="default"/>
        </w:rPr>
        <w:t>4</w:t>
      </w:r>
      <w:r>
        <w:rPr/>
        <w:t>、其他关联方情况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金正源联合投资控股有限公司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和融浙联的关联企业</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国广频点文化传播</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有限公司（以下简称</w:t>
            </w:r>
            <w:r>
              <w:rPr>
                <w:rFonts w:ascii="宋体" w:hAnsi="宋体" w:cs="宋体" w:eastAsia="宋体" w:hint="default"/>
                <w:sz w:val="18"/>
                <w:szCs w:val="18"/>
              </w:rPr>
              <w:t>"</w:t>
            </w:r>
            <w:r>
              <w:rPr>
                <w:rFonts w:ascii="宋体" w:hAnsi="宋体" w:cs="宋体" w:eastAsia="宋体" w:hint="default"/>
                <w:sz w:val="18"/>
                <w:szCs w:val="18"/>
              </w:rPr>
              <w:t>国广频点</w:t>
            </w:r>
            <w:r>
              <w:rPr>
                <w:rFonts w:ascii="宋体" w:hAnsi="宋体" w:cs="宋体" w:eastAsia="宋体"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国视通讯（北京）有限公司（以下简称</w:t>
            </w:r>
            <w:r>
              <w:rPr>
                <w:rFonts w:ascii="宋体" w:hAnsi="宋体" w:cs="宋体" w:eastAsia="宋体" w:hint="default"/>
                <w:sz w:val="18"/>
                <w:szCs w:val="18"/>
              </w:rPr>
              <w:t>"</w:t>
            </w:r>
            <w:r>
              <w:rPr>
                <w:rFonts w:ascii="宋体" w:hAnsi="宋体" w:cs="宋体" w:eastAsia="宋体" w:hint="default"/>
                <w:sz w:val="18"/>
                <w:szCs w:val="18"/>
              </w:rPr>
              <w:t>国视北京</w:t>
            </w:r>
            <w:r>
              <w:rPr>
                <w:rFonts w:ascii="宋体" w:hAnsi="宋体" w:cs="宋体" w:eastAsia="宋体"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拉萨鼎金投资管理咨询有限公司（以下简称</w:t>
            </w:r>
            <w:r>
              <w:rPr>
                <w:rFonts w:ascii="宋体" w:hAnsi="宋体" w:cs="宋体" w:eastAsia="宋体" w:hint="default"/>
                <w:sz w:val="18"/>
                <w:szCs w:val="18"/>
              </w:rPr>
              <w:t>"</w:t>
            </w:r>
            <w:r>
              <w:rPr>
                <w:rFonts w:ascii="宋体" w:hAnsi="宋体" w:cs="宋体" w:eastAsia="宋体" w:hint="default"/>
                <w:sz w:val="18"/>
                <w:szCs w:val="18"/>
              </w:rPr>
              <w:t>拉萨鼎金</w:t>
            </w:r>
            <w:r>
              <w:rPr>
                <w:rFonts w:ascii="宋体" w:hAnsi="宋体" w:cs="宋体" w:eastAsia="宋体"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和融浙联的关联企业</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无锡金磊企业管理有限公司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和融浙联的关联企业</w:t>
            </w:r>
          </w:p>
        </w:tc>
      </w:tr>
      <w:tr>
        <w:trPr>
          <w:trHeight w:val="94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华功半导体产业发展有限公司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和融浙联的法定代表人兼董事长芮群伟担任其法定代表人兼 </w:t>
            </w:r>
            <w:r>
              <w:rPr>
                <w:rFonts w:ascii="宋体" w:hAnsi="宋体" w:cs="宋体" w:eastAsia="宋体" w:hint="default"/>
                <w:spacing w:val="-3"/>
                <w:sz w:val="18"/>
                <w:szCs w:val="18"/>
              </w:rPr>
              <w:t>董事长，公司董事长汪方怀在最近</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个月内曾担任其法定代 表人兼董事长</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上海中泰鑫隆投资有限公司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和融浙联的董事王政担任法定代表人兼董事长</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江苏华功半导体有限公司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关联方华功半导体产业发展有限公司控制的企业</w:t>
            </w:r>
          </w:p>
        </w:tc>
      </w:tr>
      <w:tr>
        <w:trPr>
          <w:trHeight w:val="63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上海蓥石汽车技术有限公司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1"/>
              <w:jc w:val="left"/>
              <w:rPr>
                <w:rFonts w:ascii="宋体" w:hAnsi="宋体" w:cs="宋体" w:eastAsia="宋体" w:hint="default"/>
                <w:sz w:val="18"/>
                <w:szCs w:val="18"/>
              </w:rPr>
            </w:pPr>
            <w:r>
              <w:rPr>
                <w:rFonts w:ascii="宋体" w:hAnsi="宋体" w:cs="宋体" w:eastAsia="宋体" w:hint="default"/>
                <w:sz w:val="18"/>
                <w:szCs w:val="18"/>
              </w:rPr>
              <w:t>和融浙联的法定代表人兼董事长芮群伟担任其法定代表人兼 董事长</w:t>
            </w:r>
          </w:p>
        </w:tc>
      </w:tr>
      <w:tr>
        <w:trPr>
          <w:trHeight w:val="323" w:hRule="exact"/>
        </w:trPr>
        <w:tc>
          <w:tcPr>
            <w:tcW w:w="478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0"/>
              <w:ind w:left="22" w:right="-44"/>
              <w:jc w:val="left"/>
              <w:rPr>
                <w:rFonts w:ascii="宋体" w:hAnsi="宋体" w:cs="宋体" w:eastAsia="宋体" w:hint="default"/>
                <w:sz w:val="18"/>
                <w:szCs w:val="18"/>
              </w:rPr>
            </w:pPr>
            <w:r>
              <w:rPr>
                <w:rFonts w:ascii="宋体" w:hAnsi="宋体" w:cs="宋体" w:eastAsia="宋体" w:hint="default"/>
                <w:spacing w:val="-3"/>
                <w:sz w:val="18"/>
                <w:szCs w:val="18"/>
              </w:rPr>
              <w:t>中影国广（北京）文化科技有限公司（以下简称</w:t>
            </w:r>
            <w:r>
              <w:rPr>
                <w:rFonts w:ascii="宋体" w:hAnsi="宋体" w:cs="宋体" w:eastAsia="宋体" w:hint="default"/>
                <w:spacing w:val="-3"/>
                <w:sz w:val="18"/>
                <w:szCs w:val="18"/>
              </w:rPr>
              <w:t>"</w:t>
            </w:r>
            <w:r>
              <w:rPr>
                <w:rFonts w:ascii="宋体" w:hAnsi="宋体" w:cs="宋体" w:eastAsia="宋体" w:hint="default"/>
                <w:spacing w:val="-3"/>
                <w:sz w:val="18"/>
                <w:szCs w:val="18"/>
              </w:rPr>
              <w:t>中影国广</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r>
          </w:p>
        </w:tc>
        <w:tc>
          <w:tcPr>
            <w:tcW w:w="478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pict>
          <v:group style="position:absolute;margin-left:297.220001pt;margin-top:-28.706339pt;width:236.55pt;height:15.6pt;mso-position-horizontal-relative:page;mso-position-vertical-relative:paragraph;z-index:-1490968" coordorigin="5944,-574" coordsize="4731,312">
            <v:shape style="position:absolute;left:5944;top:-574;width:4731;height:312" coordorigin="5944,-574" coordsize="4731,312" path="m5944,-262l10675,-262,10675,-574,5944,-574,5944,-262xe" filled="true" fillcolor="#ffffff" stroked="false">
              <v:path arrowok="t"/>
              <v:fill type="solid"/>
            </v:shape>
            <w10:wrap type="none"/>
          </v:group>
        </w:pict>
      </w:r>
      <w:bookmarkStart w:name="5、关联交易情况" w:id="368"/>
      <w:bookmarkEnd w:id="368"/>
      <w:r>
        <w:rPr>
          <w:b w:val="0"/>
          <w:bCs w:val="0"/>
        </w:rPr>
      </w:r>
      <w:r>
        <w:rPr>
          <w:rFonts w:ascii="宋体" w:hAnsi="宋体" w:cs="宋体" w:eastAsia="宋体" w:hint="default"/>
        </w:rPr>
        <w:t>5</w:t>
      </w:r>
      <w:r>
        <w:rPr/>
        <w:t>、关联交易情况</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0"/>
        <w:jc w:val="left"/>
        <w:rPr>
          <w:b w:val="0"/>
          <w:bCs w:val="0"/>
        </w:rPr>
      </w:pPr>
      <w:bookmarkStart w:name="（1）购销商品、提供和接受劳务的关联交易" w:id="369"/>
      <w:bookmarkEnd w:id="369"/>
      <w:r>
        <w:rPr>
          <w:b w:val="0"/>
          <w:bCs w:val="0"/>
        </w:rPr>
      </w:r>
      <w:r>
        <w:rPr/>
        <w:t>（</w:t>
      </w:r>
      <w:r>
        <w:rPr>
          <w:rFonts w:ascii="宋体" w:hAnsi="宋体" w:cs="宋体" w:eastAsia="宋体" w:hint="default"/>
        </w:rPr>
        <w:t>1</w:t>
      </w:r>
      <w:r>
        <w:rPr/>
        <w:t>）购销商品、提供和接受劳务的关联交易</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877" w:footer="979" w:top="1100" w:bottom="1160" w:left="980" w:right="0"/>
        </w:sectPr>
      </w:pPr>
    </w:p>
    <w:p>
      <w:pPr>
        <w:pStyle w:val="BodyText"/>
        <w:spacing w:line="240" w:lineRule="auto" w:before="35"/>
        <w:ind w:right="-9"/>
        <w:jc w:val="left"/>
      </w:pPr>
      <w:r>
        <w:rPr>
          <w:spacing w:val="-1"/>
        </w:rPr>
        <w:t>采购商品</w:t>
      </w:r>
      <w:r>
        <w:rPr>
          <w:rFonts w:ascii="宋体" w:hAnsi="宋体" w:cs="宋体" w:eastAsia="宋体" w:hint="default"/>
          <w:spacing w:val="-1"/>
        </w:rPr>
        <w:t>/</w:t>
      </w:r>
      <w:r>
        <w:rPr>
          <w:spacing w:val="-1"/>
        </w:rPr>
        <w:t>接受劳务情况表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before="151"/>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69" w:space="6260"/>
            <w:col w:w="2101"/>
          </w:cols>
        </w:sectPr>
      </w:pP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32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国广控股</w:t>
            </w:r>
            <w:r>
              <w:rPr>
                <w:rFonts w:ascii="宋体" w:hAnsi="宋体" w:cs="宋体" w:eastAsia="宋体" w:hint="default"/>
                <w:sz w:val="18"/>
                <w:szCs w:val="18"/>
              </w:rPr>
              <w:t>*1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代理成本</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0" w:right="0"/>
              <w:jc w:val="left"/>
              <w:rPr>
                <w:rFonts w:ascii="宋体" w:hAnsi="宋体" w:cs="宋体" w:eastAsia="宋体" w:hint="default"/>
                <w:sz w:val="18"/>
                <w:szCs w:val="18"/>
              </w:rPr>
            </w:pPr>
            <w:r>
              <w:rPr>
                <w:rFonts w:ascii="宋体"/>
                <w:sz w:val="18"/>
              </w:rPr>
              <w:t>42,452,830.32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42,452,830.31</w:t>
            </w:r>
          </w:p>
        </w:tc>
      </w:tr>
      <w:tr>
        <w:trPr>
          <w:trHeight w:val="32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国视北京</w:t>
            </w:r>
            <w:r>
              <w:rPr>
                <w:rFonts w:ascii="宋体" w:hAnsi="宋体" w:cs="宋体" w:eastAsia="宋体" w:hint="default"/>
                <w:sz w:val="18"/>
                <w:szCs w:val="18"/>
              </w:rPr>
              <w:t>*2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审核服务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宋体"/>
                <w:sz w:val="18"/>
              </w:rPr>
              <w:t>2,637,622.57</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10,344,552.79</w:t>
            </w:r>
          </w:p>
        </w:tc>
      </w:tr>
      <w:tr>
        <w:trPr>
          <w:trHeight w:val="32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国广频点</w:t>
            </w:r>
            <w:r>
              <w:rPr>
                <w:rFonts w:ascii="宋体" w:hAnsi="宋体" w:cs="宋体" w:eastAsia="宋体" w:hint="default"/>
                <w:sz w:val="18"/>
                <w:szCs w:val="18"/>
              </w:rPr>
              <w:t>*3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频点落地服务费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0" w:right="0"/>
              <w:jc w:val="left"/>
              <w:rPr>
                <w:rFonts w:ascii="宋体" w:hAnsi="宋体" w:cs="宋体" w:eastAsia="宋体" w:hint="default"/>
                <w:sz w:val="18"/>
                <w:szCs w:val="18"/>
              </w:rPr>
            </w:pPr>
            <w:r>
              <w:rPr>
                <w:rFonts w:ascii="宋体"/>
                <w:sz w:val="18"/>
              </w:rPr>
              <w:t>14,351,886.79</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8,207,547.19</w:t>
            </w:r>
          </w:p>
        </w:tc>
      </w:tr>
      <w:tr>
        <w:trPr>
          <w:trHeight w:val="323"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咨询策划服务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40" w:right="0"/>
              <w:jc w:val="left"/>
              <w:rPr>
                <w:rFonts w:ascii="宋体" w:hAnsi="宋体" w:cs="宋体" w:eastAsia="宋体" w:hint="default"/>
                <w:sz w:val="18"/>
                <w:szCs w:val="18"/>
              </w:rPr>
            </w:pPr>
            <w:r>
              <w:rPr>
                <w:rFonts w:ascii="宋体"/>
                <w:sz w:val="18"/>
              </w:rPr>
              <w:t>5,062,264.13</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6,729,245.10</w:t>
            </w:r>
          </w:p>
        </w:tc>
      </w:tr>
      <w:tr>
        <w:trPr>
          <w:trHeight w:val="32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大连闻音</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宋体"/>
                <w:sz w:val="18"/>
              </w:rPr>
              <w:t>7,308,420.45</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10" w:h="16840"/>
          <w:pgMar w:top="1060" w:bottom="1160" w:left="980" w:right="0"/>
        </w:sectPr>
      </w:pPr>
    </w:p>
    <w:p>
      <w:pPr>
        <w:pStyle w:val="BodyText"/>
        <w:spacing w:line="240" w:lineRule="auto" w:before="35"/>
        <w:ind w:right="-9"/>
        <w:jc w:val="left"/>
      </w:pPr>
      <w:r>
        <w:rPr>
          <w:spacing w:val="-1"/>
        </w:rPr>
        <w:t>出售商品</w:t>
      </w:r>
      <w:r>
        <w:rPr>
          <w:rFonts w:ascii="宋体" w:hAnsi="宋体" w:cs="宋体" w:eastAsia="宋体" w:hint="default"/>
          <w:spacing w:val="-1"/>
        </w:rPr>
        <w:t>/</w:t>
      </w:r>
      <w:r>
        <w:rPr>
          <w:spacing w:val="-1"/>
        </w:rPr>
        <w:t>提供劳务情况表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before="152"/>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69" w:space="6260"/>
            <w:col w:w="2101"/>
          </w:cols>
        </w:sectPr>
      </w:pP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32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国视北京</w:t>
            </w:r>
            <w:r>
              <w:rPr>
                <w:rFonts w:ascii="宋体" w:hAnsi="宋体" w:cs="宋体" w:eastAsia="宋体" w:hint="default"/>
                <w:sz w:val="18"/>
                <w:szCs w:val="18"/>
              </w:rPr>
              <w:t>*2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4,903.79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26,629,803.92</w:t>
            </w:r>
          </w:p>
        </w:tc>
      </w:tr>
      <w:tr>
        <w:trPr>
          <w:trHeight w:val="32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2,303,311.32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2,459,133.01</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购销商品、提供和接受劳务的关联交易说明</w:t>
      </w:r>
    </w:p>
    <w:p>
      <w:pPr>
        <w:spacing w:line="240" w:lineRule="auto" w:before="9"/>
        <w:rPr>
          <w:rFonts w:ascii="宋体" w:hAnsi="宋体" w:cs="宋体" w:eastAsia="宋体" w:hint="default"/>
          <w:sz w:val="15"/>
          <w:szCs w:val="15"/>
        </w:rPr>
      </w:pPr>
    </w:p>
    <w:p>
      <w:pPr>
        <w:pStyle w:val="BodyText"/>
        <w:spacing w:line="420" w:lineRule="auto"/>
        <w:ind w:right="1130" w:firstLine="420"/>
        <w:jc w:val="both"/>
      </w:pPr>
      <w:r>
        <w:rPr>
          <w:rFonts w:ascii="宋体" w:hAnsi="宋体" w:cs="宋体" w:eastAsia="宋体" w:hint="default"/>
        </w:rPr>
        <w:t>*1</w:t>
      </w:r>
      <w:r>
        <w:rPr>
          <w:rFonts w:ascii="宋体" w:hAnsi="宋体" w:cs="宋体" w:eastAsia="宋体" w:hint="default"/>
          <w:spacing w:val="-27"/>
        </w:rPr>
        <w:t> </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22</w:t>
      </w:r>
      <w:r>
        <w:rPr/>
        <w:t>日，国广光荣与国广控股签订了经营业务授权协议，授权期限为</w:t>
      </w:r>
      <w:r>
        <w:rPr>
          <w:rFonts w:ascii="宋体" w:hAnsi="宋体" w:cs="宋体" w:eastAsia="宋体" w:hint="default"/>
        </w:rPr>
        <w:t>30</w:t>
      </w:r>
      <w:r>
        <w:rPr/>
        <w:t>年，从</w:t>
      </w:r>
      <w:r>
        <w:rPr>
          <w:rFonts w:ascii="宋体" w:hAnsi="宋体" w:cs="宋体" w:eastAsia="宋体" w:hint="default"/>
        </w:rPr>
        <w:t>2011</w:t>
      </w:r>
      <w:r>
        <w:rPr/>
        <w:t>年</w:t>
      </w:r>
      <w:r>
        <w:rPr>
          <w:rFonts w:ascii="宋体" w:hAnsi="宋体" w:cs="宋体" w:eastAsia="宋体" w:hint="default"/>
        </w:rPr>
        <w:t>1</w:t>
      </w:r>
      <w:r>
        <w:rPr/>
        <w:t>月 </w:t>
      </w:r>
      <w:r>
        <w:rPr>
          <w:rFonts w:ascii="宋体" w:hAnsi="宋体" w:cs="宋体" w:eastAsia="宋体" w:hint="default"/>
          <w:spacing w:val="-1"/>
        </w:rPr>
        <w:t>1</w:t>
      </w:r>
      <w:r>
        <w:rPr>
          <w:spacing w:val="-1"/>
        </w:rPr>
        <w:t>日到</w:t>
      </w:r>
      <w:r>
        <w:rPr>
          <w:rFonts w:ascii="宋体" w:hAnsi="宋体" w:cs="宋体" w:eastAsia="宋体" w:hint="default"/>
          <w:spacing w:val="-1"/>
        </w:rPr>
        <w:t>2040</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日止。国广光荣每年需支付业务收入的</w:t>
      </w:r>
      <w:r>
        <w:rPr>
          <w:rFonts w:ascii="宋体" w:hAnsi="宋体" w:cs="宋体" w:eastAsia="宋体" w:hint="default"/>
          <w:spacing w:val="-1"/>
        </w:rPr>
        <w:t>33%</w:t>
      </w:r>
      <w:r>
        <w:rPr>
          <w:spacing w:val="-1"/>
        </w:rPr>
        <w:t>作为授权广告费用，且不得低于</w:t>
      </w:r>
      <w:r>
        <w:rPr>
          <w:rFonts w:ascii="宋体" w:hAnsi="宋体" w:cs="宋体" w:eastAsia="宋体" w:hint="default"/>
          <w:spacing w:val="-1"/>
        </w:rPr>
        <w:t>4,500.00</w:t>
      </w:r>
      <w:r>
        <w:rPr>
          <w:spacing w:val="-1"/>
        </w:rPr>
        <w:t>万</w:t>
      </w:r>
      <w:r>
        <w:rPr>
          <w:spacing w:val="-78"/>
        </w:rPr>
        <w:t> </w:t>
      </w:r>
      <w:r>
        <w:rPr/>
        <w:t>元（含税）。</w:t>
      </w:r>
    </w:p>
    <w:p>
      <w:pPr>
        <w:pStyle w:val="BodyText"/>
        <w:spacing w:line="420" w:lineRule="auto" w:before="47"/>
        <w:ind w:right="0" w:firstLine="420"/>
        <w:jc w:val="left"/>
      </w:pPr>
      <w:r>
        <w:rPr>
          <w:rFonts w:ascii="宋体" w:hAnsi="宋体" w:cs="宋体" w:eastAsia="宋体" w:hint="default"/>
        </w:rPr>
        <w:t>*2</w:t>
      </w:r>
      <w:r>
        <w:rPr>
          <w:rFonts w:ascii="宋体" w:hAnsi="宋体" w:cs="宋体" w:eastAsia="宋体" w:hint="default"/>
          <w:spacing w:val="-3"/>
        </w:rPr>
        <w:t> </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日，国视上海与国视北京签订了《运营管理服务协议》，合作有效期自</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 </w:t>
      </w:r>
      <w:r>
        <w:rPr>
          <w:spacing w:val="-1"/>
        </w:rPr>
        <w:t>至</w:t>
      </w:r>
      <w:r>
        <w:rPr>
          <w:rFonts w:ascii="宋体" w:hAnsi="宋体" w:cs="宋体" w:eastAsia="宋体" w:hint="default"/>
          <w:spacing w:val="-1"/>
        </w:rPr>
        <w:t>2043</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日。国视上海每年按约定比例向国视北京支付内容审核及管理等费用。国视北京内容审核</w:t>
      </w:r>
      <w:r>
        <w:rPr>
          <w:spacing w:val="-81"/>
        </w:rPr>
        <w:t> </w:t>
      </w:r>
      <w:r>
        <w:rPr>
          <w:spacing w:val="-81"/>
        </w:rPr>
      </w:r>
      <w:r>
        <w:rPr>
          <w:spacing w:val="-1"/>
        </w:rPr>
        <w:t>及管理等费用＝经国视北京审核后产生的全部信息费×</w:t>
      </w:r>
      <w:r>
        <w:rPr>
          <w:rFonts w:ascii="宋体" w:hAnsi="宋体" w:cs="宋体" w:eastAsia="宋体" w:hint="default"/>
          <w:spacing w:val="-1"/>
        </w:rPr>
        <w:t>2%</w:t>
      </w:r>
      <w:r>
        <w:rPr>
          <w:spacing w:val="-1"/>
        </w:rPr>
        <w:t>，每年度，若按照上述公式计算的国视北京内容</w:t>
      </w:r>
      <w:r>
        <w:rPr>
          <w:spacing w:val="-81"/>
        </w:rPr>
        <w:t> </w:t>
      </w:r>
      <w:r>
        <w:rPr>
          <w:spacing w:val="-81"/>
        </w:rPr>
      </w:r>
      <w:r>
        <w:rPr/>
        <w:t>审核及管理等费用当年累计低于</w:t>
      </w:r>
      <w:r>
        <w:rPr>
          <w:rFonts w:ascii="宋体" w:hAnsi="宋体" w:cs="宋体" w:eastAsia="宋体" w:hint="default"/>
        </w:rPr>
        <w:t>960.00</w:t>
      </w:r>
      <w:r>
        <w:rPr/>
        <w:t>万元的</w:t>
      </w:r>
      <w:r>
        <w:rPr>
          <w:rFonts w:ascii="宋体" w:hAnsi="宋体" w:cs="宋体" w:eastAsia="宋体" w:hint="default"/>
        </w:rPr>
        <w:t>,</w:t>
      </w:r>
      <w:r>
        <w:rPr>
          <w:rFonts w:ascii="宋体" w:hAnsi="宋体" w:cs="宋体" w:eastAsia="宋体" w:hint="default"/>
          <w:spacing w:val="-3"/>
        </w:rPr>
        <w:t> </w:t>
      </w:r>
      <w:r>
        <w:rPr/>
        <w:t>差额部分在年终一次性冲减国视上海当年</w:t>
      </w:r>
      <w:r>
        <w:rPr>
          <w:rFonts w:ascii="宋体" w:hAnsi="宋体" w:cs="宋体" w:eastAsia="宋体" w:hint="default"/>
        </w:rPr>
        <w:t>12</w:t>
      </w:r>
      <w:r>
        <w:rPr/>
        <w:t>月份应收取 的运营管理服务费用，直至国视上海当年</w:t>
      </w:r>
      <w:r>
        <w:rPr>
          <w:rFonts w:ascii="宋体" w:hAnsi="宋体" w:cs="宋体" w:eastAsia="宋体" w:hint="default"/>
        </w:rPr>
        <w:t>12</w:t>
      </w:r>
      <w:r>
        <w:rPr/>
        <w:t>月份运营管理服务费用为零为止。</w:t>
      </w:r>
    </w:p>
    <w:p>
      <w:pPr>
        <w:pStyle w:val="BodyText"/>
        <w:spacing w:line="420" w:lineRule="auto" w:before="47"/>
        <w:ind w:right="0" w:firstLine="420"/>
        <w:jc w:val="left"/>
      </w:pPr>
      <w:r>
        <w:rPr>
          <w:rFonts w:ascii="宋体" w:hAnsi="宋体" w:cs="宋体" w:eastAsia="宋体" w:hint="default"/>
          <w:spacing w:val="-1"/>
        </w:rPr>
        <w:t>*3</w:t>
      </w:r>
      <w:r>
        <w:rPr>
          <w:spacing w:val="-1"/>
        </w:rPr>
        <w:t>国广控股、国广光荣和国广频点三方于</w:t>
      </w:r>
      <w:r>
        <w:rPr>
          <w:rFonts w:ascii="宋体" w:hAnsi="宋体" w:cs="宋体" w:eastAsia="宋体" w:hint="default"/>
          <w:spacing w:val="-1"/>
        </w:rPr>
        <w:t>2016</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27</w:t>
      </w:r>
      <w:r>
        <w:rPr>
          <w:spacing w:val="-1"/>
        </w:rPr>
        <w:t>日签订了《经营业务授权协议》之补充协议三：</w:t>
      </w:r>
      <w:r>
        <w:rPr/>
        <w:t> 协议约定，国广频点作为国广控股的下属控股子公司，国广控股指定国广频点实施开展商业落地频率或商 业或作频率的专业广播频率落地工作，并享有该商业落地频率的独家广告代理权，国广频点依据《经营业 务授权协议》及其补充协议的约定，国广频点拟将其已获得的节目合作频率的独家广告代理权交付给国广 光荣经营，合作期限自</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2024</w:t>
      </w:r>
      <w:r>
        <w:rPr/>
        <w:t>年</w:t>
      </w:r>
      <w:r>
        <w:rPr>
          <w:rFonts w:ascii="宋体" w:hAnsi="宋体" w:cs="宋体" w:eastAsia="宋体" w:hint="default"/>
        </w:rPr>
        <w:t>12</w:t>
      </w:r>
      <w:r>
        <w:rPr/>
        <w:t>月</w:t>
      </w:r>
      <w:r>
        <w:rPr>
          <w:rFonts w:ascii="宋体" w:hAnsi="宋体" w:cs="宋体" w:eastAsia="宋体" w:hint="default"/>
        </w:rPr>
        <w:t>31</w:t>
      </w:r>
      <w:r>
        <w:rPr/>
        <w:t>日止，按照协议约定</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 的广告代理费总额为</w:t>
      </w:r>
      <w:r>
        <w:rPr>
          <w:rFonts w:ascii="宋体" w:hAnsi="宋体" w:cs="宋体" w:eastAsia="宋体" w:hint="default"/>
        </w:rPr>
        <w:t>2880</w:t>
      </w:r>
      <w:r>
        <w:rPr/>
        <w:t>万元，（其中</w:t>
      </w:r>
      <w:r>
        <w:rPr>
          <w:rFonts w:ascii="宋体" w:hAnsi="宋体" w:cs="宋体" w:eastAsia="宋体" w:hint="default"/>
        </w:rPr>
        <w:t>2016</w:t>
      </w:r>
      <w:r>
        <w:rPr/>
        <w:t>年</w:t>
      </w:r>
      <w:r>
        <w:rPr>
          <w:rFonts w:ascii="宋体" w:hAnsi="宋体" w:cs="宋体" w:eastAsia="宋体" w:hint="default"/>
        </w:rPr>
        <w:t>570</w:t>
      </w:r>
      <w:r>
        <w:rPr/>
        <w:t>万元，</w:t>
      </w:r>
      <w:r>
        <w:rPr>
          <w:rFonts w:ascii="宋体" w:hAnsi="宋体" w:cs="宋体" w:eastAsia="宋体" w:hint="default"/>
        </w:rPr>
        <w:t>2017</w:t>
      </w:r>
      <w:r>
        <w:rPr/>
        <w:t>年</w:t>
      </w:r>
      <w:r>
        <w:rPr>
          <w:rFonts w:ascii="宋体" w:hAnsi="宋体" w:cs="宋体" w:eastAsia="宋体" w:hint="default"/>
        </w:rPr>
        <w:t>870</w:t>
      </w:r>
      <w:r>
        <w:rPr/>
        <w:t>万元，</w:t>
      </w:r>
      <w:r>
        <w:rPr>
          <w:rFonts w:ascii="宋体" w:hAnsi="宋体" w:cs="宋体" w:eastAsia="宋体" w:hint="default"/>
        </w:rPr>
        <w:t>2018</w:t>
      </w:r>
      <w:r>
        <w:rPr/>
        <w:t>年</w:t>
      </w:r>
      <w:r>
        <w:rPr>
          <w:rFonts w:ascii="宋体" w:hAnsi="宋体" w:cs="宋体" w:eastAsia="宋体" w:hint="default"/>
        </w:rPr>
        <w:t>1440</w:t>
      </w:r>
      <w:r>
        <w:rPr/>
        <w:t>万元；</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 后，广告代理费根据实际情况由各方协商确定。</w:t>
      </w:r>
    </w:p>
    <w:p>
      <w:pPr>
        <w:spacing w:line="240" w:lineRule="auto" w:before="12"/>
        <w:rPr>
          <w:rFonts w:ascii="宋体" w:hAnsi="宋体" w:cs="宋体" w:eastAsia="宋体" w:hint="default"/>
          <w:sz w:val="14"/>
          <w:szCs w:val="14"/>
        </w:rPr>
      </w:pPr>
    </w:p>
    <w:p>
      <w:pPr>
        <w:pStyle w:val="Heading4"/>
        <w:spacing w:line="240" w:lineRule="auto"/>
        <w:ind w:right="0"/>
        <w:jc w:val="left"/>
        <w:rPr>
          <w:b w:val="0"/>
          <w:bCs w:val="0"/>
        </w:rPr>
      </w:pPr>
      <w:bookmarkStart w:name="（2）关联租赁情况" w:id="370"/>
      <w:bookmarkEnd w:id="370"/>
      <w:r>
        <w:rPr>
          <w:b w:val="0"/>
          <w:bCs w:val="0"/>
        </w:rPr>
      </w:r>
      <w:r>
        <w:rPr/>
        <w:t>（</w:t>
      </w:r>
      <w:r>
        <w:rPr>
          <w:rFonts w:ascii="宋体" w:hAnsi="宋体" w:cs="宋体" w:eastAsia="宋体" w:hint="default"/>
        </w:rPr>
        <w:t>2</w:t>
      </w:r>
      <w:r>
        <w:rPr/>
        <w:t>）关联租赁情况</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877" w:footer="979" w:top="1100" w:bottom="1160" w:left="980" w:right="0"/>
        </w:sectPr>
      </w:pPr>
    </w:p>
    <w:p>
      <w:pPr>
        <w:pStyle w:val="BodyText"/>
        <w:spacing w:line="240" w:lineRule="auto" w:before="35"/>
        <w:ind w:right="-20"/>
        <w:jc w:val="left"/>
      </w:pPr>
      <w:r>
        <w:rPr/>
        <w:t>本公司作为出租方：</w:t>
      </w:r>
    </w:p>
    <w:p>
      <w:pPr>
        <w:spacing w:line="240" w:lineRule="auto" w:before="0"/>
        <w:rPr>
          <w:rFonts w:ascii="宋体" w:hAnsi="宋体" w:cs="宋体" w:eastAsia="宋体" w:hint="default"/>
          <w:sz w:val="18"/>
          <w:szCs w:val="18"/>
        </w:rPr>
      </w:pPr>
      <w:r>
        <w:rPr/>
        <w:br w:type="column"/>
      </w:r>
      <w:r>
        <w:rPr>
          <w:rFonts w:ascii="宋体"/>
          <w:sz w:val="18"/>
        </w:rPr>
      </w:r>
    </w:p>
    <w:p>
      <w:pPr>
        <w:spacing w:before="151"/>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045" w:space="6785"/>
            <w:col w:w="2100"/>
          </w:cols>
        </w:sectPr>
      </w:pP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32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32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国文管理公司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2,045,041.13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628,944.32</w:t>
            </w: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国广资产</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2,045,041.13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287,126.75</w:t>
            </w: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中影国广</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73,560.53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147,121.07</w:t>
            </w:r>
          </w:p>
        </w:tc>
      </w:tr>
      <w:tr>
        <w:trPr>
          <w:trHeight w:val="32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841,503.52</w:t>
            </w:r>
          </w:p>
        </w:tc>
      </w:tr>
      <w:tr>
        <w:trPr>
          <w:trHeight w:val="32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992,589.72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982,219.44</w:t>
            </w:r>
          </w:p>
        </w:tc>
      </w:tr>
    </w:tbl>
    <w:p>
      <w:pPr>
        <w:spacing w:line="240" w:lineRule="auto" w:before="7"/>
        <w:rPr>
          <w:rFonts w:ascii="宋体" w:hAnsi="宋体" w:cs="宋体" w:eastAsia="宋体" w:hint="default"/>
          <w:sz w:val="14"/>
          <w:szCs w:val="14"/>
        </w:rPr>
      </w:pPr>
    </w:p>
    <w:p>
      <w:pPr>
        <w:pStyle w:val="Heading4"/>
        <w:spacing w:line="240" w:lineRule="auto" w:before="35"/>
        <w:ind w:right="0"/>
        <w:jc w:val="left"/>
        <w:rPr>
          <w:b w:val="0"/>
          <w:bCs w:val="0"/>
        </w:rPr>
      </w:pPr>
      <w:bookmarkStart w:name="（3） 关联方资金拆借" w:id="371"/>
      <w:bookmarkEnd w:id="371"/>
      <w:r>
        <w:rPr>
          <w:b w:val="0"/>
          <w:bCs w:val="0"/>
        </w:rPr>
      </w:r>
      <w:r>
        <w:rPr/>
        <w:t>（</w:t>
      </w:r>
      <w:r>
        <w:rPr>
          <w:rFonts w:ascii="宋体" w:hAnsi="宋体" w:cs="宋体" w:eastAsia="宋体" w:hint="default"/>
        </w:rPr>
        <w:t>3</w:t>
      </w:r>
      <w:r>
        <w:rPr/>
        <w:t>）</w:t>
      </w:r>
      <w:r>
        <w:rPr>
          <w:spacing w:val="-3"/>
        </w:rPr>
        <w:t> </w:t>
      </w:r>
      <w:r>
        <w:rPr/>
        <w:t>关联方资金拆借</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9"/>
        <w:ind w:left="574" w:right="0"/>
        <w:jc w:val="left"/>
      </w:pPr>
      <w:r>
        <w:rPr>
          <w:rFonts w:ascii="宋体" w:hAnsi="宋体" w:cs="宋体" w:eastAsia="宋体" w:hint="default"/>
        </w:rPr>
        <w:t>2018</w:t>
      </w:r>
      <w:r>
        <w:rPr/>
        <w:t>年向关联方拆入资金情况：根据借款合同约定，本公司之子公司车音智能向拉萨鼎金拆入资金</w:t>
      </w:r>
    </w:p>
    <w:p>
      <w:pPr>
        <w:spacing w:line="240" w:lineRule="auto" w:before="9"/>
        <w:rPr>
          <w:rFonts w:ascii="宋体" w:hAnsi="宋体" w:cs="宋体" w:eastAsia="宋体" w:hint="default"/>
          <w:sz w:val="15"/>
          <w:szCs w:val="15"/>
        </w:rPr>
      </w:pPr>
    </w:p>
    <w:p>
      <w:pPr>
        <w:pStyle w:val="BodyText"/>
        <w:spacing w:line="420" w:lineRule="auto"/>
        <w:ind w:right="1197"/>
        <w:jc w:val="left"/>
      </w:pPr>
      <w:r>
        <w:rPr>
          <w:rFonts w:ascii="宋体" w:hAnsi="宋体" w:cs="宋体" w:eastAsia="宋体" w:hint="default"/>
        </w:rPr>
        <w:t>198,700,000.00</w:t>
      </w:r>
      <w:r>
        <w:rPr/>
        <w:t>元，用于流动资产周转，按年化利率</w:t>
      </w:r>
      <w:r>
        <w:rPr>
          <w:rFonts w:ascii="宋体" w:hAnsi="宋体" w:cs="宋体" w:eastAsia="宋体" w:hint="default"/>
        </w:rPr>
        <w:t>4.35%</w:t>
      </w:r>
      <w:r>
        <w:rPr/>
        <w:t>支付利息，且对拉萨鼎金的拆入资金款项逾期 按照每日</w:t>
      </w:r>
      <w:r>
        <w:rPr>
          <w:rFonts w:ascii="宋体" w:hAnsi="宋体" w:cs="宋体" w:eastAsia="宋体" w:hint="default"/>
        </w:rPr>
        <w:t>0.08%</w:t>
      </w:r>
      <w:r>
        <w:rPr/>
        <w:t>逾期利率计息。</w:t>
      </w:r>
    </w:p>
    <w:p>
      <w:pPr>
        <w:spacing w:after="0" w:line="420" w:lineRule="auto"/>
        <w:jc w:val="left"/>
        <w:sectPr>
          <w:type w:val="continuous"/>
          <w:pgSz w:w="11910" w:h="16840"/>
          <w:pgMar w:top="106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4）关键管理人员报酬" w:id="372"/>
      <w:bookmarkEnd w:id="372"/>
      <w:r>
        <w:rPr>
          <w:b w:val="0"/>
          <w:bCs w:val="0"/>
        </w:rPr>
      </w:r>
      <w:r>
        <w:rPr/>
        <w:t>（</w:t>
      </w:r>
      <w:r>
        <w:rPr>
          <w:rFonts w:ascii="宋体" w:hAnsi="宋体" w:cs="宋体" w:eastAsia="宋体" w:hint="default"/>
        </w:rPr>
        <w:t>4</w:t>
      </w:r>
      <w:r>
        <w:rPr/>
        <w:t>）关键管理人员报酬</w:t>
      </w:r>
      <w:r>
        <w:rPr>
          <w:b w:val="0"/>
          <w:bCs w:val="0"/>
        </w:rPr>
      </w:r>
    </w:p>
    <w:p>
      <w:pPr>
        <w:spacing w:line="240" w:lineRule="auto" w:before="10"/>
        <w:rPr>
          <w:rFonts w:ascii="宋体" w:hAnsi="宋体" w:cs="宋体" w:eastAsia="宋体" w:hint="default"/>
          <w:b/>
          <w:bCs/>
          <w:sz w:val="19"/>
          <w:szCs w:val="1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987" w:right="0"/>
              <w:jc w:val="left"/>
              <w:rPr>
                <w:rFonts w:ascii="宋体" w:hAnsi="宋体" w:cs="宋体" w:eastAsia="宋体" w:hint="default"/>
                <w:sz w:val="18"/>
                <w:szCs w:val="18"/>
              </w:rPr>
            </w:pPr>
            <w:r>
              <w:rPr>
                <w:rFonts w:ascii="宋体"/>
                <w:sz w:val="18"/>
              </w:rPr>
              <w:t>15,395,814.17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988" w:right="0"/>
              <w:jc w:val="left"/>
              <w:rPr>
                <w:rFonts w:ascii="宋体" w:hAnsi="宋体" w:cs="宋体" w:eastAsia="宋体" w:hint="default"/>
                <w:sz w:val="18"/>
                <w:szCs w:val="18"/>
              </w:rPr>
            </w:pPr>
            <w:r>
              <w:rPr>
                <w:rFonts w:ascii="宋体"/>
                <w:sz w:val="18"/>
              </w:rPr>
              <w:t>16,783,766.19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其他关联交易" w:id="373"/>
      <w:bookmarkEnd w:id="373"/>
      <w:r>
        <w:rPr>
          <w:b w:val="0"/>
          <w:bCs w:val="0"/>
        </w:rPr>
      </w:r>
      <w:r>
        <w:rPr/>
        <w:t>（</w:t>
      </w:r>
      <w:r>
        <w:rPr>
          <w:rFonts w:ascii="宋体" w:hAnsi="宋体" w:cs="宋体" w:eastAsia="宋体" w:hint="default"/>
        </w:rPr>
        <w:t>5</w:t>
      </w:r>
      <w:r>
        <w:rPr/>
        <w:t>）其他关联交易</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1116" w:firstLine="420"/>
        <w:jc w:val="left"/>
      </w:pPr>
      <w:r>
        <w:rPr/>
        <w:t>①</w:t>
      </w:r>
      <w:r>
        <w:rPr>
          <w:spacing w:val="-2"/>
        </w:rPr>
        <w:t> </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10</w:t>
      </w:r>
      <w:r>
        <w:rPr/>
        <w:t>日，本公司与国文管理公司、国广资产在上海市签订协议，以现金方式共同投资设 立国文基金，本公司作为有限合伙人认缴出资</w:t>
      </w:r>
      <w:r>
        <w:rPr>
          <w:rFonts w:ascii="宋体" w:hAnsi="宋体" w:cs="宋体" w:eastAsia="宋体" w:hint="default"/>
        </w:rPr>
        <w:t>100,000.00</w:t>
      </w:r>
      <w:r>
        <w:rPr/>
        <w:t>万元，占总出资额的</w:t>
      </w:r>
      <w:r>
        <w:rPr>
          <w:rFonts w:ascii="宋体" w:hAnsi="宋体" w:cs="宋体" w:eastAsia="宋体" w:hint="default"/>
        </w:rPr>
        <w:t>49.975%</w:t>
      </w:r>
      <w:r>
        <w:rPr/>
        <w:t>。</w:t>
      </w:r>
      <w:r>
        <w:rPr>
          <w:rFonts w:ascii="宋体" w:hAnsi="宋体" w:cs="宋体" w:eastAsia="宋体" w:hint="default"/>
        </w:rPr>
        <w:t>2017</w:t>
      </w:r>
      <w:r>
        <w:rPr/>
        <w:t>年实际出资 </w:t>
      </w:r>
      <w:r>
        <w:rPr>
          <w:rFonts w:ascii="宋体" w:hAnsi="宋体" w:cs="宋体" w:eastAsia="宋体" w:hint="default"/>
          <w:spacing w:val="-1"/>
        </w:rPr>
        <w:t>40,000.00</w:t>
      </w:r>
      <w:r>
        <w:rPr>
          <w:spacing w:val="-1"/>
        </w:rPr>
        <w:t>万元，</w:t>
      </w:r>
      <w:r>
        <w:rPr>
          <w:rFonts w:ascii="宋体" w:hAnsi="宋体" w:cs="宋体" w:eastAsia="宋体" w:hint="default"/>
          <w:spacing w:val="-1"/>
        </w:rPr>
        <w:t>2018</w:t>
      </w:r>
      <w:r>
        <w:rPr>
          <w:spacing w:val="-1"/>
        </w:rPr>
        <w:t>年实际出资</w:t>
      </w:r>
      <w:r>
        <w:rPr>
          <w:rFonts w:ascii="宋体" w:hAnsi="宋体" w:cs="宋体" w:eastAsia="宋体" w:hint="default"/>
          <w:spacing w:val="-1"/>
        </w:rPr>
        <w:t>60,000.00</w:t>
      </w:r>
      <w:r>
        <w:rPr>
          <w:spacing w:val="-1"/>
        </w:rPr>
        <w:t>万元。截至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日，本公司已经实际出资</w:t>
      </w:r>
      <w:r>
        <w:rPr>
          <w:rFonts w:ascii="宋体" w:hAnsi="宋体" w:cs="宋体" w:eastAsia="宋体" w:hint="default"/>
          <w:spacing w:val="-1"/>
        </w:rPr>
        <w:t>100,000.00</w:t>
      </w:r>
      <w:r>
        <w:rPr>
          <w:rFonts w:ascii="宋体" w:hAnsi="宋体" w:cs="宋体" w:eastAsia="宋体" w:hint="default"/>
          <w:spacing w:val="-70"/>
        </w:rPr>
        <w:t> </w:t>
      </w:r>
      <w:r>
        <w:rPr/>
        <w:t>万元。</w:t>
      </w:r>
    </w:p>
    <w:p>
      <w:pPr>
        <w:pStyle w:val="BodyText"/>
        <w:spacing w:line="420" w:lineRule="auto" w:before="47"/>
        <w:ind w:right="1129" w:firstLine="420"/>
        <w:jc w:val="both"/>
      </w:pPr>
      <w:r>
        <w:rPr/>
        <w:t>②</w:t>
      </w:r>
      <w:r>
        <w:rPr>
          <w:spacing w:val="34"/>
        </w:rPr>
        <w:t> </w:t>
      </w:r>
      <w:r>
        <w:rPr>
          <w:spacing w:val="-4"/>
        </w:rPr>
        <w:t>本公司与国广环球传媒控股有限公司（以下简称“国广控股”）、中国广播电视网络有限公司（以</w:t>
      </w:r>
      <w:r>
        <w:rPr/>
        <w:t> </w:t>
      </w:r>
      <w:r>
        <w:rPr>
          <w:spacing w:val="-7"/>
        </w:rPr>
        <w:t>下简称“中国广电”）、国广东方网络（北京）有限公司（以下简称“国广东方”）于 </w:t>
      </w:r>
      <w:r>
        <w:rPr>
          <w:rFonts w:ascii="宋体" w:hAnsi="宋体" w:cs="宋体" w:eastAsia="宋体" w:hint="default"/>
        </w:rPr>
        <w:t>2018 </w:t>
      </w:r>
      <w:r>
        <w:rPr/>
        <w:t>年 </w:t>
      </w:r>
      <w:r>
        <w:rPr>
          <w:rFonts w:ascii="宋体" w:hAnsi="宋体" w:cs="宋体" w:eastAsia="宋体" w:hint="default"/>
        </w:rPr>
        <w:t>3 </w:t>
      </w:r>
      <w:r>
        <w:rPr/>
        <w:t>月 </w:t>
      </w:r>
      <w:r>
        <w:rPr>
          <w:rFonts w:ascii="宋体" w:hAnsi="宋体" w:cs="宋体" w:eastAsia="宋体" w:hint="default"/>
        </w:rPr>
        <w:t>1</w:t>
      </w:r>
      <w:r>
        <w:rPr>
          <w:rFonts w:ascii="宋体" w:hAnsi="宋体" w:cs="宋体" w:eastAsia="宋体" w:hint="default"/>
          <w:spacing w:val="36"/>
        </w:rPr>
        <w:t> </w:t>
      </w:r>
      <w:r>
        <w:rPr/>
        <w:t>日 </w:t>
      </w:r>
      <w:r>
        <w:rPr>
          <w:spacing w:val="-7"/>
        </w:rPr>
        <w:t>在北京市签署了《股权转让协议》，本公司以</w:t>
      </w:r>
      <w:r>
        <w:rPr>
          <w:spacing w:val="8"/>
        </w:rPr>
        <w:t> </w:t>
      </w:r>
      <w:r>
        <w:rPr>
          <w:rFonts w:ascii="宋体" w:hAnsi="宋体" w:cs="宋体" w:eastAsia="宋体" w:hint="default"/>
        </w:rPr>
        <w:t>24,985.00</w:t>
      </w:r>
      <w:r>
        <w:rPr/>
        <w:t>万元的价格向中国广电转让所持有的国广东方</w:t>
      </w:r>
      <w:r>
        <w:rPr>
          <w:rFonts w:ascii="宋体" w:hAnsi="宋体" w:cs="宋体" w:eastAsia="宋体" w:hint="default"/>
        </w:rPr>
        <w:t>19% </w:t>
      </w:r>
      <w:r>
        <w:rPr/>
        <w:t>股权（对应注册资本 </w:t>
      </w:r>
      <w:r>
        <w:rPr>
          <w:rFonts w:ascii="宋体" w:hAnsi="宋体" w:cs="宋体" w:eastAsia="宋体" w:hint="default"/>
        </w:rPr>
        <w:t>3,735.2125</w:t>
      </w:r>
      <w:r>
        <w:rPr>
          <w:rFonts w:ascii="宋体" w:hAnsi="宋体" w:cs="宋体" w:eastAsia="宋体" w:hint="default"/>
          <w:spacing w:val="-24"/>
        </w:rPr>
        <w:t> </w:t>
      </w:r>
      <w:r>
        <w:rPr/>
        <w:t>万元）。股权转让后，本公司仍持有国广东方</w:t>
      </w:r>
      <w:r>
        <w:rPr>
          <w:rFonts w:ascii="宋体" w:hAnsi="宋体" w:cs="宋体" w:eastAsia="宋体" w:hint="default"/>
        </w:rPr>
        <w:t>11.9996%</w:t>
      </w:r>
      <w:r>
        <w:rPr/>
        <w:t>股权。截至</w:t>
      </w:r>
      <w:r>
        <w:rPr>
          <w:rFonts w:ascii="宋体" w:hAnsi="宋体" w:cs="宋体" w:eastAsia="宋体" w:hint="default"/>
        </w:rPr>
        <w:t>2018 </w:t>
      </w:r>
      <w:r>
        <w:rPr/>
        <w:t>年</w:t>
      </w:r>
      <w:r>
        <w:rPr>
          <w:rFonts w:ascii="宋体" w:hAnsi="宋体" w:cs="宋体" w:eastAsia="宋体" w:hint="default"/>
        </w:rPr>
        <w:t>12</w:t>
      </w:r>
      <w:r>
        <w:rPr/>
        <w:t>月</w:t>
      </w:r>
      <w:r>
        <w:rPr>
          <w:rFonts w:ascii="宋体" w:hAnsi="宋体" w:cs="宋体" w:eastAsia="宋体" w:hint="default"/>
        </w:rPr>
        <w:t>31</w:t>
      </w:r>
      <w:r>
        <w:rPr/>
        <w:t>日，本次股权转让交易已全部完成。</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4"/>
        <w:spacing w:line="240" w:lineRule="auto"/>
        <w:ind w:right="0"/>
        <w:jc w:val="left"/>
        <w:rPr>
          <w:b w:val="0"/>
          <w:bCs w:val="0"/>
        </w:rPr>
      </w:pPr>
      <w:bookmarkStart w:name="6、关联方应收应付款项" w:id="374"/>
      <w:bookmarkEnd w:id="374"/>
      <w:r>
        <w:rPr>
          <w:b w:val="0"/>
          <w:bCs w:val="0"/>
        </w:rPr>
      </w:r>
      <w:r>
        <w:rPr>
          <w:rFonts w:ascii="宋体" w:hAnsi="宋体" w:cs="宋体" w:eastAsia="宋体" w:hint="default"/>
        </w:rPr>
        <w:t>6</w:t>
      </w:r>
      <w:r>
        <w:rPr/>
        <w:t>、关联方应收应付款项</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0"/>
        <w:jc w:val="left"/>
        <w:rPr>
          <w:b w:val="0"/>
          <w:bCs w:val="0"/>
        </w:rPr>
      </w:pPr>
      <w:bookmarkStart w:name="（1）应收项目" w:id="375"/>
      <w:bookmarkEnd w:id="375"/>
      <w:r>
        <w:rPr>
          <w:b w:val="0"/>
          <w:bCs w:val="0"/>
        </w:rPr>
      </w:r>
      <w:r>
        <w:rPr/>
        <w:t>（</w:t>
      </w:r>
      <w:r>
        <w:rPr>
          <w:rFonts w:ascii="宋体" w:hAnsi="宋体" w:cs="宋体" w:eastAsia="宋体" w:hint="default"/>
        </w:rPr>
        <w:t>1</w:t>
      </w:r>
      <w:r>
        <w:rPr/>
        <w:t>）应收项目</w:t>
      </w:r>
      <w:r>
        <w:rPr>
          <w:b w:val="0"/>
          <w:bCs w:val="0"/>
        </w:rPr>
      </w:r>
    </w:p>
    <w:p>
      <w:pPr>
        <w:spacing w:line="240" w:lineRule="auto" w:before="9"/>
        <w:rPr>
          <w:rFonts w:ascii="宋体" w:hAnsi="宋体" w:cs="宋体" w:eastAsia="宋体" w:hint="default"/>
          <w:b/>
          <w:bCs/>
          <w:sz w:val="27"/>
          <w:szCs w:val="2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2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国广频点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22,150,000.00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91" w:right="0"/>
              <w:jc w:val="left"/>
              <w:rPr>
                <w:rFonts w:ascii="宋体" w:hAnsi="宋体" w:cs="宋体" w:eastAsia="宋体" w:hint="default"/>
                <w:sz w:val="18"/>
                <w:szCs w:val="18"/>
              </w:rPr>
            </w:pPr>
            <w:r>
              <w:rPr>
                <w:rFonts w:ascii="宋体"/>
                <w:sz w:val="18"/>
              </w:rPr>
              <w:t>10,000,000.00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北京恒丰保险</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286,700.00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大连闻音</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6,383,668.08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61" w:right="0"/>
              <w:jc w:val="left"/>
              <w:rPr>
                <w:rFonts w:ascii="宋体" w:hAnsi="宋体" w:cs="宋体" w:eastAsia="宋体" w:hint="default"/>
                <w:sz w:val="18"/>
                <w:szCs w:val="18"/>
              </w:rPr>
            </w:pPr>
            <w:r>
              <w:rPr>
                <w:rFonts w:ascii="宋体"/>
                <w:sz w:val="18"/>
              </w:rPr>
              <w:t>319,183.40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90,000,000.00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1" w:right="0"/>
              <w:jc w:val="left"/>
              <w:rPr>
                <w:rFonts w:ascii="宋体" w:hAnsi="宋体" w:cs="宋体" w:eastAsia="宋体" w:hint="default"/>
                <w:sz w:val="18"/>
                <w:szCs w:val="18"/>
              </w:rPr>
            </w:pPr>
            <w:r>
              <w:rPr>
                <w:rFonts w:ascii="宋体"/>
                <w:sz w:val="18"/>
              </w:rPr>
              <w:t>90,000,000.00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国广频点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7,600,000.00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应付项目" w:id="376"/>
      <w:bookmarkEnd w:id="376"/>
      <w:r>
        <w:rPr>
          <w:b w:val="0"/>
          <w:bCs w:val="0"/>
        </w:rPr>
      </w:r>
      <w:r>
        <w:rPr/>
        <w:t>（</w:t>
      </w:r>
      <w:r>
        <w:rPr>
          <w:rFonts w:ascii="宋体" w:hAnsi="宋体" w:cs="宋体" w:eastAsia="宋体" w:hint="default"/>
        </w:rPr>
        <w:t>2</w:t>
      </w:r>
      <w:r>
        <w:rPr/>
        <w:t>）应付项目</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2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2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2,213,207.57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益正金融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97,087.38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5,686,620.00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5,686,620.00</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18"/>
                <w:szCs w:val="18"/>
              </w:rPr>
            </w:pPr>
            <w:r>
              <w:rPr>
                <w:rFonts w:ascii="宋体"/>
                <w:sz w:val="18"/>
              </w:rPr>
              <w:t>2,691,340.58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1,829,658.58</w:t>
            </w: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大连闻音</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296,248.38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北京恒丰保险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10,495,028.74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拉萨鼎金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278,700,000.00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拉萨鼎金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3,392,969.90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十三、承诺及或有事项" w:id="377"/>
      <w:bookmarkEnd w:id="377"/>
      <w:r>
        <w:rPr>
          <w:b w:val="0"/>
          <w:bCs w:val="0"/>
        </w:rPr>
      </w: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承诺事项" w:id="378"/>
      <w:bookmarkEnd w:id="378"/>
      <w:r>
        <w:rPr>
          <w:b w:val="0"/>
          <w:bCs w:val="0"/>
        </w:rPr>
      </w:r>
      <w:r>
        <w:rPr>
          <w:rFonts w:ascii="宋体" w:hAnsi="宋体" w:cs="宋体" w:eastAsia="宋体" w:hint="default"/>
        </w:rPr>
        <w:t>1</w:t>
      </w:r>
      <w:r>
        <w:rPr/>
        <w:t>、重要承诺事项</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资产负债表日存在的重要承诺</w:t>
      </w:r>
    </w:p>
    <w:p>
      <w:pPr>
        <w:spacing w:line="240" w:lineRule="auto" w:before="9"/>
        <w:rPr>
          <w:rFonts w:ascii="宋体" w:hAnsi="宋体" w:cs="宋体" w:eastAsia="宋体" w:hint="default"/>
          <w:sz w:val="15"/>
          <w:szCs w:val="15"/>
        </w:rPr>
      </w:pPr>
    </w:p>
    <w:p>
      <w:pPr>
        <w:pStyle w:val="BodyText"/>
        <w:spacing w:line="420" w:lineRule="auto"/>
        <w:ind w:right="0"/>
        <w:jc w:val="left"/>
      </w:pPr>
      <w:r>
        <w:rPr/>
        <w:t>（</w:t>
      </w:r>
      <w:r>
        <w:rPr>
          <w:rFonts w:ascii="宋体" w:hAnsi="宋体" w:cs="宋体" w:eastAsia="宋体" w:hint="default"/>
        </w:rPr>
        <w:t>1</w:t>
      </w:r>
      <w:r>
        <w:rPr/>
        <w:t>）已签订的正在或准备履行的大额发包合同及财务影响 </w:t>
      </w:r>
      <w:r>
        <w:rPr>
          <w:spacing w:val="-1"/>
        </w:rPr>
        <w:t>截至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日止，根据本公司已签订的正在或准备履行的大额工程或设备采购合同，本公司尚未支</w:t>
      </w:r>
      <w:r>
        <w:rPr>
          <w:spacing w:val="-81"/>
        </w:rPr>
        <w:t> </w:t>
      </w:r>
      <w:r>
        <w:rPr>
          <w:spacing w:val="-81"/>
        </w:rPr>
      </w:r>
      <w:r>
        <w:rPr/>
        <w:t>付的金额约为</w:t>
      </w:r>
      <w:r>
        <w:rPr>
          <w:rFonts w:ascii="宋体" w:hAnsi="宋体" w:cs="宋体" w:eastAsia="宋体" w:hint="default"/>
        </w:rPr>
        <w:t>128,436,678.78</w:t>
      </w:r>
      <w:r>
        <w:rPr/>
        <w:t>元。</w:t>
      </w:r>
    </w:p>
    <w:p>
      <w:pPr>
        <w:pStyle w:val="BodyText"/>
        <w:spacing w:line="240" w:lineRule="auto" w:before="48"/>
        <w:ind w:right="0"/>
        <w:jc w:val="left"/>
      </w:pPr>
      <w:r>
        <w:rPr/>
        <w:t>（</w:t>
      </w:r>
      <w:r>
        <w:rPr>
          <w:rFonts w:ascii="宋体" w:hAnsi="宋体" w:cs="宋体" w:eastAsia="宋体" w:hint="default"/>
        </w:rPr>
        <w:t>2</w:t>
      </w:r>
      <w:r>
        <w:rPr/>
        <w:t>）已签订的正在或准备履行的租赁合同及财务影响</w:t>
      </w:r>
    </w:p>
    <w:p>
      <w:pPr>
        <w:spacing w:line="240" w:lineRule="auto" w:before="9"/>
        <w:rPr>
          <w:rFonts w:ascii="宋体" w:hAnsi="宋体" w:cs="宋体" w:eastAsia="宋体" w:hint="default"/>
          <w:sz w:val="15"/>
          <w:szCs w:val="15"/>
        </w:rPr>
      </w:pPr>
    </w:p>
    <w:p>
      <w:pPr>
        <w:pStyle w:val="BodyText"/>
        <w:spacing w:line="420" w:lineRule="auto"/>
        <w:ind w:right="1116"/>
        <w:jc w:val="left"/>
      </w:pPr>
      <w:r>
        <w:rPr/>
        <w:pict>
          <v:shape style="position:absolute;margin-left:56.459999pt;margin-top:65.063652pt;width:418.7pt;height:98.1pt;mso-position-horizontal-relative:page;mso-position-vertical-relative:paragraph;z-index:32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10"/>
                    <w:gridCol w:w="4250"/>
                  </w:tblGrid>
                  <w:tr>
                    <w:trPr>
                      <w:trHeight w:val="342" w:hRule="exact"/>
                    </w:trPr>
                    <w:tc>
                      <w:tcPr>
                        <w:tcW w:w="41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剩余租赁期</w:t>
                        </w:r>
                      </w:p>
                    </w:tc>
                    <w:tc>
                      <w:tcPr>
                        <w:tcW w:w="42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最低租赁付款额</w:t>
                        </w: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w:t>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19,976,002.16</w:t>
                        </w:r>
                      </w:p>
                    </w:tc>
                  </w:tr>
                  <w:tr>
                    <w:trPr>
                      <w:trHeight w:val="323" w:hRule="exact"/>
                    </w:trPr>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年（含</w:t>
                        </w:r>
                        <w:r>
                          <w:rPr>
                            <w:rFonts w:ascii="宋体" w:hAnsi="宋体" w:cs="宋体" w:eastAsia="宋体" w:hint="default"/>
                            <w:sz w:val="18"/>
                            <w:szCs w:val="18"/>
                          </w:rPr>
                          <w:t>2</w:t>
                        </w:r>
                        <w:r>
                          <w:rPr>
                            <w:rFonts w:ascii="宋体" w:hAnsi="宋体" w:cs="宋体" w:eastAsia="宋体" w:hint="default"/>
                            <w:sz w:val="18"/>
                            <w:szCs w:val="18"/>
                          </w:rPr>
                          <w:t>年）</w:t>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8,997,783.77</w:t>
                        </w: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年（含</w:t>
                        </w:r>
                        <w:r>
                          <w:rPr>
                            <w:rFonts w:ascii="宋体" w:hAnsi="宋体" w:cs="宋体" w:eastAsia="宋体" w:hint="default"/>
                            <w:sz w:val="18"/>
                            <w:szCs w:val="18"/>
                          </w:rPr>
                          <w:t>3</w:t>
                        </w:r>
                        <w:r>
                          <w:rPr>
                            <w:rFonts w:ascii="宋体" w:hAnsi="宋体" w:cs="宋体" w:eastAsia="宋体" w:hint="default"/>
                            <w:sz w:val="18"/>
                            <w:szCs w:val="18"/>
                          </w:rPr>
                          <w:t>年）</w:t>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4,320,428.27</w:t>
                        </w:r>
                      </w:p>
                    </w:tc>
                  </w:tr>
                  <w:tr>
                    <w:trPr>
                      <w:trHeight w:val="322" w:hRule="exact"/>
                    </w:trPr>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936,171.45</w:t>
                        </w:r>
                      </w:p>
                    </w:tc>
                  </w:tr>
                  <w:tr>
                    <w:trPr>
                      <w:trHeight w:val="323" w:hRule="exact"/>
                    </w:trPr>
                    <w:tc>
                      <w:tcPr>
                        <w:tcW w:w="41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34,230,385.65</w:t>
                        </w:r>
                      </w:p>
                    </w:tc>
                  </w:tr>
                </w:tbl>
                <w:p>
                  <w:pPr/>
                </w:p>
              </w:txbxContent>
            </v:textbox>
            <w10:wrap type="none"/>
          </v:shape>
        </w:pict>
      </w:r>
      <w:r>
        <w:rPr/>
        <w:t>① 经营租入 </w:t>
      </w:r>
      <w:r>
        <w:rPr>
          <w:spacing w:val="-1"/>
        </w:rPr>
        <w:t>截至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日止，本公司以及下属子公司与出租方签订经营场所租赁合同，未来应支付租金金额为</w:t>
      </w:r>
      <w:r>
        <w:rPr>
          <w:spacing w:val="-81"/>
        </w:rPr>
        <w:t> </w:t>
      </w:r>
      <w:r>
        <w:rPr>
          <w:spacing w:val="-81"/>
        </w:rPr>
      </w:r>
      <w:r>
        <w:rPr>
          <w:rFonts w:ascii="宋体" w:hAnsi="宋体" w:cs="宋体" w:eastAsia="宋体" w:hint="default"/>
        </w:rPr>
        <w:t>34,230,385.65</w:t>
      </w:r>
      <w:r>
        <w:rPr/>
        <w:t>元，详细情况如下：</w:t>
      </w:r>
    </w:p>
    <w:p>
      <w:pPr>
        <w:spacing w:after="0" w:line="42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2、或有事项" w:id="379"/>
      <w:bookmarkEnd w:id="379"/>
      <w:r>
        <w:rPr>
          <w:b w:val="0"/>
          <w:bCs w:val="0"/>
        </w:rPr>
      </w:r>
      <w:r>
        <w:rPr>
          <w:rFonts w:ascii="宋体" w:hAnsi="宋体" w:cs="宋体" w:eastAsia="宋体" w:hint="default"/>
        </w:rPr>
        <w:t>2</w:t>
      </w:r>
      <w:r>
        <w:rPr/>
        <w:t>、或有事项</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0"/>
        <w:jc w:val="left"/>
        <w:rPr>
          <w:b w:val="0"/>
          <w:bCs w:val="0"/>
        </w:rPr>
      </w:pPr>
      <w:bookmarkStart w:name="（1）资产负债表日存在的重要或有事项" w:id="380"/>
      <w:bookmarkEnd w:id="380"/>
      <w:r>
        <w:rPr>
          <w:b w:val="0"/>
          <w:bCs w:val="0"/>
        </w:rPr>
      </w:r>
      <w:r>
        <w:rPr/>
        <w:t>（</w:t>
      </w:r>
      <w:r>
        <w:rPr>
          <w:rFonts w:ascii="宋体" w:hAnsi="宋体" w:cs="宋体" w:eastAsia="宋体" w:hint="default"/>
        </w:rPr>
        <w:t>1</w:t>
      </w:r>
      <w:r>
        <w:rPr/>
        <w:t>）资产负债表日存在的重要或有事项</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1092"/>
        <w:jc w:val="left"/>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日，本公司之子公司华闻体育与上海艾德韦宣体育发展有限公司（以下简称“艾德韦 </w:t>
      </w:r>
      <w:r>
        <w:rPr>
          <w:spacing w:val="-1"/>
        </w:rPr>
        <w:t>宣”）关于《环法中国赛合作协议》存在合同纠纷。纠纷原因：签订合同时，艾德韦宣陈述政府批文容易</w:t>
      </w:r>
      <w:r>
        <w:rPr>
          <w:spacing w:val="-82"/>
        </w:rPr>
        <w:t> </w:t>
      </w:r>
      <w:r>
        <w:rPr>
          <w:spacing w:val="-82"/>
        </w:rPr>
      </w:r>
      <w:r>
        <w:rPr>
          <w:spacing w:val="-1"/>
        </w:rPr>
        <w:t>办理，实际华闻体育去相关部门并未能够办下批文；签订合同后，艾德韦宣认为可以如期举办赛事，华闻</w:t>
      </w:r>
      <w:r>
        <w:rPr>
          <w:spacing w:val="-86"/>
        </w:rPr>
        <w:t> </w:t>
      </w:r>
      <w:r>
        <w:rPr>
          <w:spacing w:val="-86"/>
        </w:rPr>
      </w:r>
      <w:r>
        <w:rPr>
          <w:spacing w:val="-1"/>
        </w:rPr>
        <w:t>体育认为未与政府沟通完毕，不能正常开展环法赛事，双方就此意思表示不够明确。华闻体育因此未支付</w:t>
      </w:r>
      <w:r>
        <w:rPr>
          <w:spacing w:val="-83"/>
        </w:rPr>
        <w:t> </w:t>
      </w:r>
      <w:r>
        <w:rPr>
          <w:spacing w:val="-83"/>
        </w:rPr>
      </w:r>
      <w:r>
        <w:rPr/>
        <w:t>前期管理费。艾德韦宣就华闻体育未支付管理费提起诉讼，诉讼请求判令被告一华闻体育支付如下金额， </w:t>
      </w:r>
      <w:r>
        <w:rPr>
          <w:spacing w:val="-1"/>
        </w:rPr>
        <w:t>暂共计</w:t>
      </w:r>
      <w:r>
        <w:rPr>
          <w:rFonts w:ascii="宋体" w:hAnsi="宋体" w:cs="宋体" w:eastAsia="宋体" w:hint="default"/>
          <w:spacing w:val="-1"/>
        </w:rPr>
        <w:t>2,074.50</w:t>
      </w:r>
      <w:r>
        <w:rPr>
          <w:spacing w:val="-1"/>
        </w:rPr>
        <w:t>万元，同时被告二华闻传媒承担债务连带责任：</w:t>
      </w:r>
      <w:r>
        <w:rPr>
          <w:rFonts w:ascii="宋体" w:hAnsi="宋体" w:cs="宋体" w:eastAsia="宋体" w:hint="default"/>
          <w:spacing w:val="-1"/>
        </w:rPr>
        <w:t>1</w:t>
      </w:r>
      <w:r>
        <w:rPr>
          <w:spacing w:val="-1"/>
        </w:rPr>
        <w:t>、</w:t>
      </w:r>
      <w:r>
        <w:rPr>
          <w:rFonts w:ascii="宋体" w:hAnsi="宋体" w:cs="宋体" w:eastAsia="宋体" w:hint="default"/>
          <w:spacing w:val="-1"/>
        </w:rPr>
        <w:t>2018</w:t>
      </w:r>
      <w:r>
        <w:rPr>
          <w:spacing w:val="-1"/>
        </w:rPr>
        <w:t>年管理费</w:t>
      </w:r>
      <w:r>
        <w:rPr>
          <w:rFonts w:ascii="宋体" w:hAnsi="宋体" w:cs="宋体" w:eastAsia="宋体" w:hint="default"/>
          <w:spacing w:val="-1"/>
        </w:rPr>
        <w:t>1,000.00</w:t>
      </w:r>
      <w:r>
        <w:rPr>
          <w:spacing w:val="-1"/>
        </w:rPr>
        <w:t>万元；</w:t>
      </w:r>
      <w:r>
        <w:rPr>
          <w:rFonts w:ascii="宋体" w:hAnsi="宋体" w:cs="宋体" w:eastAsia="宋体" w:hint="default"/>
          <w:spacing w:val="-1"/>
        </w:rPr>
        <w:t>2</w:t>
      </w:r>
      <w:r>
        <w:rPr>
          <w:spacing w:val="-1"/>
        </w:rPr>
        <w:t>、赔偿</w:t>
      </w:r>
      <w:r>
        <w:rPr>
          <w:spacing w:val="-74"/>
        </w:rPr>
        <w:t> </w:t>
      </w:r>
      <w:r>
        <w:rPr>
          <w:spacing w:val="-74"/>
        </w:rPr>
      </w:r>
      <w:r>
        <w:rPr/>
        <w:t>损失</w:t>
      </w:r>
      <w:r>
        <w:rPr>
          <w:rFonts w:ascii="宋体" w:hAnsi="宋体" w:cs="宋体" w:eastAsia="宋体" w:hint="default"/>
        </w:rPr>
        <w:t>1,000.00</w:t>
      </w:r>
      <w:r>
        <w:rPr/>
        <w:t>万元；</w:t>
      </w:r>
      <w:r>
        <w:rPr>
          <w:rFonts w:ascii="宋体" w:hAnsi="宋体" w:cs="宋体" w:eastAsia="宋体" w:hint="default"/>
        </w:rPr>
        <w:t>3</w:t>
      </w:r>
      <w:r>
        <w:rPr/>
        <w:t>、逾期付款违约金暂计</w:t>
      </w:r>
      <w:r>
        <w:rPr>
          <w:rFonts w:ascii="宋体" w:hAnsi="宋体" w:cs="宋体" w:eastAsia="宋体" w:hint="default"/>
        </w:rPr>
        <w:t>48.00</w:t>
      </w:r>
      <w:r>
        <w:rPr/>
        <w:t>万元，并应计至付清全部款项之日；</w:t>
      </w:r>
      <w:r>
        <w:rPr>
          <w:rFonts w:ascii="宋体" w:hAnsi="宋体" w:cs="宋体" w:eastAsia="宋体" w:hint="default"/>
        </w:rPr>
        <w:t>4</w:t>
      </w:r>
      <w:r>
        <w:rPr/>
        <w:t>、律师代理费损 失</w:t>
      </w:r>
      <w:r>
        <w:rPr>
          <w:rFonts w:ascii="宋体" w:hAnsi="宋体" w:cs="宋体" w:eastAsia="宋体" w:hint="default"/>
        </w:rPr>
        <w:t>26.50</w:t>
      </w:r>
      <w:r>
        <w:rPr/>
        <w:t>万元。截止报告出具日，本次诉讼法院未判决。</w:t>
      </w:r>
    </w:p>
    <w:p>
      <w:pPr>
        <w:pStyle w:val="Heading2"/>
        <w:spacing w:line="240" w:lineRule="auto" w:before="172"/>
        <w:ind w:right="0"/>
        <w:jc w:val="left"/>
        <w:rPr>
          <w:b w:val="0"/>
          <w:bCs w:val="0"/>
        </w:rPr>
      </w:pPr>
      <w:bookmarkStart w:name="十四、资产负债表日后事项" w:id="381"/>
      <w:bookmarkEnd w:id="381"/>
      <w:r>
        <w:rPr>
          <w:b w:val="0"/>
          <w:bCs w:val="0"/>
        </w:rPr>
      </w: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 重要的非调整事项" w:id="382"/>
      <w:bookmarkEnd w:id="382"/>
      <w:r>
        <w:rPr>
          <w:b w:val="0"/>
          <w:bCs w:val="0"/>
        </w:rPr>
      </w:r>
      <w:r>
        <w:rPr>
          <w:rFonts w:ascii="宋体" w:hAnsi="宋体" w:cs="宋体" w:eastAsia="宋体" w:hint="default"/>
        </w:rPr>
        <w:t>1</w:t>
      </w:r>
      <w:r>
        <w:rPr/>
        <w:t>、</w:t>
      </w:r>
      <w:r>
        <w:rPr>
          <w:spacing w:val="-4"/>
        </w:rPr>
        <w:t> </w:t>
      </w:r>
      <w:r>
        <w:rPr/>
        <w:t>重要的非调整事项</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1197"/>
        <w:jc w:val="left"/>
      </w:pPr>
      <w:r>
        <w:rPr/>
        <w:t>（</w:t>
      </w:r>
      <w:r>
        <w:rPr>
          <w:rFonts w:ascii="宋体" w:hAnsi="宋体" w:cs="宋体" w:eastAsia="宋体" w:hint="default"/>
        </w:rPr>
        <w:t>1</w:t>
      </w:r>
      <w:r>
        <w:rPr/>
        <w:t>）</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1</w:t>
      </w:r>
      <w:r>
        <w:rPr/>
        <w:t>日，经本公司第七届董事会</w:t>
      </w:r>
      <w:r>
        <w:rPr>
          <w:rFonts w:ascii="宋体" w:hAnsi="宋体" w:cs="宋体" w:eastAsia="宋体" w:hint="default"/>
        </w:rPr>
        <w:t>2019</w:t>
      </w:r>
      <w:r>
        <w:rPr/>
        <w:t>年第三次临时会议审议批准，本公司与海南天涯客在线 旅业有限公司（以下简称“海南天涯客”）于</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1</w:t>
      </w:r>
      <w:r>
        <w:rPr/>
        <w:t>日在海口市签订《股权转让协议》，本公司以 </w:t>
      </w:r>
      <w:r>
        <w:rPr>
          <w:rFonts w:ascii="宋体" w:hAnsi="宋体" w:cs="宋体" w:eastAsia="宋体" w:hint="default"/>
        </w:rPr>
        <w:t>17,200.00</w:t>
      </w:r>
      <w:r>
        <w:rPr/>
        <w:t>万元的价格向海南天涯客转让所持有子公司椰德利</w:t>
      </w:r>
      <w:r>
        <w:rPr>
          <w:rFonts w:ascii="宋体" w:hAnsi="宋体" w:cs="宋体" w:eastAsia="宋体" w:hint="default"/>
        </w:rPr>
        <w:t>100%</w:t>
      </w:r>
      <w:r>
        <w:rPr/>
        <w:t>的股权，截至本报告出具日，工商登记 手续已办理完毕。</w:t>
      </w:r>
    </w:p>
    <w:p>
      <w:pPr>
        <w:pStyle w:val="BodyText"/>
        <w:spacing w:line="420" w:lineRule="auto" w:before="47"/>
        <w:ind w:right="1130"/>
        <w:jc w:val="both"/>
      </w:pPr>
      <w:r>
        <w:rPr>
          <w:spacing w:val="-1"/>
        </w:rPr>
        <w:t>（</w:t>
      </w:r>
      <w:r>
        <w:rPr>
          <w:rFonts w:ascii="宋体" w:hAnsi="宋体" w:cs="宋体" w:eastAsia="宋体" w:hint="default"/>
          <w:spacing w:val="-1"/>
        </w:rPr>
        <w:t>2</w:t>
      </w:r>
      <w:r>
        <w:rPr>
          <w:spacing w:val="-1"/>
        </w:rPr>
        <w:t>）</w:t>
      </w:r>
      <w:r>
        <w:rPr>
          <w:rFonts w:ascii="宋体" w:hAnsi="宋体" w:cs="宋体" w:eastAsia="宋体" w:hint="default"/>
          <w:spacing w:val="-1"/>
        </w:rPr>
        <w:t>2019</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15</w:t>
      </w:r>
      <w:r>
        <w:rPr>
          <w:spacing w:val="-1"/>
        </w:rPr>
        <w:t>日，本公司之子公司上海鸿立与拉萨鸿新、当涂民聚及其他新入伙有限合伙人在上海市</w:t>
      </w:r>
      <w:r>
        <w:rPr>
          <w:spacing w:val="-83"/>
        </w:rPr>
        <w:t> </w:t>
      </w:r>
      <w:r>
        <w:rPr>
          <w:spacing w:val="-83"/>
        </w:rPr>
      </w:r>
      <w:r>
        <w:rPr>
          <w:spacing w:val="-1"/>
        </w:rPr>
        <w:t>签署《当涂鸿新智能制造产业基金（有限合伙）之合伙协议》，协议约定，上海鸿立新增出资</w:t>
      </w:r>
      <w:r>
        <w:rPr>
          <w:rFonts w:ascii="宋体" w:hAnsi="宋体" w:cs="宋体" w:eastAsia="宋体" w:hint="default"/>
          <w:spacing w:val="-1"/>
        </w:rPr>
        <w:t>1,800.00</w:t>
      </w:r>
      <w:r>
        <w:rPr>
          <w:spacing w:val="-1"/>
        </w:rPr>
        <w:t>万</w:t>
      </w:r>
      <w:r>
        <w:rPr>
          <w:spacing w:val="-78"/>
        </w:rPr>
        <w:t> </w:t>
      </w:r>
      <w:r>
        <w:rPr/>
        <w:t>元，至此，上海鸿立占当涂鸿新总出资额的</w:t>
      </w:r>
      <w:r>
        <w:rPr>
          <w:rFonts w:ascii="宋体" w:hAnsi="宋体" w:cs="宋体" w:eastAsia="宋体" w:hint="default"/>
        </w:rPr>
        <w:t>35.45%</w:t>
      </w:r>
      <w:r>
        <w:rPr/>
        <w:t>。截至本报告出具日，工商登记手续已办理完毕。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2"/>
        <w:spacing w:line="240" w:lineRule="auto" w:before="0"/>
        <w:ind w:right="0"/>
        <w:jc w:val="left"/>
        <w:rPr>
          <w:b w:val="0"/>
          <w:bCs w:val="0"/>
        </w:rPr>
      </w:pPr>
      <w:bookmarkStart w:name="十五、其他重要事项" w:id="383"/>
      <w:bookmarkEnd w:id="383"/>
      <w:r>
        <w:rPr>
          <w:b w:val="0"/>
          <w:bCs w:val="0"/>
        </w:rPr>
      </w: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 前期差错更正" w:id="384"/>
      <w:bookmarkEnd w:id="384"/>
      <w:r>
        <w:rPr>
          <w:b w:val="0"/>
          <w:bCs w:val="0"/>
        </w:rPr>
      </w:r>
      <w:r>
        <w:rPr>
          <w:rFonts w:ascii="Times New Roman" w:hAnsi="Times New Roman" w:cs="Times New Roman" w:eastAsia="Times New Roman" w:hint="default"/>
        </w:rPr>
        <w:t>1</w:t>
      </w:r>
      <w:r>
        <w:rPr/>
        <w:t>、</w:t>
      </w:r>
      <w:r>
        <w:rPr>
          <w:spacing w:val="-3"/>
        </w:rPr>
        <w:t> </w:t>
      </w:r>
      <w:r>
        <w:rPr/>
        <w:t>前期差错更正</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w:t>
      </w:r>
      <w:r>
        <w:rPr>
          <w:spacing w:val="-18"/>
        </w:rPr>
        <w:t> </w:t>
      </w:r>
      <w:r>
        <w:rPr/>
        <w:t>追溯重述法</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7"/>
        <w:ind w:left="574" w:right="0"/>
        <w:jc w:val="left"/>
      </w:pPr>
      <w:r>
        <w:rPr>
          <w:rFonts w:ascii="宋体" w:hAnsi="宋体" w:cs="宋体" w:eastAsia="宋体" w:hint="default"/>
        </w:rPr>
        <w:t>201</w:t>
      </w:r>
      <w:r>
        <w:rPr>
          <w:rFonts w:ascii="宋体" w:hAnsi="宋体" w:cs="宋体" w:eastAsia="宋体" w:hint="default"/>
          <w:spacing w:val="1"/>
        </w:rPr>
        <w:t>8</w:t>
      </w:r>
      <w:r>
        <w:rPr>
          <w:spacing w:val="-2"/>
        </w:rPr>
        <w:t>年</w:t>
      </w:r>
      <w:r>
        <w:rPr>
          <w:rFonts w:ascii="宋体" w:hAnsi="宋体" w:cs="宋体" w:eastAsia="宋体" w:hint="default"/>
        </w:rPr>
        <w:t>7</w:t>
      </w:r>
      <w:r>
        <w:rPr/>
        <w:t>月</w:t>
      </w:r>
      <w:r>
        <w:rPr>
          <w:spacing w:val="-47"/>
        </w:rPr>
        <w:t>，</w:t>
      </w:r>
      <w:r>
        <w:rPr/>
        <w:t>根</w:t>
      </w:r>
      <w:r>
        <w:rPr>
          <w:spacing w:val="-47"/>
        </w:rPr>
        <w:t>据</w:t>
      </w:r>
      <w:r>
        <w:rPr/>
        <w:t>《关于对华闻传媒投资集团股份有限公司进行现场检查的通知</w:t>
      </w:r>
      <w:r>
        <w:rPr>
          <w:spacing w:val="-94"/>
        </w:rPr>
        <w:t>》</w:t>
      </w:r>
      <w:r>
        <w:rPr/>
        <w:t>（</w:t>
      </w:r>
      <w:r>
        <w:rPr>
          <w:spacing w:val="1"/>
        </w:rPr>
        <w:t>海</w:t>
      </w:r>
      <w:r>
        <w:rPr/>
        <w:t>南证监</w:t>
      </w:r>
      <w:r>
        <w:rPr>
          <w:spacing w:val="-47"/>
        </w:rPr>
        <w:t>函</w:t>
      </w:r>
      <w:r>
        <w:rPr>
          <w:spacing w:val="1"/>
        </w:rPr>
        <w:t>【</w:t>
      </w:r>
      <w:r>
        <w:rPr>
          <w:rFonts w:ascii="宋体" w:hAnsi="宋体" w:cs="宋体" w:eastAsia="宋体" w:hint="default"/>
        </w:rPr>
        <w:t>2018</w:t>
      </w:r>
      <w:r>
        <w:rPr/>
        <w:t>】</w:t>
      </w:r>
    </w:p>
    <w:p>
      <w:pPr>
        <w:spacing w:line="240" w:lineRule="auto" w:before="9"/>
        <w:rPr>
          <w:rFonts w:ascii="宋体" w:hAnsi="宋体" w:cs="宋体" w:eastAsia="宋体" w:hint="default"/>
          <w:sz w:val="15"/>
          <w:szCs w:val="15"/>
        </w:rPr>
      </w:pPr>
    </w:p>
    <w:p>
      <w:pPr>
        <w:pStyle w:val="BodyText"/>
        <w:spacing w:line="420" w:lineRule="auto"/>
        <w:ind w:right="1213"/>
        <w:jc w:val="left"/>
      </w:pPr>
      <w:r>
        <w:rPr>
          <w:rFonts w:ascii="宋体" w:hAnsi="宋体" w:cs="宋体" w:eastAsia="宋体" w:hint="default"/>
        </w:rPr>
        <w:t>395</w:t>
      </w:r>
      <w:r>
        <w:rPr/>
        <w:t>号），海南证监局对本公司的子公司精视文化、广邦富软件、漫友文化开展现场检查工作。根据海南 证监局现场检查确认书，经公司确认，公司对子公司精视文化、邦富软件、漫友文化在</w:t>
      </w:r>
      <w:r>
        <w:rPr>
          <w:rFonts w:ascii="宋体" w:hAnsi="宋体" w:cs="宋体" w:eastAsia="宋体" w:hint="default"/>
        </w:rPr>
        <w:t>2014</w:t>
      </w:r>
      <w:r>
        <w:rPr/>
        <w:t>年</w:t>
      </w:r>
      <w:r>
        <w:rPr>
          <w:rFonts w:ascii="宋体" w:hAnsi="宋体" w:cs="宋体" w:eastAsia="宋体" w:hint="default"/>
        </w:rPr>
        <w:t>-2017</w:t>
      </w:r>
      <w:r>
        <w:rPr/>
        <w:t>年期</w:t>
      </w:r>
    </w:p>
    <w:p>
      <w:pPr>
        <w:spacing w:after="0" w:line="42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1130"/>
        <w:jc w:val="both"/>
      </w:pPr>
      <w:r>
        <w:rPr>
          <w:spacing w:val="-1"/>
        </w:rPr>
        <w:t>间涉及的</w:t>
      </w:r>
      <w:r>
        <w:rPr>
          <w:rFonts w:ascii="宋体" w:hAnsi="宋体" w:cs="宋体" w:eastAsia="宋体" w:hint="default"/>
          <w:spacing w:val="-1"/>
        </w:rPr>
        <w:t>1</w:t>
      </w:r>
      <w:r>
        <w:rPr>
          <w:spacing w:val="-1"/>
        </w:rPr>
        <w:t>）收入确认和成本核算不准确方面、</w:t>
      </w:r>
      <w:r>
        <w:rPr>
          <w:rFonts w:ascii="宋体" w:hAnsi="宋体" w:cs="宋体" w:eastAsia="宋体" w:hint="default"/>
          <w:spacing w:val="-1"/>
        </w:rPr>
        <w:t>2</w:t>
      </w:r>
      <w:r>
        <w:rPr>
          <w:spacing w:val="-1"/>
        </w:rPr>
        <w:t>）费用核算方面、</w:t>
      </w:r>
      <w:r>
        <w:rPr>
          <w:rFonts w:ascii="宋体" w:hAnsi="宋体" w:cs="宋体" w:eastAsia="宋体" w:hint="default"/>
          <w:spacing w:val="-1"/>
        </w:rPr>
        <w:t>3</w:t>
      </w:r>
      <w:r>
        <w:rPr>
          <w:spacing w:val="-1"/>
        </w:rPr>
        <w:t>）适用税率方面、</w:t>
      </w:r>
      <w:r>
        <w:rPr>
          <w:rFonts w:ascii="宋体" w:hAnsi="宋体" w:cs="宋体" w:eastAsia="宋体" w:hint="default"/>
          <w:spacing w:val="-1"/>
        </w:rPr>
        <w:t>4</w:t>
      </w:r>
      <w:r>
        <w:rPr>
          <w:spacing w:val="-1"/>
        </w:rPr>
        <w:t>）坏账准备计提不</w:t>
      </w:r>
      <w:r>
        <w:rPr>
          <w:spacing w:val="-85"/>
        </w:rPr>
        <w:t> </w:t>
      </w:r>
      <w:r>
        <w:rPr>
          <w:spacing w:val="-85"/>
        </w:rPr>
      </w:r>
      <w:r>
        <w:rPr>
          <w:spacing w:val="-1"/>
        </w:rPr>
        <w:t>充分方面的前期差错。本次差错更正经公司第七届董事会</w:t>
      </w:r>
      <w:r>
        <w:rPr>
          <w:rFonts w:ascii="宋体" w:hAnsi="宋体" w:cs="宋体" w:eastAsia="宋体" w:hint="default"/>
          <w:spacing w:val="-1"/>
        </w:rPr>
        <w:t>2018</w:t>
      </w:r>
      <w:r>
        <w:rPr>
          <w:spacing w:val="-1"/>
        </w:rPr>
        <w:t>年第十一次临时会议、第七届监事会</w:t>
      </w:r>
      <w:r>
        <w:rPr>
          <w:rFonts w:ascii="宋体" w:hAnsi="宋体" w:cs="宋体" w:eastAsia="宋体" w:hint="default"/>
          <w:spacing w:val="-1"/>
        </w:rPr>
        <w:t>2018</w:t>
      </w:r>
      <w:r>
        <w:rPr>
          <w:spacing w:val="-1"/>
        </w:rPr>
        <w:t>年</w:t>
      </w:r>
      <w:r>
        <w:rPr>
          <w:spacing w:val="-78"/>
        </w:rPr>
        <w:t> </w:t>
      </w:r>
      <w:r>
        <w:rPr/>
        <w:t>第二次临时会议审议通过，采用追溯重述法进行了更正。</w:t>
      </w:r>
    </w:p>
    <w:p>
      <w:pPr>
        <w:pStyle w:val="BodyText"/>
        <w:spacing w:line="240" w:lineRule="auto" w:before="48"/>
        <w:ind w:right="0"/>
        <w:jc w:val="both"/>
      </w:pPr>
      <w:r>
        <w:rPr/>
        <w:t>①</w:t>
      </w:r>
      <w:r>
        <w:rPr>
          <w:spacing w:val="-6"/>
        </w:rPr>
        <w:t> </w:t>
      </w:r>
      <w:r>
        <w:rPr/>
        <w:t>对</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日合并资产负债表的影响</w:t>
      </w:r>
    </w:p>
    <w:p>
      <w:pPr>
        <w:spacing w:line="240" w:lineRule="auto" w:before="4"/>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982"/>
        <w:gridCol w:w="1869"/>
        <w:gridCol w:w="1867"/>
        <w:gridCol w:w="1930"/>
      </w:tblGrid>
      <w:tr>
        <w:trPr>
          <w:trHeight w:val="326" w:hRule="exact"/>
        </w:trPr>
        <w:tc>
          <w:tcPr>
            <w:tcW w:w="29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478" w:right="0"/>
              <w:jc w:val="left"/>
              <w:rPr>
                <w:rFonts w:ascii="宋体" w:hAnsi="宋体" w:cs="宋体" w:eastAsia="宋体" w:hint="default"/>
                <w:sz w:val="18"/>
                <w:szCs w:val="18"/>
              </w:rPr>
            </w:pPr>
            <w:r>
              <w:rPr>
                <w:rFonts w:ascii="宋体" w:hAnsi="宋体" w:cs="宋体" w:eastAsia="宋体" w:hint="default"/>
                <w:sz w:val="18"/>
                <w:szCs w:val="18"/>
              </w:rPr>
              <w:t>调整前金额</w:t>
            </w:r>
          </w:p>
        </w:tc>
        <w:tc>
          <w:tcPr>
            <w:tcW w:w="18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调整数</w:t>
            </w:r>
          </w:p>
        </w:tc>
        <w:tc>
          <w:tcPr>
            <w:tcW w:w="19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510" w:right="0"/>
              <w:jc w:val="left"/>
              <w:rPr>
                <w:rFonts w:ascii="宋体" w:hAnsi="宋体" w:cs="宋体" w:eastAsia="宋体" w:hint="default"/>
                <w:sz w:val="18"/>
                <w:szCs w:val="18"/>
              </w:rPr>
            </w:pPr>
            <w:r>
              <w:rPr>
                <w:rFonts w:ascii="宋体" w:hAnsi="宋体" w:cs="宋体" w:eastAsia="宋体" w:hint="default"/>
                <w:sz w:val="18"/>
                <w:szCs w:val="18"/>
              </w:rPr>
              <w:t>调整后金额</w:t>
            </w:r>
          </w:p>
        </w:tc>
      </w:tr>
      <w:tr>
        <w:trPr>
          <w:trHeight w:val="34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690,025,558.76</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-19,146,330.48</w:t>
            </w:r>
          </w:p>
        </w:tc>
        <w:tc>
          <w:tcPr>
            <w:tcW w:w="193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宋体" w:hAnsi="宋体" w:cs="宋体" w:eastAsia="宋体" w:hint="default"/>
                <w:sz w:val="18"/>
                <w:szCs w:val="18"/>
              </w:rPr>
            </w:pPr>
            <w:r>
              <w:rPr>
                <w:rFonts w:ascii="宋体"/>
                <w:sz w:val="18"/>
              </w:rPr>
              <w:t>670,879,228.28</w:t>
            </w:r>
          </w:p>
        </w:tc>
      </w:tr>
      <w:tr>
        <w:trPr>
          <w:trHeight w:val="34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5,730,259,629.21</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-19,146,330.48</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5,711,113,298.73</w:t>
            </w:r>
          </w:p>
        </w:tc>
      </w:tr>
      <w:tr>
        <w:trPr>
          <w:trHeight w:val="34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58,866,467.52</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-785,298.16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58,081,169.36</w:t>
            </w:r>
          </w:p>
        </w:tc>
      </w:tr>
      <w:tr>
        <w:trPr>
          <w:trHeight w:val="34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10,121,301,196.55</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-785,298.16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10,120,515,898.39</w:t>
            </w:r>
          </w:p>
        </w:tc>
      </w:tr>
      <w:tr>
        <w:trPr>
          <w:trHeight w:val="34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15,851,560,825.76</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-19,931,628.64</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15,831,629,197.12</w:t>
            </w:r>
          </w:p>
        </w:tc>
      </w:tr>
      <w:tr>
        <w:trPr>
          <w:trHeight w:val="34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339,713,338.44</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449,874.20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340,163,212.64</w:t>
            </w:r>
          </w:p>
        </w:tc>
      </w:tr>
      <w:tr>
        <w:trPr>
          <w:trHeight w:val="34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156,757,357.89</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14,514,234.47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171,271,592.36</w:t>
            </w:r>
          </w:p>
        </w:tc>
      </w:tr>
      <w:tr>
        <w:trPr>
          <w:trHeight w:val="34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162,006,343.72</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4,300,603.82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166,306,947.54</w:t>
            </w:r>
          </w:p>
        </w:tc>
      </w:tr>
      <w:tr>
        <w:trPr>
          <w:trHeight w:val="34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2,028,493,965.96</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19,264,712.49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2,047,758,678.45</w:t>
            </w:r>
          </w:p>
        </w:tc>
      </w:tr>
      <w:tr>
        <w:trPr>
          <w:trHeight w:val="34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5,680,574,188.01</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19,264,712.49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5,699,838,900.50</w:t>
            </w:r>
          </w:p>
        </w:tc>
      </w:tr>
      <w:tr>
        <w:trPr>
          <w:trHeight w:val="34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3,636,292,086.82</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-32,538,250.72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3,603,753,836.10</w:t>
            </w:r>
          </w:p>
        </w:tc>
      </w:tr>
      <w:tr>
        <w:trPr>
          <w:trHeight w:val="34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9,762,332,284.63</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-32,538,250.72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9,729,794,033.91</w:t>
            </w:r>
          </w:p>
        </w:tc>
      </w:tr>
      <w:tr>
        <w:trPr>
          <w:trHeight w:val="34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408,654,353.12</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-6,658,090.41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401,996,262.71</w:t>
            </w:r>
          </w:p>
        </w:tc>
      </w:tr>
      <w:tr>
        <w:trPr>
          <w:trHeight w:val="34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10,170,986,637.75</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-39,196,341.13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10,131,790,296.62</w:t>
            </w:r>
          </w:p>
        </w:tc>
      </w:tr>
      <w:tr>
        <w:trPr>
          <w:trHeight w:val="34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15,851,560,825.76</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-19,931,628.64</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15,831,629,197.12</w:t>
            </w:r>
          </w:p>
        </w:tc>
      </w:tr>
    </w:tbl>
    <w:p>
      <w:pPr>
        <w:spacing w:line="240" w:lineRule="auto" w:before="12"/>
        <w:rPr>
          <w:rFonts w:ascii="宋体" w:hAnsi="宋体" w:cs="宋体" w:eastAsia="宋体" w:hint="default"/>
          <w:sz w:val="7"/>
          <w:szCs w:val="7"/>
        </w:rPr>
      </w:pPr>
    </w:p>
    <w:p>
      <w:pPr>
        <w:pStyle w:val="BodyText"/>
        <w:spacing w:line="240" w:lineRule="auto" w:before="35"/>
        <w:ind w:right="0"/>
        <w:jc w:val="left"/>
      </w:pPr>
      <w:r>
        <w:rPr/>
        <w:t>②</w:t>
      </w:r>
      <w:r>
        <w:rPr>
          <w:spacing w:val="-2"/>
        </w:rPr>
        <w:t> </w:t>
      </w:r>
      <w:r>
        <w:rPr/>
        <w:t>对</w:t>
      </w:r>
      <w:r>
        <w:rPr>
          <w:rFonts w:ascii="宋体" w:hAnsi="宋体" w:cs="宋体" w:eastAsia="宋体" w:hint="default"/>
        </w:rPr>
        <w:t>2017</w:t>
      </w:r>
      <w:r>
        <w:rPr/>
        <w:t>年度合并利润表的影响</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978"/>
        <w:gridCol w:w="1844"/>
        <w:gridCol w:w="1843"/>
        <w:gridCol w:w="1984"/>
      </w:tblGrid>
      <w:tr>
        <w:trPr>
          <w:trHeight w:val="34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65" w:right="0"/>
              <w:jc w:val="left"/>
              <w:rPr>
                <w:rFonts w:ascii="宋体" w:hAnsi="宋体" w:cs="宋体" w:eastAsia="宋体" w:hint="default"/>
                <w:sz w:val="18"/>
                <w:szCs w:val="18"/>
              </w:rPr>
            </w:pPr>
            <w:r>
              <w:rPr>
                <w:rFonts w:ascii="宋体" w:hAnsi="宋体" w:cs="宋体" w:eastAsia="宋体" w:hint="default"/>
                <w:sz w:val="18"/>
                <w:szCs w:val="18"/>
              </w:rPr>
              <w:t>调整前金额</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调整数</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536" w:right="0"/>
              <w:jc w:val="left"/>
              <w:rPr>
                <w:rFonts w:ascii="宋体" w:hAnsi="宋体" w:cs="宋体" w:eastAsia="宋体" w:hint="default"/>
                <w:sz w:val="18"/>
                <w:szCs w:val="18"/>
              </w:rPr>
            </w:pPr>
            <w:r>
              <w:rPr>
                <w:rFonts w:ascii="宋体" w:hAnsi="宋体" w:cs="宋体" w:eastAsia="宋体" w:hint="default"/>
                <w:sz w:val="18"/>
                <w:szCs w:val="18"/>
              </w:rPr>
              <w:t>调整后金额</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3,420,924,616.84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-58,679.24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3,420,865,937.60</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377,701,547.06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-138,000.00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377,563,547.06</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732,259,750.51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347,520.71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732,607,271.22</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155,386,362.52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331,938.16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155,718,300.68</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423,270,763.03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-600,138.11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422,670,624.92</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277,238,074.73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-133,186.39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277,104,888.34</w:t>
            </w:r>
          </w:p>
        </w:tc>
      </w:tr>
      <w:tr>
        <w:trPr>
          <w:trHeight w:val="34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146,032,688.30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-466,951.72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145,565,736.58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0"/>
        <w:jc w:val="left"/>
        <w:rPr>
          <w:b w:val="0"/>
          <w:bCs w:val="0"/>
        </w:rPr>
      </w:pPr>
      <w:bookmarkStart w:name="2、 重要事项" w:id="385"/>
      <w:bookmarkEnd w:id="385"/>
      <w:r>
        <w:rPr>
          <w:b w:val="0"/>
          <w:bCs w:val="0"/>
        </w:rPr>
      </w:r>
      <w:r>
        <w:rPr>
          <w:rFonts w:ascii="宋体" w:hAnsi="宋体" w:cs="宋体" w:eastAsia="宋体" w:hint="default"/>
        </w:rPr>
        <w:t>2</w:t>
      </w:r>
      <w:r>
        <w:rPr/>
        <w:t>、</w:t>
      </w:r>
      <w:r>
        <w:rPr>
          <w:spacing w:val="-3"/>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420" w:lineRule="auto"/>
        <w:ind w:right="1197" w:firstLine="420"/>
        <w:jc w:val="left"/>
      </w:pPr>
      <w:r>
        <w:rPr/>
        <w:t>（</w:t>
      </w:r>
      <w:r>
        <w:rPr>
          <w:rFonts w:ascii="宋体" w:hAnsi="宋体" w:cs="宋体" w:eastAsia="宋体" w:hint="default"/>
        </w:rPr>
        <w:t>1</w:t>
      </w:r>
      <w:r>
        <w:rPr/>
        <w:t>）本公司</w:t>
      </w:r>
      <w:r>
        <w:rPr>
          <w:rFonts w:ascii="宋体" w:hAnsi="宋体" w:cs="宋体" w:eastAsia="宋体" w:hint="default"/>
        </w:rPr>
        <w:t>2018</w:t>
      </w:r>
      <w:r>
        <w:rPr/>
        <w:t>年现金购买的标的公司麦游互动</w:t>
      </w:r>
      <w:r>
        <w:rPr>
          <w:rFonts w:ascii="宋体" w:hAnsi="宋体" w:cs="宋体" w:eastAsia="宋体" w:hint="default"/>
        </w:rPr>
        <w:t>2018</w:t>
      </w:r>
      <w:r>
        <w:rPr/>
        <w:t>年度实现净利润数为人民币</w:t>
      </w:r>
      <w:r>
        <w:rPr>
          <w:rFonts w:ascii="宋体" w:hAnsi="宋体" w:cs="宋体" w:eastAsia="宋体" w:hint="default"/>
        </w:rPr>
        <w:t>4,102.67</w:t>
      </w:r>
      <w:r>
        <w:rPr/>
        <w:t>万元，承 诺净利润数为人民币</w:t>
      </w:r>
      <w:r>
        <w:rPr>
          <w:rFonts w:ascii="宋体" w:hAnsi="宋体" w:cs="宋体" w:eastAsia="宋体" w:hint="default"/>
        </w:rPr>
        <w:t>4,000.00</w:t>
      </w:r>
      <w:r>
        <w:rPr/>
        <w:t>万元，业绩承诺实现完成率为</w:t>
      </w:r>
      <w:r>
        <w:rPr>
          <w:rFonts w:ascii="宋体" w:hAnsi="宋体" w:cs="宋体" w:eastAsia="宋体" w:hint="default"/>
        </w:rPr>
        <w:t>102.57%</w:t>
      </w:r>
      <w:r>
        <w:rPr/>
        <w:t>。</w:t>
      </w:r>
    </w:p>
    <w:p>
      <w:pPr>
        <w:pStyle w:val="BodyText"/>
        <w:spacing w:line="420" w:lineRule="auto" w:before="47"/>
        <w:ind w:right="0" w:firstLine="420"/>
        <w:jc w:val="left"/>
      </w:pPr>
      <w:r>
        <w:rPr>
          <w:spacing w:val="-1"/>
        </w:rPr>
        <w:t>（</w:t>
      </w:r>
      <w:r>
        <w:rPr>
          <w:rFonts w:ascii="宋体" w:hAnsi="宋体" w:cs="宋体" w:eastAsia="宋体" w:hint="default"/>
          <w:spacing w:val="-1"/>
        </w:rPr>
        <w:t>2</w:t>
      </w:r>
      <w:r>
        <w:rPr>
          <w:spacing w:val="-1"/>
        </w:rPr>
        <w:t>）本公司</w:t>
      </w:r>
      <w:r>
        <w:rPr>
          <w:rFonts w:ascii="宋体" w:hAnsi="宋体" w:cs="宋体" w:eastAsia="宋体" w:hint="default"/>
          <w:spacing w:val="-1"/>
        </w:rPr>
        <w:t>2018</w:t>
      </w:r>
      <w:r>
        <w:rPr>
          <w:spacing w:val="-1"/>
        </w:rPr>
        <w:t>年现金购买的标的公司车音智能</w:t>
      </w:r>
      <w:r>
        <w:rPr>
          <w:rFonts w:ascii="宋体" w:hAnsi="宋体" w:cs="宋体" w:eastAsia="宋体" w:hint="default"/>
          <w:spacing w:val="-1"/>
        </w:rPr>
        <w:t>2018</w:t>
      </w:r>
      <w:r>
        <w:rPr>
          <w:spacing w:val="-1"/>
        </w:rPr>
        <w:t>年度实现净利润数为人民币</w:t>
      </w:r>
      <w:r>
        <w:rPr>
          <w:rFonts w:ascii="宋体" w:hAnsi="宋体" w:cs="宋体" w:eastAsia="宋体" w:hint="default"/>
          <w:spacing w:val="-1"/>
        </w:rPr>
        <w:t>19,234.54</w:t>
      </w:r>
      <w:r>
        <w:rPr>
          <w:spacing w:val="-1"/>
        </w:rPr>
        <w:t>万元，承</w:t>
      </w:r>
      <w:r>
        <w:rPr/>
        <w:t> 诺净利润数为人民币</w:t>
      </w:r>
      <w:r>
        <w:rPr>
          <w:rFonts w:ascii="宋体" w:hAnsi="宋体" w:cs="宋体" w:eastAsia="宋体" w:hint="default"/>
        </w:rPr>
        <w:t>18,000.00</w:t>
      </w:r>
      <w:r>
        <w:rPr/>
        <w:t>万元，业绩承诺实现完成率为</w:t>
      </w:r>
      <w:r>
        <w:rPr>
          <w:rFonts w:ascii="宋体" w:hAnsi="宋体" w:cs="宋体" w:eastAsia="宋体" w:hint="default"/>
        </w:rPr>
        <w:t>106.86%</w:t>
      </w:r>
      <w:r>
        <w:rPr/>
        <w:t>。</w:t>
      </w:r>
    </w:p>
    <w:p>
      <w:pPr>
        <w:spacing w:after="0" w:line="42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0" w:firstLine="420"/>
        <w:jc w:val="left"/>
      </w:pPr>
      <w:r>
        <w:rPr>
          <w:spacing w:val="-1"/>
        </w:rPr>
        <w:t>（</w:t>
      </w:r>
      <w:r>
        <w:rPr>
          <w:rFonts w:ascii="宋体" w:hAnsi="宋体" w:cs="宋体" w:eastAsia="宋体" w:hint="default"/>
          <w:spacing w:val="-1"/>
        </w:rPr>
        <w:t>3</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2</w:t>
      </w:r>
      <w:r>
        <w:rPr>
          <w:spacing w:val="-1"/>
        </w:rPr>
        <w:t>月，本公司第七届董事会</w:t>
      </w:r>
      <w:r>
        <w:rPr>
          <w:rFonts w:ascii="宋体" w:hAnsi="宋体" w:cs="宋体" w:eastAsia="宋体" w:hint="default"/>
          <w:spacing w:val="-1"/>
        </w:rPr>
        <w:t>2017</w:t>
      </w:r>
      <w:r>
        <w:rPr>
          <w:spacing w:val="-1"/>
        </w:rPr>
        <w:t>年第四次临时会议审议通过了“关于投资浙江草根网络科</w:t>
      </w:r>
      <w:r>
        <w:rPr/>
        <w:t> </w:t>
      </w:r>
      <w:r>
        <w:rPr>
          <w:spacing w:val="-5"/>
        </w:rPr>
        <w:t>技有限公司暨关联交易的议案”，同意子公司山南华闻对草根网络增资</w:t>
      </w:r>
      <w:r>
        <w:rPr>
          <w:rFonts w:ascii="宋体" w:hAnsi="宋体" w:cs="宋体" w:eastAsia="宋体" w:hint="default"/>
          <w:spacing w:val="-5"/>
        </w:rPr>
        <w:t>1</w:t>
      </w:r>
      <w:r>
        <w:rPr>
          <w:spacing w:val="-5"/>
        </w:rPr>
        <w:t>亿元，持有</w:t>
      </w:r>
      <w:r>
        <w:rPr>
          <w:rFonts w:ascii="宋体" w:hAnsi="宋体" w:cs="宋体" w:eastAsia="宋体" w:hint="default"/>
          <w:spacing w:val="-5"/>
        </w:rPr>
        <w:t>1.0286%</w:t>
      </w:r>
      <w:r>
        <w:rPr>
          <w:spacing w:val="-5"/>
        </w:rPr>
        <w:t>股权，并于</w:t>
      </w:r>
      <w:r>
        <w:rPr>
          <w:rFonts w:ascii="宋体" w:hAnsi="宋体" w:cs="宋体" w:eastAsia="宋体" w:hint="default"/>
          <w:spacing w:val="-5"/>
        </w:rPr>
        <w:t>2017</w:t>
      </w:r>
      <w:r>
        <w:rPr>
          <w:rFonts w:ascii="宋体" w:hAnsi="宋体" w:cs="宋体" w:eastAsia="宋体" w:hint="default"/>
          <w:spacing w:val="-74"/>
        </w:rPr>
        <w:t> </w:t>
      </w:r>
      <w:r>
        <w:rPr/>
        <w:t>年</w:t>
      </w:r>
      <w:r>
        <w:rPr>
          <w:rFonts w:ascii="宋体" w:hAnsi="宋体" w:cs="宋体" w:eastAsia="宋体" w:hint="default"/>
        </w:rPr>
        <w:t>2</w:t>
      </w:r>
      <w:r>
        <w:rPr/>
        <w:t>月份与草根网络签订增资协议。</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19</w:t>
      </w:r>
      <w:r>
        <w:rPr/>
        <w:t>日，草根网络法定代表人金忠拷因涉嫌非法吸收公众存 </w:t>
      </w:r>
      <w:r>
        <w:rPr>
          <w:spacing w:val="-1"/>
        </w:rPr>
        <w:t>款到杭州市公安局余杭分局自首，余杭区人民检察院对金忠拷等</w:t>
      </w:r>
      <w:r>
        <w:rPr>
          <w:rFonts w:ascii="宋体" w:hAnsi="宋体" w:cs="宋体" w:eastAsia="宋体" w:hint="default"/>
          <w:spacing w:val="-1"/>
        </w:rPr>
        <w:t>22</w:t>
      </w:r>
      <w:r>
        <w:rPr>
          <w:spacing w:val="-1"/>
        </w:rPr>
        <w:t>名涉案嫌疑人依法逮捕，并冻结相关财</w:t>
      </w:r>
      <w:r>
        <w:rPr>
          <w:spacing w:val="-82"/>
        </w:rPr>
        <w:t> </w:t>
      </w:r>
      <w:r>
        <w:rPr>
          <w:spacing w:val="-82"/>
        </w:rPr>
      </w:r>
      <w:r>
        <w:rPr/>
        <w:t>产。山南华闻本报告期对草根网络的出资额</w:t>
      </w:r>
      <w:r>
        <w:rPr>
          <w:rFonts w:ascii="宋体" w:hAnsi="宋体" w:cs="宋体" w:eastAsia="宋体" w:hint="default"/>
        </w:rPr>
        <w:t>1</w:t>
      </w:r>
      <w:r>
        <w:rPr/>
        <w:t>亿元全额计提减值。</w:t>
      </w:r>
    </w:p>
    <w:p>
      <w:pPr>
        <w:pStyle w:val="BodyText"/>
        <w:spacing w:line="420" w:lineRule="auto" w:before="47"/>
        <w:ind w:right="1018" w:firstLine="420"/>
        <w:jc w:val="left"/>
      </w:pPr>
      <w:r>
        <w:rPr/>
        <w:t>（</w:t>
      </w:r>
      <w:r>
        <w:rPr>
          <w:rFonts w:ascii="宋体" w:hAnsi="宋体" w:cs="宋体" w:eastAsia="宋体" w:hint="default"/>
        </w:rPr>
        <w:t>4</w:t>
      </w:r>
      <w:r>
        <w:rPr/>
        <w:t>）</w:t>
      </w:r>
      <w:r>
        <w:rPr>
          <w:rFonts w:ascii="宋体" w:hAnsi="宋体" w:cs="宋体" w:eastAsia="宋体" w:hint="default"/>
        </w:rPr>
        <w:t>2017</w:t>
      </w:r>
      <w:r>
        <w:rPr/>
        <w:t>年</w:t>
      </w:r>
      <w:r>
        <w:rPr>
          <w:rFonts w:ascii="宋体" w:hAnsi="宋体" w:cs="宋体" w:eastAsia="宋体" w:hint="default"/>
        </w:rPr>
        <w:t>9</w:t>
      </w:r>
      <w:r>
        <w:rPr/>
        <w:t>月，本公司与义乌小商品城阜兴投资中心（有限合伙）、上海吉贸郁川资产管理有限公 司、上海西尚投资管理有限公司、义乌中国小商品城投资管理有限公司签署《义乌商阜创赢投资中心（有 </w:t>
      </w:r>
      <w:r>
        <w:rPr>
          <w:spacing w:val="-9"/>
        </w:rPr>
        <w:t>限合伙）有限合伙协议》，本公司作为商阜创赢的有限合伙人认缴新增出资</w:t>
      </w:r>
      <w:r>
        <w:rPr>
          <w:rFonts w:ascii="宋体" w:hAnsi="宋体" w:cs="宋体" w:eastAsia="宋体" w:hint="default"/>
          <w:spacing w:val="-9"/>
        </w:rPr>
        <w:t>3.</w:t>
      </w:r>
      <w:r>
        <w:rPr>
          <w:rFonts w:ascii="宋体" w:hAnsi="宋体" w:cs="宋体" w:eastAsia="宋体" w:hint="default"/>
          <w:spacing w:val="-28"/>
        </w:rPr>
        <w:t> </w:t>
      </w:r>
      <w:r>
        <w:rPr>
          <w:rFonts w:ascii="宋体" w:hAnsi="宋体" w:cs="宋体" w:eastAsia="宋体" w:hint="default"/>
          <w:spacing w:val="-6"/>
        </w:rPr>
        <w:t>33</w:t>
      </w:r>
      <w:r>
        <w:rPr>
          <w:spacing w:val="-6"/>
        </w:rPr>
        <w:t>亿元，占总出资额的</w:t>
      </w:r>
      <w:r>
        <w:rPr>
          <w:rFonts w:ascii="宋体" w:hAnsi="宋体" w:cs="宋体" w:eastAsia="宋体" w:hint="default"/>
          <w:spacing w:val="-6"/>
        </w:rPr>
        <w:t>19.96%</w:t>
      </w:r>
      <w:r>
        <w:rPr>
          <w:spacing w:val="-6"/>
        </w:rPr>
        <w:t>。</w:t>
      </w:r>
      <w:r>
        <w:rPr>
          <w:spacing w:val="-100"/>
        </w:rPr>
        <w:t> </w:t>
      </w:r>
      <w:r>
        <w:rPr/>
        <w:t>本公司履行出资义务后，商阜创赢一直未办理工商变更登记。本公司于</w:t>
      </w:r>
      <w:r>
        <w:rPr>
          <w:rFonts w:ascii="宋体" w:hAnsi="宋体" w:cs="宋体" w:eastAsia="宋体" w:hint="default"/>
        </w:rPr>
        <w:t>2018</w:t>
      </w:r>
      <w:r>
        <w:rPr/>
        <w:t>年</w:t>
      </w:r>
      <w:r>
        <w:rPr>
          <w:rFonts w:ascii="宋体" w:hAnsi="宋体" w:cs="宋体" w:eastAsia="宋体" w:hint="default"/>
        </w:rPr>
        <w:t>10</w:t>
      </w:r>
      <w:r>
        <w:rPr/>
        <w:t>月向海南省公安厅报案， 并对</w:t>
      </w:r>
      <w:r>
        <w:rPr>
          <w:rFonts w:ascii="宋体" w:hAnsi="宋体" w:cs="宋体" w:eastAsia="宋体" w:hint="default"/>
        </w:rPr>
        <w:t>3.</w:t>
      </w:r>
      <w:r>
        <w:rPr>
          <w:rFonts w:ascii="宋体" w:hAnsi="宋体" w:cs="宋体" w:eastAsia="宋体" w:hint="default"/>
          <w:spacing w:val="-1"/>
        </w:rPr>
        <w:t> </w:t>
      </w:r>
      <w:r>
        <w:rPr>
          <w:rFonts w:ascii="宋体" w:hAnsi="宋体" w:cs="宋体" w:eastAsia="宋体" w:hint="default"/>
        </w:rPr>
        <w:t>33</w:t>
      </w:r>
      <w:r>
        <w:rPr/>
        <w:t>亿元投资款全额计提减值。</w:t>
      </w:r>
    </w:p>
    <w:p>
      <w:pPr>
        <w:pStyle w:val="BodyText"/>
        <w:spacing w:line="420" w:lineRule="auto" w:before="47"/>
        <w:ind w:right="0" w:firstLine="420"/>
        <w:jc w:val="left"/>
      </w:pPr>
      <w:r>
        <w:rPr/>
        <w:t>（</w:t>
      </w:r>
      <w:r>
        <w:rPr>
          <w:rFonts w:ascii="宋体" w:hAnsi="宋体" w:cs="宋体" w:eastAsia="宋体" w:hint="default"/>
        </w:rPr>
        <w:t>5</w:t>
      </w:r>
      <w:r>
        <w:rPr/>
        <w:t>）</w:t>
      </w:r>
      <w:r>
        <w:rPr>
          <w:rFonts w:ascii="宋体" w:hAnsi="宋体" w:cs="宋体" w:eastAsia="宋体" w:hint="default"/>
        </w:rPr>
        <w:t>2018</w:t>
      </w:r>
      <w:r>
        <w:rPr/>
        <w:t>年</w:t>
      </w:r>
      <w:r>
        <w:rPr>
          <w:rFonts w:ascii="宋体" w:hAnsi="宋体" w:cs="宋体" w:eastAsia="宋体" w:hint="default"/>
        </w:rPr>
        <w:t>1</w:t>
      </w:r>
      <w:r>
        <w:rPr/>
        <w:t>月，本公司根据前期签订的合伙协议，实投文旅基金剩余</w:t>
      </w:r>
      <w:r>
        <w:rPr>
          <w:rFonts w:ascii="宋体" w:hAnsi="宋体" w:cs="宋体" w:eastAsia="宋体" w:hint="default"/>
        </w:rPr>
        <w:t>6</w:t>
      </w:r>
      <w:r>
        <w:rPr/>
        <w:t>亿元投资款，至此，已完成 </w:t>
      </w:r>
      <w:r>
        <w:rPr>
          <w:spacing w:val="-1"/>
        </w:rPr>
        <w:t>约定出资义务，合计出资</w:t>
      </w:r>
      <w:r>
        <w:rPr>
          <w:rFonts w:ascii="宋体" w:hAnsi="宋体" w:cs="宋体" w:eastAsia="宋体" w:hint="default"/>
          <w:spacing w:val="-1"/>
        </w:rPr>
        <w:t>10</w:t>
      </w:r>
      <w:r>
        <w:rPr>
          <w:spacing w:val="-1"/>
        </w:rPr>
        <w:t>亿元。由于文旅基金投资的</w:t>
      </w:r>
      <w:r>
        <w:rPr>
          <w:rFonts w:ascii="宋体" w:hAnsi="宋体" w:cs="宋体" w:eastAsia="宋体" w:hint="default"/>
          <w:spacing w:val="-1"/>
        </w:rPr>
        <w:t>20</w:t>
      </w:r>
      <w:r>
        <w:rPr>
          <w:spacing w:val="-1"/>
        </w:rPr>
        <w:t>亿元债权包预计无法收回并计提减值，导致大额</w:t>
      </w:r>
      <w:r>
        <w:rPr>
          <w:spacing w:val="-83"/>
        </w:rPr>
        <w:t> </w:t>
      </w:r>
      <w:r>
        <w:rPr>
          <w:spacing w:val="-83"/>
        </w:rPr>
      </w:r>
      <w:r>
        <w:rPr/>
        <w:t>亏损，进而导致本公司确认</w:t>
      </w:r>
      <w:r>
        <w:rPr>
          <w:rFonts w:ascii="宋体" w:hAnsi="宋体" w:cs="宋体" w:eastAsia="宋体" w:hint="default"/>
        </w:rPr>
        <w:t>9.91</w:t>
      </w:r>
      <w:r>
        <w:rPr/>
        <w:t>亿元投资损失。</w:t>
      </w:r>
    </w:p>
    <w:p>
      <w:pPr>
        <w:pStyle w:val="BodyText"/>
        <w:spacing w:line="420" w:lineRule="auto" w:before="47"/>
        <w:ind w:right="1126" w:firstLine="420"/>
        <w:jc w:val="left"/>
      </w:pPr>
      <w:r>
        <w:rPr>
          <w:spacing w:val="-1"/>
        </w:rPr>
        <w:t>（</w:t>
      </w:r>
      <w:r>
        <w:rPr>
          <w:rFonts w:ascii="宋体" w:hAnsi="宋体" w:cs="宋体" w:eastAsia="宋体" w:hint="default"/>
          <w:spacing w:val="-1"/>
        </w:rPr>
        <w:t>6</w:t>
      </w:r>
      <w:r>
        <w:rPr>
          <w:spacing w:val="-1"/>
        </w:rPr>
        <w:t>）</w:t>
      </w:r>
      <w:r>
        <w:rPr>
          <w:rFonts w:ascii="宋体" w:hAnsi="宋体" w:cs="宋体" w:eastAsia="宋体" w:hint="default"/>
          <w:spacing w:val="-1"/>
        </w:rPr>
        <w:t>2018</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30</w:t>
      </w:r>
      <w:r>
        <w:rPr>
          <w:spacing w:val="-1"/>
        </w:rPr>
        <w:t>日，经本公司第七届董事会</w:t>
      </w:r>
      <w:r>
        <w:rPr>
          <w:rFonts w:ascii="宋体" w:hAnsi="宋体" w:cs="宋体" w:eastAsia="宋体" w:hint="default"/>
          <w:spacing w:val="-1"/>
        </w:rPr>
        <w:t>2018</w:t>
      </w:r>
      <w:r>
        <w:rPr>
          <w:spacing w:val="-1"/>
        </w:rPr>
        <w:t>年第五次临时会议审议批准，本公司与遵义米麦企</w:t>
      </w:r>
      <w:r>
        <w:rPr/>
        <w:t> </w:t>
      </w:r>
      <w:r>
        <w:rPr>
          <w:spacing w:val="-1"/>
        </w:rPr>
        <w:t>业咨询服务中心（有限合伙）（以下简称“遵义米麦”）、深圳市凯普投资有限公司（以下简称“凯普投</w:t>
      </w:r>
      <w:r>
        <w:rPr>
          <w:spacing w:val="-83"/>
        </w:rPr>
        <w:t> </w:t>
      </w:r>
      <w:r>
        <w:rPr>
          <w:spacing w:val="-83"/>
        </w:rPr>
      </w:r>
      <w:r>
        <w:rPr>
          <w:spacing w:val="-6"/>
        </w:rPr>
        <w:t>资”）、陈虹、廖明祯、张丽娜、陈丛山、李坚文、许军声、王涛、彭亮及麦游互动于</w:t>
      </w:r>
      <w:r>
        <w:rPr>
          <w:rFonts w:ascii="宋体" w:hAnsi="宋体" w:cs="宋体" w:eastAsia="宋体" w:hint="default"/>
          <w:spacing w:val="-6"/>
        </w:rPr>
        <w:t>2018 </w:t>
      </w:r>
      <w:r>
        <w:rPr/>
        <w:t>年 </w:t>
      </w:r>
      <w:r>
        <w:rPr>
          <w:rFonts w:ascii="宋体" w:hAnsi="宋体" w:cs="宋体" w:eastAsia="宋体" w:hint="default"/>
        </w:rPr>
        <w:t>3 </w:t>
      </w:r>
      <w:r>
        <w:rPr/>
        <w:t>月 </w:t>
      </w:r>
      <w:r>
        <w:rPr>
          <w:rFonts w:ascii="宋体" w:hAnsi="宋体" w:cs="宋体" w:eastAsia="宋体" w:hint="default"/>
        </w:rPr>
        <w:t>30</w:t>
      </w:r>
      <w:r>
        <w:rPr>
          <w:rFonts w:ascii="宋体" w:hAnsi="宋体" w:cs="宋体" w:eastAsia="宋体" w:hint="default"/>
          <w:spacing w:val="14"/>
        </w:rPr>
        <w:t> </w:t>
      </w:r>
      <w:r>
        <w:rPr/>
        <w:t>日 在上海市共同签订《深圳市麦游互动科技有限公司股权转让协议》，本公司以现金方式分别以</w:t>
      </w:r>
      <w:r>
        <w:rPr>
          <w:rFonts w:ascii="宋体" w:hAnsi="宋体" w:cs="宋体" w:eastAsia="宋体" w:hint="default"/>
        </w:rPr>
        <w:t>14,851.20 </w:t>
      </w:r>
      <w:r>
        <w:rPr/>
        <w:t>万元、</w:t>
      </w:r>
      <w:r>
        <w:rPr>
          <w:rFonts w:ascii="宋体" w:hAnsi="宋体" w:cs="宋体" w:eastAsia="宋体" w:hint="default"/>
        </w:rPr>
        <w:t>3,712.80</w:t>
      </w:r>
      <w:r>
        <w:rPr/>
        <w:t>万元的价格受让遵义米麦、凯普投资持有的麦游互动</w:t>
      </w:r>
      <w:r>
        <w:rPr>
          <w:rFonts w:ascii="宋体" w:hAnsi="宋体" w:cs="宋体" w:eastAsia="宋体" w:hint="default"/>
        </w:rPr>
        <w:t>40.80%</w:t>
      </w:r>
      <w:r>
        <w:rPr/>
        <w:t>股权、</w:t>
      </w:r>
      <w:r>
        <w:rPr>
          <w:rFonts w:ascii="宋体" w:hAnsi="宋体" w:cs="宋体" w:eastAsia="宋体" w:hint="default"/>
        </w:rPr>
        <w:t>10.20%</w:t>
      </w:r>
      <w:r>
        <w:rPr/>
        <w:t>股权，合计</w:t>
      </w:r>
      <w:r>
        <w:rPr>
          <w:rFonts w:ascii="宋体" w:hAnsi="宋体" w:cs="宋体" w:eastAsia="宋体" w:hint="default"/>
        </w:rPr>
        <w:t>51% </w:t>
      </w:r>
      <w:r>
        <w:rPr/>
        <w:t>的股权。截至</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17</w:t>
      </w:r>
      <w:r>
        <w:rPr/>
        <w:t>日，工商登记手续已办理完毕。</w:t>
      </w:r>
    </w:p>
    <w:p>
      <w:pPr>
        <w:pStyle w:val="BodyText"/>
        <w:spacing w:line="420" w:lineRule="auto" w:before="47"/>
        <w:ind w:right="1092" w:firstLine="420"/>
        <w:jc w:val="left"/>
      </w:pPr>
      <w:r>
        <w:rPr/>
        <w:t>（</w:t>
      </w:r>
      <w:r>
        <w:rPr>
          <w:rFonts w:ascii="宋体" w:hAnsi="宋体" w:cs="宋体" w:eastAsia="宋体" w:hint="default"/>
        </w:rPr>
        <w:t>7</w:t>
      </w:r>
      <w:r>
        <w:rPr/>
        <w:t>）</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16</w:t>
      </w:r>
      <w:r>
        <w:rPr/>
        <w:t>日，经本公司第七届董事会</w:t>
      </w:r>
      <w:r>
        <w:rPr>
          <w:rFonts w:ascii="宋体" w:hAnsi="宋体" w:cs="宋体" w:eastAsia="宋体" w:hint="default"/>
        </w:rPr>
        <w:t>2018</w:t>
      </w:r>
      <w:r>
        <w:rPr/>
        <w:t>年第十次临时会议审议批准，本公司与子栋科技、 </w:t>
      </w:r>
      <w:r>
        <w:rPr>
          <w:spacing w:val="-1"/>
        </w:rPr>
        <w:t>嘉兴慧河股权投资合伙企业（有限合伙）（以下简称“嘉兴慧河”）、拉萨鼎金、新余正佳智诚投资中心</w:t>
      </w:r>
    </w:p>
    <w:p>
      <w:pPr>
        <w:pStyle w:val="BodyText"/>
        <w:spacing w:line="240" w:lineRule="auto" w:before="47"/>
        <w:ind w:right="0"/>
        <w:jc w:val="left"/>
      </w:pPr>
      <w:r>
        <w:rPr>
          <w:spacing w:val="-3"/>
        </w:rPr>
        <w:t>（有限合伙）（以下简称“新余正佳”）、新余华浩远翔投资中心（有限合伙）（以下简称“新余华浩”）</w:t>
      </w:r>
    </w:p>
    <w:p>
      <w:pPr>
        <w:spacing w:line="240" w:lineRule="auto" w:before="9"/>
        <w:rPr>
          <w:rFonts w:ascii="宋体" w:hAnsi="宋体" w:cs="宋体" w:eastAsia="宋体" w:hint="default"/>
          <w:sz w:val="15"/>
          <w:szCs w:val="15"/>
        </w:rPr>
      </w:pPr>
    </w:p>
    <w:p>
      <w:pPr>
        <w:pStyle w:val="BodyText"/>
        <w:spacing w:line="420" w:lineRule="auto"/>
        <w:ind w:right="0"/>
        <w:jc w:val="left"/>
      </w:pPr>
      <w:r>
        <w:rPr>
          <w:spacing w:val="-1"/>
        </w:rPr>
        <w:t>（以下合称“交易对方”）、新意资本基金管理（深圳）有限公司（以下简称“新意资本”）及车音智能</w:t>
      </w:r>
      <w:r>
        <w:rPr>
          <w:spacing w:val="-83"/>
        </w:rPr>
        <w:t> </w:t>
      </w:r>
      <w:r>
        <w:rPr>
          <w:spacing w:val="-83"/>
        </w:rPr>
      </w:r>
      <w:r>
        <w:rPr/>
        <w:t>于</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16</w:t>
      </w:r>
      <w:r>
        <w:rPr/>
        <w:t>日在上海市共同签订《股权转让协议》，公司以现金方式以</w:t>
      </w:r>
      <w:r>
        <w:rPr>
          <w:rFonts w:ascii="宋体" w:hAnsi="宋体" w:cs="宋体" w:eastAsia="宋体" w:hint="default"/>
        </w:rPr>
        <w:t>166,800.00</w:t>
      </w:r>
      <w:r>
        <w:rPr/>
        <w:t>万元的价格购买交 </w:t>
      </w:r>
      <w:r>
        <w:rPr>
          <w:spacing w:val="-7"/>
        </w:rPr>
        <w:t>易对方合计持有的车音智能</w:t>
      </w:r>
      <w:r>
        <w:rPr>
          <w:rFonts w:ascii="宋体" w:hAnsi="宋体" w:cs="宋体" w:eastAsia="宋体" w:hint="default"/>
          <w:spacing w:val="-7"/>
        </w:rPr>
        <w:t>60%</w:t>
      </w:r>
      <w:r>
        <w:rPr>
          <w:spacing w:val="-7"/>
        </w:rPr>
        <w:t>股权。其中，公司以</w:t>
      </w:r>
      <w:r>
        <w:rPr>
          <w:rFonts w:ascii="宋体" w:hAnsi="宋体" w:cs="宋体" w:eastAsia="宋体" w:hint="default"/>
          <w:spacing w:val="-7"/>
        </w:rPr>
        <w:t>30,987.55</w:t>
      </w:r>
      <w:r>
        <w:rPr>
          <w:spacing w:val="-7"/>
        </w:rPr>
        <w:t>万元、</w:t>
      </w:r>
      <w:r>
        <w:rPr>
          <w:rFonts w:ascii="宋体" w:hAnsi="宋体" w:cs="宋体" w:eastAsia="宋体" w:hint="default"/>
          <w:spacing w:val="-7"/>
        </w:rPr>
        <w:t>81,751.18</w:t>
      </w:r>
      <w:r>
        <w:rPr>
          <w:spacing w:val="-7"/>
        </w:rPr>
        <w:t>万元、</w:t>
      </w:r>
      <w:r>
        <w:rPr>
          <w:rFonts w:ascii="宋体" w:hAnsi="宋体" w:cs="宋体" w:eastAsia="宋体" w:hint="default"/>
          <w:spacing w:val="-7"/>
        </w:rPr>
        <w:t>30,987.27</w:t>
      </w:r>
      <w:r>
        <w:rPr>
          <w:spacing w:val="-7"/>
        </w:rPr>
        <w:t>万元、</w:t>
      </w:r>
      <w:r>
        <w:rPr>
          <w:rFonts w:ascii="宋体" w:hAnsi="宋体" w:cs="宋体" w:eastAsia="宋体" w:hint="default"/>
          <w:spacing w:val="-7"/>
        </w:rPr>
        <w:t>13,900</w:t>
      </w:r>
      <w:r>
        <w:rPr>
          <w:rFonts w:ascii="宋体" w:hAnsi="宋体" w:cs="宋体" w:eastAsia="宋体" w:hint="default"/>
          <w:spacing w:val="-91"/>
        </w:rPr>
        <w:t> </w:t>
      </w:r>
      <w:r>
        <w:rPr>
          <w:rFonts w:ascii="宋体" w:hAnsi="宋体" w:cs="宋体" w:eastAsia="宋体" w:hint="default"/>
          <w:spacing w:val="-91"/>
        </w:rPr>
      </w:r>
      <w:r>
        <w:rPr/>
        <w:t>万元、</w:t>
      </w:r>
      <w:r>
        <w:rPr>
          <w:rFonts w:ascii="宋体" w:hAnsi="宋体" w:cs="宋体" w:eastAsia="宋体" w:hint="default"/>
        </w:rPr>
        <w:t>9,174</w:t>
      </w:r>
      <w:r>
        <w:rPr/>
        <w:t>万元的价格购买子栋科技、嘉兴慧河、拉萨鼎金、新余正佳、新余华浩分别持有的车音智能 </w:t>
      </w:r>
      <w:r>
        <w:rPr>
          <w:rFonts w:ascii="宋体" w:hAnsi="宋体" w:cs="宋体" w:eastAsia="宋体" w:hint="default"/>
          <w:spacing w:val="-1"/>
        </w:rPr>
        <w:t>11.1466%</w:t>
      </w:r>
      <w:r>
        <w:rPr>
          <w:spacing w:val="-1"/>
        </w:rPr>
        <w:t>、</w:t>
      </w:r>
      <w:r>
        <w:rPr>
          <w:rFonts w:ascii="宋体" w:hAnsi="宋体" w:cs="宋体" w:eastAsia="宋体" w:hint="default"/>
          <w:spacing w:val="-1"/>
        </w:rPr>
        <w:t>29.4069%</w:t>
      </w:r>
      <w:r>
        <w:rPr>
          <w:spacing w:val="-1"/>
        </w:rPr>
        <w:t>、</w:t>
      </w:r>
      <w:r>
        <w:rPr>
          <w:rFonts w:ascii="宋体" w:hAnsi="宋体" w:cs="宋体" w:eastAsia="宋体" w:hint="default"/>
          <w:spacing w:val="-1"/>
        </w:rPr>
        <w:t>11.1465%</w:t>
      </w:r>
      <w:r>
        <w:rPr>
          <w:spacing w:val="-1"/>
        </w:rPr>
        <w:t>、</w:t>
      </w:r>
      <w:r>
        <w:rPr>
          <w:rFonts w:ascii="宋体" w:hAnsi="宋体" w:cs="宋体" w:eastAsia="宋体" w:hint="default"/>
          <w:spacing w:val="-1"/>
        </w:rPr>
        <w:t>5%</w:t>
      </w:r>
      <w:r>
        <w:rPr>
          <w:spacing w:val="-1"/>
        </w:rPr>
        <w:t>、</w:t>
      </w:r>
      <w:r>
        <w:rPr>
          <w:rFonts w:ascii="宋体" w:hAnsi="宋体" w:cs="宋体" w:eastAsia="宋体" w:hint="default"/>
          <w:spacing w:val="-1"/>
        </w:rPr>
        <w:t>3.3%</w:t>
      </w:r>
      <w:r>
        <w:rPr>
          <w:spacing w:val="-1"/>
        </w:rPr>
        <w:t>的股权。截至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日，尚有</w:t>
      </w:r>
      <w:r>
        <w:rPr>
          <w:rFonts w:ascii="宋体" w:hAnsi="宋体" w:cs="宋体" w:eastAsia="宋体" w:hint="default"/>
          <w:spacing w:val="-1"/>
        </w:rPr>
        <w:t>8,000.00</w:t>
      </w:r>
      <w:r>
        <w:rPr>
          <w:spacing w:val="-1"/>
        </w:rPr>
        <w:t>万股权购买款暂</w:t>
      </w:r>
      <w:r>
        <w:rPr>
          <w:spacing w:val="-68"/>
        </w:rPr>
        <w:t> </w:t>
      </w:r>
      <w:r>
        <w:rPr>
          <w:spacing w:val="-68"/>
        </w:rPr>
      </w:r>
      <w:r>
        <w:rPr/>
        <w:t>未支付，工商登记手续已办理完毕。</w:t>
      </w:r>
    </w:p>
    <w:p>
      <w:pPr>
        <w:pStyle w:val="BodyText"/>
        <w:spacing w:line="240" w:lineRule="auto" w:before="47"/>
        <w:ind w:left="574" w:right="0"/>
        <w:jc w:val="left"/>
      </w:pPr>
      <w:r>
        <w:rPr/>
        <w:t>（</w:t>
      </w:r>
      <w:r>
        <w:rPr>
          <w:rFonts w:ascii="宋体" w:hAnsi="宋体" w:cs="宋体" w:eastAsia="宋体" w:hint="default"/>
        </w:rPr>
        <w:t>8</w:t>
      </w:r>
      <w:r>
        <w:rPr/>
        <w:t>）</w:t>
      </w:r>
      <w:r>
        <w:rPr>
          <w:rFonts w:ascii="宋体" w:hAnsi="宋体" w:cs="宋体" w:eastAsia="宋体" w:hint="default"/>
        </w:rPr>
        <w:t>2018 </w:t>
      </w:r>
      <w:r>
        <w:rPr/>
        <w:t>年 </w:t>
      </w:r>
      <w:r>
        <w:rPr>
          <w:rFonts w:ascii="宋体" w:hAnsi="宋体" w:cs="宋体" w:eastAsia="宋体" w:hint="default"/>
        </w:rPr>
        <w:t>12 </w:t>
      </w:r>
      <w:r>
        <w:rPr/>
        <w:t>月 </w:t>
      </w:r>
      <w:r>
        <w:rPr>
          <w:rFonts w:ascii="宋体" w:hAnsi="宋体" w:cs="宋体" w:eastAsia="宋体" w:hint="default"/>
        </w:rPr>
        <w:t>29</w:t>
      </w:r>
      <w:r>
        <w:rPr>
          <w:rFonts w:ascii="宋体" w:hAnsi="宋体" w:cs="宋体" w:eastAsia="宋体" w:hint="default"/>
          <w:spacing w:val="-29"/>
        </w:rPr>
        <w:t> </w:t>
      </w:r>
      <w:r>
        <w:rPr/>
        <w:t>日，重庆华博与重庆时报社、辽宁盈丰与华商晨报社分别在重庆市、辽宁省</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沈阳市签署了《</w:t>
      </w:r>
      <w:r>
        <w:rPr>
          <w:rFonts w:ascii="宋体" w:hAnsi="宋体" w:cs="宋体" w:eastAsia="宋体" w:hint="default"/>
        </w:rPr>
        <w:t>&lt;</w:t>
      </w:r>
      <w:r>
        <w:rPr/>
        <w:t>经营性业务授权协议</w:t>
      </w:r>
      <w:r>
        <w:rPr>
          <w:rFonts w:ascii="宋体" w:hAnsi="宋体" w:cs="宋体" w:eastAsia="宋体" w:hint="default"/>
        </w:rPr>
        <w:t>&gt;</w:t>
      </w:r>
      <w:r>
        <w:rPr/>
        <w:t>终止协议》，均于 </w:t>
      </w:r>
      <w:r>
        <w:rPr>
          <w:rFonts w:ascii="宋体" w:hAnsi="宋体" w:cs="宋体" w:eastAsia="宋体" w:hint="default"/>
        </w:rPr>
        <w:t>2018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30"/>
        </w:rPr>
        <w:t> </w:t>
      </w:r>
      <w:r>
        <w:rPr/>
        <w:t>日终止《经营性业务授权协</w:t>
      </w:r>
    </w:p>
    <w:p>
      <w:pPr>
        <w:spacing w:line="240" w:lineRule="auto" w:before="9"/>
        <w:rPr>
          <w:rFonts w:ascii="宋体" w:hAnsi="宋体" w:cs="宋体" w:eastAsia="宋体" w:hint="default"/>
          <w:sz w:val="15"/>
          <w:szCs w:val="15"/>
        </w:rPr>
      </w:pPr>
    </w:p>
    <w:p>
      <w:pPr>
        <w:pStyle w:val="BodyText"/>
        <w:spacing w:line="240" w:lineRule="auto"/>
        <w:ind w:right="0"/>
        <w:jc w:val="left"/>
      </w:pPr>
      <w:r>
        <w:rPr/>
        <w:t>议》。重庆时报社已经决定自 </w:t>
      </w:r>
      <w:r>
        <w:rPr>
          <w:rFonts w:ascii="宋体" w:hAnsi="宋体" w:cs="宋体" w:eastAsia="宋体" w:hint="default"/>
        </w:rPr>
        <w:t>2019 </w:t>
      </w:r>
      <w:r>
        <w:rPr/>
        <w:t>年 </w:t>
      </w:r>
      <w:r>
        <w:rPr>
          <w:rFonts w:ascii="宋体" w:hAnsi="宋体" w:cs="宋体" w:eastAsia="宋体" w:hint="default"/>
        </w:rPr>
        <w:t>1 </w:t>
      </w:r>
      <w:r>
        <w:rPr/>
        <w:t>月 </w:t>
      </w:r>
      <w:r>
        <w:rPr>
          <w:rFonts w:ascii="宋体" w:hAnsi="宋体" w:cs="宋体" w:eastAsia="宋体" w:hint="default"/>
        </w:rPr>
        <w:t>1 </w:t>
      </w:r>
      <w:r>
        <w:rPr/>
        <w:t>日起《重庆时报》休刊，华商晨报社已经决定自 </w:t>
      </w:r>
      <w:r>
        <w:rPr>
          <w:rFonts w:ascii="宋体" w:hAnsi="宋体" w:cs="宋体" w:eastAsia="宋体" w:hint="default"/>
        </w:rPr>
        <w:t>2019</w:t>
      </w:r>
      <w:r>
        <w:rPr>
          <w:rFonts w:ascii="宋体" w:hAnsi="宋体" w:cs="宋体" w:eastAsia="宋体" w:hint="default"/>
          <w:spacing w:val="-25"/>
        </w:rPr>
        <w:t> </w:t>
      </w:r>
      <w:r>
        <w:rPr/>
        <w:t>年</w:t>
      </w:r>
    </w:p>
    <w:p>
      <w:pPr>
        <w:spacing w:line="240" w:lineRule="auto" w:before="9"/>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1 </w:t>
      </w:r>
      <w:r>
        <w:rPr/>
        <w:t>月 </w:t>
      </w:r>
      <w:r>
        <w:rPr>
          <w:rFonts w:ascii="宋体" w:hAnsi="宋体" w:cs="宋体" w:eastAsia="宋体" w:hint="default"/>
        </w:rPr>
        <w:t>1</w:t>
      </w:r>
      <w:r>
        <w:rPr>
          <w:rFonts w:ascii="宋体" w:hAnsi="宋体" w:cs="宋体" w:eastAsia="宋体" w:hint="default"/>
          <w:spacing w:val="-2"/>
        </w:rPr>
        <w:t> </w:t>
      </w:r>
      <w:r>
        <w:rPr/>
        <w:t>日起《华商晨报》休刊。</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3、终止经营" w:id="386"/>
      <w:bookmarkEnd w:id="386"/>
      <w:r>
        <w:rPr>
          <w:b w:val="0"/>
          <w:bCs w:val="0"/>
        </w:rPr>
      </w:r>
      <w:r>
        <w:rPr>
          <w:rFonts w:ascii="宋体" w:hAnsi="宋体" w:cs="宋体" w:eastAsia="宋体" w:hint="default"/>
        </w:rPr>
        <w:t>3</w:t>
      </w:r>
      <w:r>
        <w:rPr/>
        <w:t>、终止经营</w:t>
      </w:r>
      <w:r>
        <w:rPr>
          <w:b w:val="0"/>
          <w:bCs w:val="0"/>
        </w:rPr>
      </w:r>
    </w:p>
    <w:p>
      <w:pPr>
        <w:spacing w:line="240" w:lineRule="auto" w:before="2"/>
        <w:rPr>
          <w:rFonts w:ascii="宋体" w:hAnsi="宋体" w:cs="宋体" w:eastAsia="宋体" w:hint="default"/>
          <w:b/>
          <w:bCs/>
          <w:sz w:val="23"/>
          <w:szCs w:val="2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94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华闻糖心</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3,074,541.61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-3,074,541.61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-3,074,541.61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-1,844,724.97</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生龙广告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2,361,165.04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649,757.26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1,711,407.78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87,679.11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1,623,728.67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865,983.21</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酷食餐饮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精视精框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87,362.64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-6,717.48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-6,729.20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-6,729.20</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邦富软件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3,466,463.84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7,474,953.76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-7,859,148.49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-7,859,148.49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-7,859,148.49</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国广风尚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-9,725.60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7,506.01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7,506.01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7,506.01</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华商盈泰</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10,884.80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-23,683.40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-23,683.40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-23,683.40</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乌鲁木齐黄马甲</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1,201.96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-1,201.96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-1,201.96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-1,201.96</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拉萨掌视亿通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7,176.27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185,109.78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15,929.12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169,180.66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169,180.66</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沈阳辽一网络</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8,878.69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-1,328,883.29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-1,328,883.29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-996,662.47</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新海岸酒店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246,646.09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25,983.81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67,812.43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67,812.43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67,812.43</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怀远天下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17,234.03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-35,724.45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-40,724.45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-40,724.45</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山南国视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334,931.11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-338,223.52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-338,223.52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-338,223.52</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爱达投资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16,073,804.15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26,954,315.47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-13,743,109.06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-13,743,109.06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-12,368,798.15</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有个表情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1,204.54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1,630,376.81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-1,665,963.89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-1,819,661.61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-1,819,661.61</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北京华商盈捷</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672,770.91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1,156,918.45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1,156,918.45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1,041,226.61</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北京车音中安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22,149,283.66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40,940,643.53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-24,948,442.70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108,619.95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-25,210,760.37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-23,147,849.30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分部信息" w:id="387"/>
      <w:bookmarkEnd w:id="387"/>
      <w:r>
        <w:rPr>
          <w:b w:val="0"/>
          <w:bCs w:val="0"/>
        </w:rPr>
      </w:r>
      <w:r>
        <w:rPr>
          <w:rFonts w:ascii="宋体" w:hAnsi="宋体" w:cs="宋体" w:eastAsia="宋体" w:hint="default"/>
        </w:rPr>
        <w:t>4</w:t>
      </w:r>
      <w:r>
        <w:rPr/>
        <w:t>、分部信息</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left"/>
        <w:rPr>
          <w:b w:val="0"/>
          <w:bCs w:val="0"/>
        </w:rPr>
      </w:pPr>
      <w:bookmarkStart w:name="（1）报告分部的确定依据与会计政策" w:id="388"/>
      <w:bookmarkEnd w:id="388"/>
      <w:r>
        <w:rPr>
          <w:b w:val="0"/>
          <w:bCs w:val="0"/>
        </w:rPr>
      </w:r>
      <w:r>
        <w:rPr/>
        <w:t>（</w:t>
      </w:r>
      <w:r>
        <w:rPr>
          <w:rFonts w:ascii="宋体" w:hAnsi="宋体" w:cs="宋体" w:eastAsia="宋体" w:hint="default"/>
        </w:rPr>
        <w:t>1</w:t>
      </w:r>
      <w:r>
        <w:rPr/>
        <w:t>）报告分部的确定依据与会计政策</w:t>
      </w:r>
      <w:r>
        <w:rPr>
          <w:b w:val="0"/>
          <w:bCs w:val="0"/>
        </w:rPr>
      </w:r>
    </w:p>
    <w:p>
      <w:pPr>
        <w:spacing w:line="240" w:lineRule="auto" w:before="0"/>
        <w:rPr>
          <w:rFonts w:ascii="宋体" w:hAnsi="宋体" w:cs="宋体" w:eastAsia="宋体" w:hint="default"/>
          <w:b/>
          <w:bCs/>
          <w:sz w:val="20"/>
          <w:szCs w:val="20"/>
        </w:rPr>
      </w:pPr>
    </w:p>
    <w:p>
      <w:pPr>
        <w:pStyle w:val="BodyText"/>
        <w:spacing w:line="420" w:lineRule="auto" w:before="169"/>
        <w:ind w:right="0"/>
        <w:jc w:val="left"/>
      </w:pPr>
      <w:r>
        <w:rPr/>
        <w:t>根据本公司的内部组织结构、管理要求及内部报告制度确定了</w:t>
      </w:r>
      <w:r>
        <w:rPr>
          <w:rFonts w:ascii="宋体" w:hAnsi="宋体" w:cs="宋体" w:eastAsia="宋体" w:hint="default"/>
        </w:rPr>
        <w:t>7</w:t>
      </w:r>
      <w:r>
        <w:rPr/>
        <w:t>个报告分部，分别为：传播与文化产业、 </w:t>
      </w:r>
      <w:r>
        <w:rPr>
          <w:spacing w:val="-1"/>
        </w:rPr>
        <w:t>燃气生产和供应业、数字内容服务业、网络与信息安全服务业、动漫产品及动漫服务业、房地产销售业务</w:t>
      </w:r>
      <w:r>
        <w:rPr>
          <w:spacing w:val="-86"/>
        </w:rPr>
        <w:t> </w:t>
      </w:r>
      <w:r>
        <w:rPr>
          <w:spacing w:val="-86"/>
        </w:rPr>
      </w:r>
      <w:r>
        <w:rPr>
          <w:spacing w:val="-1"/>
        </w:rPr>
        <w:t>及资本投资业务。本公司的各个报告分部分别提供不同的产品或服务。本公司的管理层定期评价这些分部</w:t>
      </w:r>
      <w:r>
        <w:rPr>
          <w:spacing w:val="-81"/>
        </w:rPr>
        <w:t> </w:t>
      </w:r>
      <w:r>
        <w:rPr>
          <w:spacing w:val="-81"/>
        </w:rPr>
      </w:r>
      <w:r>
        <w:rPr/>
        <w:t>的经营成果，以决定向其分配资源及评价其业绩。 </w:t>
      </w:r>
      <w:r>
        <w:rPr>
          <w:spacing w:val="-1"/>
        </w:rPr>
        <w:t>分部间转移价格按照实际交易价格为基础确定，间接归属于各分部的费用按照资源的投入情况在分部之间</w:t>
      </w:r>
      <w:r>
        <w:rPr>
          <w:spacing w:val="-81"/>
        </w:rPr>
        <w:t> </w:t>
      </w:r>
      <w:r>
        <w:rPr>
          <w:spacing w:val="-81"/>
        </w:rPr>
      </w:r>
      <w:r>
        <w:rPr>
          <w:spacing w:val="-1"/>
        </w:rPr>
        <w:t>进行分配。资产根据分部的经营以及资产的所在位置进行分配，分部负债包括分部经营活动形成的可归属</w:t>
      </w:r>
    </w:p>
    <w:p>
      <w:pPr>
        <w:spacing w:after="0" w:line="42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20" w:lineRule="auto"/>
        <w:ind w:right="0"/>
        <w:jc w:val="left"/>
      </w:pPr>
      <w:r>
        <w:rPr>
          <w:spacing w:val="-1"/>
        </w:rPr>
        <w:t>于该分部的负债。如果多个经营分部共同承担的负债相关的费用分配给这些经营分部，该共同承担的负债</w:t>
      </w:r>
      <w:r>
        <w:rPr>
          <w:spacing w:val="-81"/>
        </w:rPr>
        <w:t> </w:t>
      </w:r>
      <w:r>
        <w:rPr>
          <w:spacing w:val="-81"/>
        </w:rPr>
      </w:r>
      <w:r>
        <w:rPr/>
        <w:t>也分配给这些经营分部。</w:t>
      </w:r>
    </w:p>
    <w:p>
      <w:pPr>
        <w:pStyle w:val="BodyText"/>
        <w:spacing w:line="420" w:lineRule="auto" w:before="47"/>
        <w:ind w:right="1116"/>
        <w:jc w:val="left"/>
      </w:pPr>
      <w:r>
        <w:rPr/>
        <w:t>本集团各个报告分部提供的主要服务分别如下： </w:t>
      </w:r>
      <w:r>
        <w:rPr>
          <w:rFonts w:ascii="宋体" w:hAnsi="宋体" w:cs="宋体" w:eastAsia="宋体" w:hint="default"/>
        </w:rPr>
        <w:t>A</w:t>
      </w:r>
      <w:r>
        <w:rPr/>
        <w:t>．传播与文化产业，指信息传播服务及相关商品销售配送、印刷、出国留学相关业务，包含华商传媒及 </w:t>
      </w:r>
      <w:r>
        <w:rPr>
          <w:spacing w:val="-1"/>
        </w:rPr>
        <w:t>其下属子公司（不含华商盈通及其子公司）、时报传媒、国广光荣、民享投资、澄怀科技、精视文化、爱</w:t>
      </w:r>
      <w:r>
        <w:rPr>
          <w:spacing w:val="-84"/>
        </w:rPr>
        <w:t> </w:t>
      </w:r>
      <w:r>
        <w:rPr>
          <w:spacing w:val="-84"/>
        </w:rPr>
      </w:r>
      <w:r>
        <w:rPr/>
        <w:t>视网络等。 </w:t>
      </w:r>
      <w:r>
        <w:rPr>
          <w:rFonts w:ascii="宋体" w:hAnsi="宋体" w:cs="宋体" w:eastAsia="宋体" w:hint="default"/>
        </w:rPr>
        <w:t>B</w:t>
      </w:r>
      <w:r>
        <w:rPr/>
        <w:t>．燃气生产和供应业，指从事管道天然气销售、燃气用具销售、燃气管网施工及安装的民生燃气及其下 属子公司。</w:t>
      </w:r>
    </w:p>
    <w:p>
      <w:pPr>
        <w:pStyle w:val="BodyText"/>
        <w:spacing w:line="420" w:lineRule="auto" w:before="47"/>
        <w:ind w:right="1197"/>
        <w:jc w:val="left"/>
      </w:pPr>
      <w:r>
        <w:rPr>
          <w:rFonts w:ascii="宋体" w:hAnsi="宋体" w:cs="宋体" w:eastAsia="宋体" w:hint="default"/>
        </w:rPr>
        <w:t>C</w:t>
      </w:r>
      <w:r>
        <w:rPr/>
        <w:t>．数字内容服务业，指从事视频信息服务的华闻视讯及其下属子公司。 </w:t>
      </w:r>
      <w:r>
        <w:rPr>
          <w:rFonts w:ascii="宋体" w:hAnsi="宋体" w:cs="宋体" w:eastAsia="宋体" w:hint="default"/>
        </w:rPr>
        <w:t>D</w:t>
      </w:r>
      <w:r>
        <w:rPr/>
        <w:t>．网络与信息安全服务业，指销售网络及信息安全相关硬件、软件的邦富软件。 </w:t>
      </w:r>
      <w:r>
        <w:rPr>
          <w:rFonts w:ascii="宋体" w:hAnsi="宋体" w:cs="宋体" w:eastAsia="宋体" w:hint="default"/>
        </w:rPr>
        <w:t>E</w:t>
      </w:r>
      <w:r>
        <w:rPr/>
        <w:t>．动漫产品及动漫服务业，指销售漫画图书、期刊及周边产品及提供动漫服务的漫友文化及其下属子公 司。</w:t>
      </w:r>
    </w:p>
    <w:p>
      <w:pPr>
        <w:pStyle w:val="BodyText"/>
        <w:spacing w:line="420" w:lineRule="auto" w:before="47"/>
        <w:ind w:right="1197"/>
        <w:jc w:val="left"/>
      </w:pPr>
      <w:r>
        <w:rPr>
          <w:rFonts w:ascii="宋体" w:hAnsi="宋体" w:cs="宋体" w:eastAsia="宋体" w:hint="default"/>
        </w:rPr>
        <w:t>F</w:t>
      </w:r>
      <w:r>
        <w:rPr/>
        <w:t>．房地产销售业务，指从事房地产业务的新海岸、椰德利及丰泽投资。 </w:t>
      </w:r>
      <w:r>
        <w:rPr>
          <w:rFonts w:ascii="宋体" w:hAnsi="宋体" w:cs="宋体" w:eastAsia="宋体" w:hint="default"/>
        </w:rPr>
        <w:t>G</w:t>
      </w:r>
      <w:r>
        <w:rPr/>
        <w:t>．资本投资业务，指从事</w:t>
      </w:r>
      <w:r>
        <w:rPr>
          <w:rFonts w:ascii="宋体" w:hAnsi="宋体" w:cs="宋体" w:eastAsia="宋体" w:hint="default"/>
        </w:rPr>
        <w:t>PE</w:t>
      </w:r>
      <w:r>
        <w:rPr/>
        <w:t>投资、股票二级市场投资等资本投资的上海鸿立、华商盈通、鸿立华享及山 南华闻。</w:t>
      </w:r>
    </w:p>
    <w:p>
      <w:pPr>
        <w:pStyle w:val="BodyText"/>
        <w:spacing w:line="240" w:lineRule="auto" w:before="47"/>
        <w:ind w:right="0"/>
        <w:jc w:val="left"/>
      </w:pPr>
      <w:r>
        <w:rPr>
          <w:rFonts w:ascii="宋体" w:hAnsi="宋体" w:cs="宋体" w:eastAsia="宋体" w:hint="default"/>
        </w:rPr>
        <w:t>H</w:t>
      </w:r>
      <w:r>
        <w:rPr/>
        <w:t>．软件信息服务业务，指从事软件信息服务的麦游互动、车音智能。</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3"/>
          <w:szCs w:val="23"/>
        </w:rPr>
      </w:pPr>
    </w:p>
    <w:p>
      <w:pPr>
        <w:pStyle w:val="Heading4"/>
        <w:spacing w:line="240" w:lineRule="auto"/>
        <w:ind w:left="680" w:right="0"/>
        <w:jc w:val="left"/>
        <w:rPr>
          <w:b w:val="0"/>
          <w:bCs w:val="0"/>
        </w:rPr>
      </w:pPr>
      <w:r>
        <w:rPr/>
        <w:pict>
          <v:group style="position:absolute;margin-left:70.5pt;margin-top:-.39635pt;width:701pt;height:.1pt;mso-position-horizontal-relative:page;mso-position-vertical-relative:paragraph;z-index:3232" coordorigin="1410,-8" coordsize="14020,2">
            <v:shape style="position:absolute;left:1410;top:-8;width:14020;height:2" coordorigin="1410,-8" coordsize="14020,0" path="m1410,-8l15430,-8e" filled="false" stroked="true" strokeweight=".72pt" strokecolor="#000000">
              <v:path arrowok="t"/>
            </v:shape>
            <w10:wrap type="none"/>
          </v:group>
        </w:pict>
      </w:r>
      <w:bookmarkStart w:name="（2）报告分部的财务信息" w:id="389"/>
      <w:bookmarkEnd w:id="389"/>
      <w:r>
        <w:rPr>
          <w:b w:val="0"/>
          <w:bCs w:val="0"/>
        </w:rPr>
      </w:r>
      <w:r>
        <w:rPr>
          <w:w w:val="95"/>
        </w:rPr>
        <w:t>（</w:t>
      </w:r>
      <w:r>
        <w:rPr>
          <w:rFonts w:ascii="宋体" w:hAnsi="宋体" w:cs="宋体" w:eastAsia="宋体" w:hint="default"/>
          <w:w w:val="95"/>
        </w:rPr>
        <w:t>2</w:t>
      </w:r>
      <w:r>
        <w:rPr>
          <w:w w:val="95"/>
        </w:rPr>
        <w:t>）报告分部的财务信息</w:t>
      </w:r>
      <w:r>
        <w:rPr>
          <w:b w:val="0"/>
          <w:bCs w:val="0"/>
        </w:rPr>
      </w:r>
    </w:p>
    <w:p>
      <w:pPr>
        <w:spacing w:before="15"/>
        <w:ind w:left="68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63"/>
          <w:footerReference w:type="default" r:id="rId64"/>
          <w:pgSz w:w="16840" w:h="11910" w:orient="landscape"/>
          <w:pgMar w:header="0" w:footer="0" w:top="800" w:bottom="0" w:left="760" w:right="540"/>
          <w:cols w:num="2" w:equalWidth="0">
            <w:col w:w="3104" w:space="6625"/>
            <w:col w:w="5811"/>
          </w:cols>
        </w:sectPr>
      </w:pPr>
    </w:p>
    <w:p>
      <w:pPr>
        <w:spacing w:line="240" w:lineRule="auto" w:before="5"/>
        <w:rPr>
          <w:rFonts w:ascii="宋体" w:hAnsi="宋体" w:cs="宋体" w:eastAsia="宋体" w:hint="default"/>
          <w:sz w:val="24"/>
          <w:szCs w:val="24"/>
        </w:rPr>
      </w:pPr>
    </w:p>
    <w:p>
      <w:pPr>
        <w:spacing w:before="44"/>
        <w:ind w:left="0" w:right="89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135"/>
        <w:gridCol w:w="1542"/>
        <w:gridCol w:w="1417"/>
        <w:gridCol w:w="1277"/>
        <w:gridCol w:w="1416"/>
        <w:gridCol w:w="1419"/>
        <w:gridCol w:w="1417"/>
        <w:gridCol w:w="1435"/>
        <w:gridCol w:w="1417"/>
        <w:gridCol w:w="1416"/>
        <w:gridCol w:w="1417"/>
      </w:tblGrid>
      <w:tr>
        <w:trPr>
          <w:trHeight w:val="161" w:hRule="exact"/>
        </w:trPr>
        <w:tc>
          <w:tcPr>
            <w:tcW w:w="1135" w:type="dxa"/>
            <w:vMerge w:val="restart"/>
            <w:tcBorders>
              <w:top w:val="single" w:sz="4" w:space="0" w:color="000000"/>
              <w:left w:val="single" w:sz="4" w:space="0" w:color="000000"/>
              <w:right w:val="single" w:sz="10" w:space="0" w:color="D9D9D9"/>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42" w:type="dxa"/>
            <w:tcBorders>
              <w:top w:val="single" w:sz="4" w:space="0" w:color="000000"/>
              <w:left w:val="single" w:sz="4" w:space="0" w:color="000000"/>
              <w:bottom w:val="nil" w:sz="6" w:space="0" w:color="auto"/>
              <w:right w:val="single" w:sz="4" w:space="0" w:color="000000"/>
            </w:tcBorders>
            <w:shd w:val="clear" w:color="auto" w:fill="D9D9D9"/>
          </w:tcPr>
          <w:p>
            <w:pPr/>
          </w:p>
        </w:tc>
        <w:tc>
          <w:tcPr>
            <w:tcW w:w="1417" w:type="dxa"/>
            <w:tcBorders>
              <w:top w:val="single" w:sz="4" w:space="0" w:color="000000"/>
              <w:left w:val="single" w:sz="4" w:space="0" w:color="000000"/>
              <w:bottom w:val="nil" w:sz="6" w:space="0" w:color="auto"/>
              <w:right w:val="single" w:sz="4" w:space="0" w:color="000000"/>
            </w:tcBorders>
            <w:shd w:val="clear" w:color="auto" w:fill="D9D9D9"/>
          </w:tcPr>
          <w:p>
            <w:pPr/>
          </w:p>
        </w:tc>
        <w:tc>
          <w:tcPr>
            <w:tcW w:w="1277"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10"/>
              <w:ind w:left="273" w:right="91" w:hanging="180"/>
              <w:jc w:val="left"/>
              <w:rPr>
                <w:rFonts w:ascii="宋体" w:hAnsi="宋体" w:cs="宋体" w:eastAsia="宋体" w:hint="default"/>
                <w:sz w:val="18"/>
                <w:szCs w:val="18"/>
              </w:rPr>
            </w:pPr>
            <w:r>
              <w:rPr>
                <w:rFonts w:ascii="宋体" w:hAnsi="宋体" w:cs="宋体" w:eastAsia="宋体" w:hint="default"/>
                <w:sz w:val="18"/>
                <w:szCs w:val="18"/>
              </w:rPr>
              <w:t>网络与信息安 全服务业</w:t>
            </w:r>
          </w:p>
        </w:tc>
        <w:tc>
          <w:tcPr>
            <w:tcW w:w="1416"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10"/>
              <w:ind w:left="433" w:right="71" w:hanging="360"/>
              <w:jc w:val="left"/>
              <w:rPr>
                <w:rFonts w:ascii="宋体" w:hAnsi="宋体" w:cs="宋体" w:eastAsia="宋体" w:hint="default"/>
                <w:sz w:val="18"/>
                <w:szCs w:val="18"/>
              </w:rPr>
            </w:pPr>
            <w:r>
              <w:rPr>
                <w:rFonts w:ascii="宋体" w:hAnsi="宋体" w:cs="宋体" w:eastAsia="宋体" w:hint="default"/>
                <w:sz w:val="18"/>
                <w:szCs w:val="18"/>
              </w:rPr>
              <w:t>动漫产品及动漫 服务业</w:t>
            </w:r>
          </w:p>
        </w:tc>
        <w:tc>
          <w:tcPr>
            <w:tcW w:w="1419" w:type="dxa"/>
            <w:tcBorders>
              <w:top w:val="single" w:sz="4" w:space="0" w:color="000000"/>
              <w:left w:val="single" w:sz="4" w:space="0" w:color="000000"/>
              <w:bottom w:val="nil" w:sz="6" w:space="0" w:color="auto"/>
              <w:right w:val="single" w:sz="4" w:space="0" w:color="000000"/>
            </w:tcBorders>
            <w:shd w:val="clear" w:color="auto" w:fill="D9D9D9"/>
          </w:tcPr>
          <w:p>
            <w:pPr/>
          </w:p>
        </w:tc>
        <w:tc>
          <w:tcPr>
            <w:tcW w:w="1417" w:type="dxa"/>
            <w:tcBorders>
              <w:top w:val="single" w:sz="4" w:space="0" w:color="000000"/>
              <w:left w:val="single" w:sz="4" w:space="0" w:color="000000"/>
              <w:bottom w:val="nil" w:sz="6" w:space="0" w:color="auto"/>
              <w:right w:val="single" w:sz="4" w:space="0" w:color="000000"/>
            </w:tcBorders>
            <w:shd w:val="clear" w:color="auto" w:fill="D9D9D9"/>
          </w:tcPr>
          <w:p>
            <w:pPr/>
          </w:p>
        </w:tc>
        <w:tc>
          <w:tcPr>
            <w:tcW w:w="1435" w:type="dxa"/>
            <w:tcBorders>
              <w:top w:val="single" w:sz="4" w:space="0" w:color="000000"/>
              <w:left w:val="single" w:sz="4" w:space="0" w:color="000000"/>
              <w:bottom w:val="nil" w:sz="6" w:space="0" w:color="auto"/>
              <w:right w:val="single" w:sz="4" w:space="0" w:color="000000"/>
            </w:tcBorders>
            <w:shd w:val="clear" w:color="auto" w:fill="D9D9D9"/>
          </w:tcPr>
          <w:p>
            <w:pPr/>
          </w:p>
        </w:tc>
        <w:tc>
          <w:tcPr>
            <w:tcW w:w="1417" w:type="dxa"/>
            <w:tcBorders>
              <w:top w:val="single" w:sz="4" w:space="0" w:color="000000"/>
              <w:left w:val="single" w:sz="4" w:space="0" w:color="000000"/>
              <w:bottom w:val="nil" w:sz="6" w:space="0" w:color="auto"/>
              <w:right w:val="single" w:sz="4" w:space="0" w:color="000000"/>
            </w:tcBorders>
            <w:shd w:val="clear" w:color="auto" w:fill="D9D9D9"/>
          </w:tcPr>
          <w:p>
            <w:pPr/>
          </w:p>
        </w:tc>
        <w:tc>
          <w:tcPr>
            <w:tcW w:w="1416" w:type="dxa"/>
            <w:tcBorders>
              <w:top w:val="single" w:sz="4" w:space="0" w:color="000000"/>
              <w:left w:val="single" w:sz="4" w:space="0" w:color="000000"/>
              <w:bottom w:val="nil" w:sz="6" w:space="0" w:color="auto"/>
              <w:right w:val="single" w:sz="4" w:space="0" w:color="000000"/>
            </w:tcBorders>
            <w:shd w:val="clear" w:color="auto" w:fill="D9D9D9"/>
          </w:tcPr>
          <w:p>
            <w:pPr/>
          </w:p>
        </w:tc>
        <w:tc>
          <w:tcPr>
            <w:tcW w:w="1417" w:type="dxa"/>
            <w:tcBorders>
              <w:top w:val="single" w:sz="4" w:space="0" w:color="000000"/>
              <w:left w:val="single" w:sz="4" w:space="0" w:color="000000"/>
              <w:bottom w:val="nil" w:sz="6" w:space="0" w:color="auto"/>
              <w:right w:val="single" w:sz="4" w:space="0" w:color="000000"/>
            </w:tcBorders>
            <w:shd w:val="clear" w:color="auto" w:fill="D9D9D9"/>
          </w:tcPr>
          <w:p>
            <w:pPr/>
          </w:p>
        </w:tc>
      </w:tr>
      <w:tr>
        <w:trPr>
          <w:trHeight w:val="312" w:hRule="exact"/>
        </w:trPr>
        <w:tc>
          <w:tcPr>
            <w:tcW w:w="1135" w:type="dxa"/>
            <w:vMerge/>
            <w:tcBorders>
              <w:left w:val="single" w:sz="4" w:space="0" w:color="000000"/>
              <w:right w:val="single" w:sz="10" w:space="0" w:color="D9D9D9"/>
            </w:tcBorders>
            <w:shd w:val="clear" w:color="auto" w:fill="D2D2D2"/>
          </w:tcPr>
          <w:p>
            <w:pPr/>
          </w:p>
        </w:tc>
        <w:tc>
          <w:tcPr>
            <w:tcW w:w="154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41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
              <w:ind w:right="72"/>
              <w:jc w:val="right"/>
              <w:rPr>
                <w:rFonts w:ascii="宋体" w:hAnsi="宋体" w:cs="宋体" w:eastAsia="宋体" w:hint="default"/>
                <w:sz w:val="18"/>
                <w:szCs w:val="18"/>
              </w:rPr>
            </w:pPr>
            <w:r>
              <w:rPr>
                <w:rFonts w:ascii="宋体" w:hAnsi="宋体" w:cs="宋体" w:eastAsia="宋体" w:hint="default"/>
                <w:sz w:val="18"/>
                <w:szCs w:val="18"/>
              </w:rPr>
              <w:t>数字内容服务业</w:t>
            </w:r>
          </w:p>
        </w:tc>
        <w:tc>
          <w:tcPr>
            <w:tcW w:w="1277" w:type="dxa"/>
            <w:vMerge/>
            <w:tcBorders>
              <w:left w:val="single" w:sz="4" w:space="0" w:color="000000"/>
              <w:right w:val="single" w:sz="4" w:space="0" w:color="000000"/>
            </w:tcBorders>
            <w:shd w:val="clear" w:color="auto" w:fill="D9D9D9"/>
          </w:tcPr>
          <w:p>
            <w:pPr/>
          </w:p>
        </w:tc>
        <w:tc>
          <w:tcPr>
            <w:tcW w:w="1416" w:type="dxa"/>
            <w:vMerge/>
            <w:tcBorders>
              <w:left w:val="single" w:sz="4" w:space="0" w:color="000000"/>
              <w:right w:val="single" w:sz="4" w:space="0" w:color="000000"/>
            </w:tcBorders>
            <w:shd w:val="clear" w:color="auto" w:fill="D9D9D9"/>
          </w:tcPr>
          <w:p>
            <w:pPr/>
          </w:p>
        </w:tc>
        <w:tc>
          <w:tcPr>
            <w:tcW w:w="1419"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
              <w:ind w:left="74" w:right="0"/>
              <w:jc w:val="left"/>
              <w:rPr>
                <w:rFonts w:ascii="宋体" w:hAnsi="宋体" w:cs="宋体" w:eastAsia="宋体" w:hint="default"/>
                <w:sz w:val="18"/>
                <w:szCs w:val="18"/>
              </w:rPr>
            </w:pPr>
            <w:r>
              <w:rPr>
                <w:rFonts w:ascii="宋体" w:hAnsi="宋体" w:cs="宋体" w:eastAsia="宋体" w:hint="default"/>
                <w:sz w:val="18"/>
                <w:szCs w:val="18"/>
              </w:rPr>
              <w:t>房地产销售业务</w:t>
            </w:r>
          </w:p>
        </w:tc>
        <w:tc>
          <w:tcPr>
            <w:tcW w:w="141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资本投资业务</w:t>
            </w:r>
          </w:p>
        </w:tc>
        <w:tc>
          <w:tcPr>
            <w:tcW w:w="143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软件信息服务业</w:t>
            </w:r>
          </w:p>
        </w:tc>
        <w:tc>
          <w:tcPr>
            <w:tcW w:w="141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41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
              <w:ind w:left="25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41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1135" w:type="dxa"/>
            <w:vMerge/>
            <w:tcBorders>
              <w:left w:val="single" w:sz="4" w:space="0" w:color="000000"/>
              <w:bottom w:val="single" w:sz="20" w:space="0" w:color="D9D9D9"/>
              <w:right w:val="single" w:sz="10" w:space="0" w:color="D9D9D9"/>
            </w:tcBorders>
            <w:shd w:val="clear" w:color="auto" w:fill="D2D2D2"/>
          </w:tcPr>
          <w:p>
            <w:pPr/>
          </w:p>
        </w:tc>
        <w:tc>
          <w:tcPr>
            <w:tcW w:w="1542" w:type="dxa"/>
            <w:tcBorders>
              <w:top w:val="nil" w:sz="6" w:space="0" w:color="auto"/>
              <w:left w:val="single" w:sz="4" w:space="0" w:color="000000"/>
              <w:bottom w:val="single" w:sz="4" w:space="0" w:color="000000"/>
              <w:right w:val="single" w:sz="4" w:space="0" w:color="000000"/>
            </w:tcBorders>
            <w:shd w:val="clear" w:color="auto" w:fill="D9D9D9"/>
          </w:tcPr>
          <w:p>
            <w:pPr/>
          </w:p>
        </w:tc>
        <w:tc>
          <w:tcPr>
            <w:tcW w:w="1417" w:type="dxa"/>
            <w:tcBorders>
              <w:top w:val="nil" w:sz="6" w:space="0" w:color="auto"/>
              <w:left w:val="single" w:sz="4" w:space="0" w:color="000000"/>
              <w:bottom w:val="single" w:sz="4" w:space="0" w:color="000000"/>
              <w:right w:val="single" w:sz="4" w:space="0" w:color="000000"/>
            </w:tcBorders>
            <w:shd w:val="clear" w:color="auto" w:fill="D9D9D9"/>
          </w:tcPr>
          <w:p>
            <w:pPr/>
          </w:p>
        </w:tc>
        <w:tc>
          <w:tcPr>
            <w:tcW w:w="1277" w:type="dxa"/>
            <w:vMerge/>
            <w:tcBorders>
              <w:left w:val="single" w:sz="4" w:space="0" w:color="000000"/>
              <w:bottom w:val="single" w:sz="4" w:space="0" w:color="000000"/>
              <w:right w:val="single" w:sz="4" w:space="0" w:color="000000"/>
            </w:tcBorders>
            <w:shd w:val="clear" w:color="auto" w:fill="D9D9D9"/>
          </w:tcPr>
          <w:p>
            <w:pPr/>
          </w:p>
        </w:tc>
        <w:tc>
          <w:tcPr>
            <w:tcW w:w="1416" w:type="dxa"/>
            <w:vMerge/>
            <w:tcBorders>
              <w:left w:val="single" w:sz="4" w:space="0" w:color="000000"/>
              <w:bottom w:val="single" w:sz="4" w:space="0" w:color="000000"/>
              <w:right w:val="single" w:sz="4" w:space="0" w:color="000000"/>
            </w:tcBorders>
            <w:shd w:val="clear" w:color="auto" w:fill="D9D9D9"/>
          </w:tcPr>
          <w:p>
            <w:pPr/>
          </w:p>
        </w:tc>
        <w:tc>
          <w:tcPr>
            <w:tcW w:w="1419" w:type="dxa"/>
            <w:tcBorders>
              <w:top w:val="nil" w:sz="6" w:space="0" w:color="auto"/>
              <w:left w:val="single" w:sz="4" w:space="0" w:color="000000"/>
              <w:bottom w:val="single" w:sz="4" w:space="0" w:color="000000"/>
              <w:right w:val="single" w:sz="4" w:space="0" w:color="000000"/>
            </w:tcBorders>
            <w:shd w:val="clear" w:color="auto" w:fill="D9D9D9"/>
          </w:tcPr>
          <w:p>
            <w:pPr/>
          </w:p>
        </w:tc>
        <w:tc>
          <w:tcPr>
            <w:tcW w:w="1417" w:type="dxa"/>
            <w:tcBorders>
              <w:top w:val="nil" w:sz="6" w:space="0" w:color="auto"/>
              <w:left w:val="single" w:sz="4" w:space="0" w:color="000000"/>
              <w:bottom w:val="single" w:sz="4" w:space="0" w:color="000000"/>
              <w:right w:val="single" w:sz="4" w:space="0" w:color="000000"/>
            </w:tcBorders>
            <w:shd w:val="clear" w:color="auto" w:fill="D9D9D9"/>
          </w:tcPr>
          <w:p>
            <w:pPr/>
          </w:p>
        </w:tc>
        <w:tc>
          <w:tcPr>
            <w:tcW w:w="1435" w:type="dxa"/>
            <w:tcBorders>
              <w:top w:val="nil" w:sz="6" w:space="0" w:color="auto"/>
              <w:left w:val="single" w:sz="4" w:space="0" w:color="000000"/>
              <w:bottom w:val="single" w:sz="4" w:space="0" w:color="000000"/>
              <w:right w:val="single" w:sz="4" w:space="0" w:color="000000"/>
            </w:tcBorders>
            <w:shd w:val="clear" w:color="auto" w:fill="D9D9D9"/>
          </w:tcPr>
          <w:p>
            <w:pPr/>
          </w:p>
        </w:tc>
        <w:tc>
          <w:tcPr>
            <w:tcW w:w="1417" w:type="dxa"/>
            <w:tcBorders>
              <w:top w:val="nil" w:sz="6" w:space="0" w:color="auto"/>
              <w:left w:val="single" w:sz="4" w:space="0" w:color="000000"/>
              <w:bottom w:val="single" w:sz="4" w:space="0" w:color="000000"/>
              <w:right w:val="single" w:sz="4" w:space="0" w:color="000000"/>
            </w:tcBorders>
            <w:shd w:val="clear" w:color="auto" w:fill="D9D9D9"/>
          </w:tcPr>
          <w:p>
            <w:pPr/>
          </w:p>
        </w:tc>
        <w:tc>
          <w:tcPr>
            <w:tcW w:w="1416" w:type="dxa"/>
            <w:tcBorders>
              <w:top w:val="nil" w:sz="6" w:space="0" w:color="auto"/>
              <w:left w:val="single" w:sz="4" w:space="0" w:color="000000"/>
              <w:bottom w:val="single" w:sz="4" w:space="0" w:color="000000"/>
              <w:right w:val="single" w:sz="4" w:space="0" w:color="000000"/>
            </w:tcBorders>
            <w:shd w:val="clear" w:color="auto" w:fill="D9D9D9"/>
          </w:tcPr>
          <w:p>
            <w:pPr/>
          </w:p>
        </w:tc>
        <w:tc>
          <w:tcPr>
            <w:tcW w:w="1417" w:type="dxa"/>
            <w:tcBorders>
              <w:top w:val="nil" w:sz="6" w:space="0" w:color="auto"/>
              <w:left w:val="single" w:sz="4" w:space="0" w:color="000000"/>
              <w:bottom w:val="single" w:sz="4" w:space="0" w:color="000000"/>
              <w:right w:val="single" w:sz="4" w:space="0" w:color="000000"/>
            </w:tcBorders>
            <w:shd w:val="clear" w:color="auto" w:fill="D9D9D9"/>
          </w:tcPr>
          <w:p>
            <w:pPr/>
          </w:p>
        </w:tc>
      </w:tr>
      <w:tr>
        <w:trPr>
          <w:trHeight w:val="402" w:hRule="exact"/>
        </w:trPr>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一、营业收入</w:t>
            </w:r>
          </w:p>
        </w:tc>
        <w:tc>
          <w:tcPr>
            <w:tcW w:w="154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2,460,036,922.02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521,533,374.22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3,466,463.84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57,651,331.95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17,753,345.45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5"/>
                <w:szCs w:val="15"/>
              </w:rPr>
            </w:pPr>
            <w:r>
              <w:rPr>
                <w:rFonts w:ascii="宋体"/>
                <w:spacing w:val="-1"/>
                <w:sz w:val="15"/>
              </w:rPr>
              <w:t>1,441,242.41</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5"/>
                <w:szCs w:val="15"/>
              </w:rPr>
            </w:pPr>
            <w:r>
              <w:rPr>
                <w:rFonts w:ascii="宋体"/>
                <w:spacing w:val="-1"/>
                <w:sz w:val="15"/>
              </w:rPr>
              <w:t>730,198,664.39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5"/>
                <w:szCs w:val="15"/>
              </w:rPr>
            </w:pPr>
            <w:r>
              <w:rPr>
                <w:rFonts w:ascii="宋体"/>
                <w:spacing w:val="-1"/>
                <w:sz w:val="15"/>
              </w:rPr>
              <w:t>3,792,081,344.28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-7,317,053.08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3,784,764,291.20</w:t>
            </w:r>
          </w:p>
        </w:tc>
      </w:tr>
      <w:tr>
        <w:trPr>
          <w:trHeight w:val="635" w:hRule="exact"/>
        </w:trPr>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1"/>
              <w:ind w:left="24" w:right="20"/>
              <w:jc w:val="left"/>
              <w:rPr>
                <w:rFonts w:ascii="宋体" w:hAnsi="宋体" w:cs="宋体" w:eastAsia="宋体" w:hint="default"/>
                <w:sz w:val="18"/>
                <w:szCs w:val="18"/>
              </w:rPr>
            </w:pPr>
            <w:r>
              <w:rPr>
                <w:rFonts w:ascii="宋体" w:hAnsi="宋体" w:cs="宋体" w:eastAsia="宋体" w:hint="default"/>
                <w:sz w:val="18"/>
                <w:szCs w:val="18"/>
              </w:rPr>
              <w:t>其中：主营业 务收入</w:t>
            </w:r>
          </w:p>
        </w:tc>
        <w:tc>
          <w:tcPr>
            <w:tcW w:w="154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2,421,050,818.41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515,940,077.74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3,466,463.84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57,799,614.22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8,444,285.28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1,204.54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730,086,840.77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3,736,789,304.80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-5,634,315.16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5"/>
                <w:szCs w:val="15"/>
              </w:rPr>
            </w:pPr>
            <w:r>
              <w:rPr>
                <w:rFonts w:ascii="宋体"/>
                <w:spacing w:val="-1"/>
                <w:sz w:val="15"/>
              </w:rPr>
              <w:t>3,731,154,989.64</w:t>
            </w:r>
          </w:p>
        </w:tc>
      </w:tr>
      <w:tr>
        <w:trPr>
          <w:trHeight w:val="402" w:hRule="exact"/>
        </w:trPr>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二、营业成本</w:t>
            </w:r>
          </w:p>
        </w:tc>
        <w:tc>
          <w:tcPr>
            <w:tcW w:w="154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1,881,667,073.11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446,238,733.56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5,173,374.72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71,810,205.20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5,638,346.56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1,604,665.33</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438,949,773.48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2,851,082,171.95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-2,829,578.05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2,848,252,593.90</w:t>
            </w:r>
          </w:p>
        </w:tc>
      </w:tr>
      <w:tr>
        <w:trPr>
          <w:trHeight w:val="634" w:hRule="exact"/>
        </w:trPr>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24" w:right="20"/>
              <w:jc w:val="left"/>
              <w:rPr>
                <w:rFonts w:ascii="宋体" w:hAnsi="宋体" w:cs="宋体" w:eastAsia="宋体" w:hint="default"/>
                <w:sz w:val="18"/>
                <w:szCs w:val="18"/>
              </w:rPr>
            </w:pPr>
            <w:r>
              <w:rPr>
                <w:rFonts w:ascii="宋体" w:hAnsi="宋体" w:cs="宋体" w:eastAsia="宋体" w:hint="default"/>
                <w:sz w:val="18"/>
                <w:szCs w:val="18"/>
              </w:rPr>
              <w:t>其中：主营业 务成本</w:t>
            </w:r>
          </w:p>
        </w:tc>
        <w:tc>
          <w:tcPr>
            <w:tcW w:w="154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1,866,669,034.61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442,312,767.27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5,173,374.72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71,831,496.31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3,637,138.34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52,432.44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438,837,949.86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2,828,514,193.54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-2,829,578.05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2,825,684,615.49</w:t>
            </w:r>
          </w:p>
        </w:tc>
      </w:tr>
      <w:tr>
        <w:trPr>
          <w:trHeight w:val="402" w:hRule="exact"/>
        </w:trPr>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三、营业利润</w:t>
            </w:r>
          </w:p>
        </w:tc>
        <w:tc>
          <w:tcPr>
            <w:tcW w:w="154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-2,731,810,906.98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-1,125,914,335.90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-7,856,822.15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-40,305,699.62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-5,731,264.32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5"/>
                <w:szCs w:val="15"/>
              </w:rPr>
            </w:pPr>
            <w:r>
              <w:rPr>
                <w:rFonts w:ascii="宋体"/>
                <w:spacing w:val="-1"/>
                <w:sz w:val="15"/>
              </w:rPr>
              <w:t>-1,106,898,293.85</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182,935,518.77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5"/>
                <w:szCs w:val="15"/>
              </w:rPr>
            </w:pPr>
            <w:r>
              <w:rPr>
                <w:rFonts w:ascii="宋体"/>
                <w:spacing w:val="-1"/>
                <w:sz w:val="15"/>
              </w:rPr>
              <w:t>-4,835,581,804.05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-43,596,199.33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-4,879,178,003.38</w:t>
            </w:r>
          </w:p>
        </w:tc>
      </w:tr>
      <w:tr>
        <w:trPr>
          <w:trHeight w:val="402" w:hRule="exact"/>
        </w:trPr>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四、利润总额</w:t>
            </w:r>
          </w:p>
        </w:tc>
        <w:tc>
          <w:tcPr>
            <w:tcW w:w="154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-2,731,495,555.13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-1,125,920,671.50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-7,859,148.49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-40,220,126.25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-6,167,900.92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-1,105,051,031.24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181,708,102.13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-4,835,006,331.40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-41,807,602.24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-4,876,813,933.64</w:t>
            </w:r>
          </w:p>
        </w:tc>
      </w:tr>
      <w:tr>
        <w:trPr>
          <w:trHeight w:val="402" w:hRule="exact"/>
        </w:trPr>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五、资产总额</w:t>
            </w:r>
          </w:p>
        </w:tc>
        <w:tc>
          <w:tcPr>
            <w:tcW w:w="154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17,307,980,194.34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972,135,498.11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138,432,453.77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209,952,549.40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3,679,202,391.96</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1,059,089,404.19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23,366,792,491.77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-10,461,197,240.32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12,905,595,251.45</w:t>
            </w:r>
          </w:p>
        </w:tc>
      </w:tr>
      <w:tr>
        <w:trPr>
          <w:trHeight w:val="402" w:hRule="exact"/>
        </w:trPr>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六、负债总额</w:t>
            </w:r>
          </w:p>
        </w:tc>
        <w:tc>
          <w:tcPr>
            <w:tcW w:w="154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6,475,772,817.32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529,403,990.16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83,920,686.00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20,966,071.92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2,266,844,163.50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558,335,474.63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9,935,243,203.53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-2,505,706,339.37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7,429,536,864.16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76"/>
        <w:ind w:left="0" w:right="896" w:firstLine="0"/>
        <w:jc w:val="right"/>
        <w:rPr>
          <w:rFonts w:ascii="Times New Roman" w:hAnsi="Times New Roman" w:cs="Times New Roman" w:eastAsia="Times New Roman" w:hint="default"/>
          <w:sz w:val="18"/>
          <w:szCs w:val="18"/>
        </w:rPr>
      </w:pPr>
      <w:r>
        <w:rPr>
          <w:rFonts w:ascii="Times New Roman"/>
          <w:sz w:val="18"/>
        </w:rPr>
        <w:t>262</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spacing w:line="371" w:lineRule="exact"/>
        <w:ind w:left="1102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2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760" w:right="540"/>
        </w:sectPr>
      </w:pPr>
    </w:p>
    <w:p>
      <w:pPr>
        <w:spacing w:line="240" w:lineRule="auto" w:before="7"/>
        <w:rPr>
          <w:rFonts w:ascii="Times New Roman" w:hAnsi="Times New Roman" w:cs="Times New Roman" w:eastAsia="Times New Roman" w:hint="default"/>
          <w:sz w:val="23"/>
          <w:szCs w:val="23"/>
        </w:rPr>
      </w:pPr>
    </w:p>
    <w:p>
      <w:pPr>
        <w:pStyle w:val="Heading4"/>
        <w:spacing w:line="240" w:lineRule="auto" w:before="35"/>
        <w:ind w:right="0"/>
        <w:jc w:val="left"/>
        <w:rPr>
          <w:b w:val="0"/>
          <w:bCs w:val="0"/>
        </w:rPr>
      </w:pPr>
      <w:bookmarkStart w:name="（3）其他说明" w:id="390"/>
      <w:bookmarkEnd w:id="390"/>
      <w:r>
        <w:rPr>
          <w:b w:val="0"/>
          <w:bCs w:val="0"/>
        </w:rPr>
      </w:r>
      <w:r>
        <w:rPr/>
        <w:t>（</w:t>
      </w:r>
      <w:r>
        <w:rPr>
          <w:rFonts w:ascii="宋体" w:hAnsi="宋体" w:cs="宋体" w:eastAsia="宋体" w:hint="default"/>
        </w:rPr>
        <w:t>3</w:t>
      </w:r>
      <w:r>
        <w:rPr/>
        <w:t>）其他说明</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257" w:type="dxa"/>
        <w:tblLayout w:type="fixed"/>
        <w:tblCellMar>
          <w:top w:w="0" w:type="dxa"/>
          <w:left w:w="0" w:type="dxa"/>
          <w:bottom w:w="0" w:type="dxa"/>
          <w:right w:w="0" w:type="dxa"/>
        </w:tblCellMar>
        <w:tblLook w:val="01E0"/>
      </w:tblPr>
      <w:tblGrid>
        <w:gridCol w:w="2880"/>
        <w:gridCol w:w="2676"/>
        <w:gridCol w:w="2676"/>
      </w:tblGrid>
      <w:tr>
        <w:trPr>
          <w:trHeight w:val="370" w:hRule="exact"/>
        </w:trPr>
        <w:tc>
          <w:tcPr>
            <w:tcW w:w="288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35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主营业务收入</w:t>
            </w:r>
          </w:p>
        </w:tc>
      </w:tr>
      <w:tr>
        <w:trPr>
          <w:trHeight w:val="371" w:hRule="exact"/>
        </w:trPr>
        <w:tc>
          <w:tcPr>
            <w:tcW w:w="2880" w:type="dxa"/>
            <w:vMerge/>
            <w:tcBorders>
              <w:left w:val="single" w:sz="4" w:space="0" w:color="000000"/>
              <w:bottom w:val="single" w:sz="4" w:space="0" w:color="000000"/>
              <w:right w:val="single" w:sz="4" w:space="0" w:color="000000"/>
            </w:tcBorders>
            <w:shd w:val="clear" w:color="auto" w:fill="D9D9D9"/>
          </w:tcPr>
          <w:p>
            <w:pPr/>
          </w:p>
        </w:tc>
        <w:tc>
          <w:tcPr>
            <w:tcW w:w="26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6"/>
              <w:ind w:left="8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6"/>
              <w:ind w:left="88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8"/>
                <w:szCs w:val="18"/>
              </w:rPr>
            </w:pPr>
            <w:r>
              <w:rPr>
                <w:rFonts w:ascii="宋体" w:hAnsi="宋体" w:cs="宋体" w:eastAsia="宋体" w:hint="default"/>
                <w:b/>
                <w:bCs/>
                <w:sz w:val="18"/>
                <w:szCs w:val="18"/>
              </w:rPr>
              <w:t>分行业：</w:t>
            </w:r>
            <w:r>
              <w:rPr>
                <w:rFonts w:ascii="宋体" w:hAnsi="宋体" w:cs="宋体" w:eastAsia="宋体" w:hint="default"/>
                <w:sz w:val="18"/>
                <w:szCs w:val="18"/>
              </w:rPr>
            </w:r>
          </w:p>
        </w:tc>
        <w:tc>
          <w:tcPr>
            <w:tcW w:w="2676" w:type="dxa"/>
            <w:tcBorders>
              <w:top w:val="single" w:sz="4" w:space="0" w:color="000000"/>
              <w:left w:val="single" w:sz="4" w:space="0" w:color="000000"/>
              <w:bottom w:val="single" w:sz="4" w:space="0" w:color="000000"/>
              <w:right w:val="single" w:sz="4" w:space="0" w:color="000000"/>
            </w:tcBorders>
          </w:tcPr>
          <w:p>
            <w:pPr/>
          </w:p>
        </w:tc>
        <w:tc>
          <w:tcPr>
            <w:tcW w:w="267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4"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2,412,406,028.03</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2,773,002,519.52</w:t>
            </w:r>
          </w:p>
        </w:tc>
      </w:tr>
      <w:tr>
        <w:trPr>
          <w:trHeight w:val="37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4"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2676" w:type="dxa"/>
            <w:tcBorders>
              <w:top w:val="single" w:sz="4" w:space="0" w:color="000000"/>
              <w:left w:val="single" w:sz="4" w:space="0" w:color="000000"/>
              <w:bottom w:val="single" w:sz="4" w:space="0" w:color="000000"/>
              <w:right w:val="single" w:sz="4" w:space="0" w:color="000000"/>
            </w:tcBorders>
          </w:tcPr>
          <w:p>
            <w:pP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
              <w:jc w:val="right"/>
              <w:rPr>
                <w:rFonts w:ascii="宋体" w:hAnsi="宋体" w:cs="宋体" w:eastAsia="宋体" w:hint="default"/>
                <w:sz w:val="18"/>
                <w:szCs w:val="18"/>
              </w:rPr>
            </w:pPr>
            <w:r>
              <w:rPr>
                <w:rFonts w:ascii="宋体"/>
                <w:sz w:val="18"/>
              </w:rPr>
              <w:t>167,836,665.49</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4"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514,812,051.78</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320,297,066.52</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4"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3,466,463.84</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25,813,316.97</w:t>
            </w:r>
          </w:p>
        </w:tc>
      </w:tr>
      <w:tr>
        <w:trPr>
          <w:trHeight w:val="37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4"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
              <w:jc w:val="right"/>
              <w:rPr>
                <w:rFonts w:ascii="宋体" w:hAnsi="宋体" w:cs="宋体" w:eastAsia="宋体" w:hint="default"/>
                <w:sz w:val="18"/>
                <w:szCs w:val="18"/>
              </w:rPr>
            </w:pPr>
            <w:r>
              <w:rPr>
                <w:rFonts w:ascii="宋体"/>
                <w:sz w:val="18"/>
              </w:rPr>
              <w:t>57,799,614.22</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
              <w:jc w:val="right"/>
              <w:rPr>
                <w:rFonts w:ascii="宋体" w:hAnsi="宋体" w:cs="宋体" w:eastAsia="宋体" w:hint="default"/>
                <w:sz w:val="18"/>
                <w:szCs w:val="18"/>
              </w:rPr>
            </w:pPr>
            <w:r>
              <w:rPr>
                <w:rFonts w:ascii="宋体"/>
                <w:sz w:val="18"/>
              </w:rPr>
              <w:t>69,640,820.97</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4"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8,444,285.28</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24,811,498.51</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4" w:right="0"/>
              <w:jc w:val="left"/>
              <w:rPr>
                <w:rFonts w:ascii="宋体" w:hAnsi="宋体" w:cs="宋体" w:eastAsia="宋体" w:hint="default"/>
                <w:sz w:val="18"/>
                <w:szCs w:val="18"/>
              </w:rPr>
            </w:pPr>
            <w:r>
              <w:rPr>
                <w:rFonts w:ascii="宋体" w:hAnsi="宋体" w:cs="宋体" w:eastAsia="宋体" w:hint="default"/>
                <w:sz w:val="18"/>
                <w:szCs w:val="18"/>
              </w:rPr>
              <w:t>资本投资业务</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1,204.54</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1,677.53</w:t>
            </w:r>
          </w:p>
        </w:tc>
      </w:tr>
      <w:tr>
        <w:trPr>
          <w:trHeight w:val="37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4" w:right="0"/>
              <w:jc w:val="left"/>
              <w:rPr>
                <w:rFonts w:ascii="宋体" w:hAnsi="宋体" w:cs="宋体" w:eastAsia="宋体" w:hint="default"/>
                <w:sz w:val="18"/>
                <w:szCs w:val="18"/>
              </w:rPr>
            </w:pPr>
            <w:r>
              <w:rPr>
                <w:rFonts w:ascii="宋体" w:hAnsi="宋体" w:cs="宋体" w:eastAsia="宋体" w:hint="default"/>
                <w:sz w:val="18"/>
                <w:szCs w:val="18"/>
              </w:rPr>
              <w:t>软件信息服务业</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
              <w:jc w:val="right"/>
              <w:rPr>
                <w:rFonts w:ascii="宋体" w:hAnsi="宋体" w:cs="宋体" w:eastAsia="宋体" w:hint="default"/>
                <w:sz w:val="18"/>
                <w:szCs w:val="18"/>
              </w:rPr>
            </w:pPr>
            <w:r>
              <w:rPr>
                <w:rFonts w:ascii="宋体"/>
                <w:sz w:val="18"/>
              </w:rPr>
              <w:t>734,225,341.95</w:t>
            </w:r>
          </w:p>
        </w:tc>
        <w:tc>
          <w:tcPr>
            <w:tcW w:w="267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3,731,154,989.64</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3,381,403,565.51</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hAnsi="宋体" w:cs="宋体" w:eastAsia="宋体" w:hint="default"/>
                <w:b/>
                <w:bCs/>
                <w:sz w:val="18"/>
                <w:szCs w:val="18"/>
              </w:rPr>
              <w:t>分产品：</w:t>
            </w:r>
            <w:r>
              <w:rPr>
                <w:rFonts w:ascii="宋体" w:hAnsi="宋体" w:cs="宋体" w:eastAsia="宋体" w:hint="default"/>
                <w:sz w:val="18"/>
                <w:szCs w:val="18"/>
              </w:rPr>
            </w:r>
          </w:p>
        </w:tc>
        <w:tc>
          <w:tcPr>
            <w:tcW w:w="2676" w:type="dxa"/>
            <w:tcBorders>
              <w:top w:val="single" w:sz="4" w:space="0" w:color="000000"/>
              <w:left w:val="single" w:sz="4" w:space="0" w:color="000000"/>
              <w:bottom w:val="single" w:sz="4" w:space="0" w:color="000000"/>
              <w:right w:val="single" w:sz="4" w:space="0" w:color="000000"/>
            </w:tcBorders>
          </w:tcPr>
          <w:p>
            <w:pPr/>
          </w:p>
        </w:tc>
        <w:tc>
          <w:tcPr>
            <w:tcW w:w="2676"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4" w:right="0"/>
              <w:jc w:val="left"/>
              <w:rPr>
                <w:rFonts w:ascii="宋体" w:hAnsi="宋体" w:cs="宋体" w:eastAsia="宋体" w:hint="default"/>
                <w:sz w:val="18"/>
                <w:szCs w:val="18"/>
              </w:rPr>
            </w:pPr>
            <w:r>
              <w:rPr>
                <w:rFonts w:ascii="宋体" w:hAnsi="宋体" w:cs="宋体" w:eastAsia="宋体" w:hint="default"/>
                <w:sz w:val="18"/>
                <w:szCs w:val="18"/>
              </w:rPr>
              <w:t>信息传播服务业</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
              <w:jc w:val="right"/>
              <w:rPr>
                <w:rFonts w:ascii="宋体" w:hAnsi="宋体" w:cs="宋体" w:eastAsia="宋体" w:hint="default"/>
                <w:sz w:val="18"/>
                <w:szCs w:val="18"/>
              </w:rPr>
            </w:pPr>
            <w:r>
              <w:rPr>
                <w:rFonts w:ascii="宋体"/>
                <w:sz w:val="18"/>
              </w:rPr>
              <w:t>1,526,692,243.76</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
              <w:jc w:val="right"/>
              <w:rPr>
                <w:rFonts w:ascii="宋体" w:hAnsi="宋体" w:cs="宋体" w:eastAsia="宋体" w:hint="default"/>
                <w:sz w:val="18"/>
                <w:szCs w:val="18"/>
              </w:rPr>
            </w:pPr>
            <w:r>
              <w:rPr>
                <w:rFonts w:ascii="宋体"/>
                <w:sz w:val="18"/>
              </w:rPr>
              <w:t>2,060,111,611.23</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4"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115,548,421.45</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120,573,284.34</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4" w:right="0"/>
              <w:jc w:val="left"/>
              <w:rPr>
                <w:rFonts w:ascii="宋体" w:hAnsi="宋体" w:cs="宋体" w:eastAsia="宋体" w:hint="default"/>
                <w:sz w:val="18"/>
                <w:szCs w:val="18"/>
              </w:rPr>
            </w:pPr>
            <w:r>
              <w:rPr>
                <w:rFonts w:ascii="宋体" w:hAnsi="宋体" w:cs="宋体" w:eastAsia="宋体" w:hint="default"/>
                <w:sz w:val="18"/>
                <w:szCs w:val="18"/>
              </w:rPr>
              <w:t>商品销售及配送</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721,926,776.52</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524,537,940.46</w:t>
            </w:r>
          </w:p>
        </w:tc>
      </w:tr>
      <w:tr>
        <w:trPr>
          <w:trHeight w:val="37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94" w:right="0"/>
              <w:jc w:val="left"/>
              <w:rPr>
                <w:rFonts w:ascii="宋体" w:hAnsi="宋体" w:cs="宋体" w:eastAsia="宋体" w:hint="default"/>
                <w:sz w:val="18"/>
                <w:szCs w:val="18"/>
              </w:rPr>
            </w:pPr>
            <w:r>
              <w:rPr>
                <w:rFonts w:ascii="宋体" w:hAnsi="宋体" w:cs="宋体" w:eastAsia="宋体" w:hint="default"/>
                <w:sz w:val="18"/>
                <w:szCs w:val="18"/>
              </w:rPr>
              <w:t>其他代理业务</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4"/>
              <w:jc w:val="right"/>
              <w:rPr>
                <w:rFonts w:ascii="宋体" w:hAnsi="宋体" w:cs="宋体" w:eastAsia="宋体" w:hint="default"/>
                <w:sz w:val="18"/>
                <w:szCs w:val="18"/>
              </w:rPr>
            </w:pPr>
            <w:r>
              <w:rPr>
                <w:rFonts w:ascii="宋体"/>
                <w:sz w:val="18"/>
              </w:rPr>
              <w:t>27,308,552.53</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4"/>
              <w:jc w:val="right"/>
              <w:rPr>
                <w:rFonts w:ascii="宋体" w:hAnsi="宋体" w:cs="宋体" w:eastAsia="宋体" w:hint="default"/>
                <w:sz w:val="18"/>
                <w:szCs w:val="18"/>
              </w:rPr>
            </w:pPr>
            <w:r>
              <w:rPr>
                <w:rFonts w:ascii="宋体"/>
                <w:sz w:val="18"/>
              </w:rPr>
              <w:t>36,830,180.42</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4" w:right="0"/>
              <w:jc w:val="left"/>
              <w:rPr>
                <w:rFonts w:ascii="宋体" w:hAnsi="宋体" w:cs="宋体" w:eastAsia="宋体" w:hint="default"/>
                <w:sz w:val="18"/>
                <w:szCs w:val="18"/>
              </w:rPr>
            </w:pPr>
            <w:r>
              <w:rPr>
                <w:rFonts w:ascii="宋体" w:hAnsi="宋体" w:cs="宋体" w:eastAsia="宋体" w:hint="default"/>
                <w:sz w:val="18"/>
                <w:szCs w:val="18"/>
              </w:rPr>
              <w:t>出国留学咨询及相关业务</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20,931,238.31</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46,339,687.34</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4" w:right="0"/>
              <w:jc w:val="left"/>
              <w:rPr>
                <w:rFonts w:ascii="宋体" w:hAnsi="宋体" w:cs="宋体" w:eastAsia="宋体" w:hint="default"/>
                <w:sz w:val="18"/>
                <w:szCs w:val="18"/>
              </w:rPr>
            </w:pPr>
            <w:r>
              <w:rPr>
                <w:rFonts w:ascii="宋体" w:hAnsi="宋体" w:cs="宋体" w:eastAsia="宋体" w:hint="default"/>
                <w:sz w:val="18"/>
                <w:szCs w:val="18"/>
              </w:rPr>
              <w:t>管道天然气</w:t>
            </w:r>
          </w:p>
        </w:tc>
        <w:tc>
          <w:tcPr>
            <w:tcW w:w="2676" w:type="dxa"/>
            <w:tcBorders>
              <w:top w:val="single" w:sz="4" w:space="0" w:color="000000"/>
              <w:left w:val="single" w:sz="4" w:space="0" w:color="000000"/>
              <w:bottom w:val="single" w:sz="4" w:space="0" w:color="000000"/>
              <w:right w:val="single" w:sz="4" w:space="0" w:color="000000"/>
            </w:tcBorders>
          </w:tcPr>
          <w:p>
            <w:pP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117,319,207.61</w:t>
            </w:r>
          </w:p>
        </w:tc>
      </w:tr>
      <w:tr>
        <w:trPr>
          <w:trHeight w:val="37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4" w:right="0"/>
              <w:jc w:val="left"/>
              <w:rPr>
                <w:rFonts w:ascii="宋体" w:hAnsi="宋体" w:cs="宋体" w:eastAsia="宋体" w:hint="default"/>
                <w:sz w:val="18"/>
                <w:szCs w:val="18"/>
              </w:rPr>
            </w:pPr>
            <w:r>
              <w:rPr>
                <w:rFonts w:ascii="宋体" w:hAnsi="宋体" w:cs="宋体" w:eastAsia="宋体" w:hint="default"/>
                <w:sz w:val="18"/>
                <w:szCs w:val="18"/>
              </w:rPr>
              <w:t>燃气用具</w:t>
            </w:r>
          </w:p>
        </w:tc>
        <w:tc>
          <w:tcPr>
            <w:tcW w:w="2676" w:type="dxa"/>
            <w:tcBorders>
              <w:top w:val="single" w:sz="4" w:space="0" w:color="000000"/>
              <w:left w:val="single" w:sz="4" w:space="0" w:color="000000"/>
              <w:bottom w:val="single" w:sz="4" w:space="0" w:color="000000"/>
              <w:right w:val="single" w:sz="4" w:space="0" w:color="000000"/>
            </w:tcBorders>
          </w:tcPr>
          <w:p>
            <w:pP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
              <w:jc w:val="right"/>
              <w:rPr>
                <w:rFonts w:ascii="宋体" w:hAnsi="宋体" w:cs="宋体" w:eastAsia="宋体" w:hint="default"/>
                <w:sz w:val="18"/>
                <w:szCs w:val="18"/>
              </w:rPr>
            </w:pPr>
            <w:r>
              <w:rPr>
                <w:rFonts w:ascii="宋体"/>
                <w:sz w:val="18"/>
              </w:rPr>
              <w:t>7,547,577.27</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4" w:right="0"/>
              <w:jc w:val="left"/>
              <w:rPr>
                <w:rFonts w:ascii="宋体" w:hAnsi="宋体" w:cs="宋体" w:eastAsia="宋体" w:hint="default"/>
                <w:sz w:val="18"/>
                <w:szCs w:val="18"/>
              </w:rPr>
            </w:pPr>
            <w:r>
              <w:rPr>
                <w:rFonts w:ascii="宋体" w:hAnsi="宋体" w:cs="宋体" w:eastAsia="宋体" w:hint="default"/>
                <w:sz w:val="18"/>
                <w:szCs w:val="18"/>
              </w:rPr>
              <w:t>液化气</w:t>
            </w:r>
          </w:p>
        </w:tc>
        <w:tc>
          <w:tcPr>
            <w:tcW w:w="2676" w:type="dxa"/>
            <w:tcBorders>
              <w:top w:val="single" w:sz="4" w:space="0" w:color="000000"/>
              <w:left w:val="single" w:sz="4" w:space="0" w:color="000000"/>
              <w:bottom w:val="single" w:sz="4" w:space="0" w:color="000000"/>
              <w:right w:val="single" w:sz="4" w:space="0" w:color="000000"/>
            </w:tcBorders>
          </w:tcPr>
          <w:p>
            <w:pP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7,695,144.42</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4" w:right="0"/>
              <w:jc w:val="left"/>
              <w:rPr>
                <w:rFonts w:ascii="宋体" w:hAnsi="宋体" w:cs="宋体" w:eastAsia="宋体" w:hint="default"/>
                <w:sz w:val="18"/>
                <w:szCs w:val="18"/>
              </w:rPr>
            </w:pPr>
            <w:r>
              <w:rPr>
                <w:rFonts w:ascii="宋体" w:hAnsi="宋体" w:cs="宋体" w:eastAsia="宋体" w:hint="default"/>
                <w:sz w:val="18"/>
                <w:szCs w:val="18"/>
              </w:rPr>
              <w:t>燃气管网施工及安装</w:t>
            </w:r>
          </w:p>
        </w:tc>
        <w:tc>
          <w:tcPr>
            <w:tcW w:w="2676" w:type="dxa"/>
            <w:tcBorders>
              <w:top w:val="single" w:sz="4" w:space="0" w:color="000000"/>
              <w:left w:val="single" w:sz="4" w:space="0" w:color="000000"/>
              <w:bottom w:val="single" w:sz="4" w:space="0" w:color="000000"/>
              <w:right w:val="single" w:sz="4" w:space="0" w:color="000000"/>
            </w:tcBorders>
          </w:tcPr>
          <w:p>
            <w:pP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35,274,736.19</w:t>
            </w:r>
          </w:p>
        </w:tc>
      </w:tr>
      <w:tr>
        <w:trPr>
          <w:trHeight w:val="37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4" w:right="0"/>
              <w:jc w:val="left"/>
              <w:rPr>
                <w:rFonts w:ascii="宋体" w:hAnsi="宋体" w:cs="宋体" w:eastAsia="宋体" w:hint="default"/>
                <w:sz w:val="18"/>
                <w:szCs w:val="18"/>
              </w:rPr>
            </w:pPr>
            <w:r>
              <w:rPr>
                <w:rFonts w:ascii="宋体" w:hAnsi="宋体" w:cs="宋体" w:eastAsia="宋体" w:hint="default"/>
                <w:sz w:val="18"/>
                <w:szCs w:val="18"/>
              </w:rPr>
              <w:t>视频信息服务</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
              <w:jc w:val="right"/>
              <w:rPr>
                <w:rFonts w:ascii="宋体" w:hAnsi="宋体" w:cs="宋体" w:eastAsia="宋体" w:hint="default"/>
                <w:sz w:val="18"/>
                <w:szCs w:val="18"/>
              </w:rPr>
            </w:pPr>
            <w:r>
              <w:rPr>
                <w:rFonts w:ascii="宋体"/>
                <w:sz w:val="18"/>
              </w:rPr>
              <w:t>514,812,051.78</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
              <w:jc w:val="right"/>
              <w:rPr>
                <w:rFonts w:ascii="宋体" w:hAnsi="宋体" w:cs="宋体" w:eastAsia="宋体" w:hint="default"/>
                <w:sz w:val="18"/>
                <w:szCs w:val="18"/>
              </w:rPr>
            </w:pPr>
            <w:r>
              <w:rPr>
                <w:rFonts w:ascii="宋体"/>
                <w:sz w:val="18"/>
              </w:rPr>
              <w:t>304,686,266.06</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4"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70,188,920.74</w:t>
            </w:r>
          </w:p>
        </w:tc>
        <w:tc>
          <w:tcPr>
            <w:tcW w:w="267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4" w:right="0"/>
              <w:jc w:val="left"/>
              <w:rPr>
                <w:rFonts w:ascii="宋体" w:hAnsi="宋体" w:cs="宋体" w:eastAsia="宋体" w:hint="default"/>
                <w:sz w:val="18"/>
                <w:szCs w:val="18"/>
              </w:rPr>
            </w:pPr>
            <w:r>
              <w:rPr>
                <w:rFonts w:ascii="宋体" w:hAnsi="宋体" w:cs="宋体" w:eastAsia="宋体" w:hint="default"/>
                <w:sz w:val="18"/>
                <w:szCs w:val="18"/>
              </w:rPr>
              <w:t>销售硬件、软件及提供服务等收入</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637,064,956.11</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25,813,316.97</w:t>
            </w:r>
          </w:p>
        </w:tc>
      </w:tr>
      <w:tr>
        <w:trPr>
          <w:trHeight w:val="37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4" w:right="0"/>
              <w:jc w:val="left"/>
              <w:rPr>
                <w:rFonts w:ascii="宋体" w:hAnsi="宋体" w:cs="宋体" w:eastAsia="宋体" w:hint="default"/>
                <w:sz w:val="18"/>
                <w:szCs w:val="18"/>
              </w:rPr>
            </w:pPr>
            <w:r>
              <w:rPr>
                <w:rFonts w:ascii="宋体" w:hAnsi="宋体" w:cs="宋体" w:eastAsia="宋体" w:hint="default"/>
                <w:sz w:val="18"/>
                <w:szCs w:val="18"/>
              </w:rPr>
              <w:t>代理保险佣金</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
              <w:jc w:val="right"/>
              <w:rPr>
                <w:rFonts w:ascii="宋体" w:hAnsi="宋体" w:cs="宋体" w:eastAsia="宋体" w:hint="default"/>
                <w:sz w:val="18"/>
                <w:szCs w:val="18"/>
              </w:rPr>
            </w:pPr>
            <w:r>
              <w:rPr>
                <w:rFonts w:ascii="宋体"/>
                <w:sz w:val="18"/>
              </w:rPr>
              <w:t>30,437,928.94</w:t>
            </w:r>
          </w:p>
        </w:tc>
        <w:tc>
          <w:tcPr>
            <w:tcW w:w="267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4" w:right="0"/>
              <w:jc w:val="left"/>
              <w:rPr>
                <w:rFonts w:ascii="宋体" w:hAnsi="宋体" w:cs="宋体" w:eastAsia="宋体" w:hint="default"/>
                <w:sz w:val="18"/>
                <w:szCs w:val="18"/>
              </w:rPr>
            </w:pPr>
            <w:r>
              <w:rPr>
                <w:rFonts w:ascii="宋体" w:hAnsi="宋体" w:cs="宋体" w:eastAsia="宋体" w:hint="default"/>
                <w:sz w:val="18"/>
                <w:szCs w:val="18"/>
              </w:rPr>
              <w:t>漫画图书、期刊及周边产品</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48,218,677.57</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48,249,429.99</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4" w:right="0"/>
              <w:jc w:val="left"/>
              <w:rPr>
                <w:rFonts w:ascii="宋体" w:hAnsi="宋体" w:cs="宋体" w:eastAsia="宋体" w:hint="default"/>
                <w:sz w:val="18"/>
                <w:szCs w:val="18"/>
              </w:rPr>
            </w:pPr>
            <w:r>
              <w:rPr>
                <w:rFonts w:ascii="宋体" w:hAnsi="宋体" w:cs="宋体" w:eastAsia="宋体" w:hint="default"/>
                <w:sz w:val="18"/>
                <w:szCs w:val="18"/>
              </w:rPr>
              <w:t>动漫类服务</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9,580,936.65</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21,613,684.70</w:t>
            </w:r>
          </w:p>
        </w:tc>
      </w:tr>
      <w:tr>
        <w:trPr>
          <w:trHeight w:val="37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4"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
              <w:jc w:val="right"/>
              <w:rPr>
                <w:rFonts w:ascii="宋体" w:hAnsi="宋体" w:cs="宋体" w:eastAsia="宋体" w:hint="default"/>
                <w:sz w:val="18"/>
                <w:szCs w:val="18"/>
              </w:rPr>
            </w:pPr>
            <w:r>
              <w:rPr>
                <w:rFonts w:ascii="宋体"/>
                <w:sz w:val="18"/>
              </w:rPr>
              <w:t>8,444,285.28</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
              <w:jc w:val="right"/>
              <w:rPr>
                <w:rFonts w:ascii="宋体" w:hAnsi="宋体" w:cs="宋体" w:eastAsia="宋体" w:hint="default"/>
                <w:sz w:val="18"/>
                <w:szCs w:val="18"/>
              </w:rPr>
            </w:pPr>
            <w:r>
              <w:rPr>
                <w:rFonts w:ascii="宋体"/>
                <w:sz w:val="18"/>
              </w:rPr>
              <w:t>24,811,498.51</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3,731,154,989.64</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3,381,403,565.51</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hAnsi="宋体" w:cs="宋体" w:eastAsia="宋体" w:hint="default"/>
                <w:b/>
                <w:bCs/>
                <w:sz w:val="18"/>
                <w:szCs w:val="18"/>
              </w:rPr>
              <w:t>分地区：</w:t>
            </w:r>
            <w:r>
              <w:rPr>
                <w:rFonts w:ascii="宋体" w:hAnsi="宋体" w:cs="宋体" w:eastAsia="宋体" w:hint="default"/>
                <w:sz w:val="18"/>
                <w:szCs w:val="18"/>
              </w:rPr>
            </w:r>
          </w:p>
        </w:tc>
        <w:tc>
          <w:tcPr>
            <w:tcW w:w="2676" w:type="dxa"/>
            <w:tcBorders>
              <w:top w:val="single" w:sz="4" w:space="0" w:color="000000"/>
              <w:left w:val="single" w:sz="4" w:space="0" w:color="000000"/>
              <w:bottom w:val="single" w:sz="4" w:space="0" w:color="000000"/>
              <w:right w:val="single" w:sz="4" w:space="0" w:color="000000"/>
            </w:tcBorders>
          </w:tcPr>
          <w:p>
            <w:pPr/>
          </w:p>
        </w:tc>
        <w:tc>
          <w:tcPr>
            <w:tcW w:w="2676"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4"/>
              <w:jc w:val="right"/>
              <w:rPr>
                <w:rFonts w:ascii="宋体" w:hAnsi="宋体" w:cs="宋体" w:eastAsia="宋体" w:hint="default"/>
                <w:sz w:val="18"/>
                <w:szCs w:val="18"/>
              </w:rPr>
            </w:pPr>
            <w:r>
              <w:rPr>
                <w:rFonts w:ascii="宋体"/>
                <w:sz w:val="18"/>
              </w:rPr>
              <w:t>742,903,286.01</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4"/>
              <w:jc w:val="right"/>
              <w:rPr>
                <w:rFonts w:ascii="宋体" w:hAnsi="宋体" w:cs="宋体" w:eastAsia="宋体" w:hint="default"/>
                <w:sz w:val="18"/>
                <w:szCs w:val="18"/>
              </w:rPr>
            </w:pPr>
            <w:r>
              <w:rPr>
                <w:rFonts w:ascii="宋体"/>
                <w:sz w:val="18"/>
              </w:rPr>
              <w:t>777,075,524.50</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571,404,470.71</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632,291,480.29</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41,774,035.27</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45,813,152.87</w:t>
            </w:r>
          </w:p>
        </w:tc>
      </w:tr>
      <w:tr>
        <w:trPr>
          <w:trHeight w:val="37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
              <w:jc w:val="right"/>
              <w:rPr>
                <w:rFonts w:ascii="宋体" w:hAnsi="宋体" w:cs="宋体" w:eastAsia="宋体" w:hint="default"/>
                <w:sz w:val="18"/>
                <w:szCs w:val="18"/>
              </w:rPr>
            </w:pPr>
            <w:r>
              <w:rPr>
                <w:rFonts w:ascii="宋体"/>
                <w:sz w:val="18"/>
              </w:rPr>
              <w:t>1,093,919,228.69</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right"/>
              <w:rPr>
                <w:rFonts w:ascii="宋体" w:hAnsi="宋体" w:cs="宋体" w:eastAsia="宋体" w:hint="default"/>
                <w:sz w:val="18"/>
                <w:szCs w:val="18"/>
              </w:rPr>
            </w:pPr>
            <w:r>
              <w:rPr>
                <w:rFonts w:ascii="宋体"/>
                <w:sz w:val="18"/>
              </w:rPr>
              <w:t>965,530,062.72</w:t>
            </w:r>
          </w:p>
        </w:tc>
      </w:tr>
    </w:tbl>
    <w:p>
      <w:pPr>
        <w:spacing w:after="0" w:line="240" w:lineRule="auto"/>
        <w:jc w:val="right"/>
        <w:rPr>
          <w:rFonts w:ascii="宋体" w:hAnsi="宋体" w:cs="宋体" w:eastAsia="宋体" w:hint="default"/>
          <w:sz w:val="18"/>
          <w:szCs w:val="18"/>
        </w:rPr>
        <w:sectPr>
          <w:footerReference w:type="default" r:id="rId65"/>
          <w:pgSz w:w="11910" w:h="16840"/>
          <w:pgMar w:footer="979" w:header="0" w:top="1100" w:bottom="1160" w:left="980" w:right="0"/>
          <w:pgNumType w:start="263"/>
        </w:sectPr>
      </w:pPr>
    </w:p>
    <w:p>
      <w:pPr>
        <w:spacing w:line="240" w:lineRule="auto" w:before="6"/>
        <w:rPr>
          <w:rFonts w:ascii="宋体" w:hAnsi="宋体" w:cs="宋体" w:eastAsia="宋体" w:hint="default"/>
          <w:sz w:val="24"/>
          <w:szCs w:val="24"/>
        </w:rPr>
      </w:pPr>
    </w:p>
    <w:tbl>
      <w:tblPr>
        <w:tblW w:w="0" w:type="auto"/>
        <w:jc w:val="left"/>
        <w:tblInd w:w="257" w:type="dxa"/>
        <w:tblLayout w:type="fixed"/>
        <w:tblCellMar>
          <w:top w:w="0" w:type="dxa"/>
          <w:left w:w="0" w:type="dxa"/>
          <w:bottom w:w="0" w:type="dxa"/>
          <w:right w:w="0" w:type="dxa"/>
        </w:tblCellMar>
        <w:tblLook w:val="01E0"/>
      </w:tblPr>
      <w:tblGrid>
        <w:gridCol w:w="2880"/>
        <w:gridCol w:w="2676"/>
        <w:gridCol w:w="2676"/>
      </w:tblGrid>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right"/>
              <w:rPr>
                <w:rFonts w:ascii="宋体" w:hAnsi="宋体" w:cs="宋体" w:eastAsia="宋体" w:hint="default"/>
                <w:sz w:val="18"/>
                <w:szCs w:val="18"/>
              </w:rPr>
            </w:pPr>
            <w:r>
              <w:rPr>
                <w:rFonts w:ascii="宋体"/>
                <w:sz w:val="18"/>
              </w:rPr>
              <w:t>94,832,133.78</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196,653,549.07</w:t>
            </w:r>
          </w:p>
        </w:tc>
      </w:tr>
      <w:tr>
        <w:trPr>
          <w:trHeight w:val="37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
              <w:jc w:val="right"/>
              <w:rPr>
                <w:rFonts w:ascii="宋体" w:hAnsi="宋体" w:cs="宋体" w:eastAsia="宋体" w:hint="default"/>
                <w:sz w:val="18"/>
                <w:szCs w:val="18"/>
              </w:rPr>
            </w:pPr>
            <w:r>
              <w:rPr>
                <w:rFonts w:ascii="宋体"/>
                <w:sz w:val="18"/>
              </w:rPr>
              <w:t>841,208,209.39</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right"/>
              <w:rPr>
                <w:rFonts w:ascii="宋体" w:hAnsi="宋体" w:cs="宋体" w:eastAsia="宋体" w:hint="default"/>
                <w:sz w:val="18"/>
                <w:szCs w:val="18"/>
              </w:rPr>
            </w:pPr>
            <w:r>
              <w:rPr>
                <w:rFonts w:ascii="宋体"/>
                <w:sz w:val="18"/>
              </w:rPr>
              <w:t>483,194,440.58</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hAnsi="宋体" w:cs="宋体" w:eastAsia="宋体" w:hint="default"/>
                <w:sz w:val="18"/>
                <w:szCs w:val="18"/>
              </w:rPr>
              <w:t>西南及其他地区</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345,113,625.79</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280,845,355.48</w:t>
            </w:r>
          </w:p>
        </w:tc>
      </w:tr>
      <w:tr>
        <w:trPr>
          <w:trHeight w:val="37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
              <w:jc w:val="right"/>
              <w:rPr>
                <w:rFonts w:ascii="宋体" w:hAnsi="宋体" w:cs="宋体" w:eastAsia="宋体" w:hint="default"/>
                <w:sz w:val="18"/>
                <w:szCs w:val="18"/>
              </w:rPr>
            </w:pPr>
            <w:r>
              <w:rPr>
                <w:rFonts w:ascii="宋体"/>
                <w:sz w:val="18"/>
              </w:rPr>
              <w:t>3,731,154,989.64</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
              <w:jc w:val="right"/>
              <w:rPr>
                <w:rFonts w:ascii="宋体" w:hAnsi="宋体" w:cs="宋体" w:eastAsia="宋体" w:hint="default"/>
                <w:sz w:val="18"/>
                <w:szCs w:val="18"/>
              </w:rPr>
            </w:pPr>
            <w:r>
              <w:rPr>
                <w:rFonts w:ascii="宋体"/>
                <w:sz w:val="18"/>
              </w:rPr>
              <w:t>3,381,403,565.51</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十六、母公司财务报表主要项目注释" w:id="391"/>
      <w:bookmarkEnd w:id="391"/>
      <w:r>
        <w:rPr>
          <w:b w:val="0"/>
          <w:bCs w:val="0"/>
        </w:rPr>
      </w: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 w:id="392"/>
      <w:bookmarkEnd w:id="392"/>
      <w:r>
        <w:rPr>
          <w:b w:val="0"/>
          <w:bCs w:val="0"/>
        </w:rPr>
      </w:r>
      <w:r>
        <w:rPr>
          <w:rFonts w:ascii="宋体" w:hAnsi="宋体" w:cs="宋体" w:eastAsia="宋体" w:hint="default"/>
        </w:rPr>
        <w:t>1</w:t>
      </w:r>
      <w:r>
        <w:rPr/>
        <w:t>、其他应收款</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97"/>
              <w:jc w:val="right"/>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7,547,311.07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11,556,954.92</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33,589,853.02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68,461,141.01</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733,617,769.70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784,615,295.97</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97"/>
              <w:jc w:val="righ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774,754,933.79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864,633,391.90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393"/>
      <w:bookmarkEnd w:id="393"/>
      <w:r>
        <w:rPr>
          <w:b w:val="0"/>
          <w:bCs w:val="0"/>
        </w:rPr>
      </w:r>
      <w:r>
        <w:rPr/>
        <w:t>（</w:t>
      </w:r>
      <w:r>
        <w:rPr>
          <w:rFonts w:ascii="宋体" w:hAnsi="宋体" w:cs="宋体" w:eastAsia="宋体" w:hint="default"/>
        </w:rPr>
        <w:t>1</w:t>
      </w:r>
      <w:r>
        <w:rPr/>
        <w:t>）应收利息</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0" w:footer="979" w:top="1100" w:bottom="1160" w:left="980" w:right="0"/>
        </w:sectPr>
      </w:pPr>
    </w:p>
    <w:p>
      <w:pPr>
        <w:pStyle w:val="BodyText"/>
        <w:spacing w:line="240" w:lineRule="auto" w:before="35"/>
        <w:ind w:right="-13"/>
        <w:jc w:val="left"/>
      </w:pPr>
      <w:r>
        <w:rPr>
          <w:rFonts w:ascii="宋体" w:hAnsi="宋体" w:cs="宋体" w:eastAsia="宋体" w:hint="default"/>
          <w:spacing w:val="-1"/>
        </w:rPr>
        <w:t>1)</w:t>
      </w:r>
      <w:r>
        <w:rPr>
          <w:spacing w:val="-1"/>
        </w:rPr>
        <w:t>应收利息分类</w:t>
      </w:r>
    </w:p>
    <w:p>
      <w:pPr>
        <w:spacing w:line="240" w:lineRule="auto" w:before="0"/>
        <w:rPr>
          <w:rFonts w:ascii="宋体" w:hAnsi="宋体" w:cs="宋体" w:eastAsia="宋体" w:hint="default"/>
          <w:sz w:val="18"/>
          <w:szCs w:val="18"/>
        </w:rPr>
      </w:pPr>
      <w:r>
        <w:rPr/>
        <w:br w:type="column"/>
      </w:r>
      <w:r>
        <w:rPr>
          <w:rFonts w:ascii="宋体"/>
          <w:sz w:val="18"/>
        </w:rPr>
      </w:r>
    </w:p>
    <w:p>
      <w:pPr>
        <w:spacing w:before="151"/>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624" w:space="7205"/>
            <w:col w:w="2101"/>
          </w:cols>
        </w:sectPr>
      </w:pP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内部借款利息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7,547,311.07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11,556,954.92</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7,547,311.07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11,556,954.92</w:t>
            </w:r>
          </w:p>
        </w:tc>
      </w:tr>
    </w:tbl>
    <w:p>
      <w:pPr>
        <w:spacing w:line="240" w:lineRule="auto" w:before="12"/>
        <w:rPr>
          <w:rFonts w:ascii="宋体" w:hAnsi="宋体" w:cs="宋体" w:eastAsia="宋体" w:hint="default"/>
          <w:sz w:val="7"/>
          <w:szCs w:val="7"/>
        </w:rPr>
      </w:pPr>
    </w:p>
    <w:p>
      <w:pPr>
        <w:pStyle w:val="BodyText"/>
        <w:spacing w:line="240" w:lineRule="auto" w:before="35"/>
        <w:ind w:right="0"/>
        <w:jc w:val="left"/>
      </w:pPr>
      <w:r>
        <w:rPr>
          <w:rFonts w:ascii="宋体" w:hAnsi="宋体" w:cs="宋体" w:eastAsia="宋体" w:hint="default"/>
        </w:rPr>
        <w:t>2)</w:t>
      </w:r>
      <w:r>
        <w:rPr>
          <w:rFonts w:ascii="宋体" w:hAnsi="宋体" w:cs="宋体" w:eastAsia="宋体" w:hint="default"/>
          <w:spacing w:val="-2"/>
        </w:rPr>
        <w:t> </w:t>
      </w:r>
      <w:r>
        <w:rPr/>
        <w:t>期末应收利息中无重要的逾期利息。</w:t>
      </w:r>
    </w:p>
    <w:p>
      <w:pPr>
        <w:spacing w:line="240" w:lineRule="auto" w:before="13"/>
        <w:rPr>
          <w:rFonts w:ascii="宋体" w:hAnsi="宋体" w:cs="宋体" w:eastAsia="宋体" w:hint="default"/>
          <w:sz w:val="26"/>
          <w:szCs w:val="26"/>
        </w:rPr>
      </w:pPr>
    </w:p>
    <w:p>
      <w:pPr>
        <w:pStyle w:val="Heading4"/>
        <w:spacing w:line="240" w:lineRule="auto"/>
        <w:ind w:right="0"/>
        <w:jc w:val="left"/>
        <w:rPr>
          <w:b w:val="0"/>
          <w:bCs w:val="0"/>
        </w:rPr>
      </w:pPr>
      <w:bookmarkStart w:name="（2）应收股利" w:id="394"/>
      <w:bookmarkEnd w:id="394"/>
      <w:r>
        <w:rPr>
          <w:b w:val="0"/>
          <w:bCs w:val="0"/>
        </w:rPr>
      </w:r>
      <w:r>
        <w:rPr/>
        <w:t>（</w:t>
      </w:r>
      <w:r>
        <w:rPr>
          <w:rFonts w:ascii="宋体" w:hAnsi="宋体" w:cs="宋体" w:eastAsia="宋体" w:hint="default"/>
        </w:rPr>
        <w:t>2</w:t>
      </w:r>
      <w:r>
        <w:rPr/>
        <w:t>）应收股利</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type w:val="continuous"/>
          <w:pgSz w:w="11910" w:h="16840"/>
          <w:pgMar w:top="1060" w:bottom="1160" w:left="980" w:right="0"/>
        </w:sectPr>
      </w:pPr>
    </w:p>
    <w:p>
      <w:pPr>
        <w:pStyle w:val="BodyText"/>
        <w:spacing w:line="240" w:lineRule="auto" w:before="35"/>
        <w:ind w:right="-19"/>
        <w:jc w:val="left"/>
      </w:pPr>
      <w:r>
        <w:rPr>
          <w:rFonts w:ascii="宋体" w:hAnsi="宋体" w:cs="宋体" w:eastAsia="宋体" w:hint="default"/>
        </w:rPr>
        <w:t>1)</w:t>
      </w:r>
      <w:r>
        <w:rPr/>
        <w:t>应收股利</w:t>
      </w:r>
    </w:p>
    <w:p>
      <w:pPr>
        <w:spacing w:line="240" w:lineRule="auto" w:before="0"/>
        <w:rPr>
          <w:rFonts w:ascii="宋体" w:hAnsi="宋体" w:cs="宋体" w:eastAsia="宋体" w:hint="default"/>
          <w:sz w:val="18"/>
          <w:szCs w:val="18"/>
        </w:rPr>
      </w:pPr>
      <w:r>
        <w:rPr/>
        <w:br w:type="column"/>
      </w:r>
      <w:r>
        <w:rPr>
          <w:rFonts w:ascii="宋体"/>
          <w:sz w:val="18"/>
        </w:rPr>
      </w:r>
    </w:p>
    <w:p>
      <w:pPr>
        <w:spacing w:before="151"/>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206" w:space="7624"/>
            <w:col w:w="2100"/>
          </w:cols>
        </w:sectPr>
      </w:pP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精视文化</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8,471,287.99</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澄怀科技</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40,000,000.00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漫友文化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19,989,853.02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19,989,853.02</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邦富软件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13,600,000.00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33,589,853.02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68,461,141.01</w:t>
            </w:r>
          </w:p>
        </w:tc>
      </w:tr>
    </w:tbl>
    <w:p>
      <w:pPr>
        <w:spacing w:line="240" w:lineRule="auto" w:before="12"/>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10" w:h="16840"/>
          <w:pgMar w:top="1060" w:bottom="1160" w:left="980" w:right="0"/>
        </w:sectPr>
      </w:pPr>
    </w:p>
    <w:p>
      <w:pPr>
        <w:pStyle w:val="BodyText"/>
        <w:spacing w:line="240" w:lineRule="auto" w:before="35"/>
        <w:ind w:right="-17"/>
        <w:jc w:val="left"/>
      </w:pPr>
      <w:r>
        <w:rPr>
          <w:rFonts w:ascii="宋体" w:hAnsi="宋体" w:cs="宋体" w:eastAsia="宋体" w:hint="default"/>
        </w:rPr>
        <w:t>2)</w:t>
      </w:r>
      <w:r>
        <w:rPr/>
        <w:t>重要的账龄超过</w:t>
      </w:r>
      <w:r>
        <w:rPr>
          <w:spacing w:val="-54"/>
        </w:rPr>
        <w:t> </w:t>
      </w:r>
      <w:r>
        <w:rPr>
          <w:rFonts w:ascii="宋体" w:hAnsi="宋体" w:cs="宋体" w:eastAsia="宋体" w:hint="default"/>
        </w:rPr>
        <w:t>1</w:t>
      </w:r>
      <w:r>
        <w:rPr>
          <w:rFonts w:ascii="宋体" w:hAnsi="宋体" w:cs="宋体" w:eastAsia="宋体" w:hint="default"/>
          <w:spacing w:val="-54"/>
        </w:rPr>
        <w:t> </w:t>
      </w:r>
      <w:r>
        <w:rPr/>
        <w:t>年的应收股利</w:t>
      </w:r>
    </w:p>
    <w:p>
      <w:pPr>
        <w:spacing w:line="240" w:lineRule="auto" w:before="0"/>
        <w:rPr>
          <w:rFonts w:ascii="宋体" w:hAnsi="宋体" w:cs="宋体" w:eastAsia="宋体" w:hint="default"/>
          <w:sz w:val="18"/>
          <w:szCs w:val="18"/>
        </w:rPr>
      </w:pPr>
      <w:r>
        <w:rPr/>
        <w:br w:type="column"/>
      </w:r>
      <w:r>
        <w:rPr>
          <w:rFonts w:ascii="宋体"/>
          <w:sz w:val="18"/>
        </w:rPr>
      </w:r>
    </w:p>
    <w:p>
      <w:pPr>
        <w:spacing w:before="151"/>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305" w:space="5525"/>
            <w:col w:w="2100"/>
          </w:cols>
        </w:sectPr>
      </w:pP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63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漫友文化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19,989,853.02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否，待发放</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19,989,853.02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3"/>
          <w:szCs w:val="23"/>
        </w:rPr>
      </w:pPr>
    </w:p>
    <w:p>
      <w:pPr>
        <w:spacing w:line="669" w:lineRule="auto" w:before="0"/>
        <w:ind w:left="240" w:right="-10" w:firstLine="0"/>
        <w:jc w:val="left"/>
        <w:rPr>
          <w:rFonts w:ascii="宋体" w:hAnsi="宋体" w:cs="宋体" w:eastAsia="宋体" w:hint="default"/>
          <w:sz w:val="21"/>
          <w:szCs w:val="21"/>
        </w:rPr>
      </w:pPr>
      <w:bookmarkStart w:name="（3）其他应收款" w:id="395"/>
      <w:bookmarkEnd w:id="395"/>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b/>
          <w:bCs/>
          <w:w w:val="99"/>
          <w:sz w:val="21"/>
          <w:szCs w:val="21"/>
        </w:rPr>
        <w:t> </w:t>
      </w:r>
      <w:r>
        <w:rPr>
          <w:rFonts w:ascii="宋体" w:hAnsi="宋体" w:cs="宋体" w:eastAsia="宋体" w:hint="default"/>
          <w:spacing w:val="-1"/>
          <w:sz w:val="21"/>
          <w:szCs w:val="21"/>
        </w:rPr>
        <w:t>1)</w:t>
      </w:r>
      <w:r>
        <w:rPr>
          <w:rFonts w:ascii="宋体" w:hAnsi="宋体" w:cs="宋体" w:eastAsia="宋体" w:hint="default"/>
          <w:spacing w:val="-1"/>
          <w:sz w:val="21"/>
          <w:szCs w:val="21"/>
        </w:rPr>
        <w:t>其他应收款分类披露</w:t>
      </w:r>
    </w:p>
    <w:p>
      <w:pPr>
        <w:spacing w:before="15"/>
        <w:ind w:left="0" w:right="616" w:firstLine="0"/>
        <w:jc w:val="righ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spacing w:before="0"/>
        <w:ind w:left="0" w:right="616" w:firstLine="0"/>
        <w:jc w:val="right"/>
        <w:rPr>
          <w:rFonts w:ascii="宋体" w:hAnsi="宋体" w:cs="宋体" w:eastAsia="宋体" w:hint="default"/>
          <w:sz w:val="18"/>
          <w:szCs w:val="18"/>
        </w:rPr>
      </w:pPr>
      <w:r>
        <w:rPr/>
        <w:pict>
          <v:group style="position:absolute;margin-left:70.5pt;margin-top:-56.288288pt;width:701pt;height:.1pt;mso-position-horizontal-relative:page;mso-position-vertical-relative:paragraph;z-index:3256" coordorigin="1410,-1126" coordsize="14020,2">
            <v:shape style="position:absolute;left:1410;top:-1126;width:14020;height:2" coordorigin="1410,-1126" coordsize="14020,0" path="m1410,-1126l15430,-1126e" filled="false" stroked="true" strokeweight=".72pt" strokecolor="#000000">
              <v:path arrowok="t"/>
            </v:shape>
            <w10:wrap type="none"/>
          </v:group>
        </w:pict>
      </w: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headerReference w:type="default" r:id="rId66"/>
          <w:footerReference w:type="default" r:id="rId67"/>
          <w:pgSz w:w="16840" w:h="11910" w:orient="landscape"/>
          <w:pgMar w:header="0" w:footer="0" w:top="800" w:bottom="0" w:left="1200" w:right="820"/>
          <w:cols w:num="2" w:equalWidth="0">
            <w:col w:w="2340" w:space="7389"/>
            <w:col w:w="5091"/>
          </w:cols>
        </w:sectPr>
      </w:pPr>
    </w:p>
    <w:tbl>
      <w:tblPr>
        <w:tblW w:w="0" w:type="auto"/>
        <w:jc w:val="left"/>
        <w:tblInd w:w="105" w:type="dxa"/>
        <w:tblLayout w:type="fixed"/>
        <w:tblCellMar>
          <w:top w:w="0" w:type="dxa"/>
          <w:left w:w="0" w:type="dxa"/>
          <w:bottom w:w="0" w:type="dxa"/>
          <w:right w:w="0" w:type="dxa"/>
        </w:tblCellMar>
        <w:tblLook w:val="01E0"/>
      </w:tblPr>
      <w:tblGrid>
        <w:gridCol w:w="2104"/>
        <w:gridCol w:w="1713"/>
        <w:gridCol w:w="850"/>
        <w:gridCol w:w="1560"/>
        <w:gridCol w:w="993"/>
        <w:gridCol w:w="1417"/>
        <w:gridCol w:w="1417"/>
        <w:gridCol w:w="762"/>
        <w:gridCol w:w="1364"/>
        <w:gridCol w:w="933"/>
        <w:gridCol w:w="1477"/>
      </w:tblGrid>
      <w:tr>
        <w:trPr>
          <w:trHeight w:val="322" w:hRule="exact"/>
        </w:trPr>
        <w:tc>
          <w:tcPr>
            <w:tcW w:w="210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9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21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5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8"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7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2104" w:type="dxa"/>
            <w:vMerge/>
            <w:tcBorders>
              <w:left w:val="single" w:sz="4" w:space="0" w:color="000000"/>
              <w:bottom w:val="nil" w:sz="6" w:space="0" w:color="auto"/>
              <w:right w:val="single" w:sz="4" w:space="0" w:color="000000"/>
            </w:tcBorders>
            <w:shd w:val="clear" w:color="auto" w:fill="D2D2D2"/>
          </w:tcPr>
          <w:p>
            <w:pPr/>
          </w:p>
        </w:tc>
        <w:tc>
          <w:tcPr>
            <w:tcW w:w="2563" w:type="dxa"/>
            <w:gridSpan w:val="2"/>
            <w:vMerge/>
            <w:tcBorders>
              <w:left w:val="single" w:sz="4" w:space="0" w:color="000000"/>
              <w:bottom w:val="single" w:sz="4" w:space="0" w:color="000000"/>
              <w:right w:val="single" w:sz="4" w:space="0" w:color="000000"/>
            </w:tcBorders>
            <w:shd w:val="clear" w:color="auto" w:fill="D2D2D2"/>
          </w:tcPr>
          <w:p>
            <w:pPr/>
          </w:p>
        </w:tc>
        <w:tc>
          <w:tcPr>
            <w:tcW w:w="2553" w:type="dxa"/>
            <w:gridSpan w:val="2"/>
            <w:vMerge/>
            <w:tcBorders>
              <w:left w:val="single" w:sz="4" w:space="0" w:color="000000"/>
              <w:bottom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179" w:type="dxa"/>
            <w:gridSpan w:val="2"/>
            <w:vMerge/>
            <w:tcBorders>
              <w:left w:val="single" w:sz="4" w:space="0" w:color="000000"/>
              <w:bottom w:val="single" w:sz="4" w:space="0" w:color="000000"/>
              <w:right w:val="single" w:sz="4" w:space="0" w:color="000000"/>
            </w:tcBorders>
            <w:shd w:val="clear" w:color="auto" w:fill="D2D2D2"/>
          </w:tcPr>
          <w:p>
            <w:pPr/>
          </w:p>
        </w:tc>
        <w:tc>
          <w:tcPr>
            <w:tcW w:w="2297" w:type="dxa"/>
            <w:gridSpan w:val="2"/>
            <w:vMerge/>
            <w:tcBorders>
              <w:left w:val="single" w:sz="4" w:space="0" w:color="000000"/>
              <w:bottom w:val="single" w:sz="4" w:space="0" w:color="000000"/>
              <w:right w:val="single" w:sz="4" w:space="0" w:color="000000"/>
            </w:tcBorders>
            <w:shd w:val="clear" w:color="auto" w:fill="D2D2D2"/>
          </w:tcPr>
          <w:p>
            <w:pPr/>
          </w:p>
        </w:tc>
        <w:tc>
          <w:tcPr>
            <w:tcW w:w="1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7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6" w:hRule="exact"/>
        </w:trPr>
        <w:tc>
          <w:tcPr>
            <w:tcW w:w="2104" w:type="dxa"/>
            <w:vMerge w:val="restart"/>
            <w:tcBorders>
              <w:top w:val="nil" w:sz="6" w:space="0" w:color="auto"/>
              <w:left w:val="single" w:sz="4" w:space="0" w:color="000000"/>
              <w:right w:val="single" w:sz="4" w:space="0" w:color="000000"/>
            </w:tcBorders>
            <w:shd w:val="clear" w:color="auto" w:fill="D2D2D2"/>
          </w:tcPr>
          <w:p>
            <w:pPr/>
          </w:p>
        </w:tc>
        <w:tc>
          <w:tcPr>
            <w:tcW w:w="17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17"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77"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2104" w:type="dxa"/>
            <w:vMerge/>
            <w:tcBorders>
              <w:left w:val="single" w:sz="4" w:space="0" w:color="000000"/>
              <w:bottom w:val="single" w:sz="4" w:space="0" w:color="000000"/>
              <w:right w:val="single" w:sz="4" w:space="0" w:color="000000"/>
            </w:tcBorders>
            <w:shd w:val="clear" w:color="auto" w:fill="D2D2D2"/>
          </w:tcPr>
          <w:p>
            <w:pPr/>
          </w:p>
        </w:tc>
        <w:tc>
          <w:tcPr>
            <w:tcW w:w="1713"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933" w:type="dxa"/>
            <w:vMerge/>
            <w:tcBorders>
              <w:left w:val="single" w:sz="4" w:space="0" w:color="000000"/>
              <w:bottom w:val="single" w:sz="4" w:space="0" w:color="000000"/>
              <w:right w:val="single" w:sz="4" w:space="0" w:color="000000"/>
            </w:tcBorders>
            <w:shd w:val="clear" w:color="auto" w:fill="D2D2D2"/>
          </w:tcPr>
          <w:p>
            <w:pPr/>
          </w:p>
        </w:tc>
        <w:tc>
          <w:tcPr>
            <w:tcW w:w="147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634"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102"/>
              <w:jc w:val="left"/>
              <w:rPr>
                <w:rFonts w:ascii="宋体" w:hAnsi="宋体" w:cs="宋体" w:eastAsia="宋体" w:hint="default"/>
                <w:sz w:val="18"/>
                <w:szCs w:val="18"/>
              </w:rPr>
            </w:pPr>
            <w:r>
              <w:rPr>
                <w:rFonts w:ascii="宋体" w:hAnsi="宋体" w:cs="宋体" w:eastAsia="宋体" w:hint="default"/>
                <w:sz w:val="18"/>
                <w:szCs w:val="18"/>
              </w:rPr>
              <w:t>单项金额重大并单独计提 坏账准备的其他应收款</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915,090,855.88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89.46%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252,090,855.88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27.55%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663,000,000.00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766,348,053.00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95.10%</w:t>
            </w:r>
          </w:p>
        </w:tc>
        <w:tc>
          <w:tcPr>
            <w:tcW w:w="1364" w:type="dxa"/>
            <w:tcBorders>
              <w:top w:val="single" w:sz="4" w:space="0" w:color="000000"/>
              <w:left w:val="single" w:sz="4" w:space="0" w:color="000000"/>
              <w:bottom w:val="single" w:sz="4" w:space="0" w:color="000000"/>
              <w:right w:val="single" w:sz="4" w:space="0" w:color="000000"/>
            </w:tcBorders>
          </w:tcPr>
          <w:p>
            <w:pPr/>
          </w:p>
        </w:tc>
        <w:tc>
          <w:tcPr>
            <w:tcW w:w="933"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766,348,053.00</w:t>
            </w:r>
          </w:p>
        </w:tc>
      </w:tr>
      <w:tr>
        <w:trPr>
          <w:trHeight w:val="635"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102"/>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坏账准备的其他应收款</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91,708,888.00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8.97%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32,808,888.00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35.78%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58,900,000.00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29,708,888.00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3.69%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18,208,888.00</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61.29%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11,500,000.00</w:t>
            </w:r>
          </w:p>
        </w:tc>
      </w:tr>
      <w:tr>
        <w:trPr>
          <w:trHeight w:val="634"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102"/>
              <w:jc w:val="left"/>
              <w:rPr>
                <w:rFonts w:ascii="宋体" w:hAnsi="宋体" w:cs="宋体" w:eastAsia="宋体" w:hint="default"/>
                <w:sz w:val="18"/>
                <w:szCs w:val="18"/>
              </w:rPr>
            </w:pPr>
            <w:r>
              <w:rPr>
                <w:rFonts w:ascii="宋体" w:hAnsi="宋体" w:cs="宋体" w:eastAsia="宋体" w:hint="default"/>
                <w:sz w:val="18"/>
                <w:szCs w:val="18"/>
              </w:rPr>
              <w:t>单项金额不重大但单独计 提坏账准备的其他应收款</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16,039,320.50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4,321,550.80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26.94%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11,717,769.70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9,767,242.97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1.21%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3,000,000.00</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30.72%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6,767,242.97</w:t>
            </w:r>
          </w:p>
        </w:tc>
      </w:tr>
      <w:tr>
        <w:trPr>
          <w:trHeight w:val="323"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1,022,839,064.38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289,221,294.68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28.28%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733,617,769.70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805,824,183.97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21,208,888.00</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2.63%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784,615,295.97</w:t>
            </w:r>
          </w:p>
        </w:tc>
      </w:tr>
    </w:tbl>
    <w:p>
      <w:pPr>
        <w:spacing w:line="240" w:lineRule="auto" w:before="1"/>
        <w:rPr>
          <w:rFonts w:ascii="宋体" w:hAnsi="宋体" w:cs="宋体" w:eastAsia="宋体" w:hint="default"/>
          <w:sz w:val="8"/>
          <w:szCs w:val="8"/>
        </w:rPr>
      </w:pPr>
    </w:p>
    <w:p>
      <w:pPr>
        <w:pStyle w:val="BodyText"/>
        <w:spacing w:line="240" w:lineRule="auto" w:before="35"/>
        <w:ind w:left="240" w:right="0"/>
        <w:jc w:val="left"/>
      </w:pPr>
      <w:r>
        <w:rPr/>
        <w:t>期末单项金额重大并单项计提坏账准备的其他应收款：</w:t>
      </w:r>
    </w:p>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6840" w:h="11910" w:orient="landscape"/>
          <w:pgMar w:top="1060" w:bottom="1160" w:left="1200" w:right="820"/>
        </w:sectPr>
      </w:pPr>
    </w:p>
    <w:p>
      <w:pPr>
        <w:pStyle w:val="BodyText"/>
        <w:spacing w:line="240" w:lineRule="auto" w:before="35"/>
        <w:ind w:left="240" w:right="-19"/>
        <w:jc w:val="left"/>
      </w:pPr>
      <w:r>
        <w:rPr/>
        <w:t>√ 适用 □</w:t>
      </w:r>
      <w:r>
        <w:rPr>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before="151"/>
        <w:ind w:left="2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6840" w:h="11910" w:orient="landscape"/>
          <w:pgMar w:top="1060" w:bottom="1160" w:left="1200" w:right="820"/>
          <w:cols w:num="2" w:equalWidth="0">
            <w:col w:w="2025" w:space="11125"/>
            <w:col w:w="1670"/>
          </w:cols>
        </w:sectPr>
      </w:pPr>
    </w:p>
    <w:p>
      <w:pPr>
        <w:spacing w:line="240" w:lineRule="auto" w:before="11"/>
        <w:rPr>
          <w:rFonts w:ascii="宋体" w:hAnsi="宋体" w:cs="宋体" w:eastAsia="宋体" w:hint="default"/>
          <w:sz w:val="5"/>
          <w:szCs w:val="5"/>
        </w:rPr>
      </w:pPr>
    </w:p>
    <w:tbl>
      <w:tblPr>
        <w:tblW w:w="0" w:type="auto"/>
        <w:jc w:val="left"/>
        <w:tblInd w:w="235" w:type="dxa"/>
        <w:tblLayout w:type="fixed"/>
        <w:tblCellMar>
          <w:top w:w="0" w:type="dxa"/>
          <w:left w:w="0" w:type="dxa"/>
          <w:bottom w:w="0" w:type="dxa"/>
          <w:right w:w="0" w:type="dxa"/>
        </w:tblCellMar>
        <w:tblLook w:val="01E0"/>
      </w:tblPr>
      <w:tblGrid>
        <w:gridCol w:w="3262"/>
        <w:gridCol w:w="1836"/>
        <w:gridCol w:w="1914"/>
        <w:gridCol w:w="1913"/>
        <w:gridCol w:w="2132"/>
      </w:tblGrid>
      <w:tr>
        <w:trPr>
          <w:trHeight w:val="176" w:hRule="exact"/>
        </w:trPr>
        <w:tc>
          <w:tcPr>
            <w:tcW w:w="32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6"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7" w:hRule="exact"/>
        </w:trPr>
        <w:tc>
          <w:tcPr>
            <w:tcW w:w="32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724"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796" w:type="dxa"/>
            <w:gridSpan w:val="4"/>
            <w:vMerge/>
            <w:tcBorders>
              <w:left w:val="single" w:sz="4" w:space="0" w:color="000000"/>
              <w:bottom w:val="single" w:sz="4" w:space="0" w:color="000000"/>
              <w:right w:val="single" w:sz="4" w:space="0" w:color="000000"/>
            </w:tcBorders>
            <w:shd w:val="clear" w:color="auto" w:fill="D2D2D2"/>
          </w:tcPr>
          <w:p>
            <w:pPr/>
          </w:p>
        </w:tc>
      </w:tr>
      <w:tr>
        <w:trPr>
          <w:trHeight w:val="145" w:hRule="exact"/>
        </w:trPr>
        <w:tc>
          <w:tcPr>
            <w:tcW w:w="3262" w:type="dxa"/>
            <w:vMerge/>
            <w:tcBorders>
              <w:left w:val="single" w:sz="4" w:space="0" w:color="000000"/>
              <w:bottom w:val="nil" w:sz="6" w:space="0" w:color="auto"/>
              <w:right w:val="single" w:sz="4" w:space="0" w:color="000000"/>
            </w:tcBorders>
            <w:shd w:val="clear" w:color="auto" w:fill="D2D2D2"/>
          </w:tcPr>
          <w:p>
            <w:pPr/>
          </w:p>
        </w:tc>
        <w:tc>
          <w:tcPr>
            <w:tcW w:w="1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70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87" w:hRule="exact"/>
        </w:trPr>
        <w:tc>
          <w:tcPr>
            <w:tcW w:w="32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2132"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国广光荣</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子公司往来不计提坏账</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海南文旅</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136,000,000.00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子公司往来不计提坏账</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澄怀科技</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232,090,855.88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232,090,855.88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国视通讯</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467,000,000.00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子公司往来不计提坏账</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漫友文化</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子公司往来不计提坏账</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大庭广众影视传媒（北京）有限公司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915,090,855.88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252,090,855.88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0" w:right="616" w:firstLine="0"/>
        <w:jc w:val="right"/>
        <w:rPr>
          <w:rFonts w:ascii="Times New Roman" w:hAnsi="Times New Roman" w:cs="Times New Roman" w:eastAsia="Times New Roman" w:hint="default"/>
          <w:sz w:val="18"/>
          <w:szCs w:val="18"/>
        </w:rPr>
      </w:pPr>
      <w:r>
        <w:rPr>
          <w:rFonts w:ascii="Times New Roman"/>
          <w:sz w:val="18"/>
        </w:rPr>
        <w:t>265</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spacing w:line="371" w:lineRule="exact"/>
        <w:ind w:left="105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3" name="image1.jpeg" descr=""/>
            <wp:cNvGraphicFramePr>
              <a:graphicFrameLocks noChangeAspect="1"/>
            </wp:cNvGraphicFramePr>
            <a:graphic>
              <a:graphicData uri="http://schemas.openxmlformats.org/drawingml/2006/picture">
                <pic:pic>
                  <pic:nvPicPr>
                    <pic:cNvPr id="14" name="image1.jpeg"/>
                    <pic:cNvPicPr/>
                  </pic:nvPicPr>
                  <pic:blipFill>
                    <a:blip r:embed="rId25"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200" w:right="8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p>
      <w:pPr>
        <w:pStyle w:val="BodyText"/>
        <w:spacing w:line="240" w:lineRule="auto" w:before="35"/>
        <w:ind w:right="0"/>
        <w:jc w:val="left"/>
      </w:pPr>
      <w:r>
        <w:rPr/>
        <w:t>组合中，按账龄分析法计提坏账准备的其他应收款：</w:t>
      </w:r>
    </w:p>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footerReference w:type="default" r:id="rId68"/>
          <w:pgSz w:w="11910" w:h="16840"/>
          <w:pgMar w:footer="979" w:header="0" w:top="1100" w:bottom="1160" w:left="980" w:right="0"/>
          <w:pgNumType w:start="266"/>
        </w:sectPr>
      </w:pPr>
    </w:p>
    <w:p>
      <w:pPr>
        <w:pStyle w:val="BodyText"/>
        <w:spacing w:line="240" w:lineRule="auto" w:before="35"/>
        <w:ind w:right="-20"/>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before="151"/>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39" w:space="6890"/>
            <w:col w:w="2101"/>
          </w:cols>
        </w:sectPr>
      </w:pP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0"/>
        <w:gridCol w:w="2390"/>
      </w:tblGrid>
      <w:tr>
        <w:trPr>
          <w:trHeight w:val="16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7"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55"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72"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32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62,000,000.00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3,100,000.00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5.00%</w:t>
            </w:r>
          </w:p>
        </w:tc>
      </w:tr>
      <w:tr>
        <w:trPr>
          <w:trHeight w:val="32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29,708,888.00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29,708,888.00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100.00%</w:t>
            </w:r>
          </w:p>
        </w:tc>
      </w:tr>
      <w:tr>
        <w:trPr>
          <w:trHeight w:val="32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91,708,888.00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32,808,888.00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35.78%</w:t>
            </w:r>
          </w:p>
        </w:tc>
      </w:tr>
    </w:tbl>
    <w:p>
      <w:pPr>
        <w:spacing w:line="240" w:lineRule="auto" w:before="12"/>
        <w:rPr>
          <w:rFonts w:ascii="宋体" w:hAnsi="宋体" w:cs="宋体" w:eastAsia="宋体" w:hint="default"/>
          <w:sz w:val="7"/>
          <w:szCs w:val="7"/>
        </w:rPr>
      </w:pPr>
    </w:p>
    <w:p>
      <w:pPr>
        <w:pStyle w:val="BodyText"/>
        <w:spacing w:line="420" w:lineRule="auto" w:before="35"/>
        <w:ind w:right="5502"/>
        <w:jc w:val="left"/>
      </w:pPr>
      <w:r>
        <w:rPr/>
        <w:t>确定该组合依据的说明： 组合中，采用余额百分比法计提坏账准备的其他应收款：</w:t>
      </w:r>
    </w:p>
    <w:p>
      <w:pPr>
        <w:pStyle w:val="BodyText"/>
        <w:spacing w:line="420" w:lineRule="auto" w:before="47"/>
        <w:ind w:right="5922"/>
        <w:jc w:val="left"/>
      </w:pPr>
      <w:r>
        <w:rPr/>
        <w:t>□ 适用 √</w:t>
      </w:r>
      <w:r>
        <w:rPr>
          <w:spacing w:val="-1"/>
        </w:rPr>
        <w:t> </w:t>
      </w:r>
      <w:r>
        <w:rPr/>
        <w:t>不适用</w:t>
      </w:r>
      <w:r>
        <w:rPr/>
        <w:t> 组合中，采用其他方法计提坏账准备的其他应收款：</w:t>
      </w:r>
    </w:p>
    <w:p>
      <w:pPr>
        <w:pStyle w:val="BodyText"/>
        <w:spacing w:line="420" w:lineRule="auto" w:before="47"/>
        <w:ind w:right="6132"/>
        <w:jc w:val="left"/>
      </w:pPr>
      <w:r>
        <w:rPr/>
        <w:pict>
          <v:shape style="position:absolute;margin-left:56.459999pt;margin-top:43.443649pt;width:434.85pt;height:153.550pt;mso-position-horizontal-relative:page;mso-position-vertical-relative:paragraph;z-index:3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70"/>
                    <w:gridCol w:w="1670"/>
                    <w:gridCol w:w="1668"/>
                    <w:gridCol w:w="1406"/>
                    <w:gridCol w:w="2267"/>
                  </w:tblGrid>
                  <w:tr>
                    <w:trPr>
                      <w:trHeight w:val="510" w:hRule="exact"/>
                    </w:trPr>
                    <w:tc>
                      <w:tcPr>
                        <w:tcW w:w="167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7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012"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10" w:hRule="exact"/>
                    </w:trPr>
                    <w:tc>
                      <w:tcPr>
                        <w:tcW w:w="1670" w:type="dxa"/>
                        <w:vMerge/>
                        <w:tcBorders>
                          <w:left w:val="single" w:sz="4" w:space="0" w:color="000000"/>
                          <w:bottom w:val="single" w:sz="4" w:space="0" w:color="000000"/>
                          <w:right w:val="single" w:sz="4" w:space="0" w:color="000000"/>
                        </w:tcBorders>
                        <w:shd w:val="clear" w:color="auto" w:fill="D9D9D9"/>
                      </w:tcPr>
                      <w:p>
                        <w:pPr/>
                      </w:p>
                    </w:tc>
                    <w:tc>
                      <w:tcPr>
                        <w:tcW w:w="16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4"/>
                          <w:ind w:left="37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坏账</w:t>
                        </w:r>
                      </w:p>
                    </w:tc>
                    <w:tc>
                      <w:tcPr>
                        <w:tcW w:w="14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4"/>
                          <w:ind w:left="29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510"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1,282,765.43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291,550.80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right"/>
                          <w:rPr>
                            <w:rFonts w:ascii="宋体" w:hAnsi="宋体" w:cs="宋体" w:eastAsia="宋体" w:hint="default"/>
                            <w:sz w:val="18"/>
                            <w:szCs w:val="18"/>
                          </w:rPr>
                        </w:pPr>
                        <w:r>
                          <w:rPr>
                            <w:rFonts w:ascii="宋体"/>
                            <w:sz w:val="18"/>
                          </w:rPr>
                          <w:t>22.73</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员工借款，预计可收回</w:t>
                        </w:r>
                      </w:p>
                    </w:tc>
                  </w:tr>
                  <w:tr>
                    <w:trPr>
                      <w:trHeight w:val="510"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left"/>
                          <w:rPr>
                            <w:rFonts w:ascii="宋体" w:hAnsi="宋体" w:cs="宋体" w:eastAsia="宋体" w:hint="default"/>
                            <w:sz w:val="18"/>
                            <w:szCs w:val="18"/>
                          </w:rPr>
                        </w:pPr>
                        <w:r>
                          <w:rPr>
                            <w:rFonts w:ascii="宋体" w:hAnsi="宋体" w:cs="宋体" w:eastAsia="宋体" w:hint="default"/>
                            <w:sz w:val="18"/>
                            <w:szCs w:val="18"/>
                          </w:rPr>
                          <w:t>公司往来</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10,726,555.07</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经常发生确定可收回</w:t>
                        </w:r>
                      </w:p>
                    </w:tc>
                  </w:tr>
                  <w:tr>
                    <w:trPr>
                      <w:trHeight w:val="510"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left"/>
                          <w:rPr>
                            <w:rFonts w:ascii="宋体" w:hAnsi="宋体" w:cs="宋体" w:eastAsia="宋体" w:hint="default"/>
                            <w:sz w:val="18"/>
                            <w:szCs w:val="18"/>
                          </w:rPr>
                        </w:pPr>
                        <w:r>
                          <w:rPr>
                            <w:rFonts w:ascii="宋体" w:hAnsi="宋体" w:cs="宋体" w:eastAsia="宋体" w:hint="default"/>
                            <w:sz w:val="18"/>
                            <w:szCs w:val="18"/>
                          </w:rPr>
                          <w:t>公司往来</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4,030,000.00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4,030,000.00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right"/>
                          <w:rPr>
                            <w:rFonts w:ascii="宋体" w:hAnsi="宋体" w:cs="宋体" w:eastAsia="宋体" w:hint="default"/>
                            <w:sz w:val="18"/>
                            <w:szCs w:val="18"/>
                          </w:rPr>
                        </w:pPr>
                        <w:r>
                          <w:rPr>
                            <w:rFonts w:ascii="宋体"/>
                            <w:sz w:val="18"/>
                          </w:rPr>
                          <w:t>100.00</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511" w:hRule="exact"/>
                    </w:trPr>
                    <w:tc>
                      <w:tcPr>
                        <w:tcW w:w="16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16,039,320.50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
                          <w:jc w:val="right"/>
                          <w:rPr>
                            <w:rFonts w:ascii="宋体" w:hAnsi="宋体" w:cs="宋体" w:eastAsia="宋体" w:hint="default"/>
                            <w:sz w:val="18"/>
                            <w:szCs w:val="18"/>
                          </w:rPr>
                        </w:pPr>
                        <w:r>
                          <w:rPr>
                            <w:rFonts w:ascii="宋体"/>
                            <w:sz w:val="18"/>
                          </w:rPr>
                          <w:t>4,321,550.80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right"/>
                          <w:rPr>
                            <w:rFonts w:ascii="宋体" w:hAnsi="宋体" w:cs="宋体" w:eastAsia="宋体" w:hint="default"/>
                            <w:sz w:val="18"/>
                            <w:szCs w:val="18"/>
                          </w:rPr>
                        </w:pPr>
                        <w:r>
                          <w:rPr>
                            <w:rFonts w:ascii="宋体"/>
                            <w:sz w:val="18"/>
                          </w:rPr>
                          <w:t>26.94</w:t>
                        </w:r>
                      </w:p>
                    </w:tc>
                    <w:tc>
                      <w:tcPr>
                        <w:tcW w:w="226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 适用 □</w:t>
      </w:r>
      <w:r>
        <w:rPr>
          <w:spacing w:val="-1"/>
        </w:rPr>
        <w:t> </w:t>
      </w:r>
      <w:r>
        <w:rPr/>
        <w:t>不适用</w:t>
      </w:r>
      <w:r>
        <w:rPr/>
        <w:t> 单项金额不重大但单独计提坏账准备的其他应收款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240" w:lineRule="auto" w:before="35"/>
        <w:ind w:right="0"/>
        <w:jc w:val="left"/>
      </w:pPr>
      <w:r>
        <w:rPr>
          <w:rFonts w:ascii="宋体" w:hAnsi="宋体" w:cs="宋体" w:eastAsia="宋体" w:hint="default"/>
        </w:rPr>
        <w:t>2)</w:t>
      </w:r>
      <w:r>
        <w:rPr/>
        <w:t>本期计提、收回或转回的坏账准备情况</w:t>
      </w:r>
    </w:p>
    <w:p>
      <w:pPr>
        <w:spacing w:line="240" w:lineRule="auto" w:before="9"/>
        <w:rPr>
          <w:rFonts w:ascii="宋体" w:hAnsi="宋体" w:cs="宋体" w:eastAsia="宋体" w:hint="default"/>
          <w:sz w:val="15"/>
          <w:szCs w:val="15"/>
        </w:rPr>
      </w:pPr>
    </w:p>
    <w:p>
      <w:pPr>
        <w:pStyle w:val="BodyText"/>
        <w:spacing w:line="240" w:lineRule="auto"/>
        <w:ind w:right="0"/>
        <w:jc w:val="left"/>
      </w:pPr>
      <w:r>
        <w:rPr/>
        <w:t>本期计提坏账准备金额</w:t>
      </w:r>
      <w:r>
        <w:rPr>
          <w:spacing w:val="-53"/>
        </w:rPr>
        <w:t> </w:t>
      </w:r>
      <w:r>
        <w:rPr>
          <w:rFonts w:ascii="宋体" w:hAnsi="宋体" w:cs="宋体" w:eastAsia="宋体" w:hint="default"/>
        </w:rPr>
        <w:t>268,012,406.68</w:t>
      </w:r>
      <w:r>
        <w:rPr>
          <w:rFonts w:ascii="宋体" w:hAnsi="宋体" w:cs="宋体" w:eastAsia="宋体" w:hint="default"/>
          <w:spacing w:val="-52"/>
        </w:rPr>
        <w:t> </w:t>
      </w:r>
      <w:r>
        <w:rPr/>
        <w:t>元；本期收回或转回坏账准备金额</w:t>
      </w:r>
      <w:r>
        <w:rPr>
          <w:spacing w:val="-54"/>
        </w:rPr>
        <w:t> </w:t>
      </w:r>
      <w:r>
        <w:rPr>
          <w:rFonts w:ascii="宋体" w:hAnsi="宋体" w:cs="宋体" w:eastAsia="宋体" w:hint="default"/>
        </w:rPr>
        <w:t>0.00</w:t>
      </w:r>
      <w:r>
        <w:rPr>
          <w:rFonts w:ascii="宋体" w:hAnsi="宋体" w:cs="宋体" w:eastAsia="宋体" w:hint="default"/>
          <w:spacing w:val="-53"/>
        </w:rPr>
        <w:t> </w:t>
      </w:r>
      <w:r>
        <w:rPr/>
        <w:t>元。</w:t>
      </w:r>
    </w:p>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060" w:bottom="1160" w:left="980" w:right="0"/>
        </w:sectPr>
      </w:pPr>
    </w:p>
    <w:p>
      <w:pPr>
        <w:pStyle w:val="BodyText"/>
        <w:spacing w:line="240" w:lineRule="auto" w:before="35"/>
        <w:ind w:right="-5"/>
        <w:jc w:val="left"/>
      </w:pPr>
      <w:r>
        <w:rPr>
          <w:rFonts w:ascii="宋体" w:hAnsi="宋体" w:cs="宋体" w:eastAsia="宋体" w:hint="default"/>
          <w:spacing w:val="-1"/>
        </w:rPr>
        <w:t>3)</w:t>
      </w:r>
      <w:r>
        <w:rPr>
          <w:spacing w:val="-1"/>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before="151"/>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304" w:space="5525"/>
            <w:col w:w="2101"/>
          </w:cols>
        </w:sectPr>
      </w:pP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32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6,152,409.00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1,053,978.00</w:t>
            </w:r>
          </w:p>
        </w:tc>
      </w:tr>
      <w:tr>
        <w:trPr>
          <w:trHeight w:val="32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1,282,765.43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1,196,112.10</w:t>
            </w:r>
          </w:p>
        </w:tc>
      </w:tr>
      <w:tr>
        <w:trPr>
          <w:trHeight w:val="32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1,014,164,030.32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802,691,251.10</w:t>
            </w:r>
          </w:p>
        </w:tc>
      </w:tr>
      <w:tr>
        <w:trPr>
          <w:trHeight w:val="32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1,239,859.63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882,842.77</w:t>
            </w:r>
          </w:p>
        </w:tc>
      </w:tr>
      <w:tr>
        <w:trPr>
          <w:trHeight w:val="32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1,022,839,064.38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805,824,183.97</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9" w:top="1100" w:bottom="1160" w:left="460" w:right="0"/>
        </w:sectPr>
      </w:pPr>
    </w:p>
    <w:p>
      <w:pPr>
        <w:spacing w:line="240" w:lineRule="auto" w:before="1"/>
        <w:rPr>
          <w:rFonts w:ascii="宋体" w:hAnsi="宋体" w:cs="宋体" w:eastAsia="宋体" w:hint="default"/>
          <w:sz w:val="15"/>
          <w:szCs w:val="15"/>
        </w:rPr>
      </w:pPr>
    </w:p>
    <w:p>
      <w:pPr>
        <w:pStyle w:val="BodyText"/>
        <w:spacing w:line="240" w:lineRule="auto"/>
        <w:ind w:left="674" w:right="0"/>
        <w:jc w:val="left"/>
      </w:pPr>
      <w:r>
        <w:rPr>
          <w:rFonts w:ascii="宋体" w:hAnsi="宋体" w:cs="宋体" w:eastAsia="宋体" w:hint="default"/>
          <w:spacing w:val="-1"/>
        </w:rPr>
        <w:t>4)</w:t>
      </w:r>
      <w:r>
        <w:rPr>
          <w:spacing w:val="-1"/>
        </w:rPr>
        <w:t>按欠款方归集的期末余额前五名的其他应收款情况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23"/>
          <w:szCs w:val="23"/>
        </w:rPr>
      </w:pPr>
    </w:p>
    <w:p>
      <w:pPr>
        <w:spacing w:before="0"/>
        <w:ind w:left="67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460" w:right="0"/>
          <w:cols w:num="2" w:equalWidth="0">
            <w:col w:w="5504" w:space="3325"/>
            <w:col w:w="2621"/>
          </w:cols>
        </w:sectPr>
      </w:pPr>
    </w:p>
    <w:p>
      <w:pPr>
        <w:spacing w:line="240" w:lineRule="auto" w:before="0"/>
        <w:rPr>
          <w:rFonts w:ascii="宋体" w:hAnsi="宋体" w:cs="宋体" w:eastAsia="宋体" w:hint="default"/>
          <w:sz w:val="5"/>
          <w:szCs w:val="5"/>
        </w:rPr>
      </w:pPr>
    </w:p>
    <w:tbl>
      <w:tblPr>
        <w:tblW w:w="0" w:type="auto"/>
        <w:jc w:val="left"/>
        <w:tblInd w:w="66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63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2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国视通讯</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467,000,000.00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45.66%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澄怀科技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30,120,000.00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2.94%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30,120,000.00</w:t>
            </w:r>
          </w:p>
        </w:tc>
      </w:tr>
      <w:tr>
        <w:trPr>
          <w:trHeight w:val="32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澄怀科技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利息及股利</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61,970,855.88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61,970,855.88</w:t>
            </w:r>
          </w:p>
        </w:tc>
      </w:tr>
      <w:tr>
        <w:trPr>
          <w:trHeight w:val="32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澄怀科技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140,000,000.00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13.69%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140,000,000.00</w:t>
            </w:r>
          </w:p>
        </w:tc>
      </w:tr>
      <w:tr>
        <w:trPr>
          <w:trHeight w:val="32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海南文旅</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136,000,000.00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13.30%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国广光荣</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内部往来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40,000,000.00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3.91%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谢如栋</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股权投资意向金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37,000,000.00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3.62%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1,850,000.00</w:t>
            </w:r>
          </w:p>
        </w:tc>
      </w:tr>
      <w:tr>
        <w:trPr>
          <w:trHeight w:val="32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912,090,855.88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89.17%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233,940,855.88</w:t>
            </w:r>
          </w:p>
        </w:tc>
      </w:tr>
    </w:tbl>
    <w:p>
      <w:pPr>
        <w:spacing w:line="240" w:lineRule="auto" w:before="2"/>
        <w:rPr>
          <w:rFonts w:ascii="宋体" w:hAnsi="宋体" w:cs="宋体" w:eastAsia="宋体" w:hint="default"/>
          <w:sz w:val="19"/>
          <w:szCs w:val="19"/>
        </w:rPr>
      </w:pPr>
    </w:p>
    <w:p>
      <w:pPr>
        <w:pStyle w:val="Heading4"/>
        <w:spacing w:line="240" w:lineRule="auto" w:before="35"/>
        <w:ind w:left="674" w:right="0"/>
        <w:jc w:val="left"/>
        <w:rPr>
          <w:b w:val="0"/>
          <w:bCs w:val="0"/>
        </w:rPr>
      </w:pPr>
      <w:bookmarkStart w:name="2、长期股权投资" w:id="396"/>
      <w:bookmarkEnd w:id="396"/>
      <w:r>
        <w:rPr>
          <w:b w:val="0"/>
          <w:bCs w:val="0"/>
        </w:rPr>
      </w:r>
      <w:r>
        <w:rPr>
          <w:rFonts w:ascii="宋体" w:hAnsi="宋体" w:cs="宋体" w:eastAsia="宋体" w:hint="default"/>
        </w:rPr>
        <w:t>2</w:t>
      </w:r>
      <w:r>
        <w:rPr/>
        <w:t>、长期股权投资</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112"/>
        <w:gridCol w:w="1763"/>
        <w:gridCol w:w="1701"/>
        <w:gridCol w:w="1560"/>
        <w:gridCol w:w="1702"/>
        <w:gridCol w:w="1559"/>
        <w:gridCol w:w="1559"/>
      </w:tblGrid>
      <w:tr>
        <w:trPr>
          <w:trHeight w:val="167" w:hRule="exact"/>
        </w:trPr>
        <w:tc>
          <w:tcPr>
            <w:tcW w:w="1112"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2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1" w:hRule="exact"/>
        </w:trPr>
        <w:tc>
          <w:tcPr>
            <w:tcW w:w="11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24" w:type="dxa"/>
            <w:gridSpan w:val="3"/>
            <w:vMerge/>
            <w:tcBorders>
              <w:left w:val="single" w:sz="4" w:space="0" w:color="000000"/>
              <w:bottom w:val="single" w:sz="4" w:space="0" w:color="000000"/>
              <w:right w:val="single" w:sz="4" w:space="0" w:color="000000"/>
            </w:tcBorders>
            <w:shd w:val="clear" w:color="auto" w:fill="D2D2D2"/>
          </w:tcPr>
          <w:p>
            <w:pPr/>
          </w:p>
        </w:tc>
        <w:tc>
          <w:tcPr>
            <w:tcW w:w="4820" w:type="dxa"/>
            <w:gridSpan w:val="3"/>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112" w:type="dxa"/>
            <w:vMerge/>
            <w:tcBorders>
              <w:left w:val="single" w:sz="4" w:space="0" w:color="000000"/>
              <w:bottom w:val="nil" w:sz="6" w:space="0" w:color="auto"/>
              <w:right w:val="single" w:sz="4" w:space="0" w:color="000000"/>
            </w:tcBorders>
            <w:shd w:val="clear" w:color="auto" w:fill="D2D2D2"/>
          </w:tcPr>
          <w:p>
            <w:pPr/>
          </w:p>
        </w:tc>
        <w:tc>
          <w:tcPr>
            <w:tcW w:w="1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48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41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41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41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6" w:hRule="exact"/>
        </w:trPr>
        <w:tc>
          <w:tcPr>
            <w:tcW w:w="11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63" w:type="dxa"/>
            <w:vMerge/>
            <w:tcBorders>
              <w:left w:val="single" w:sz="4" w:space="0" w:color="000000"/>
              <w:bottom w:val="single" w:sz="4" w:space="0" w:color="000000"/>
              <w:right w:val="single" w:sz="4" w:space="0" w:color="000000"/>
            </w:tcBorders>
            <w:shd w:val="clear" w:color="auto" w:fill="D2D2D2"/>
          </w:tcPr>
          <w:p>
            <w:pPr/>
          </w:p>
        </w:tc>
        <w:tc>
          <w:tcPr>
            <w:tcW w:w="1701"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r>
      <w:tr>
        <w:trPr>
          <w:trHeight w:val="634"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189"/>
              <w:jc w:val="left"/>
              <w:rPr>
                <w:rFonts w:ascii="宋体" w:hAnsi="宋体" w:cs="宋体" w:eastAsia="宋体" w:hint="default"/>
                <w:sz w:val="18"/>
                <w:szCs w:val="18"/>
              </w:rPr>
            </w:pPr>
            <w:r>
              <w:rPr>
                <w:rFonts w:ascii="宋体" w:hAnsi="宋体" w:cs="宋体" w:eastAsia="宋体" w:hint="default"/>
                <w:sz w:val="18"/>
                <w:szCs w:val="18"/>
              </w:rPr>
              <w:t>对子公司投 资</w:t>
            </w:r>
          </w:p>
        </w:tc>
        <w:tc>
          <w:tcPr>
            <w:tcW w:w="1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10,978,671,983.70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sz w:val="18"/>
              </w:rPr>
              <w:t>1,169,030,059.73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9,809,641,923.97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9,483,154,372.18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867,241,179.93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8,615,913,192.25</w:t>
            </w:r>
          </w:p>
        </w:tc>
      </w:tr>
      <w:tr>
        <w:trPr>
          <w:trHeight w:val="635"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1"/>
              <w:ind w:left="11" w:right="10"/>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82,339,039.12</w:t>
            </w:r>
          </w:p>
        </w:tc>
        <w:tc>
          <w:tcPr>
            <w:tcW w:w="17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82,339,039.12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633,034,050.85</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633,034,050.85</w:t>
            </w:r>
          </w:p>
        </w:tc>
      </w:tr>
      <w:tr>
        <w:trPr>
          <w:trHeight w:val="322"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11,061,011,022.82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1,169,030,059.73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9,891,980,963.09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10,116,188,423.03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867,241,179.93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9,248,947,243.10</w:t>
            </w:r>
          </w:p>
        </w:tc>
      </w:tr>
    </w:tbl>
    <w:p>
      <w:pPr>
        <w:spacing w:line="240" w:lineRule="auto" w:before="2"/>
        <w:rPr>
          <w:rFonts w:ascii="宋体" w:hAnsi="宋体" w:cs="宋体" w:eastAsia="宋体" w:hint="default"/>
          <w:sz w:val="19"/>
          <w:szCs w:val="19"/>
        </w:rPr>
      </w:pPr>
    </w:p>
    <w:p>
      <w:pPr>
        <w:pStyle w:val="Heading4"/>
        <w:spacing w:line="240" w:lineRule="auto" w:before="35"/>
        <w:ind w:left="674" w:right="0"/>
        <w:jc w:val="left"/>
        <w:rPr>
          <w:b w:val="0"/>
          <w:bCs w:val="0"/>
        </w:rPr>
      </w:pPr>
      <w:bookmarkStart w:name="（1）对子公司投资" w:id="397"/>
      <w:bookmarkEnd w:id="397"/>
      <w:r>
        <w:rPr>
          <w:b w:val="0"/>
          <w:bCs w:val="0"/>
        </w:rPr>
      </w:r>
      <w:r>
        <w:rPr/>
        <w:t>（</w:t>
      </w:r>
      <w:r>
        <w:rPr>
          <w:rFonts w:ascii="宋体" w:hAnsi="宋体" w:cs="宋体" w:eastAsia="宋体" w:hint="default"/>
        </w:rPr>
        <w:t>1</w:t>
      </w:r>
      <w:r>
        <w:rPr/>
        <w:t>）对子公司投资</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5"/>
          <w:szCs w:val="5"/>
        </w:rPr>
      </w:pPr>
    </w:p>
    <w:tbl>
      <w:tblPr>
        <w:tblW w:w="0" w:type="auto"/>
        <w:jc w:val="left"/>
        <w:tblInd w:w="243" w:type="dxa"/>
        <w:tblLayout w:type="fixed"/>
        <w:tblCellMar>
          <w:top w:w="0" w:type="dxa"/>
          <w:left w:w="0" w:type="dxa"/>
          <w:bottom w:w="0" w:type="dxa"/>
          <w:right w:w="0" w:type="dxa"/>
        </w:tblCellMar>
        <w:tblLook w:val="01E0"/>
      </w:tblPr>
      <w:tblGrid>
        <w:gridCol w:w="1448"/>
        <w:gridCol w:w="1531"/>
        <w:gridCol w:w="1559"/>
        <w:gridCol w:w="1334"/>
        <w:gridCol w:w="1643"/>
        <w:gridCol w:w="1388"/>
        <w:gridCol w:w="1589"/>
      </w:tblGrid>
      <w:tr>
        <w:trPr>
          <w:trHeight w:val="63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9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5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民享投资</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171,651,766.91</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171,651,766.91</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鸿立华享</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148,505,400.00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148,505,400.00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上海鸿立</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500,270,000.00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500,270,000.00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丰泽投资</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146,288,300.00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5" w:right="0"/>
              <w:jc w:val="left"/>
              <w:rPr>
                <w:rFonts w:ascii="宋体" w:hAnsi="宋体" w:cs="宋体" w:eastAsia="宋体" w:hint="default"/>
                <w:sz w:val="18"/>
                <w:szCs w:val="18"/>
              </w:rPr>
            </w:pPr>
            <w:r>
              <w:rPr>
                <w:rFonts w:ascii="宋体"/>
                <w:sz w:val="18"/>
              </w:rPr>
              <w:t>6,877,600.00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153,165,900.00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华闻香港</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78,720.00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78,720.00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国广光荣</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380,531,962.10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380,531,962.10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华商数码</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103,000,001.76</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103,000,001.76</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华商广告</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512,000,002.08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512,000,002.08</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吉林华商传媒</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31,999,996.08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31,999,996.08</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华商网络</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59,999,998.32</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59,999,998.32</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陕西黄马甲</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171,000,000.72</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171,000,000.72</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重庆华博</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30,000,002.40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30,000,002.40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华商卓越文化</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50,999,997.60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50,999,997.60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辽宁盈丰</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40,000,003.20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40,000,003.20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460" w:right="0"/>
        </w:sectPr>
      </w:pPr>
    </w:p>
    <w:p>
      <w:pPr>
        <w:spacing w:line="240" w:lineRule="auto" w:before="6"/>
        <w:rPr>
          <w:rFonts w:ascii="宋体" w:hAnsi="宋体" w:cs="宋体" w:eastAsia="宋体" w:hint="default"/>
          <w:sz w:val="24"/>
          <w:szCs w:val="24"/>
        </w:rPr>
      </w:pPr>
    </w:p>
    <w:tbl>
      <w:tblPr>
        <w:tblW w:w="0" w:type="auto"/>
        <w:jc w:val="left"/>
        <w:tblInd w:w="243" w:type="dxa"/>
        <w:tblLayout w:type="fixed"/>
        <w:tblCellMar>
          <w:top w:w="0" w:type="dxa"/>
          <w:left w:w="0" w:type="dxa"/>
          <w:bottom w:w="0" w:type="dxa"/>
          <w:right w:w="0" w:type="dxa"/>
        </w:tblCellMar>
        <w:tblLook w:val="01E0"/>
      </w:tblPr>
      <w:tblGrid>
        <w:gridCol w:w="1448"/>
        <w:gridCol w:w="1531"/>
        <w:gridCol w:w="1559"/>
        <w:gridCol w:w="1334"/>
        <w:gridCol w:w="1643"/>
        <w:gridCol w:w="1388"/>
        <w:gridCol w:w="1589"/>
      </w:tblGrid>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华闻影视</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50,166,460.42</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50,166,460.42</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新海岸</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97,439,250.16</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9" w:right="0"/>
              <w:jc w:val="center"/>
              <w:rPr>
                <w:rFonts w:ascii="宋体" w:hAnsi="宋体" w:cs="宋体" w:eastAsia="宋体" w:hint="default"/>
                <w:sz w:val="18"/>
                <w:szCs w:val="18"/>
              </w:rPr>
            </w:pPr>
            <w:r>
              <w:rPr>
                <w:rFonts w:ascii="宋体"/>
                <w:sz w:val="18"/>
              </w:rPr>
              <w:t>40,000,000.00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57,439,250.16</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澄怀科技</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668,900,000.00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668,900,000.00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565,907,679.44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565,907,679.44</w:t>
            </w: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椰德利</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106,850,000.00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106,850,000.00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华闻视讯</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1,350,497,754.75</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18"/>
                <w:szCs w:val="18"/>
              </w:rPr>
            </w:pPr>
            <w:r>
              <w:rPr>
                <w:rFonts w:ascii="宋体"/>
                <w:sz w:val="18"/>
              </w:rPr>
              <w:t>1,350,497,754.75</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邦富软件</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719,999,988.48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sz w:val="18"/>
              </w:rPr>
              <w:t>719,999,988.48</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精视文化</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431,999,994.24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431,999,994.24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301,430,734.44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370,592,396.15</w:t>
            </w:r>
          </w:p>
        </w:tc>
      </w:tr>
      <w:tr>
        <w:trPr>
          <w:trHeight w:val="32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漫友文化</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342,439,893.20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342,439,893.20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28,434,701.64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232,529,984.14</w:t>
            </w: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华闻研究院</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4,900,000.00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4,900,000.00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华商传媒</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1,775,034,879.76</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1,775,034,879.76</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爱视网络</w:t>
            </w:r>
          </w:p>
        </w:tc>
        <w:tc>
          <w:tcPr>
            <w:tcW w:w="153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二三里</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4,600,000.00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4,600,000.00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山南华闻</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1,500,000,000.00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1,500,000,000.00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时报传媒</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84,000,000.00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84,000,000.00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华闻体育</w:t>
            </w:r>
          </w:p>
        </w:tc>
        <w:tc>
          <w:tcPr>
            <w:tcW w:w="153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麦游互动</w:t>
            </w:r>
          </w:p>
        </w:tc>
        <w:tc>
          <w:tcPr>
            <w:tcW w:w="153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185,640,000.00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185,640,000.00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车音智能</w:t>
            </w:r>
          </w:p>
        </w:tc>
        <w:tc>
          <w:tcPr>
            <w:tcW w:w="153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1,668,000,000.00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1,668,000,000.00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海南文旅</w:t>
            </w:r>
          </w:p>
        </w:tc>
        <w:tc>
          <w:tcPr>
            <w:tcW w:w="153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385,000,000.00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385,000,000.00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9,483,154,372.18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2,255,517,600.00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sz w:val="18"/>
              </w:rPr>
              <w:t>759,999,988.48</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10,978,671,983.70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895,773,115.52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1,169,030,059.73</w:t>
            </w:r>
          </w:p>
        </w:tc>
      </w:tr>
    </w:tbl>
    <w:p>
      <w:pPr>
        <w:spacing w:line="240" w:lineRule="auto" w:before="2"/>
        <w:rPr>
          <w:rFonts w:ascii="宋体" w:hAnsi="宋体" w:cs="宋体" w:eastAsia="宋体" w:hint="default"/>
          <w:sz w:val="19"/>
          <w:szCs w:val="19"/>
        </w:rPr>
      </w:pPr>
    </w:p>
    <w:p>
      <w:pPr>
        <w:pStyle w:val="Heading4"/>
        <w:spacing w:line="240" w:lineRule="auto" w:before="35"/>
        <w:ind w:left="674" w:right="0"/>
        <w:jc w:val="left"/>
        <w:rPr>
          <w:b w:val="0"/>
          <w:bCs w:val="0"/>
        </w:rPr>
      </w:pPr>
      <w:bookmarkStart w:name="（2）对联营、合营企业投资" w:id="398"/>
      <w:bookmarkEnd w:id="398"/>
      <w:r>
        <w:rPr>
          <w:b w:val="0"/>
          <w:bCs w:val="0"/>
        </w:rPr>
      </w:r>
      <w:r>
        <w:rPr/>
        <w:t>（</w:t>
      </w:r>
      <w:r>
        <w:rPr>
          <w:rFonts w:ascii="宋体" w:hAnsi="宋体" w:cs="宋体" w:eastAsia="宋体" w:hint="default"/>
        </w:rPr>
        <w:t>2</w:t>
      </w:r>
      <w:r>
        <w:rPr/>
        <w:t>）对联营、合营企业投资</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797"/>
        <w:gridCol w:w="1047"/>
        <w:gridCol w:w="1135"/>
        <w:gridCol w:w="1134"/>
        <w:gridCol w:w="1276"/>
        <w:gridCol w:w="798"/>
        <w:gridCol w:w="761"/>
        <w:gridCol w:w="798"/>
        <w:gridCol w:w="620"/>
        <w:gridCol w:w="566"/>
        <w:gridCol w:w="1008"/>
        <w:gridCol w:w="798"/>
      </w:tblGrid>
      <w:tr>
        <w:trPr>
          <w:trHeight w:val="32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0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08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94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1047"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5" w:right="103"/>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3" w:right="33"/>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4" w:right="35"/>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0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07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22" w:hRule="exact"/>
        </w:trPr>
        <w:tc>
          <w:tcPr>
            <w:tcW w:w="107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5"/>
                <w:szCs w:val="15"/>
              </w:rPr>
            </w:pPr>
            <w:r>
              <w:rPr>
                <w:rFonts w:ascii="Times New Roman"/>
                <w:spacing w:val="-1"/>
                <w:sz w:val="15"/>
              </w:rPr>
              <w:t>216,286,917.96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73" w:right="0"/>
              <w:jc w:val="left"/>
              <w:rPr>
                <w:rFonts w:ascii="Times New Roman" w:hAnsi="Times New Roman" w:cs="Times New Roman" w:eastAsia="Times New Roman" w:hint="default"/>
                <w:sz w:val="15"/>
                <w:szCs w:val="15"/>
              </w:rPr>
            </w:pPr>
            <w:r>
              <w:rPr>
                <w:rFonts w:ascii="Times New Roman"/>
                <w:sz w:val="15"/>
              </w:rPr>
              <w:t>119,173,118.09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5"/>
                <w:szCs w:val="15"/>
              </w:rPr>
            </w:pPr>
            <w:r>
              <w:rPr>
                <w:rFonts w:ascii="Times New Roman"/>
                <w:spacing w:val="-1"/>
                <w:sz w:val="15"/>
              </w:rPr>
              <w:t>-39,691,246.62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5"/>
                <w:szCs w:val="15"/>
              </w:rPr>
            </w:pPr>
            <w:r>
              <w:rPr>
                <w:rFonts w:ascii="Times New Roman"/>
                <w:spacing w:val="-1"/>
                <w:sz w:val="15"/>
              </w:rPr>
              <w:t>609.58</w:t>
            </w:r>
          </w:p>
        </w:tc>
        <w:tc>
          <w:tcPr>
            <w:tcW w:w="79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57,423,162.83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41"/>
              <w:jc w:val="left"/>
              <w:rPr>
                <w:rFonts w:ascii="宋体" w:hAnsi="宋体" w:cs="宋体" w:eastAsia="宋体" w:hint="default"/>
                <w:sz w:val="18"/>
                <w:szCs w:val="18"/>
              </w:rPr>
            </w:pPr>
            <w:r>
              <w:rPr>
                <w:rFonts w:ascii="宋体" w:hAnsi="宋体" w:cs="宋体" w:eastAsia="宋体" w:hint="default"/>
                <w:sz w:val="18"/>
                <w:szCs w:val="18"/>
              </w:rPr>
              <w:t>国广在线 文化</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4,099,054.81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-1,166,808.05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2,932,246.76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41"/>
              <w:jc w:val="left"/>
              <w:rPr>
                <w:rFonts w:ascii="宋体" w:hAnsi="宋体" w:cs="宋体" w:eastAsia="宋体" w:hint="default"/>
                <w:sz w:val="18"/>
                <w:szCs w:val="18"/>
              </w:rPr>
            </w:pPr>
            <w:r>
              <w:rPr>
                <w:rFonts w:ascii="宋体" w:hAnsi="宋体" w:cs="宋体" w:eastAsia="宋体" w:hint="default"/>
                <w:sz w:val="18"/>
                <w:szCs w:val="18"/>
              </w:rPr>
              <w:t>国文管理 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12,648,366.19</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-4,858,831.43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7,789,534.76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国文基金</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5"/>
                <w:szCs w:val="15"/>
              </w:rPr>
            </w:pPr>
            <w:r>
              <w:rPr>
                <w:rFonts w:ascii="Times New Roman"/>
                <w:spacing w:val="-1"/>
                <w:sz w:val="15"/>
              </w:rPr>
              <w:t>399,999,711.89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5"/>
                <w:szCs w:val="15"/>
              </w:rPr>
            </w:pPr>
            <w:r>
              <w:rPr>
                <w:rFonts w:ascii="Times New Roman"/>
                <w:spacing w:val="-1"/>
                <w:sz w:val="15"/>
              </w:rPr>
              <w:t>600,000,000.00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-990,725,774.02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5"/>
                <w:szCs w:val="15"/>
              </w:rPr>
            </w:pPr>
            <w:r>
              <w:rPr>
                <w:rFonts w:ascii="Times New Roman"/>
                <w:spacing w:val="-1"/>
                <w:sz w:val="15"/>
              </w:rPr>
              <w:t>9,273,937.87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上海肯脱</w:t>
            </w:r>
          </w:p>
        </w:tc>
        <w:tc>
          <w:tcPr>
            <w:tcW w:w="104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5"/>
                <w:szCs w:val="15"/>
              </w:rPr>
            </w:pPr>
            <w:r>
              <w:rPr>
                <w:rFonts w:ascii="Times New Roman"/>
                <w:spacing w:val="-1"/>
                <w:sz w:val="15"/>
              </w:rPr>
              <w:t>5,000,000.00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Times New Roman" w:hAnsi="Times New Roman" w:cs="Times New Roman" w:eastAsia="Times New Roman" w:hint="default"/>
                <w:sz w:val="15"/>
                <w:szCs w:val="15"/>
              </w:rPr>
            </w:pPr>
            <w:r>
              <w:rPr>
                <w:rFonts w:ascii="Times New Roman"/>
                <w:spacing w:val="-1"/>
                <w:sz w:val="15"/>
              </w:rPr>
              <w:t>-79,843.10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5"/>
                <w:szCs w:val="15"/>
              </w:rPr>
            </w:pPr>
            <w:r>
              <w:rPr>
                <w:rFonts w:ascii="Times New Roman"/>
                <w:spacing w:val="-1"/>
                <w:sz w:val="15"/>
              </w:rPr>
              <w:t>4,920,156.90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5"/>
                <w:szCs w:val="15"/>
              </w:rPr>
            </w:pPr>
            <w:r>
              <w:rPr>
                <w:rFonts w:ascii="Times New Roman"/>
                <w:spacing w:val="-1"/>
                <w:sz w:val="15"/>
              </w:rPr>
              <w:t>633,034,050.85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5"/>
                <w:szCs w:val="15"/>
              </w:rPr>
            </w:pPr>
            <w:r>
              <w:rPr>
                <w:rFonts w:ascii="Times New Roman"/>
                <w:spacing w:val="-1"/>
                <w:sz w:val="15"/>
              </w:rPr>
              <w:t>605,000,000.00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73" w:right="0"/>
              <w:jc w:val="left"/>
              <w:rPr>
                <w:rFonts w:ascii="Times New Roman" w:hAnsi="Times New Roman" w:cs="Times New Roman" w:eastAsia="Times New Roman" w:hint="default"/>
                <w:sz w:val="15"/>
                <w:szCs w:val="15"/>
              </w:rPr>
            </w:pPr>
            <w:r>
              <w:rPr>
                <w:rFonts w:ascii="Times New Roman"/>
                <w:sz w:val="15"/>
              </w:rPr>
              <w:t>119,173,118.09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-1,036,522,503.22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5"/>
                <w:szCs w:val="15"/>
              </w:rPr>
            </w:pPr>
            <w:r>
              <w:rPr>
                <w:rFonts w:ascii="Times New Roman"/>
                <w:spacing w:val="-1"/>
                <w:sz w:val="15"/>
              </w:rPr>
              <w:t>609.58</w:t>
            </w:r>
          </w:p>
        </w:tc>
        <w:tc>
          <w:tcPr>
            <w:tcW w:w="79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82,339,039.12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5"/>
                <w:szCs w:val="15"/>
              </w:rPr>
            </w:pPr>
            <w:r>
              <w:rPr>
                <w:rFonts w:ascii="Times New Roman"/>
                <w:spacing w:val="-1"/>
                <w:sz w:val="15"/>
              </w:rPr>
              <w:t>633,034,050.85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5"/>
                <w:szCs w:val="15"/>
              </w:rPr>
            </w:pPr>
            <w:r>
              <w:rPr>
                <w:rFonts w:ascii="Times New Roman"/>
                <w:spacing w:val="-1"/>
                <w:sz w:val="15"/>
              </w:rPr>
              <w:t>605,000,000.00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73" w:right="0"/>
              <w:jc w:val="left"/>
              <w:rPr>
                <w:rFonts w:ascii="Times New Roman" w:hAnsi="Times New Roman" w:cs="Times New Roman" w:eastAsia="Times New Roman" w:hint="default"/>
                <w:sz w:val="15"/>
                <w:szCs w:val="15"/>
              </w:rPr>
            </w:pPr>
            <w:r>
              <w:rPr>
                <w:rFonts w:ascii="Times New Roman"/>
                <w:sz w:val="15"/>
              </w:rPr>
              <w:t>119,173,118.09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-1,036,522,503.22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5"/>
                <w:szCs w:val="15"/>
              </w:rPr>
            </w:pPr>
            <w:r>
              <w:rPr>
                <w:rFonts w:ascii="Times New Roman"/>
                <w:spacing w:val="-1"/>
                <w:sz w:val="15"/>
              </w:rPr>
              <w:t>609.58</w:t>
            </w:r>
          </w:p>
        </w:tc>
        <w:tc>
          <w:tcPr>
            <w:tcW w:w="798"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5"/>
                <w:szCs w:val="15"/>
              </w:rPr>
            </w:pPr>
            <w:r>
              <w:rPr>
                <w:rFonts w:ascii="Times New Roman"/>
                <w:spacing w:val="-1"/>
                <w:sz w:val="15"/>
              </w:rPr>
              <w:t>82,339,039.12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4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4"/>
        <w:spacing w:line="240" w:lineRule="auto" w:before="35"/>
        <w:ind w:right="0"/>
        <w:jc w:val="left"/>
        <w:rPr>
          <w:b w:val="0"/>
          <w:bCs w:val="0"/>
        </w:rPr>
      </w:pPr>
      <w:bookmarkStart w:name="3、营业收入和营业成本" w:id="399"/>
      <w:bookmarkEnd w:id="399"/>
      <w:r>
        <w:rPr>
          <w:b w:val="0"/>
          <w:bCs w:val="0"/>
        </w:rPr>
      </w:r>
      <w:r>
        <w:rPr>
          <w:rFonts w:ascii="宋体" w:hAnsi="宋体" w:cs="宋体" w:eastAsia="宋体" w:hint="default"/>
        </w:rPr>
        <w:t>3</w:t>
      </w:r>
      <w:r>
        <w:rPr/>
        <w:t>、营业收入和营业成本</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167"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55"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57"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6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10,020,324.56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6,666,967.53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9,368,983.21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3,863,674.46</w:t>
            </w:r>
          </w:p>
        </w:tc>
      </w:tr>
      <w:tr>
        <w:trPr>
          <w:trHeight w:val="32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10,020,324.56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6,666,967.53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9,368,983.21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3,863,674.46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投资收益" w:id="400"/>
      <w:bookmarkEnd w:id="400"/>
      <w:r>
        <w:rPr>
          <w:b w:val="0"/>
          <w:bCs w:val="0"/>
        </w:rPr>
      </w:r>
      <w:r>
        <w:rPr>
          <w:rFonts w:ascii="宋体" w:hAnsi="宋体" w:cs="宋体" w:eastAsia="宋体" w:hint="default"/>
        </w:rPr>
        <w:t>4</w:t>
      </w:r>
      <w:r>
        <w:rPr/>
        <w:t>、投资收益</w:t>
      </w:r>
      <w:r>
        <w:rPr>
          <w:b w:val="0"/>
          <w:bCs w:val="0"/>
        </w:rPr>
      </w:r>
    </w:p>
    <w:p>
      <w:pPr>
        <w:spacing w:line="240" w:lineRule="auto" w:before="4"/>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5932"/>
        <w:gridCol w:w="1856"/>
        <w:gridCol w:w="1771"/>
      </w:tblGrid>
      <w:tr>
        <w:trPr>
          <w:trHeight w:val="32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373,683,856.38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363,365,303.86</w:t>
            </w:r>
          </w:p>
        </w:tc>
      </w:tr>
      <w:tr>
        <w:trPr>
          <w:trHeight w:val="32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-1,036,522,503.22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2,582,873.40</w:t>
            </w:r>
          </w:p>
        </w:tc>
      </w:tr>
      <w:tr>
        <w:trPr>
          <w:trHeight w:val="32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处置以公允价值计量且其变动计入当期损益的金融资产取得的投资收益</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1,015,884.64</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10,000,000.00</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123,525,102.04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401,787,869.00</w:t>
            </w:r>
          </w:p>
        </w:tc>
      </w:tr>
      <w:tr>
        <w:trPr>
          <w:trHeight w:val="322" w:hRule="exact"/>
        </w:trPr>
        <w:tc>
          <w:tcPr>
            <w:tcW w:w="59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5,214,503.74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10,960,192.59</w:t>
            </w:r>
          </w:p>
        </w:tc>
      </w:tr>
      <w:tr>
        <w:trPr>
          <w:trHeight w:val="32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-523,083,156.42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778,696,238.85</w:t>
            </w:r>
          </w:p>
        </w:tc>
      </w:tr>
    </w:tbl>
    <w:p>
      <w:pPr>
        <w:spacing w:line="240" w:lineRule="auto" w:before="0"/>
        <w:rPr>
          <w:rFonts w:ascii="宋体" w:hAnsi="宋体" w:cs="宋体" w:eastAsia="宋体" w:hint="default"/>
          <w:sz w:val="18"/>
          <w:szCs w:val="18"/>
        </w:rPr>
      </w:pPr>
    </w:p>
    <w:p>
      <w:pPr>
        <w:pStyle w:val="Heading2"/>
        <w:spacing w:line="240" w:lineRule="auto"/>
        <w:ind w:right="0"/>
        <w:jc w:val="left"/>
        <w:rPr>
          <w:b w:val="0"/>
          <w:bCs w:val="0"/>
        </w:rPr>
      </w:pPr>
      <w:bookmarkStart w:name="十七、补充资料" w:id="401"/>
      <w:bookmarkEnd w:id="401"/>
      <w:r>
        <w:rPr>
          <w:b w:val="0"/>
          <w:bCs w:val="0"/>
        </w:rPr>
      </w:r>
      <w:r>
        <w:rPr/>
        <w:t>十七、补充资料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402"/>
      <w:bookmarkEnd w:id="402"/>
      <w:r>
        <w:rPr>
          <w:b w:val="0"/>
          <w:bCs w:val="0"/>
        </w:rPr>
      </w:r>
      <w:r>
        <w:rPr>
          <w:rFonts w:ascii="宋体" w:hAnsi="宋体" w:cs="宋体" w:eastAsia="宋体" w:hint="default"/>
        </w:rPr>
        <w:t>1</w:t>
      </w:r>
      <w:r>
        <w:rPr/>
        <w:t>、当期非经常性损益明细表</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0" w:footer="979" w:top="1100" w:bottom="1160" w:left="980" w:right="0"/>
        </w:sectPr>
      </w:pPr>
    </w:p>
    <w:p>
      <w:pPr>
        <w:pStyle w:val="BodyText"/>
        <w:spacing w:line="240" w:lineRule="auto" w:before="35"/>
        <w:ind w:right="-20"/>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before="151"/>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39" w:space="6890"/>
            <w:col w:w="2101"/>
          </w:cols>
        </w:sectPr>
      </w:pPr>
    </w:p>
    <w:p>
      <w:pPr>
        <w:spacing w:line="240" w:lineRule="auto" w:before="0"/>
        <w:rPr>
          <w:rFonts w:ascii="宋体" w:hAnsi="宋体" w:cs="宋体" w:eastAsia="宋体" w:hint="default"/>
          <w:sz w:val="5"/>
          <w:szCs w:val="5"/>
        </w:rPr>
      </w:pPr>
    </w:p>
    <w:tbl>
      <w:tblPr>
        <w:tblW w:w="0" w:type="auto"/>
        <w:jc w:val="left"/>
        <w:tblInd w:w="165" w:type="dxa"/>
        <w:tblLayout w:type="fixed"/>
        <w:tblCellMar>
          <w:top w:w="0" w:type="dxa"/>
          <w:left w:w="0" w:type="dxa"/>
          <w:bottom w:w="0" w:type="dxa"/>
          <w:right w:w="0" w:type="dxa"/>
        </w:tblCellMar>
        <w:tblLook w:val="01E0"/>
      </w:tblPr>
      <w:tblGrid>
        <w:gridCol w:w="3801"/>
        <w:gridCol w:w="2566"/>
        <w:gridCol w:w="3186"/>
      </w:tblGrid>
      <w:tr>
        <w:trPr>
          <w:trHeight w:val="32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801" w:type="dxa"/>
            <w:tcBorders>
              <w:top w:val="single" w:sz="4" w:space="0" w:color="000000"/>
              <w:left w:val="single" w:sz="4" w:space="0" w:color="000000"/>
              <w:bottom w:val="nil" w:sz="6" w:space="0" w:color="auto"/>
              <w:right w:val="single" w:sz="4" w:space="0" w:color="000000"/>
            </w:tcBorders>
            <w:shd w:val="clear" w:color="auto" w:fill="D2D2D2"/>
          </w:tcPr>
          <w:p>
            <w:pPr/>
          </w:p>
        </w:tc>
        <w:tc>
          <w:tcPr>
            <w:tcW w:w="2566"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66" w:right="0"/>
              <w:jc w:val="left"/>
              <w:rPr>
                <w:rFonts w:ascii="宋体" w:hAnsi="宋体" w:cs="宋体" w:eastAsia="宋体" w:hint="default"/>
                <w:sz w:val="18"/>
                <w:szCs w:val="18"/>
              </w:rPr>
            </w:pPr>
            <w:r>
              <w:rPr>
                <w:rFonts w:ascii="宋体"/>
                <w:sz w:val="18"/>
              </w:rPr>
              <w:t>184,540,087.65</w:t>
            </w:r>
          </w:p>
        </w:tc>
        <w:tc>
          <w:tcPr>
            <w:tcW w:w="3186" w:type="dxa"/>
            <w:vMerge w:val="restart"/>
            <w:tcBorders>
              <w:top w:val="single" w:sz="4" w:space="0" w:color="000000"/>
              <w:left w:val="single" w:sz="4" w:space="0" w:color="000000"/>
              <w:right w:val="single" w:sz="4" w:space="0" w:color="000000"/>
            </w:tcBorders>
          </w:tcPr>
          <w:p>
            <w:pPr>
              <w:pStyle w:val="TableParagraph"/>
              <w:spacing w:line="316" w:lineRule="auto" w:before="11"/>
              <w:ind w:left="22" w:right="137"/>
              <w:jc w:val="left"/>
              <w:rPr>
                <w:rFonts w:ascii="宋体" w:hAnsi="宋体" w:cs="宋体" w:eastAsia="宋体" w:hint="default"/>
                <w:sz w:val="18"/>
                <w:szCs w:val="18"/>
              </w:rPr>
            </w:pPr>
            <w:r>
              <w:rPr>
                <w:rFonts w:ascii="宋体" w:hAnsi="宋体" w:cs="宋体" w:eastAsia="宋体" w:hint="default"/>
                <w:sz w:val="18"/>
                <w:szCs w:val="18"/>
              </w:rPr>
              <w:t>主要是本期转让国广东方</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z w:val="18"/>
                <w:szCs w:val="18"/>
              </w:rPr>
              <w:t>股权获得 的投资收益所致</w:t>
            </w:r>
          </w:p>
        </w:tc>
      </w:tr>
      <w:tr>
        <w:trPr>
          <w:trHeight w:val="312" w:hRule="exact"/>
        </w:trPr>
        <w:tc>
          <w:tcPr>
            <w:tcW w:w="38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566"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161" w:hRule="exact"/>
        </w:trPr>
        <w:tc>
          <w:tcPr>
            <w:tcW w:w="3801" w:type="dxa"/>
            <w:tcBorders>
              <w:top w:val="nil" w:sz="6" w:space="0" w:color="auto"/>
              <w:left w:val="single" w:sz="4" w:space="0" w:color="000000"/>
              <w:bottom w:val="single" w:sz="4" w:space="0" w:color="000000"/>
              <w:right w:val="single" w:sz="4" w:space="0" w:color="000000"/>
            </w:tcBorders>
            <w:shd w:val="clear" w:color="auto" w:fill="D2D2D2"/>
          </w:tcPr>
          <w:p>
            <w:pPr/>
          </w:p>
        </w:tc>
        <w:tc>
          <w:tcPr>
            <w:tcW w:w="2566"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32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25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960.33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6" w:right="11"/>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 </w:t>
            </w:r>
            <w:r>
              <w:rPr>
                <w:rFonts w:ascii="宋体" w:hAnsi="宋体" w:cs="宋体" w:eastAsia="宋体" w:hint="default"/>
                <w:spacing w:val="-1"/>
                <w:sz w:val="18"/>
                <w:szCs w:val="18"/>
              </w:rPr>
              <w:t>关，按照国家统一标准定额或定量享受的政府补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助除外）</w:t>
            </w:r>
          </w:p>
        </w:tc>
        <w:tc>
          <w:tcPr>
            <w:tcW w:w="25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18,913,056.47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5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-10,715,777.31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 w:right="1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 务外，持有交易性金融资产、交易性金融负债产 生的公允价值变动损益，以及处置交易性金融资 产、交易性金融负债和可供出售金融资产取得的 投资收益</w:t>
            </w:r>
          </w:p>
        </w:tc>
        <w:tc>
          <w:tcPr>
            <w:tcW w:w="25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4,619,768.13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5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-1,901,561.51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5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5,638,237.20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66"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5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4,356,945.39</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829"/>
        <w:gridCol w:w="2555"/>
        <w:gridCol w:w="3175"/>
      </w:tblGrid>
      <w:tr>
        <w:trPr>
          <w:trHeight w:val="32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61" w:right="0"/>
              <w:jc w:val="left"/>
              <w:rPr>
                <w:rFonts w:ascii="宋体" w:hAnsi="宋体" w:cs="宋体" w:eastAsia="宋体" w:hint="default"/>
                <w:sz w:val="18"/>
                <w:szCs w:val="18"/>
              </w:rPr>
            </w:pPr>
            <w:r>
              <w:rPr>
                <w:rFonts w:ascii="宋体"/>
                <w:sz w:val="18"/>
              </w:rPr>
              <w:t>185,461,351.17</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sz w:val="18"/>
              </w:rPr>
              <w:t>--</w:t>
            </w:r>
          </w:p>
        </w:tc>
      </w:tr>
    </w:tbl>
    <w:p>
      <w:pPr>
        <w:spacing w:line="240" w:lineRule="auto" w:before="12"/>
        <w:rPr>
          <w:rFonts w:ascii="宋体" w:hAnsi="宋体" w:cs="宋体" w:eastAsia="宋体" w:hint="default"/>
          <w:sz w:val="7"/>
          <w:szCs w:val="7"/>
        </w:rPr>
      </w:pPr>
    </w:p>
    <w:p>
      <w:pPr>
        <w:pStyle w:val="BodyText"/>
        <w:spacing w:line="240" w:lineRule="auto" w:before="35"/>
        <w:ind w:right="0"/>
        <w:jc w:val="left"/>
      </w:pPr>
      <w:r>
        <w:rPr/>
        <w:t>对公司根据《公开发行证券的公司信息披露解释性公告第</w:t>
      </w:r>
      <w:r>
        <w:rPr>
          <w:spacing w:val="-64"/>
        </w:rPr>
        <w:t> </w:t>
      </w:r>
      <w:r>
        <w:rPr>
          <w:rFonts w:ascii="宋体" w:hAnsi="宋体" w:cs="宋体" w:eastAsia="宋体" w:hint="default"/>
        </w:rPr>
        <w:t>1</w:t>
      </w:r>
      <w:r>
        <w:rPr>
          <w:rFonts w:ascii="宋体" w:hAnsi="宋体" w:cs="宋体" w:eastAsia="宋体" w:hint="default"/>
          <w:spacing w:val="-64"/>
        </w:rPr>
        <w:t> </w:t>
      </w:r>
      <w:r>
        <w:rPr/>
        <w:t>号——非经常性损益》定义界定的非经常性损</w:t>
      </w:r>
    </w:p>
    <w:p>
      <w:pPr>
        <w:spacing w:line="240" w:lineRule="auto" w:before="9"/>
        <w:rPr>
          <w:rFonts w:ascii="宋体" w:hAnsi="宋体" w:cs="宋体" w:eastAsia="宋体" w:hint="default"/>
          <w:sz w:val="15"/>
          <w:szCs w:val="15"/>
        </w:rPr>
      </w:pPr>
    </w:p>
    <w:p>
      <w:pPr>
        <w:pStyle w:val="BodyText"/>
        <w:spacing w:line="420" w:lineRule="auto"/>
        <w:ind w:right="1115"/>
        <w:jc w:val="left"/>
      </w:pPr>
      <w:r>
        <w:rPr/>
        <w:t>益项目，以及把《公开发行证券的公司信息披露解释性公告第</w:t>
      </w:r>
      <w:r>
        <w:rPr>
          <w:spacing w:val="-64"/>
        </w:rPr>
        <w:t> </w:t>
      </w:r>
      <w:r>
        <w:rPr>
          <w:rFonts w:ascii="宋体" w:hAnsi="宋体" w:cs="宋体" w:eastAsia="宋体" w:hint="default"/>
        </w:rPr>
        <w:t>1</w:t>
      </w:r>
      <w:r>
        <w:rPr>
          <w:rFonts w:ascii="宋体" w:hAnsi="宋体" w:cs="宋体" w:eastAsia="宋体" w:hint="default"/>
          <w:spacing w:val="-64"/>
        </w:rPr>
        <w:t> </w:t>
      </w:r>
      <w:r>
        <w:rPr/>
        <w:t>号——非经常性损益》中列举的非经常性 损益项目界定为经常性损益的项目，应说明原因。</w:t>
      </w:r>
    </w:p>
    <w:p>
      <w:pPr>
        <w:pStyle w:val="BodyText"/>
        <w:spacing w:line="240" w:lineRule="auto" w:before="47"/>
        <w:ind w:right="0"/>
        <w:jc w:val="left"/>
      </w:pPr>
      <w:r>
        <w:rPr/>
        <w:t>√ 适用 □</w:t>
      </w:r>
      <w:r>
        <w:rPr>
          <w:spacing w:val="-1"/>
        </w:rPr>
        <w:t> </w:t>
      </w:r>
      <w:r>
        <w:rPr/>
        <w:t>不适用</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32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94"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379"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专业投资公司产生的股权转让收益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945" w:right="0"/>
              <w:jc w:val="left"/>
              <w:rPr>
                <w:rFonts w:ascii="宋体" w:hAnsi="宋体" w:cs="宋体" w:eastAsia="宋体" w:hint="default"/>
                <w:sz w:val="18"/>
                <w:szCs w:val="18"/>
              </w:rPr>
            </w:pPr>
            <w:r>
              <w:rPr>
                <w:rFonts w:ascii="宋体"/>
                <w:sz w:val="18"/>
              </w:rPr>
              <w:t>7,643,410.66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根据公司战略发展规划，公司较早就设 立了华商盈通、上海鸿立及鸿立华享等 从事创业投资、项目投资等投资业务的 专业投资公司。本公司及上述投资公司 经营范围包含投资业务，投资业务属于 公司的主要业务之一，上述投资公司已 办理私募基金管理人登记和备案手续， 投资业务合法合规。上述投资公司投资 收益具有持续性、稳定性。因此，本公 司自</w:t>
            </w:r>
            <w:r>
              <w:rPr>
                <w:rFonts w:ascii="宋体" w:hAnsi="宋体" w:cs="宋体" w:eastAsia="宋体" w:hint="default"/>
                <w:spacing w:val="-56"/>
                <w:sz w:val="18"/>
                <w:szCs w:val="18"/>
              </w:rPr>
              <w:t> </w:t>
            </w:r>
            <w:r>
              <w:rPr>
                <w:rFonts w:ascii="宋体" w:hAnsi="宋体" w:cs="宋体" w:eastAsia="宋体" w:hint="default"/>
                <w:sz w:val="18"/>
                <w:szCs w:val="18"/>
              </w:rPr>
              <w:t>2016</w:t>
            </w:r>
            <w:r>
              <w:rPr>
                <w:rFonts w:ascii="宋体" w:hAnsi="宋体" w:cs="宋体" w:eastAsia="宋体" w:hint="default"/>
                <w:spacing w:val="-55"/>
                <w:sz w:val="18"/>
                <w:szCs w:val="18"/>
              </w:rPr>
              <w:t> </w:t>
            </w:r>
            <w:r>
              <w:rPr>
                <w:rFonts w:ascii="宋体" w:hAnsi="宋体" w:cs="宋体" w:eastAsia="宋体" w:hint="default"/>
                <w:sz w:val="18"/>
                <w:szCs w:val="18"/>
              </w:rPr>
              <w:t>年起将上述投资公司的股权处 置等投资损益认定为经常性损益。</w:t>
            </w:r>
            <w:r>
              <w:rPr>
                <w:rFonts w:ascii="宋体" w:hAnsi="宋体" w:cs="宋体" w:eastAsia="宋体" w:hint="default"/>
                <w:sz w:val="18"/>
                <w:szCs w:val="18"/>
              </w:rPr>
              <w:t>2018 </w:t>
            </w:r>
            <w:r>
              <w:rPr>
                <w:rFonts w:ascii="宋体" w:hAnsi="宋体" w:cs="宋体" w:eastAsia="宋体" w:hint="default"/>
                <w:sz w:val="18"/>
                <w:szCs w:val="18"/>
              </w:rPr>
              <w:t>年涉及金额为华商盈通</w:t>
            </w:r>
            <w:r>
              <w:rPr>
                <w:rFonts w:ascii="宋体" w:hAnsi="宋体" w:cs="宋体" w:eastAsia="宋体" w:hint="default"/>
                <w:sz w:val="18"/>
                <w:szCs w:val="18"/>
              </w:rPr>
              <w:t>-5,134,001.27 </w:t>
            </w:r>
            <w:r>
              <w:rPr>
                <w:rFonts w:ascii="宋体" w:hAnsi="宋体" w:cs="宋体" w:eastAsia="宋体" w:hint="default"/>
                <w:sz w:val="18"/>
                <w:szCs w:val="18"/>
              </w:rPr>
              <w:t>元，上海鸿立</w:t>
            </w:r>
            <w:r>
              <w:rPr>
                <w:rFonts w:ascii="宋体" w:hAnsi="宋体" w:cs="宋体" w:eastAsia="宋体" w:hint="default"/>
                <w:spacing w:val="-46"/>
                <w:sz w:val="18"/>
                <w:szCs w:val="18"/>
              </w:rPr>
              <w:t> </w:t>
            </w:r>
            <w:r>
              <w:rPr>
                <w:rFonts w:ascii="宋体" w:hAnsi="宋体" w:cs="宋体" w:eastAsia="宋体" w:hint="default"/>
                <w:sz w:val="18"/>
                <w:szCs w:val="18"/>
              </w:rPr>
              <w:t>12,777,411.93</w:t>
            </w:r>
            <w:r>
              <w:rPr>
                <w:rFonts w:ascii="宋体" w:hAnsi="宋体" w:cs="宋体" w:eastAsia="宋体" w:hint="default"/>
                <w:spacing w:val="-46"/>
                <w:sz w:val="18"/>
                <w:szCs w:val="18"/>
              </w:rPr>
              <w:t> </w:t>
            </w:r>
            <w:r>
              <w:rPr>
                <w:rFonts w:ascii="宋体" w:hAnsi="宋体" w:cs="宋体" w:eastAsia="宋体" w:hint="default"/>
                <w:sz w:val="18"/>
                <w:szCs w:val="18"/>
              </w:rPr>
              <w:t>元，鸿立</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华享</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净资产收益率及每股收益" w:id="403"/>
      <w:bookmarkEnd w:id="403"/>
      <w:r>
        <w:rPr>
          <w:b w:val="0"/>
          <w:bCs w:val="0"/>
        </w:rPr>
      </w:r>
      <w:r>
        <w:rPr>
          <w:rFonts w:ascii="宋体" w:hAnsi="宋体" w:cs="宋体" w:eastAsia="宋体" w:hint="default"/>
        </w:rPr>
        <w:t>2</w:t>
      </w:r>
      <w:r>
        <w:rPr/>
        <w:t>、净资产收益率及每股收益</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16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5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2" w:right="-1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2" w:right="-1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16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-69.13%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-2.4950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-2.4950</w:t>
            </w:r>
          </w:p>
        </w:tc>
      </w:tr>
      <w:tr>
        <w:trPr>
          <w:trHeight w:val="63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-71.70%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-2.5877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-2.5877</w:t>
            </w:r>
          </w:p>
        </w:tc>
      </w:tr>
    </w:tbl>
    <w:p>
      <w:pPr>
        <w:spacing w:after="0" w:line="240" w:lineRule="auto"/>
        <w:jc w:val="right"/>
        <w:rPr>
          <w:rFonts w:ascii="宋体" w:hAnsi="宋体" w:cs="宋体" w:eastAsia="宋体" w:hint="default"/>
          <w:sz w:val="18"/>
          <w:szCs w:val="18"/>
        </w:rPr>
        <w:sectPr>
          <w:pgSz w:w="11910" w:h="16840"/>
          <w:pgMar w:header="0"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3286" w:right="0"/>
        <w:jc w:val="left"/>
        <w:rPr>
          <w:b w:val="0"/>
          <w:bCs w:val="0"/>
        </w:rPr>
      </w:pPr>
      <w:bookmarkStart w:name="第十二节 备查文件目录" w:id="404"/>
      <w:bookmarkEnd w:id="404"/>
      <w:r>
        <w:rPr>
          <w:b w:val="0"/>
          <w:bCs w:val="0"/>
        </w:rPr>
      </w:r>
      <w:bookmarkStart w:name="_bookmark10" w:id="405"/>
      <w:bookmarkEnd w:id="405"/>
      <w:r>
        <w:rPr>
          <w:b w:val="0"/>
          <w:bCs w:val="0"/>
        </w:rPr>
      </w:r>
      <w:r>
        <w:rPr/>
        <w:t>第十二节</w:t>
      </w:r>
      <w:r>
        <w:rPr>
          <w:spacing w:val="-8"/>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Heading3"/>
        <w:spacing w:line="240" w:lineRule="auto" w:before="230"/>
        <w:ind w:left="634" w:right="0"/>
        <w:jc w:val="left"/>
      </w:pPr>
      <w:r>
        <w:rPr/>
        <w:t>备查文件包括：</w:t>
      </w:r>
    </w:p>
    <w:p>
      <w:pPr>
        <w:pStyle w:val="Heading3"/>
        <w:spacing w:line="240" w:lineRule="auto" w:before="166"/>
        <w:ind w:left="634" w:right="0"/>
        <w:jc w:val="left"/>
      </w:pPr>
      <w:r>
        <w:rPr>
          <w:spacing w:val="-3"/>
        </w:rPr>
        <w:t>（一）载有法定代表人、主管会计工作负责人、会计机构负责人签名并盖章的会计报表。</w:t>
      </w:r>
    </w:p>
    <w:p>
      <w:pPr>
        <w:pStyle w:val="Heading3"/>
        <w:spacing w:line="240" w:lineRule="auto" w:before="166"/>
        <w:ind w:left="634" w:right="0"/>
        <w:jc w:val="left"/>
      </w:pPr>
      <w:r>
        <w:rPr/>
        <w:t>（二）载有会计师事务所盖章、注册会计师签名并盖章的审计报告原件。</w:t>
      </w:r>
    </w:p>
    <w:p>
      <w:pPr>
        <w:pStyle w:val="Heading3"/>
        <w:spacing w:line="367" w:lineRule="auto" w:before="166"/>
        <w:ind w:right="0" w:firstLine="480"/>
        <w:jc w:val="left"/>
      </w:pPr>
      <w:r>
        <w:rPr>
          <w:spacing w:val="-6"/>
        </w:rPr>
        <w:t>（三）报告期内在中国证监会指定网站和指定报纸《证券时报》、《中国证券报》及《上</w:t>
      </w:r>
      <w:r>
        <w:rPr/>
        <w:t> 海证券报》上公开披露过的所有公司文件的正本及公告的原稿。</w:t>
      </w:r>
    </w:p>
    <w:p>
      <w:pPr>
        <w:pStyle w:val="Heading3"/>
        <w:spacing w:line="240" w:lineRule="auto"/>
        <w:ind w:left="634" w:right="0"/>
        <w:jc w:val="left"/>
      </w:pPr>
      <w:r>
        <w:rPr/>
        <w:t>上述文件原件备置地点为海南省海口市海甸四东路民生大厦公司董事会秘书部。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Heading3"/>
        <w:spacing w:line="477" w:lineRule="auto" w:before="0"/>
        <w:ind w:left="5626" w:right="1217"/>
        <w:jc w:val="center"/>
      </w:pPr>
      <w:r>
        <w:rPr/>
        <w:t>华闻传媒投资集团股份有限公司董事会 董事长：汪方怀（签字）</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9"/>
          <w:szCs w:val="29"/>
        </w:rPr>
      </w:pPr>
    </w:p>
    <w:p>
      <w:pPr>
        <w:pStyle w:val="Heading3"/>
        <w:spacing w:line="240" w:lineRule="auto" w:before="0"/>
        <w:ind w:left="5624" w:right="1217"/>
        <w:jc w:val="center"/>
      </w:pPr>
      <w:r>
        <w:rPr/>
        <w:t>二〇一九年四月二十五日</w:t>
      </w:r>
    </w:p>
    <w:sectPr>
      <w:pgSz w:w="11910" w:h="16840"/>
      <w:pgMar w:header="0"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93104" type="#_x0000_t75" stroked="false">
          <v:imagedata r:id="rId1" o:title=""/>
        </v:shape>
      </w:pict>
    </w:r>
    <w:r>
      <w:rPr/>
      <w:pict>
        <v:shape style="position:absolute;margin-left:533.179993pt;margin-top:795.517944pt;width:6.5pt;height:11pt;mso-position-horizontal-relative:page;mso-position-vertical-relative:page;z-index:-14930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492552" type="#_x0000_t75" stroked="false">
          <v:imagedata r:id="rId1" o:title=""/>
        </v:shape>
      </w:pict>
    </w:r>
    <w:r>
      <w:rPr/>
      <w:pict>
        <v:shape style="position:absolute;margin-left:758.97998pt;margin-top:535.357971pt;width:13pt;height:11pt;mso-position-horizontal-relative:page;mso-position-vertical-relative:page;z-index:-1492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92456" type="#_x0000_t75" stroked="false">
          <v:imagedata r:id="rId1" o:title=""/>
        </v:shape>
      </w:pict>
    </w:r>
    <w:r>
      <w:rPr/>
      <w:pict>
        <v:shape style="position:absolute;margin-left:527.679993pt;margin-top:781.957947pt;width:13pt;height:11pt;mso-position-horizontal-relative:page;mso-position-vertical-relative:page;z-index:-1492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92408" type="#_x0000_t75" stroked="false">
          <v:imagedata r:id="rId1" o:title=""/>
        </v:shape>
      </w:pict>
    </w:r>
    <w:r>
      <w:rPr/>
      <w:pict>
        <v:shape style="position:absolute;margin-left:524.179993pt;margin-top:781.957947pt;width:15.5pt;height:11pt;mso-position-horizontal-relative:page;mso-position-vertical-relative:page;z-index:-14923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92360" type="#_x0000_t75" stroked="false">
          <v:imagedata r:id="rId1" o:title=""/>
        </v:shape>
      </w:pict>
    </w:r>
    <w:r>
      <w:rPr/>
      <w:pict>
        <v:shape style="position:absolute;margin-left:523.179993pt;margin-top:781.957947pt;width:17.5pt;height:11pt;mso-position-horizontal-relative:page;mso-position-vertical-relative:page;z-index:-1492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492288" type="#_x0000_t75" stroked="false">
          <v:imagedata r:id="rId1" o:title=""/>
        </v:shape>
      </w:pict>
    </w:r>
    <w:r>
      <w:rPr/>
      <w:pict>
        <v:shape style="position:absolute;margin-left:754.47998pt;margin-top:535.357971pt;width:17.5pt;height:11pt;mso-position-horizontal-relative:page;mso-position-vertical-relative:page;z-index:-1492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92168" type="#_x0000_t75" stroked="false">
          <v:imagedata r:id="rId1" o:title=""/>
        </v:shape>
      </w:pict>
    </w:r>
    <w:r>
      <w:rPr/>
      <w:pict>
        <v:shape style="position:absolute;margin-left:523.179993pt;margin-top:781.957947pt;width:17.5pt;height:11pt;mso-position-horizontal-relative:page;mso-position-vertical-relative:page;z-index:-1492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92120" type="#_x0000_t75" stroked="false">
          <v:imagedata r:id="rId1" o:title=""/>
        </v:shape>
      </w:pict>
    </w:r>
    <w:r>
      <w:rPr/>
      <w:pict>
        <v:shape style="position:absolute;margin-left:523.179993pt;margin-top:781.957947pt;width:17.5pt;height:11pt;mso-position-horizontal-relative:page;mso-position-vertical-relative:page;z-index:-1492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92072" type="#_x0000_t75" stroked="false">
          <v:imagedata r:id="rId1" o:title=""/>
        </v:shape>
      </w:pict>
    </w:r>
    <w:r>
      <w:rPr/>
      <w:pict>
        <v:shape style="position:absolute;margin-left:523.179993pt;margin-top:781.957947pt;width:17.5pt;height:11pt;mso-position-horizontal-relative:page;mso-position-vertical-relative:page;z-index:-1492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93056" type="#_x0000_t75" stroked="false">
          <v:imagedata r:id="rId1" o:title=""/>
        </v:shape>
      </w:pict>
    </w:r>
    <w:r>
      <w:rPr/>
      <w:pict>
        <v:shape style="position:absolute;margin-left:527.679993pt;margin-top:781.957947pt;width:13pt;height:11pt;mso-position-horizontal-relative:page;mso-position-vertical-relative:page;z-index:-1493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492000" type="#_x0000_t75" stroked="false">
          <v:imagedata r:id="rId1" o:title=""/>
        </v:shape>
      </w:pict>
    </w:r>
    <w:r>
      <w:rPr/>
      <w:pict>
        <v:shape style="position:absolute;margin-left:754.47998pt;margin-top:535.357971pt;width:17.5pt;height:11pt;mso-position-horizontal-relative:page;mso-position-vertical-relative:page;z-index:-1491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491952" type="#_x0000_t75" stroked="false">
          <v:imagedata r:id="rId1" o:title=""/>
        </v:shape>
      </w:pict>
    </w:r>
    <w:r>
      <w:rPr/>
      <w:pict>
        <v:shape style="position:absolute;margin-left:755.47998pt;margin-top:535.357971pt;width:15.5pt;height:11pt;mso-position-horizontal-relative:page;mso-position-vertical-relative:page;z-index:-14919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491904" type="#_x0000_t75" stroked="false">
          <v:imagedata r:id="rId1" o:title=""/>
        </v:shape>
      </w:pict>
    </w:r>
    <w:r>
      <w:rPr/>
      <w:pict>
        <v:shape style="position:absolute;margin-left:755.47998pt;margin-top:535.357971pt;width:15.5pt;height:11pt;mso-position-horizontal-relative:page;mso-position-vertical-relative:page;z-index:-14918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201</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91808" type="#_x0000_t75" stroked="false">
          <v:imagedata r:id="rId1" o:title=""/>
        </v:shape>
      </w:pict>
    </w:r>
    <w:r>
      <w:rPr/>
      <w:pict>
        <v:shape style="position:absolute;margin-left:523.179993pt;margin-top:781.957947pt;width:17.5pt;height:11pt;mso-position-horizontal-relative:page;mso-position-vertical-relative:page;z-index:-1491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203</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491736" type="#_x0000_t75" stroked="false">
          <v:imagedata r:id="rId1" o:title=""/>
        </v:shape>
      </w:pict>
    </w:r>
    <w:r>
      <w:rPr/>
      <w:pict>
        <v:shape style="position:absolute;margin-left:754.47998pt;margin-top:535.357971pt;width:17.5pt;height:11pt;mso-position-horizontal-relative:page;mso-position-vertical-relative:page;z-index:-1491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205</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91640" type="#_x0000_t75" stroked="false">
          <v:imagedata r:id="rId1" o:title=""/>
        </v:shape>
      </w:pict>
    </w:r>
    <w:r>
      <w:rPr/>
      <w:pict>
        <v:shape style="position:absolute;margin-left:523.179993pt;margin-top:781.957947pt;width:17.5pt;height:11pt;mso-position-horizontal-relative:page;mso-position-vertical-relative:page;z-index:-1491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207</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491568" type="#_x0000_t75" stroked="false">
          <v:imagedata r:id="rId1" o:title=""/>
        </v:shape>
      </w:pict>
    </w:r>
    <w:r>
      <w:rPr/>
      <w:pict>
        <v:shape style="position:absolute;margin-left:754.47998pt;margin-top:535.357971pt;width:17.5pt;height:11pt;mso-position-horizontal-relative:page;mso-position-vertical-relative:page;z-index:-1491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228</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91472" type="#_x0000_t75" stroked="false">
          <v:imagedata r:id="rId1" o:title=""/>
        </v:shape>
      </w:pict>
    </w:r>
    <w:r>
      <w:rPr/>
      <w:pict>
        <v:shape style="position:absolute;margin-left:523.179993pt;margin-top:781.957947pt;width:17.5pt;height:11pt;mso-position-horizontal-relative:page;mso-position-vertical-relative:page;z-index:-1491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233</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491400" type="#_x0000_t75" stroked="false">
          <v:imagedata r:id="rId1" o:title=""/>
        </v:shape>
      </w:pict>
    </w:r>
    <w:r>
      <w:rPr/>
      <w:pict>
        <v:shape style="position:absolute;margin-left:754.47998pt;margin-top:535.357971pt;width:17.5pt;height:11pt;mso-position-horizontal-relative:page;mso-position-vertical-relative:page;z-index:-1491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246</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91304" type="#_x0000_t75" stroked="false">
          <v:imagedata r:id="rId1" o:title=""/>
        </v:shape>
      </w:pict>
    </w:r>
    <w:r>
      <w:rPr/>
      <w:pict>
        <v:shape style="position:absolute;margin-left:523.179993pt;margin-top:781.957947pt;width:17.5pt;height:11pt;mso-position-horizontal-relative:page;mso-position-vertical-relative:page;z-index:-1491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249</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93008" type="#_x0000_t75" stroked="false">
          <v:imagedata r:id="rId1" o:title=""/>
        </v:shape>
      </w:pict>
    </w:r>
    <w:r>
      <w:rPr/>
      <w:pict>
        <v:shape style="position:absolute;margin-left:527.679993pt;margin-top:781.957947pt;width:13pt;height:11pt;mso-position-horizontal-relative:page;mso-position-vertical-relative:page;z-index:-1492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91256" type="#_x0000_t75" stroked="false">
          <v:imagedata r:id="rId1" o:title=""/>
        </v:shape>
      </w:pict>
    </w:r>
    <w:r>
      <w:rPr/>
      <w:pict>
        <v:shape style="position:absolute;margin-left:523.179993pt;margin-top:781.957947pt;width:17.5pt;height:11pt;mso-position-horizontal-relative:page;mso-position-vertical-relative:page;z-index:-1491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263</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91208" type="#_x0000_t75" stroked="false">
          <v:imagedata r:id="rId1" o:title=""/>
        </v:shape>
      </w:pict>
    </w:r>
    <w:r>
      <w:rPr/>
      <w:pict>
        <v:shape style="position:absolute;margin-left:523.179993pt;margin-top:781.957947pt;width:17.5pt;height:11pt;mso-position-horizontal-relative:page;mso-position-vertical-relative:page;z-index:-1491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492936" type="#_x0000_t75" stroked="false">
          <v:imagedata r:id="rId1" o:title=""/>
        </v:shape>
      </w:pict>
    </w:r>
    <w:r>
      <w:rPr/>
      <w:pict>
        <v:shape style="position:absolute;margin-left:758.97998pt;margin-top:535.357971pt;width:13pt;height:11pt;mso-position-horizontal-relative:page;mso-position-vertical-relative:page;z-index:-1492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92840" type="#_x0000_t75" stroked="false">
          <v:imagedata r:id="rId1" o:title=""/>
        </v:shape>
      </w:pict>
    </w:r>
    <w:r>
      <w:rPr/>
      <w:pict>
        <v:shape style="position:absolute;margin-left:527.679993pt;margin-top:781.957947pt;width:13pt;height:11pt;mso-position-horizontal-relative:page;mso-position-vertical-relative:page;z-index:-1492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492768" type="#_x0000_t75" stroked="false">
          <v:imagedata r:id="rId1" o:title=""/>
        </v:shape>
      </w:pict>
    </w:r>
    <w:r>
      <w:rPr/>
      <w:pict>
        <v:shape style="position:absolute;margin-left:758.97998pt;margin-top:535.357971pt;width:13pt;height:11pt;mso-position-horizontal-relative:page;mso-position-vertical-relative:page;z-index:-1492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92672" type="#_x0000_t75" stroked="false">
          <v:imagedata r:id="rId1" o:title=""/>
        </v:shape>
      </w:pict>
    </w:r>
    <w:r>
      <w:rPr/>
      <w:pict>
        <v:shape style="position:absolute;margin-left:527.679993pt;margin-top:781.957947pt;width:13pt;height:11pt;mso-position-horizontal-relative:page;mso-position-vertical-relative:page;z-index:-1492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92624" type="#_x0000_t75" stroked="false">
          <v:imagedata r:id="rId1" o:title=""/>
        </v:shape>
      </w:pict>
    </w:r>
    <w:r>
      <w:rPr/>
      <w:pict>
        <v:shape style="position:absolute;margin-left:527.679993pt;margin-top:781.957947pt;width:13pt;height:11pt;mso-position-horizontal-relative:page;mso-position-vertical-relative:page;z-index:-1492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4931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4922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49221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4921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4920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49185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4918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491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49168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491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4915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49152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491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4929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4914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49135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491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49288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4928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4927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49272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4926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4925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49250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4924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4923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1"/>
      <w:ind w:left="239"/>
      <w:outlineLvl w:val="1"/>
    </w:pPr>
    <w:rPr>
      <w:rFonts w:ascii="宋体" w:hAnsi="宋体" w:eastAsia="宋体"/>
      <w:b/>
      <w:bCs/>
      <w:sz w:val="32"/>
      <w:szCs w:val="32"/>
    </w:rPr>
  </w:style>
  <w:style w:styleId="Heading2" w:type="paragraph">
    <w:name w:val="Heading 2"/>
    <w:basedOn w:val="Normal"/>
    <w:uiPriority w:val="1"/>
    <w:qFormat/>
    <w:pPr>
      <w:spacing w:before="26"/>
      <w:ind w:left="154"/>
      <w:outlineLvl w:val="2"/>
    </w:pPr>
    <w:rPr>
      <w:rFonts w:ascii="宋体" w:hAnsi="宋体" w:eastAsia="宋体"/>
      <w:b/>
      <w:bCs/>
      <w:sz w:val="24"/>
      <w:szCs w:val="24"/>
    </w:rPr>
  </w:style>
  <w:style w:styleId="Heading3" w:type="paragraph">
    <w:name w:val="Heading 3"/>
    <w:basedOn w:val="Normal"/>
    <w:uiPriority w:val="1"/>
    <w:qFormat/>
    <w:pPr>
      <w:spacing w:before="38"/>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000793.com/" TargetMode="External"/><Relationship Id="rId11" Type="http://schemas.openxmlformats.org/officeDocument/2006/relationships/hyperlink" Target="mailto:hwm@000793.com" TargetMode="External"/><Relationship Id="rId12" Type="http://schemas.openxmlformats.org/officeDocument/2006/relationships/hyperlink" Target="mailto:board@000793.com" TargetMode="External"/><Relationship Id="rId13" Type="http://schemas.openxmlformats.org/officeDocument/2006/relationships/footer" Target="footer3.xml"/><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hyperlink" Target="http://rs.p5w.net/" TargetMode="External"/><Relationship Id="rId19" Type="http://schemas.openxmlformats.org/officeDocument/2006/relationships/header" Target="header4.xml"/><Relationship Id="rId20" Type="http://schemas.openxmlformats.org/officeDocument/2006/relationships/footer" Target="footer6.xml"/><Relationship Id="rId21" Type="http://schemas.openxmlformats.org/officeDocument/2006/relationships/header" Target="header5.xml"/><Relationship Id="rId22" Type="http://schemas.openxmlformats.org/officeDocument/2006/relationships/footer" Target="footer7.xml"/><Relationship Id="rId23" Type="http://schemas.openxmlformats.org/officeDocument/2006/relationships/header" Target="header6.xml"/><Relationship Id="rId24" Type="http://schemas.openxmlformats.org/officeDocument/2006/relationships/footer" Target="footer8.xml"/><Relationship Id="rId25" Type="http://schemas.openxmlformats.org/officeDocument/2006/relationships/image" Target="media/image1.jpeg"/><Relationship Id="rId26" Type="http://schemas.openxmlformats.org/officeDocument/2006/relationships/footer" Target="footer9.xml"/><Relationship Id="rId27" Type="http://schemas.openxmlformats.org/officeDocument/2006/relationships/header" Target="header7.xml"/><Relationship Id="rId28" Type="http://schemas.openxmlformats.org/officeDocument/2006/relationships/footer" Target="footer10.xml"/><Relationship Id="rId29" Type="http://schemas.openxmlformats.org/officeDocument/2006/relationships/header" Target="header8.xml"/><Relationship Id="rId30" Type="http://schemas.openxmlformats.org/officeDocument/2006/relationships/footer" Target="footer11.xml"/><Relationship Id="rId31" Type="http://schemas.openxmlformats.org/officeDocument/2006/relationships/image" Target="media/image3.png"/><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header" Target="header9.xml"/><Relationship Id="rId35" Type="http://schemas.openxmlformats.org/officeDocument/2006/relationships/footer" Target="footer14.xml"/><Relationship Id="rId36" Type="http://schemas.openxmlformats.org/officeDocument/2006/relationships/header" Target="header10.xml"/><Relationship Id="rId37" Type="http://schemas.openxmlformats.org/officeDocument/2006/relationships/header" Target="header11.xml"/><Relationship Id="rId38" Type="http://schemas.openxmlformats.org/officeDocument/2006/relationships/footer" Target="footer15.xml"/><Relationship Id="rId39" Type="http://schemas.openxmlformats.org/officeDocument/2006/relationships/header" Target="header12.xml"/><Relationship Id="rId40" Type="http://schemas.openxmlformats.org/officeDocument/2006/relationships/footer" Target="footer16.xml"/><Relationship Id="rId41" Type="http://schemas.openxmlformats.org/officeDocument/2006/relationships/footer" Target="footer17.xml"/><Relationship Id="rId42" Type="http://schemas.openxmlformats.org/officeDocument/2006/relationships/header" Target="header13.xml"/><Relationship Id="rId43" Type="http://schemas.openxmlformats.org/officeDocument/2006/relationships/footer" Target="footer18.xml"/><Relationship Id="rId44" Type="http://schemas.openxmlformats.org/officeDocument/2006/relationships/footer" Target="footer19.xml"/><Relationship Id="rId45" Type="http://schemas.openxmlformats.org/officeDocument/2006/relationships/header" Target="header14.xml"/><Relationship Id="rId46" Type="http://schemas.openxmlformats.org/officeDocument/2006/relationships/footer" Target="footer20.xml"/><Relationship Id="rId47" Type="http://schemas.openxmlformats.org/officeDocument/2006/relationships/footer" Target="footer21.xml"/><Relationship Id="rId48" Type="http://schemas.openxmlformats.org/officeDocument/2006/relationships/footer" Target="footer22.xml"/><Relationship Id="rId49" Type="http://schemas.openxmlformats.org/officeDocument/2006/relationships/header" Target="header15.xml"/><Relationship Id="rId50" Type="http://schemas.openxmlformats.org/officeDocument/2006/relationships/footer" Target="footer23.xml"/><Relationship Id="rId51" Type="http://schemas.openxmlformats.org/officeDocument/2006/relationships/header" Target="header16.xml"/><Relationship Id="rId52" Type="http://schemas.openxmlformats.org/officeDocument/2006/relationships/footer" Target="footer24.xml"/><Relationship Id="rId53" Type="http://schemas.openxmlformats.org/officeDocument/2006/relationships/header" Target="header17.xml"/><Relationship Id="rId54" Type="http://schemas.openxmlformats.org/officeDocument/2006/relationships/footer" Target="footer25.xml"/><Relationship Id="rId55" Type="http://schemas.openxmlformats.org/officeDocument/2006/relationships/header" Target="header18.xml"/><Relationship Id="rId56" Type="http://schemas.openxmlformats.org/officeDocument/2006/relationships/footer" Target="footer26.xml"/><Relationship Id="rId57" Type="http://schemas.openxmlformats.org/officeDocument/2006/relationships/header" Target="header19.xml"/><Relationship Id="rId58" Type="http://schemas.openxmlformats.org/officeDocument/2006/relationships/footer" Target="footer27.xml"/><Relationship Id="rId59" Type="http://schemas.openxmlformats.org/officeDocument/2006/relationships/header" Target="header20.xml"/><Relationship Id="rId60" Type="http://schemas.openxmlformats.org/officeDocument/2006/relationships/footer" Target="footer28.xml"/><Relationship Id="rId61" Type="http://schemas.openxmlformats.org/officeDocument/2006/relationships/header" Target="header21.xml"/><Relationship Id="rId62" Type="http://schemas.openxmlformats.org/officeDocument/2006/relationships/footer" Target="footer29.xml"/><Relationship Id="rId63" Type="http://schemas.openxmlformats.org/officeDocument/2006/relationships/header" Target="header22.xml"/><Relationship Id="rId64" Type="http://schemas.openxmlformats.org/officeDocument/2006/relationships/footer" Target="footer30.xml"/><Relationship Id="rId65" Type="http://schemas.openxmlformats.org/officeDocument/2006/relationships/footer" Target="footer31.xml"/><Relationship Id="rId66" Type="http://schemas.openxmlformats.org/officeDocument/2006/relationships/header" Target="header23.xml"/><Relationship Id="rId67" Type="http://schemas.openxmlformats.org/officeDocument/2006/relationships/footer" Target="footer32.xml"/><Relationship Id="rId68" Type="http://schemas.openxmlformats.org/officeDocument/2006/relationships/footer" Target="footer3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26.xml.rels><?xml version="1.0" encoding="UTF-8" standalone="yes"?>
<Relationships xmlns="http://schemas.openxmlformats.org/package/2006/relationships"><Relationship Id="rId1" Type="http://schemas.openxmlformats.org/officeDocument/2006/relationships/image" Target="media/image1.jpeg"/></Relationships>

</file>

<file path=word/_rels/footer27.xml.rels><?xml version="1.0" encoding="UTF-8" standalone="yes"?>
<Relationships xmlns="http://schemas.openxmlformats.org/package/2006/relationships"><Relationship Id="rId1" Type="http://schemas.openxmlformats.org/officeDocument/2006/relationships/image" Target="media/image1.jpeg"/></Relationships>

</file>

<file path=word/_rels/footer28.xml.rels><?xml version="1.0" encoding="UTF-8" standalone="yes"?>
<Relationships xmlns="http://schemas.openxmlformats.org/package/2006/relationships"><Relationship Id="rId1" Type="http://schemas.openxmlformats.org/officeDocument/2006/relationships/image" Target="media/image1.jpeg"/></Relationships>

</file>

<file path=word/_rels/footer29.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31.xml.rels><?xml version="1.0" encoding="UTF-8" standalone="yes"?>
<Relationships xmlns="http://schemas.openxmlformats.org/package/2006/relationships"><Relationship Id="rId1" Type="http://schemas.openxmlformats.org/officeDocument/2006/relationships/image" Target="media/image1.jpeg"/></Relationships>

</file>

<file path=word/_rels/footer3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华闻传媒投资集团股份有限公司</dc:creator>
  <dc:title>华闻传媒投资集团股份有限公司2018年年度报告全文</dc:title>
  <dcterms:created xsi:type="dcterms:W3CDTF">2020-05-05T04:54:24Z</dcterms:created>
  <dcterms:modified xsi:type="dcterms:W3CDTF">2020-05-05T04:54:24Z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2019-04-29T00:00:00Z</vt:filetime>
  </property>
  <property fmtid="{D5CDD505-2E9C-101B-9397-08002B2CF9AE}" pid="3" name="Creator">
    <vt:lpwstr>Microsoft® Office Word 2007</vt:lpwstr>
  </property>
  <property fmtid="{D5CDD505-2E9C-101B-9397-08002B2CF9AE}" pid="4" name="LastSaved">
    <vt:filetime>2020-05-04T00:00:00Z</vt:filetime>
  </property>
</Properties>
</file>